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79"/>
        <w:gridCol w:w="1920"/>
        <w:gridCol w:w="2141"/>
        <w:gridCol w:w="2160"/>
      </w:tblGrid>
      <w:tr w:rsidR="00B83E05" w:rsidRPr="00B83E05" w:rsidTr="00511C12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3E05" w:rsidRPr="00B83E05" w:rsidRDefault="00B83E05" w:rsidP="00511C12">
            <w:pPr>
              <w:pStyle w:val="rg"/>
              <w:rPr>
                <w:sz w:val="20"/>
                <w:szCs w:val="20"/>
                <w:lang w:val="en-US"/>
              </w:rPr>
            </w:pPr>
            <w:proofErr w:type="spellStart"/>
            <w:r w:rsidRPr="00B83E05">
              <w:rPr>
                <w:sz w:val="20"/>
                <w:szCs w:val="20"/>
                <w:lang w:val="en-US"/>
              </w:rPr>
              <w:t>Anexa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nr.1 </w:t>
            </w:r>
          </w:p>
          <w:p w:rsidR="00B83E05" w:rsidRPr="00B83E05" w:rsidRDefault="00B83E05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B83E05">
              <w:rPr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Regulamentul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aplicare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a </w:t>
            </w:r>
          </w:p>
          <w:p w:rsidR="00B83E05" w:rsidRPr="00B83E05" w:rsidRDefault="00B83E05" w:rsidP="00511C12">
            <w:pPr>
              <w:pStyle w:val="rg"/>
              <w:rPr>
                <w:sz w:val="20"/>
                <w:szCs w:val="20"/>
                <w:lang w:val="en-US"/>
              </w:rPr>
            </w:pPr>
            <w:proofErr w:type="spellStart"/>
            <w:r w:rsidRPr="00B83E05">
              <w:rPr>
                <w:sz w:val="20"/>
                <w:szCs w:val="20"/>
                <w:lang w:val="en-US"/>
              </w:rPr>
              <w:t>destinaţiilor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vamale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prevăzute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</w:p>
          <w:p w:rsidR="00B83E05" w:rsidRPr="00B83E05" w:rsidRDefault="00B83E05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B83E05">
              <w:rPr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Codul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vamal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Republicii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Moldova </w:t>
            </w:r>
          </w:p>
          <w:p w:rsidR="00B83E05" w:rsidRPr="00B83E05" w:rsidRDefault="00B83E05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B83E05">
              <w:rPr>
                <w:sz w:val="20"/>
                <w:szCs w:val="20"/>
                <w:lang w:val="en-US"/>
              </w:rPr>
              <w:t xml:space="preserve">  </w:t>
            </w:r>
          </w:p>
          <w:p w:rsidR="00B83E05" w:rsidRPr="00B83E05" w:rsidRDefault="00B83E05" w:rsidP="00511C12">
            <w:pPr>
              <w:pStyle w:val="cn"/>
              <w:rPr>
                <w:sz w:val="20"/>
                <w:szCs w:val="20"/>
                <w:lang w:val="en-US"/>
              </w:rPr>
            </w:pP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Cantităţile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uzuale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produse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tutun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băuturi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alcoolice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</w:p>
          <w:p w:rsidR="00B83E05" w:rsidRPr="00B83E05" w:rsidRDefault="00B83E05" w:rsidP="00511C12">
            <w:pPr>
              <w:pStyle w:val="cn"/>
              <w:rPr>
                <w:sz w:val="20"/>
                <w:szCs w:val="20"/>
                <w:lang w:val="en-US"/>
              </w:rPr>
            </w:pP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admise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pentru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folosinţa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comandantului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echipajului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pasagerilor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B83E05">
              <w:rPr>
                <w:sz w:val="20"/>
                <w:szCs w:val="20"/>
                <w:lang w:val="en-US"/>
              </w:rPr>
              <w:t xml:space="preserve"> </w:t>
            </w:r>
          </w:p>
          <w:p w:rsidR="00B83E05" w:rsidRPr="00B83E05" w:rsidRDefault="00B83E05" w:rsidP="00511C12">
            <w:pPr>
              <w:pStyle w:val="cn"/>
              <w:rPr>
                <w:sz w:val="20"/>
                <w:szCs w:val="20"/>
                <w:lang w:val="en-US"/>
              </w:rPr>
            </w:pP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în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raport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durata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staţionării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navei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b/>
                <w:bCs/>
                <w:sz w:val="20"/>
                <w:szCs w:val="20"/>
                <w:lang w:val="en-US"/>
              </w:rPr>
              <w:t>în</w:t>
            </w:r>
            <w:proofErr w:type="spellEnd"/>
            <w:r w:rsidRPr="00B83E05">
              <w:rPr>
                <w:b/>
                <w:bCs/>
                <w:sz w:val="20"/>
                <w:szCs w:val="20"/>
                <w:lang w:val="en-US"/>
              </w:rPr>
              <w:t xml:space="preserve"> port</w:t>
            </w:r>
            <w:r w:rsidRPr="00B83E05">
              <w:rPr>
                <w:sz w:val="20"/>
                <w:szCs w:val="20"/>
                <w:lang w:val="en-US"/>
              </w:rPr>
              <w:t xml:space="preserve"> </w:t>
            </w:r>
          </w:p>
          <w:p w:rsidR="00B83E05" w:rsidRPr="00B83E05" w:rsidRDefault="00B83E05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B83E05">
              <w:rPr>
                <w:sz w:val="20"/>
                <w:szCs w:val="20"/>
                <w:lang w:val="en-US"/>
              </w:rPr>
              <w:t xml:space="preserve">  </w:t>
            </w:r>
          </w:p>
          <w:p w:rsidR="00B83E05" w:rsidRPr="00B83E05" w:rsidRDefault="00B83E05" w:rsidP="00511C12">
            <w:pPr>
              <w:pStyle w:val="NormalWeb"/>
              <w:rPr>
                <w:sz w:val="20"/>
                <w:szCs w:val="20"/>
                <w:lang w:val="en-US"/>
              </w:rPr>
            </w:pPr>
            <w:proofErr w:type="spellStart"/>
            <w:r w:rsidRPr="00B83E05">
              <w:rPr>
                <w:sz w:val="20"/>
                <w:szCs w:val="20"/>
                <w:lang w:val="en-US"/>
              </w:rPr>
              <w:t>Cantităţile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produse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tutun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băuturi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alcoolice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care se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lasă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către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organele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vamale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nesigilate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folosinţa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comandantului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secundului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precum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echipajului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pasagerilor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, conform pct.16 al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prezentului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regulament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sînt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următoarele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: </w:t>
            </w:r>
          </w:p>
          <w:p w:rsidR="00B83E05" w:rsidRPr="00B83E05" w:rsidRDefault="00B83E05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B83E05">
              <w:rPr>
                <w:sz w:val="20"/>
                <w:szCs w:val="20"/>
                <w:lang w:val="en-US"/>
              </w:rPr>
              <w:t> </w:t>
            </w:r>
          </w:p>
        </w:tc>
      </w:tr>
      <w:tr w:rsidR="00B83E05" w:rsidTr="00511C1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3E05" w:rsidRPr="00B83E05" w:rsidRDefault="00B83E05" w:rsidP="00511C1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83E05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3E05" w:rsidRDefault="00B83E05" w:rsidP="0051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Ţigarete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3E05" w:rsidRDefault="00B83E05" w:rsidP="0051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Ţigarete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3E05" w:rsidRDefault="00B83E05" w:rsidP="0051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Băuturi</w:t>
            </w:r>
          </w:p>
          <w:p w:rsidR="00B83E05" w:rsidRDefault="00B83E05" w:rsidP="00511C12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alcoolice peste 22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</w:tr>
      <w:tr w:rsidR="00B83E05" w:rsidTr="00511C1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3E05" w:rsidRPr="00B83E05" w:rsidRDefault="00B83E05" w:rsidP="00511C12">
            <w:pPr>
              <w:rPr>
                <w:sz w:val="20"/>
                <w:szCs w:val="20"/>
                <w:lang w:val="en-US"/>
              </w:rPr>
            </w:pPr>
            <w:r w:rsidRPr="00B83E05">
              <w:rPr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uzul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comandantului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secundului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3E05" w:rsidRDefault="00B83E05" w:rsidP="0051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buc./zi/ pers.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3E05" w:rsidRDefault="00B83E05" w:rsidP="0051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buc./zi/pers.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3E05" w:rsidRDefault="00B83E05" w:rsidP="0051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l/zi/pers.</w:t>
            </w:r>
          </w:p>
        </w:tc>
      </w:tr>
      <w:tr w:rsidR="00B83E05" w:rsidTr="00511C1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3E05" w:rsidRPr="00B83E05" w:rsidRDefault="00B83E05" w:rsidP="00511C12">
            <w:pPr>
              <w:rPr>
                <w:sz w:val="20"/>
                <w:szCs w:val="20"/>
                <w:lang w:val="en-US"/>
              </w:rPr>
            </w:pPr>
            <w:r w:rsidRPr="00B83E05">
              <w:rPr>
                <w:sz w:val="20"/>
                <w:szCs w:val="20"/>
                <w:lang w:val="en-US"/>
              </w:rPr>
              <w:t xml:space="preserve">b)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uzul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echipajului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pasagerilor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3E05" w:rsidRDefault="00B83E05" w:rsidP="0051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buc./zi/ pers.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3E05" w:rsidRDefault="00B83E05" w:rsidP="0051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buc./zi/pers.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3E05" w:rsidRDefault="00B83E05" w:rsidP="0051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l/zi/pers.</w:t>
            </w:r>
          </w:p>
        </w:tc>
      </w:tr>
      <w:tr w:rsidR="00B83E05" w:rsidRPr="00B83E05" w:rsidTr="00511C12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83E05" w:rsidRPr="00B83E05" w:rsidRDefault="00B83E05" w:rsidP="00511C12">
            <w:pPr>
              <w:rPr>
                <w:sz w:val="20"/>
                <w:szCs w:val="20"/>
                <w:lang w:val="en-US"/>
              </w:rPr>
            </w:pPr>
            <w:r w:rsidRPr="00B83E05">
              <w:rPr>
                <w:sz w:val="20"/>
                <w:szCs w:val="20"/>
                <w:lang w:val="en-US"/>
              </w:rPr>
              <w:t> </w:t>
            </w:r>
          </w:p>
          <w:p w:rsidR="00B83E05" w:rsidRPr="00B83E05" w:rsidRDefault="00B83E05" w:rsidP="00511C12">
            <w:pPr>
              <w:pStyle w:val="NormalWeb"/>
              <w:rPr>
                <w:sz w:val="20"/>
                <w:szCs w:val="20"/>
                <w:lang w:val="en-US"/>
              </w:rPr>
            </w:pPr>
            <w:proofErr w:type="spellStart"/>
            <w:r w:rsidRPr="00B83E05">
              <w:rPr>
                <w:sz w:val="20"/>
                <w:szCs w:val="20"/>
                <w:lang w:val="en-US"/>
              </w:rPr>
              <w:t>Cantităţile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produse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sus-menţionate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lasă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nesigilate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efectuarea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controlului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vamal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sosire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navei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raport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durata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staţionării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port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declarată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comandant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dar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perioadă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nu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mai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mare de 15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zile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Dacă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durata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staţionare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este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mai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mare de 15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zile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cantităţile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respective de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produse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vor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scoase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de sub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sigiliul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vamal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cererea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comandantului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agentului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navei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. </w:t>
            </w:r>
          </w:p>
          <w:p w:rsidR="00B83E05" w:rsidRPr="00B83E05" w:rsidRDefault="00B83E05" w:rsidP="00511C12">
            <w:pPr>
              <w:pStyle w:val="NormalWeb"/>
              <w:rPr>
                <w:sz w:val="20"/>
                <w:szCs w:val="20"/>
                <w:lang w:val="en-US"/>
              </w:rPr>
            </w:pPr>
            <w:proofErr w:type="spellStart"/>
            <w:r w:rsidRPr="00B83E05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cazuri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deosebite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ca: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sărbători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naţionale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acţiuni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protocolare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etc.,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şeful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vămii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poate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aproba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lăsarea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dispoziţia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comandantului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secundului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cantităţilor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suplimentare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produsele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menţionate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corespunzătoare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acţiunii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condiţia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să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fie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consumate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bord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. </w:t>
            </w:r>
          </w:p>
          <w:p w:rsidR="00B83E05" w:rsidRPr="00B83E05" w:rsidRDefault="00B83E05" w:rsidP="00511C12">
            <w:pPr>
              <w:pStyle w:val="NormalWeb"/>
              <w:rPr>
                <w:sz w:val="20"/>
                <w:szCs w:val="20"/>
                <w:lang w:val="en-US"/>
              </w:rPr>
            </w:pPr>
            <w:proofErr w:type="spellStart"/>
            <w:r w:rsidRPr="00B83E05">
              <w:rPr>
                <w:sz w:val="20"/>
                <w:szCs w:val="20"/>
                <w:lang w:val="en-US"/>
              </w:rPr>
              <w:t>Produsele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lăsate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dispoziţia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comandantului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echipajului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călătorilor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vor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indicate de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fiecare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dată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pe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declaraţia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proviziilor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bord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cadrul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fiecărei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E05">
              <w:rPr>
                <w:sz w:val="20"/>
                <w:szCs w:val="20"/>
                <w:lang w:val="en-US"/>
              </w:rPr>
              <w:t>operaţiuni</w:t>
            </w:r>
            <w:proofErr w:type="spellEnd"/>
            <w:r w:rsidRPr="00B83E05">
              <w:rPr>
                <w:sz w:val="20"/>
                <w:szCs w:val="20"/>
                <w:lang w:val="en-US"/>
              </w:rPr>
              <w:t xml:space="preserve">. </w:t>
            </w:r>
          </w:p>
        </w:tc>
      </w:tr>
    </w:tbl>
    <w:p w:rsidR="00F01ACD" w:rsidRPr="00B83E05" w:rsidRDefault="00F01ACD" w:rsidP="00B83E05">
      <w:pPr>
        <w:rPr>
          <w:lang w:val="en-US"/>
        </w:rPr>
      </w:pPr>
    </w:p>
    <w:sectPr w:rsidR="00F01ACD" w:rsidRPr="00B83E05" w:rsidSect="00B83E0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3E05"/>
    <w:rsid w:val="00B83E05"/>
    <w:rsid w:val="00F0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B83E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83E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B83E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B83E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2014-04-23T12:14:00Z</dcterms:created>
  <dcterms:modified xsi:type="dcterms:W3CDTF">2014-04-23T12:15:00Z</dcterms:modified>
</cp:coreProperties>
</file>