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DA" w:rsidRPr="003A38D3" w:rsidRDefault="00D75CDA" w:rsidP="00D75CDA">
      <w:pPr>
        <w:ind w:left="5664"/>
        <w:rPr>
          <w:noProof/>
        </w:rPr>
      </w:pPr>
      <w:r w:rsidRPr="003A38D3">
        <w:rPr>
          <w:noProof/>
        </w:rPr>
        <w:t>Anexa nr. 4</w:t>
      </w:r>
    </w:p>
    <w:p w:rsidR="00D75CDA" w:rsidRPr="003A38D3" w:rsidRDefault="00D75CDA" w:rsidP="00D75CDA">
      <w:pPr>
        <w:ind w:left="5664"/>
        <w:rPr>
          <w:noProof/>
        </w:rPr>
      </w:pPr>
      <w:smartTag w:uri="urn:schemas-microsoft-com:office:smarttags" w:element="PersonName">
        <w:smartTagPr>
          <w:attr w:name="ProductID" w:val="la Norma"/>
        </w:smartTagPr>
        <w:r w:rsidRPr="003A38D3">
          <w:rPr>
            <w:noProof/>
          </w:rPr>
          <w:t>la Norma</w:t>
        </w:r>
      </w:smartTag>
      <w:r w:rsidRPr="003A38D3">
        <w:rPr>
          <w:noProof/>
        </w:rPr>
        <w:t xml:space="preserve"> privind producerea, controlul, </w:t>
      </w:r>
    </w:p>
    <w:p w:rsidR="00D75CDA" w:rsidRPr="003A38D3" w:rsidRDefault="00D75CDA" w:rsidP="00D75CDA">
      <w:pPr>
        <w:ind w:left="5664"/>
        <w:rPr>
          <w:noProof/>
        </w:rPr>
      </w:pPr>
      <w:r w:rsidRPr="003A38D3">
        <w:rPr>
          <w:noProof/>
        </w:rPr>
        <w:t>certificarea şi comercializarea materialului</w:t>
      </w:r>
    </w:p>
    <w:p w:rsidR="00D75CDA" w:rsidRPr="003A38D3" w:rsidRDefault="00D75CDA" w:rsidP="00D75CDA">
      <w:pPr>
        <w:ind w:left="5664"/>
        <w:rPr>
          <w:noProof/>
        </w:rPr>
      </w:pPr>
      <w:r w:rsidRPr="003A38D3">
        <w:rPr>
          <w:noProof/>
        </w:rPr>
        <w:t>de înmulţire şi de plantare fructifer</w:t>
      </w:r>
    </w:p>
    <w:p w:rsidR="00D75CDA" w:rsidRPr="006B72DF" w:rsidRDefault="00D75CDA" w:rsidP="00D75CDA">
      <w:pPr>
        <w:jc w:val="center"/>
        <w:rPr>
          <w:sz w:val="28"/>
          <w:szCs w:val="28"/>
        </w:rPr>
      </w:pPr>
    </w:p>
    <w:p w:rsidR="00D75CDA" w:rsidRDefault="00D75CDA" w:rsidP="00D75CDA">
      <w:pPr>
        <w:jc w:val="center"/>
        <w:rPr>
          <w:b/>
          <w:sz w:val="28"/>
          <w:szCs w:val="28"/>
        </w:rPr>
      </w:pPr>
      <w:r w:rsidRPr="006B72DF">
        <w:rPr>
          <w:b/>
          <w:sz w:val="28"/>
          <w:szCs w:val="28"/>
        </w:rPr>
        <w:t xml:space="preserve">METODE </w:t>
      </w:r>
    </w:p>
    <w:p w:rsidR="00D75CDA" w:rsidRDefault="00D75CDA" w:rsidP="00D75CDA">
      <w:pPr>
        <w:jc w:val="center"/>
        <w:rPr>
          <w:b/>
          <w:sz w:val="28"/>
          <w:szCs w:val="28"/>
        </w:rPr>
      </w:pPr>
      <w:r w:rsidRPr="006B72DF">
        <w:rPr>
          <w:b/>
          <w:sz w:val="28"/>
          <w:szCs w:val="28"/>
        </w:rPr>
        <w:t xml:space="preserve">de testare a </w:t>
      </w:r>
      <w:r>
        <w:rPr>
          <w:b/>
          <w:sz w:val="28"/>
          <w:szCs w:val="28"/>
        </w:rPr>
        <w:t xml:space="preserve">materialului de înmulţire şi de plantare </w:t>
      </w:r>
      <w:r w:rsidRPr="006B72DF">
        <w:rPr>
          <w:b/>
          <w:sz w:val="28"/>
          <w:szCs w:val="28"/>
        </w:rPr>
        <w:t xml:space="preserve">fructifer, </w:t>
      </w:r>
    </w:p>
    <w:p w:rsidR="00D75CDA" w:rsidRPr="006B72DF" w:rsidRDefault="00D75CDA" w:rsidP="00D75CDA">
      <w:pPr>
        <w:jc w:val="center"/>
        <w:rPr>
          <w:b/>
          <w:sz w:val="28"/>
          <w:szCs w:val="28"/>
        </w:rPr>
      </w:pPr>
      <w:r w:rsidRPr="006B72DF">
        <w:rPr>
          <w:b/>
          <w:sz w:val="28"/>
          <w:szCs w:val="28"/>
        </w:rPr>
        <w:t>de analiză a solului şi măsuri de prevenire a reinfectării</w:t>
      </w:r>
    </w:p>
    <w:p w:rsidR="00D75CDA" w:rsidRPr="006B72DF" w:rsidRDefault="00D75CDA" w:rsidP="00D75CDA">
      <w:pPr>
        <w:jc w:val="center"/>
        <w:rPr>
          <w:b/>
          <w:sz w:val="28"/>
          <w:szCs w:val="28"/>
        </w:rPr>
      </w:pPr>
    </w:p>
    <w:p w:rsidR="00D75CDA" w:rsidRPr="00DD2F5B" w:rsidRDefault="00D75CDA" w:rsidP="00D75CDA">
      <w:pPr>
        <w:ind w:firstLine="708"/>
        <w:jc w:val="both"/>
        <w:rPr>
          <w:bCs/>
          <w:sz w:val="28"/>
          <w:szCs w:val="28"/>
        </w:rPr>
      </w:pPr>
      <w:r w:rsidRPr="00DD2F5B">
        <w:rPr>
          <w:bCs/>
          <w:sz w:val="28"/>
          <w:szCs w:val="28"/>
        </w:rPr>
        <w:t xml:space="preserve">Testarea </w:t>
      </w:r>
      <w:r w:rsidRPr="00DD2F5B">
        <w:rPr>
          <w:noProof/>
          <w:sz w:val="28"/>
          <w:szCs w:val="28"/>
        </w:rPr>
        <w:t>materialului</w:t>
      </w:r>
      <w:r>
        <w:rPr>
          <w:noProof/>
          <w:sz w:val="28"/>
          <w:szCs w:val="28"/>
        </w:rPr>
        <w:t xml:space="preserve"> </w:t>
      </w:r>
      <w:r w:rsidRPr="00DD2F5B">
        <w:rPr>
          <w:noProof/>
          <w:sz w:val="28"/>
          <w:szCs w:val="28"/>
        </w:rPr>
        <w:t>de înmulţire şi de plantare fructifer</w:t>
      </w:r>
      <w:r w:rsidRPr="00DD2F5B">
        <w:rPr>
          <w:bCs/>
          <w:sz w:val="28"/>
          <w:szCs w:val="28"/>
        </w:rPr>
        <w:t xml:space="preserve"> la prezenţa virozelor.</w:t>
      </w:r>
    </w:p>
    <w:p w:rsidR="00D75CDA" w:rsidRPr="006B72DF" w:rsidRDefault="00D75CDA" w:rsidP="00D75CDA">
      <w:pPr>
        <w:ind w:firstLine="708"/>
        <w:jc w:val="both"/>
        <w:rPr>
          <w:sz w:val="28"/>
          <w:szCs w:val="28"/>
        </w:rPr>
      </w:pPr>
      <w:r w:rsidRPr="00DD2F5B">
        <w:rPr>
          <w:sz w:val="28"/>
          <w:szCs w:val="28"/>
        </w:rPr>
        <w:t>Schema de certificare a materialului</w:t>
      </w:r>
      <w:r w:rsidRPr="006B72DF">
        <w:rPr>
          <w:sz w:val="28"/>
          <w:szCs w:val="28"/>
        </w:rPr>
        <w:t xml:space="preserve"> de plantare sănătos prevede următoarele metode de testare:</w:t>
      </w:r>
    </w:p>
    <w:p w:rsidR="00D75CDA" w:rsidRPr="006B72DF" w:rsidRDefault="00D75CDA" w:rsidP="00D75CDA">
      <w:pPr>
        <w:ind w:firstLine="720"/>
        <w:jc w:val="both"/>
        <w:rPr>
          <w:sz w:val="28"/>
          <w:szCs w:val="28"/>
        </w:rPr>
      </w:pPr>
      <w:r w:rsidRPr="006B72DF">
        <w:rPr>
          <w:sz w:val="28"/>
          <w:szCs w:val="28"/>
        </w:rPr>
        <w:t>de laborator;</w:t>
      </w:r>
    </w:p>
    <w:p w:rsidR="00D75CDA" w:rsidRPr="006B72DF" w:rsidRDefault="00D75CDA" w:rsidP="00D75CDA">
      <w:pPr>
        <w:ind w:firstLine="720"/>
        <w:jc w:val="both"/>
        <w:rPr>
          <w:sz w:val="28"/>
          <w:szCs w:val="28"/>
        </w:rPr>
      </w:pPr>
      <w:r w:rsidRPr="006B72DF">
        <w:rPr>
          <w:sz w:val="28"/>
          <w:szCs w:val="28"/>
        </w:rPr>
        <w:t>de seră;</w:t>
      </w:r>
    </w:p>
    <w:p w:rsidR="00D75CDA" w:rsidRPr="006B72DF" w:rsidRDefault="00D75CDA" w:rsidP="00D75CDA">
      <w:pPr>
        <w:ind w:firstLine="720"/>
        <w:jc w:val="both"/>
        <w:rPr>
          <w:sz w:val="28"/>
          <w:szCs w:val="28"/>
        </w:rPr>
      </w:pPr>
      <w:r w:rsidRPr="006B72DF">
        <w:rPr>
          <w:sz w:val="28"/>
          <w:szCs w:val="28"/>
        </w:rPr>
        <w:t>de cîmp.</w:t>
      </w:r>
    </w:p>
    <w:p w:rsidR="00D75CDA" w:rsidRPr="006B72DF" w:rsidRDefault="00D75CDA" w:rsidP="00D75CDA">
      <w:pPr>
        <w:ind w:left="1068" w:firstLine="360"/>
        <w:jc w:val="both"/>
        <w:rPr>
          <w:sz w:val="28"/>
          <w:szCs w:val="28"/>
        </w:rPr>
      </w:pPr>
    </w:p>
    <w:p w:rsidR="00D75CDA" w:rsidRPr="006B72DF" w:rsidRDefault="00D75CDA" w:rsidP="00D75CDA">
      <w:pPr>
        <w:ind w:firstLine="708"/>
        <w:jc w:val="both"/>
        <w:rPr>
          <w:b/>
          <w:bCs/>
          <w:sz w:val="28"/>
          <w:szCs w:val="28"/>
        </w:rPr>
      </w:pPr>
      <w:r w:rsidRPr="006B72DF">
        <w:rPr>
          <w:sz w:val="28"/>
          <w:szCs w:val="28"/>
        </w:rPr>
        <w:t>1.1.</w:t>
      </w:r>
      <w:r w:rsidRPr="006B72DF">
        <w:rPr>
          <w:b/>
          <w:bCs/>
          <w:sz w:val="28"/>
          <w:szCs w:val="28"/>
        </w:rPr>
        <w:t xml:space="preserve"> </w:t>
      </w:r>
      <w:r w:rsidRPr="006B72DF">
        <w:rPr>
          <w:sz w:val="28"/>
          <w:szCs w:val="28"/>
        </w:rPr>
        <w:t>Metodele de testare de laborator.</w:t>
      </w:r>
    </w:p>
    <w:p w:rsidR="00D75CDA" w:rsidRPr="006B72DF" w:rsidRDefault="00D75CDA" w:rsidP="00D75CDA">
      <w:pPr>
        <w:ind w:firstLine="708"/>
        <w:jc w:val="both"/>
        <w:rPr>
          <w:sz w:val="28"/>
          <w:szCs w:val="28"/>
        </w:rPr>
      </w:pPr>
      <w:r w:rsidRPr="006B72DF">
        <w:rPr>
          <w:sz w:val="28"/>
          <w:szCs w:val="28"/>
        </w:rPr>
        <w:t>Metodele de testare de laborator includ:</w:t>
      </w:r>
    </w:p>
    <w:p w:rsidR="00D75CDA" w:rsidRPr="006B72DF" w:rsidRDefault="00D75CDA" w:rsidP="00D75CDA">
      <w:pPr>
        <w:ind w:firstLine="708"/>
        <w:jc w:val="both"/>
        <w:rPr>
          <w:sz w:val="28"/>
          <w:szCs w:val="28"/>
        </w:rPr>
      </w:pPr>
      <w:r w:rsidRPr="006B72DF">
        <w:rPr>
          <w:sz w:val="28"/>
          <w:szCs w:val="28"/>
        </w:rPr>
        <w:t xml:space="preserve">metode imunologice moderne ale analizei imunoenzimatice (ELISA) şi </w:t>
      </w:r>
      <w:r>
        <w:rPr>
          <w:sz w:val="28"/>
          <w:szCs w:val="28"/>
        </w:rPr>
        <w:t>m</w:t>
      </w:r>
      <w:r w:rsidRPr="006B72DF">
        <w:rPr>
          <w:sz w:val="28"/>
          <w:szCs w:val="28"/>
        </w:rPr>
        <w:t>icroscopiei imunoelectronice (MIE);</w:t>
      </w:r>
    </w:p>
    <w:p w:rsidR="00D75CDA" w:rsidRPr="006B72DF" w:rsidRDefault="00D75CDA" w:rsidP="00D75CDA">
      <w:pPr>
        <w:ind w:firstLine="708"/>
        <w:jc w:val="both"/>
        <w:rPr>
          <w:sz w:val="28"/>
          <w:szCs w:val="28"/>
        </w:rPr>
      </w:pPr>
      <w:r w:rsidRPr="006B72DF">
        <w:rPr>
          <w:sz w:val="28"/>
          <w:szCs w:val="28"/>
        </w:rPr>
        <w:t xml:space="preserve">metode moleculare genetice de depistare a virusurilor cu utilizarea reacţiei în lanţ a polimerazei (PCR). </w:t>
      </w:r>
    </w:p>
    <w:p w:rsidR="00D75CDA" w:rsidRPr="006B72DF" w:rsidRDefault="00D75CDA" w:rsidP="00D75CDA">
      <w:pPr>
        <w:ind w:firstLine="708"/>
        <w:jc w:val="both"/>
        <w:rPr>
          <w:sz w:val="28"/>
          <w:szCs w:val="28"/>
        </w:rPr>
      </w:pPr>
      <w:r w:rsidRPr="006B72DF">
        <w:rPr>
          <w:sz w:val="28"/>
          <w:szCs w:val="28"/>
        </w:rPr>
        <w:t>Metodele enumerate sînt utilizate la depistarea virusurilor mecanic-transmisibile ale culturilor fructifere, atît la obţinerea plantelor devirozate, cît şi la retestarea plantaţiilor-mamă pe parcursul exploatării.</w:t>
      </w:r>
    </w:p>
    <w:p w:rsidR="00D75CDA" w:rsidRPr="006B72DF" w:rsidRDefault="00D75CDA" w:rsidP="00D75CDA">
      <w:pPr>
        <w:ind w:firstLine="708"/>
        <w:jc w:val="both"/>
        <w:rPr>
          <w:sz w:val="28"/>
          <w:szCs w:val="28"/>
        </w:rPr>
      </w:pPr>
      <w:r w:rsidRPr="006B72DF">
        <w:rPr>
          <w:sz w:val="28"/>
          <w:szCs w:val="28"/>
        </w:rPr>
        <w:t>Maladiile provocate de fitoplasme sînt diagnosticate pe secţiuni semifine şi ultrafine cu cercetarea ulterioară prin metodele  microscopiei fluorescente şi electronice.</w:t>
      </w:r>
    </w:p>
    <w:p w:rsidR="00D75CDA" w:rsidRPr="006B72DF" w:rsidRDefault="00D75CDA" w:rsidP="00D75CDA">
      <w:pPr>
        <w:ind w:firstLine="708"/>
        <w:jc w:val="both"/>
        <w:rPr>
          <w:sz w:val="28"/>
          <w:szCs w:val="28"/>
        </w:rPr>
      </w:pPr>
      <w:r w:rsidRPr="006B72DF">
        <w:rPr>
          <w:sz w:val="28"/>
          <w:szCs w:val="28"/>
        </w:rPr>
        <w:t>Plantele iniţiale, selectate ca rezultat al testării prin metode de laborator la lipsa virusurilor mecanic-transmisibile se clasifică drept</w:t>
      </w:r>
      <w:r>
        <w:rPr>
          <w:sz w:val="28"/>
          <w:szCs w:val="28"/>
        </w:rPr>
        <w:t xml:space="preserve"> „</w:t>
      </w:r>
      <w:r w:rsidRPr="006B72DF">
        <w:rPr>
          <w:sz w:val="28"/>
          <w:szCs w:val="28"/>
        </w:rPr>
        <w:t>Testate la virusuri</w:t>
      </w:r>
      <w:r>
        <w:rPr>
          <w:sz w:val="28"/>
          <w:szCs w:val="28"/>
        </w:rPr>
        <w:t>”</w:t>
      </w:r>
      <w:r w:rsidRPr="006B72DF">
        <w:rPr>
          <w:sz w:val="28"/>
          <w:szCs w:val="28"/>
        </w:rPr>
        <w:t>.</w:t>
      </w:r>
    </w:p>
    <w:p w:rsidR="00D75CDA" w:rsidRPr="006B72DF" w:rsidRDefault="00D75CDA" w:rsidP="00D75CDA">
      <w:pPr>
        <w:ind w:left="1068" w:firstLine="360"/>
        <w:jc w:val="both"/>
        <w:rPr>
          <w:sz w:val="28"/>
          <w:szCs w:val="28"/>
        </w:rPr>
      </w:pPr>
    </w:p>
    <w:p w:rsidR="00D75CDA" w:rsidRPr="006B72DF" w:rsidRDefault="00D75CDA" w:rsidP="00D75CDA">
      <w:pPr>
        <w:ind w:firstLine="708"/>
        <w:jc w:val="both"/>
        <w:rPr>
          <w:sz w:val="28"/>
          <w:szCs w:val="28"/>
        </w:rPr>
      </w:pPr>
      <w:r w:rsidRPr="006B72DF">
        <w:rPr>
          <w:sz w:val="28"/>
          <w:szCs w:val="28"/>
        </w:rPr>
        <w:t>1.2. Metodele de testare de seră.</w:t>
      </w:r>
    </w:p>
    <w:p w:rsidR="00D75CDA" w:rsidRPr="006B72DF" w:rsidRDefault="00D75CDA" w:rsidP="00D75CDA">
      <w:pPr>
        <w:ind w:firstLine="708"/>
        <w:jc w:val="both"/>
        <w:rPr>
          <w:sz w:val="28"/>
          <w:szCs w:val="28"/>
        </w:rPr>
      </w:pPr>
      <w:r w:rsidRPr="006B72DF">
        <w:rPr>
          <w:sz w:val="28"/>
          <w:szCs w:val="28"/>
        </w:rPr>
        <w:t>Metodele de testare de seră prevăd verificarea probelor de culturi fructifere la prezenţa virozelor şi bolilor similare lor cu utilizarea plantelor indicatoare anuale, bienale şi perene (specificate la pct. 4 al prezentei anexe).</w:t>
      </w:r>
    </w:p>
    <w:p w:rsidR="00D75CDA" w:rsidRPr="006B72DF" w:rsidRDefault="00D75CDA" w:rsidP="00D75CDA">
      <w:pPr>
        <w:ind w:firstLine="708"/>
        <w:jc w:val="both"/>
        <w:rPr>
          <w:sz w:val="28"/>
          <w:szCs w:val="28"/>
        </w:rPr>
      </w:pPr>
      <w:r w:rsidRPr="006B72DF">
        <w:rPr>
          <w:sz w:val="28"/>
          <w:szCs w:val="28"/>
        </w:rPr>
        <w:t>Testarea cu infectarea plantelor-indicatoare ierbacee de un an se efectuează prin mărunţirea definitivă a frunzelor acestora cu extractul mugurilor îmbobociţi, a ţesuturilor petalelor, a frunzelor sau a  lăstarilor în creştere ai probelor cercetate. Rezultatele</w:t>
      </w:r>
      <w:r>
        <w:rPr>
          <w:sz w:val="28"/>
          <w:szCs w:val="28"/>
        </w:rPr>
        <w:t xml:space="preserve"> obţinute în baza</w:t>
      </w:r>
      <w:r w:rsidRPr="006B72DF">
        <w:rPr>
          <w:sz w:val="28"/>
          <w:szCs w:val="28"/>
        </w:rPr>
        <w:t xml:space="preserve"> observaţiil</w:t>
      </w:r>
      <w:r>
        <w:rPr>
          <w:sz w:val="28"/>
          <w:szCs w:val="28"/>
        </w:rPr>
        <w:t>or</w:t>
      </w:r>
      <w:r w:rsidRPr="006B72DF">
        <w:rPr>
          <w:sz w:val="28"/>
          <w:szCs w:val="28"/>
        </w:rPr>
        <w:t xml:space="preserve"> şi test</w:t>
      </w:r>
      <w:r>
        <w:rPr>
          <w:sz w:val="28"/>
          <w:szCs w:val="28"/>
        </w:rPr>
        <w:t>ării sînt</w:t>
      </w:r>
      <w:r w:rsidRPr="006B72DF">
        <w:rPr>
          <w:sz w:val="28"/>
          <w:szCs w:val="28"/>
        </w:rPr>
        <w:t xml:space="preserve"> </w:t>
      </w:r>
      <w:r>
        <w:rPr>
          <w:sz w:val="28"/>
          <w:szCs w:val="28"/>
        </w:rPr>
        <w:t xml:space="preserve">conforme în </w:t>
      </w:r>
      <w:r w:rsidRPr="006B72DF">
        <w:rPr>
          <w:sz w:val="28"/>
          <w:szCs w:val="28"/>
        </w:rPr>
        <w:t>a 7-a şi a 24-a zi de la infectare.</w:t>
      </w:r>
    </w:p>
    <w:p w:rsidR="00D75CDA" w:rsidRPr="006B72DF" w:rsidRDefault="00D75CDA" w:rsidP="00D75CDA">
      <w:pPr>
        <w:ind w:firstLine="708"/>
        <w:jc w:val="both"/>
        <w:rPr>
          <w:sz w:val="28"/>
          <w:szCs w:val="28"/>
        </w:rPr>
      </w:pPr>
      <w:r w:rsidRPr="006B72DF">
        <w:rPr>
          <w:sz w:val="28"/>
          <w:szCs w:val="28"/>
        </w:rPr>
        <w:t xml:space="preserve">Testarea prin utilizarea puieţilor de piersic este utilizată la obţinerea clonelor devirozate ale culturilor sîmburoase. Pentru aceasta, pe puieţii sănătoşi ai soiurilor culturale de piersic (soiul Elberta sau GF-305), crescuţi în condiţii de seră în </w:t>
      </w:r>
      <w:r w:rsidRPr="006B72DF">
        <w:rPr>
          <w:sz w:val="28"/>
          <w:szCs w:val="28"/>
        </w:rPr>
        <w:lastRenderedPageBreak/>
        <w:t>ghiveciuri, la vîrsta de 60 de zile se altoiesc 2-3 muguri sau porţiuni de scoarţă ale mostrei cercetate. Vîrfurile puieţilor se înlătură. Se altoiesc cîte 3 puieţi pentru fiecare mostră. Rezultatele, observaţiile şi testarea se aplică după 3-4 luni de la infectare.</w:t>
      </w:r>
    </w:p>
    <w:p w:rsidR="00D75CDA" w:rsidRPr="006B72DF" w:rsidRDefault="00D75CDA" w:rsidP="00D75CDA">
      <w:pPr>
        <w:ind w:firstLine="708"/>
        <w:jc w:val="both"/>
        <w:rPr>
          <w:sz w:val="28"/>
          <w:szCs w:val="28"/>
        </w:rPr>
      </w:pPr>
      <w:r w:rsidRPr="006B72DF">
        <w:rPr>
          <w:sz w:val="28"/>
          <w:szCs w:val="28"/>
        </w:rPr>
        <w:t xml:space="preserve">Testarea culturilor bacifere se efectuează în baza soiurilor </w:t>
      </w:r>
      <w:r>
        <w:rPr>
          <w:sz w:val="28"/>
          <w:szCs w:val="28"/>
        </w:rPr>
        <w:t>–</w:t>
      </w:r>
      <w:r w:rsidRPr="006B72DF">
        <w:rPr>
          <w:sz w:val="28"/>
          <w:szCs w:val="28"/>
        </w:rPr>
        <w:t xml:space="preserve"> indicatoare ale acestor culturi. Pentru aceasta, de pe lăstarul indicatorului se separă scoarţa cu dimensiunile 2 x </w:t>
      </w:r>
      <w:smartTag w:uri="urn:schemas-microsoft-com:office:smarttags" w:element="metricconverter">
        <w:smartTagPr>
          <w:attr w:name="ProductID" w:val="20 mm"/>
        </w:smartTagPr>
        <w:r w:rsidRPr="006B72DF">
          <w:rPr>
            <w:sz w:val="28"/>
            <w:szCs w:val="28"/>
          </w:rPr>
          <w:t>20 mm</w:t>
        </w:r>
      </w:smartTag>
      <w:r w:rsidRPr="006B72DF">
        <w:rPr>
          <w:sz w:val="28"/>
          <w:szCs w:val="28"/>
        </w:rPr>
        <w:t xml:space="preserve">. În acest loc se aplică lăstarul soiului cercetat cu scoarţa separată de dimensiuni identice şi se bandajează strîns cu peliculă. Partea posterioară a lăstarului soiului cercetat se plasează în eprubete  cu apă. Rezultatele, observaţiile şi testarea se aplică la a 30-45-a zi de la infectare. </w:t>
      </w:r>
    </w:p>
    <w:p w:rsidR="00D75CDA" w:rsidRPr="006B72DF" w:rsidRDefault="00D75CDA" w:rsidP="00D75CDA">
      <w:pPr>
        <w:ind w:firstLine="708"/>
        <w:jc w:val="both"/>
        <w:rPr>
          <w:sz w:val="28"/>
          <w:szCs w:val="28"/>
        </w:rPr>
      </w:pPr>
      <w:r w:rsidRPr="006B72DF">
        <w:rPr>
          <w:sz w:val="28"/>
          <w:szCs w:val="28"/>
        </w:rPr>
        <w:t xml:space="preserve">Soiurile care  nu  manifestă simptome de viroze la plantele-indicatori </w:t>
      </w:r>
      <w:r>
        <w:rPr>
          <w:sz w:val="28"/>
          <w:szCs w:val="28"/>
        </w:rPr>
        <w:t>sînt</w:t>
      </w:r>
      <w:r w:rsidRPr="006B72DF">
        <w:rPr>
          <w:sz w:val="28"/>
          <w:szCs w:val="28"/>
        </w:rPr>
        <w:t xml:space="preserve"> clasificate ca  </w:t>
      </w:r>
      <w:r>
        <w:rPr>
          <w:sz w:val="28"/>
          <w:szCs w:val="28"/>
        </w:rPr>
        <w:t>„Libere de  virusuri”</w:t>
      </w:r>
      <w:r w:rsidRPr="006B72DF">
        <w:rPr>
          <w:sz w:val="28"/>
          <w:szCs w:val="28"/>
        </w:rPr>
        <w:t xml:space="preserve">. </w:t>
      </w:r>
    </w:p>
    <w:p w:rsidR="00D75CDA" w:rsidRPr="006B72DF" w:rsidRDefault="00D75CDA" w:rsidP="00D75CDA">
      <w:pPr>
        <w:ind w:firstLine="708"/>
        <w:jc w:val="both"/>
        <w:rPr>
          <w:sz w:val="28"/>
          <w:szCs w:val="28"/>
        </w:rPr>
      </w:pPr>
      <w:r w:rsidRPr="006B72DF">
        <w:rPr>
          <w:sz w:val="28"/>
          <w:szCs w:val="28"/>
        </w:rPr>
        <w:t xml:space="preserve">Testarea căpşunului se efectuează pe clone diferite de </w:t>
      </w:r>
      <w:r w:rsidRPr="006B72DF">
        <w:rPr>
          <w:i/>
          <w:iCs/>
          <w:sz w:val="28"/>
          <w:szCs w:val="28"/>
        </w:rPr>
        <w:t>Fragaria vesca</w:t>
      </w:r>
      <w:r w:rsidRPr="006B72DF">
        <w:rPr>
          <w:sz w:val="28"/>
          <w:szCs w:val="28"/>
        </w:rPr>
        <w:t>  şi pe soiurile de căpşun specificate în pct. 4 la prezenta anexă. Indexarea  se efectuează prin  altoirea porţiunii medii a frunzei soiului testat în locul porţiunii medii lichidate a frunzei plantei-indicator. Se utilizează cîte 3 indicatori pentru fiecare mostră. Evidenţa simptomelor se consemnează la 2-3 săptămîni după altoire. Plantele care, după altoire, nu manifestă simptome la indicato</w:t>
      </w:r>
      <w:r>
        <w:rPr>
          <w:sz w:val="28"/>
          <w:szCs w:val="28"/>
        </w:rPr>
        <w:t>r sînt clasificate ca „</w:t>
      </w:r>
      <w:r w:rsidRPr="006B72DF">
        <w:rPr>
          <w:sz w:val="28"/>
          <w:szCs w:val="28"/>
        </w:rPr>
        <w:t>Libere de virusuri</w:t>
      </w:r>
      <w:r>
        <w:rPr>
          <w:sz w:val="28"/>
          <w:szCs w:val="28"/>
        </w:rPr>
        <w:t>”</w:t>
      </w:r>
      <w:r w:rsidRPr="006B72DF">
        <w:rPr>
          <w:sz w:val="28"/>
          <w:szCs w:val="28"/>
        </w:rPr>
        <w:t xml:space="preserve">. </w:t>
      </w:r>
    </w:p>
    <w:p w:rsidR="00D75CDA" w:rsidRPr="006B72DF" w:rsidRDefault="00D75CDA" w:rsidP="00D75CDA">
      <w:pPr>
        <w:ind w:left="1068"/>
        <w:jc w:val="both"/>
        <w:rPr>
          <w:sz w:val="28"/>
          <w:szCs w:val="28"/>
        </w:rPr>
      </w:pPr>
    </w:p>
    <w:p w:rsidR="00D75CDA" w:rsidRPr="006B72DF" w:rsidRDefault="00D75CDA" w:rsidP="00D75CDA">
      <w:pPr>
        <w:ind w:firstLine="708"/>
        <w:jc w:val="both"/>
        <w:rPr>
          <w:sz w:val="28"/>
          <w:szCs w:val="28"/>
        </w:rPr>
      </w:pPr>
      <w:r w:rsidRPr="006B72DF">
        <w:rPr>
          <w:sz w:val="28"/>
          <w:szCs w:val="28"/>
        </w:rPr>
        <w:t>1.3. Testarea în cîmp</w:t>
      </w:r>
      <w:r>
        <w:rPr>
          <w:sz w:val="28"/>
          <w:szCs w:val="28"/>
        </w:rPr>
        <w:t>.</w:t>
      </w:r>
    </w:p>
    <w:p w:rsidR="00D75CDA" w:rsidRPr="006B72DF" w:rsidRDefault="00D75CDA" w:rsidP="00D75CDA">
      <w:pPr>
        <w:ind w:firstLine="708"/>
        <w:jc w:val="both"/>
        <w:rPr>
          <w:sz w:val="28"/>
          <w:szCs w:val="28"/>
        </w:rPr>
      </w:pPr>
      <w:r w:rsidRPr="006B72DF">
        <w:rPr>
          <w:sz w:val="28"/>
          <w:szCs w:val="28"/>
        </w:rPr>
        <w:t>Toate soiurile şi portaltoaiele culturilor fructifere care, în urma analizelor ELISA, MIE, PCR şi a testelor prin indicatorii ierbacei şi puieţii de piersic au manifestat rezultate negative, sînt supuse testării de bază. Aceasta se efectuează în pepiniera specială de testare prin metoda altoirii duble sau prin infectarea în masă a indicatorilor lemnoşi. În acest scop, pe planta-indicator de un an, altoită pe puieţi liberi de virusuri sau pe portaltoaie vegetative, se altoiesc cîte 4-6 muguri sau porţiuni de scoarţă ale probei cercetate. Fiecare probă este altoită pe 3 plante-indicator plus o plantă-indicator neinfectată. În cazul în care testarea este efectuată prin metoda altoirii duble pe puieţi liberi de viroze sau pe portaltoi clonal, la 5-</w:t>
      </w:r>
      <w:smartTag w:uri="urn:schemas-microsoft-com:office:smarttags" w:element="metricconverter">
        <w:smartTagPr>
          <w:attr w:name="ProductID" w:val="7 cm"/>
        </w:smartTagPr>
        <w:r w:rsidRPr="006B72DF">
          <w:rPr>
            <w:sz w:val="28"/>
            <w:szCs w:val="28"/>
          </w:rPr>
          <w:t>7 cm</w:t>
        </w:r>
      </w:smartTag>
      <w:r w:rsidRPr="006B72DF">
        <w:rPr>
          <w:sz w:val="28"/>
          <w:szCs w:val="28"/>
        </w:rPr>
        <w:t xml:space="preserve"> înălţime, se altoieşte mugurele indicatorului. Peste o săptămînă, mai jos de mugurele indicator, se altoieşte mugurele probei cercetate. Pentru fiecare probă se altoiesc 4-5 puieţi plus un puiet-indicator neinfectat în calitate de martor. </w:t>
      </w:r>
    </w:p>
    <w:p w:rsidR="00D75CDA" w:rsidRPr="006B72DF" w:rsidRDefault="00D75CDA" w:rsidP="00D75CDA">
      <w:pPr>
        <w:ind w:firstLine="708"/>
        <w:jc w:val="both"/>
        <w:rPr>
          <w:sz w:val="28"/>
          <w:szCs w:val="28"/>
        </w:rPr>
      </w:pPr>
      <w:r w:rsidRPr="006B72DF">
        <w:rPr>
          <w:sz w:val="28"/>
          <w:szCs w:val="28"/>
        </w:rPr>
        <w:t xml:space="preserve">Termenele testării </w:t>
      </w:r>
      <w:r>
        <w:rPr>
          <w:sz w:val="28"/>
          <w:szCs w:val="28"/>
        </w:rPr>
        <w:t>–</w:t>
      </w:r>
      <w:r w:rsidRPr="006B72DF">
        <w:rPr>
          <w:sz w:val="28"/>
          <w:szCs w:val="28"/>
        </w:rPr>
        <w:t xml:space="preserve"> de la 1,5 ani (depistarea simptomelor pe frunze) pînă la 2 recolte pentru indexarea la viroze şi boli similare care afectează fructele.</w:t>
      </w:r>
    </w:p>
    <w:p w:rsidR="00D75CDA" w:rsidRPr="006B72DF" w:rsidRDefault="00D75CDA" w:rsidP="00D75CDA">
      <w:pPr>
        <w:ind w:firstLine="708"/>
        <w:jc w:val="both"/>
        <w:rPr>
          <w:sz w:val="28"/>
          <w:szCs w:val="28"/>
        </w:rPr>
      </w:pPr>
      <w:r w:rsidRPr="006B72DF">
        <w:rPr>
          <w:sz w:val="28"/>
          <w:szCs w:val="28"/>
        </w:rPr>
        <w:t xml:space="preserve">La testul de bază se depistează toate virozele şi bolile similare cunoscute la culturile fructifere la momentul actual. Soiurile şi portaltoaiele care nu provoacă simptome la testarea de bază sînt calificate ca </w:t>
      </w:r>
      <w:r>
        <w:rPr>
          <w:sz w:val="28"/>
          <w:szCs w:val="28"/>
        </w:rPr>
        <w:t>„</w:t>
      </w:r>
      <w:r w:rsidRPr="006B72DF">
        <w:rPr>
          <w:sz w:val="28"/>
          <w:szCs w:val="28"/>
        </w:rPr>
        <w:t>Libere de virusuri</w:t>
      </w:r>
      <w:r>
        <w:rPr>
          <w:sz w:val="28"/>
          <w:szCs w:val="28"/>
        </w:rPr>
        <w:t>”</w:t>
      </w:r>
      <w:r w:rsidRPr="006B72DF">
        <w:rPr>
          <w:sz w:val="28"/>
          <w:szCs w:val="28"/>
        </w:rPr>
        <w:t xml:space="preserve">. </w:t>
      </w:r>
    </w:p>
    <w:p w:rsidR="00D75CDA" w:rsidRPr="006B72DF" w:rsidRDefault="00D75CDA" w:rsidP="00D75CDA">
      <w:pPr>
        <w:ind w:firstLine="708"/>
        <w:jc w:val="both"/>
        <w:rPr>
          <w:sz w:val="28"/>
          <w:szCs w:val="28"/>
        </w:rPr>
      </w:pPr>
      <w:r w:rsidRPr="006B72DF">
        <w:rPr>
          <w:sz w:val="28"/>
          <w:szCs w:val="28"/>
        </w:rPr>
        <w:t>Lista indicatorilor lemnoşi şi a virozelor şi bolilor similare lor depistate sînt specificate la pct. 4 al prezentei anexe.</w:t>
      </w:r>
    </w:p>
    <w:p w:rsidR="00D75CDA" w:rsidRPr="006B72DF" w:rsidRDefault="00D75CDA" w:rsidP="00D75CDA">
      <w:pPr>
        <w:ind w:left="1068"/>
        <w:jc w:val="both"/>
        <w:rPr>
          <w:sz w:val="28"/>
          <w:szCs w:val="28"/>
        </w:rPr>
      </w:pPr>
    </w:p>
    <w:p w:rsidR="00D75CDA" w:rsidRPr="006B72DF" w:rsidRDefault="00D75CDA" w:rsidP="00D75CDA">
      <w:pPr>
        <w:ind w:firstLine="708"/>
        <w:jc w:val="both"/>
        <w:rPr>
          <w:bCs/>
          <w:sz w:val="28"/>
          <w:szCs w:val="28"/>
        </w:rPr>
      </w:pPr>
      <w:r w:rsidRPr="006B72DF">
        <w:rPr>
          <w:bCs/>
          <w:sz w:val="28"/>
          <w:szCs w:val="28"/>
        </w:rPr>
        <w:t>2. Testarea solului la prezenţa nematozilor – vectori ai virusurilor.</w:t>
      </w:r>
    </w:p>
    <w:p w:rsidR="00D75CDA" w:rsidRPr="006B72DF" w:rsidRDefault="00D75CDA" w:rsidP="00D75CDA">
      <w:pPr>
        <w:ind w:firstLine="708"/>
        <w:jc w:val="both"/>
        <w:rPr>
          <w:sz w:val="28"/>
          <w:szCs w:val="28"/>
        </w:rPr>
      </w:pPr>
      <w:r w:rsidRPr="006B72DF">
        <w:rPr>
          <w:sz w:val="28"/>
          <w:szCs w:val="28"/>
        </w:rPr>
        <w:t xml:space="preserve">Analiza solului la prezenţa nematozilor-vectori ai virusurilor se efectuează primăvara sau toamna pe loturile destinate înfiinţării plantaţiilor-mamă ale culturilor sîmburoase, bacifere, căpşunului, precum şi pe loturile destinate creşterii </w:t>
      </w:r>
      <w:r w:rsidRPr="006B72DF">
        <w:rPr>
          <w:sz w:val="28"/>
          <w:szCs w:val="28"/>
        </w:rPr>
        <w:lastRenderedPageBreak/>
        <w:t>puieţilor şi pomilor altoiţi de culturi s</w:t>
      </w:r>
      <w:r>
        <w:rPr>
          <w:sz w:val="28"/>
          <w:szCs w:val="28"/>
        </w:rPr>
        <w:t>î</w:t>
      </w:r>
      <w:r w:rsidRPr="006B72DF">
        <w:rPr>
          <w:sz w:val="28"/>
          <w:szCs w:val="28"/>
        </w:rPr>
        <w:t xml:space="preserve">mburoase, materialului de categorie biologică </w:t>
      </w:r>
      <w:r>
        <w:rPr>
          <w:sz w:val="28"/>
          <w:szCs w:val="28"/>
        </w:rPr>
        <w:t>„</w:t>
      </w:r>
      <w:r w:rsidRPr="006B72DF">
        <w:rPr>
          <w:sz w:val="28"/>
          <w:szCs w:val="28"/>
        </w:rPr>
        <w:t>Bază</w:t>
      </w:r>
      <w:r>
        <w:rPr>
          <w:sz w:val="28"/>
          <w:szCs w:val="28"/>
        </w:rPr>
        <w:t>”</w:t>
      </w:r>
      <w:r w:rsidRPr="006B72DF">
        <w:rPr>
          <w:sz w:val="28"/>
          <w:szCs w:val="28"/>
        </w:rPr>
        <w:t xml:space="preserve"> sau </w:t>
      </w:r>
      <w:r>
        <w:rPr>
          <w:sz w:val="28"/>
          <w:szCs w:val="28"/>
        </w:rPr>
        <w:t>„</w:t>
      </w:r>
      <w:r w:rsidRPr="006B72DF">
        <w:rPr>
          <w:sz w:val="28"/>
          <w:szCs w:val="28"/>
        </w:rPr>
        <w:t>Certificat</w:t>
      </w:r>
      <w:r>
        <w:rPr>
          <w:sz w:val="28"/>
          <w:szCs w:val="28"/>
        </w:rPr>
        <w:t>”</w:t>
      </w:r>
      <w:r w:rsidRPr="006B72DF">
        <w:rPr>
          <w:sz w:val="28"/>
          <w:szCs w:val="28"/>
        </w:rPr>
        <w:t xml:space="preserve">. </w:t>
      </w:r>
    </w:p>
    <w:p w:rsidR="00D75CDA" w:rsidRPr="006B72DF" w:rsidRDefault="00D75CDA" w:rsidP="00D75CDA">
      <w:pPr>
        <w:ind w:firstLine="708"/>
        <w:jc w:val="both"/>
        <w:rPr>
          <w:sz w:val="28"/>
          <w:szCs w:val="28"/>
        </w:rPr>
      </w:pPr>
      <w:r w:rsidRPr="006B72DF">
        <w:rPr>
          <w:sz w:val="28"/>
          <w:szCs w:val="28"/>
        </w:rPr>
        <w:t>Prelevarea şi analiza probelor de sol se efectuează de către laboratoarele acreditate. Pentru 1ha se testează 5 probe de sol. Pentru aceasta, de pe fiecare hectar sînt prelevate 25 de probe, recoltate uniform de pe sectorul cercetat. Fiecare probă este colectată la ad</w:t>
      </w:r>
      <w:r>
        <w:rPr>
          <w:sz w:val="28"/>
          <w:szCs w:val="28"/>
        </w:rPr>
        <w:t>î</w:t>
      </w:r>
      <w:r w:rsidRPr="006B72DF">
        <w:rPr>
          <w:sz w:val="28"/>
          <w:szCs w:val="28"/>
        </w:rPr>
        <w:t>ncimile de 20, 40 şi 60</w:t>
      </w:r>
      <w:r>
        <w:rPr>
          <w:sz w:val="28"/>
          <w:szCs w:val="28"/>
        </w:rPr>
        <w:t xml:space="preserve"> </w:t>
      </w:r>
      <w:r w:rsidRPr="006B72DF">
        <w:rPr>
          <w:sz w:val="28"/>
          <w:szCs w:val="28"/>
        </w:rPr>
        <w:t xml:space="preserve">cm. Masa totală a probelor este de 400-500g. Ulterior, cele 5 probe se adună, formînd o probă comună. Fiecare probă este plasată într-o pungă de polietilenă, este etichetată, specificîndu-se furnizorul, amplasarea şi suprafaţa lotului. Probele se păstrează la rece şi se prezintă pentru analize în termen de 48 ore. Suprafaţa cercetată  include  şi zona de asigurare de </w:t>
      </w:r>
      <w:smartTag w:uri="urn:schemas-microsoft-com:office:smarttags" w:element="metricconverter">
        <w:smartTagPr>
          <w:attr w:name="ProductID" w:val="10 m"/>
        </w:smartTagPr>
        <w:r w:rsidRPr="006B72DF">
          <w:rPr>
            <w:sz w:val="28"/>
            <w:szCs w:val="28"/>
          </w:rPr>
          <w:t>10 m</w:t>
        </w:r>
      </w:smartTag>
      <w:r w:rsidRPr="006B72DF">
        <w:rPr>
          <w:sz w:val="28"/>
          <w:szCs w:val="28"/>
        </w:rPr>
        <w:t xml:space="preserve"> pe perimetru. </w:t>
      </w:r>
    </w:p>
    <w:p w:rsidR="00D75CDA" w:rsidRPr="006B72DF" w:rsidRDefault="00D75CDA" w:rsidP="00D75CDA">
      <w:pPr>
        <w:ind w:left="1068" w:firstLine="360"/>
        <w:jc w:val="both"/>
        <w:rPr>
          <w:sz w:val="28"/>
          <w:szCs w:val="28"/>
        </w:rPr>
      </w:pPr>
    </w:p>
    <w:p w:rsidR="00D75CDA" w:rsidRPr="006B72DF" w:rsidRDefault="00D75CDA" w:rsidP="00D75CDA">
      <w:pPr>
        <w:ind w:firstLine="708"/>
        <w:jc w:val="both"/>
        <w:rPr>
          <w:bCs/>
          <w:sz w:val="28"/>
          <w:szCs w:val="28"/>
        </w:rPr>
      </w:pPr>
      <w:r w:rsidRPr="006B72DF">
        <w:rPr>
          <w:bCs/>
          <w:sz w:val="28"/>
          <w:szCs w:val="28"/>
        </w:rPr>
        <w:t>3. Măsurile de prevenire a reinfectării.</w:t>
      </w:r>
    </w:p>
    <w:p w:rsidR="00D75CDA" w:rsidRPr="006B72DF" w:rsidRDefault="00D75CDA" w:rsidP="00D75CDA">
      <w:pPr>
        <w:ind w:firstLine="708"/>
        <w:jc w:val="both"/>
        <w:rPr>
          <w:sz w:val="28"/>
          <w:szCs w:val="28"/>
        </w:rPr>
      </w:pPr>
      <w:r w:rsidRPr="006B72DF">
        <w:rPr>
          <w:sz w:val="28"/>
          <w:szCs w:val="28"/>
        </w:rPr>
        <w:t xml:space="preserve">Pentru întreţinerea şi multiplicarea clonelor fitosanitar sănătoase, este necesară adoptarea unui set de măsuri pentru prevenirea reinfectării cu viroze, fitoplasme,  cancer bacterian şi alte boli periculoase </w:t>
      </w:r>
      <w:r>
        <w:rPr>
          <w:sz w:val="28"/>
          <w:szCs w:val="28"/>
        </w:rPr>
        <w:t xml:space="preserve">specificate în </w:t>
      </w:r>
      <w:r w:rsidRPr="006B72DF">
        <w:rPr>
          <w:sz w:val="28"/>
          <w:szCs w:val="28"/>
        </w:rPr>
        <w:t xml:space="preserve">anexele nr. </w:t>
      </w:r>
      <w:r>
        <w:rPr>
          <w:sz w:val="28"/>
          <w:szCs w:val="28"/>
        </w:rPr>
        <w:t>3</w:t>
      </w:r>
      <w:r w:rsidRPr="006B72DF">
        <w:rPr>
          <w:sz w:val="28"/>
          <w:szCs w:val="28"/>
        </w:rPr>
        <w:t xml:space="preserve"> şi </w:t>
      </w:r>
      <w:r>
        <w:rPr>
          <w:sz w:val="28"/>
          <w:szCs w:val="28"/>
        </w:rPr>
        <w:t>nr.6 la prezenta Normă</w:t>
      </w:r>
      <w:r w:rsidRPr="006B72DF">
        <w:rPr>
          <w:sz w:val="28"/>
          <w:szCs w:val="28"/>
        </w:rPr>
        <w:t>. Astfel, în scopuri profilactice, este importantă:</w:t>
      </w:r>
    </w:p>
    <w:p w:rsidR="00D75CDA" w:rsidRPr="006B72DF" w:rsidRDefault="00D75CDA" w:rsidP="00D75CDA">
      <w:pPr>
        <w:ind w:firstLine="708"/>
        <w:jc w:val="both"/>
        <w:rPr>
          <w:sz w:val="28"/>
          <w:szCs w:val="28"/>
        </w:rPr>
      </w:pPr>
      <w:r w:rsidRPr="006B72DF">
        <w:rPr>
          <w:sz w:val="28"/>
          <w:szCs w:val="28"/>
        </w:rPr>
        <w:t>neadmiterea prezenţei afidelor, cicadelor şi a altor insecte-vectori ai virusurilor şi ai fitoplasmelor  în plantaţiile devirozate;</w:t>
      </w:r>
    </w:p>
    <w:p w:rsidR="00D75CDA" w:rsidRPr="006B72DF" w:rsidRDefault="00D75CDA" w:rsidP="00D75CDA">
      <w:pPr>
        <w:ind w:firstLine="708"/>
        <w:jc w:val="both"/>
        <w:rPr>
          <w:sz w:val="28"/>
          <w:szCs w:val="28"/>
        </w:rPr>
      </w:pPr>
      <w:r w:rsidRPr="006B72DF">
        <w:rPr>
          <w:sz w:val="28"/>
          <w:szCs w:val="28"/>
        </w:rPr>
        <w:t xml:space="preserve">întreţinerea solului în plantaţiile-mamă de ramuri-altoi </w:t>
      </w:r>
      <w:r>
        <w:rPr>
          <w:sz w:val="28"/>
          <w:szCs w:val="28"/>
        </w:rPr>
        <w:t xml:space="preserve">şi seminceri </w:t>
      </w:r>
      <w:r w:rsidRPr="006B72DF">
        <w:rPr>
          <w:sz w:val="28"/>
          <w:szCs w:val="28"/>
        </w:rPr>
        <w:t>libere de virusuri ca ogor negru sau ca teren înierbat;</w:t>
      </w:r>
    </w:p>
    <w:p w:rsidR="00D75CDA" w:rsidRPr="006B72DF" w:rsidRDefault="00D75CDA" w:rsidP="00D75CDA">
      <w:pPr>
        <w:ind w:firstLine="708"/>
        <w:jc w:val="both"/>
        <w:rPr>
          <w:sz w:val="28"/>
          <w:szCs w:val="28"/>
        </w:rPr>
      </w:pPr>
      <w:r w:rsidRPr="006B72DF">
        <w:rPr>
          <w:sz w:val="28"/>
          <w:szCs w:val="28"/>
        </w:rPr>
        <w:t>fondarea plantaţiilor-mamă devirozate cu respectarea izolării spaţiale de plantaţiile necertificate;</w:t>
      </w:r>
    </w:p>
    <w:p w:rsidR="00D75CDA" w:rsidRPr="006B72DF" w:rsidRDefault="00D75CDA" w:rsidP="00D75CDA">
      <w:pPr>
        <w:ind w:firstLine="708"/>
        <w:jc w:val="both"/>
        <w:rPr>
          <w:sz w:val="28"/>
          <w:szCs w:val="28"/>
        </w:rPr>
      </w:pPr>
      <w:r w:rsidRPr="006B72DF">
        <w:rPr>
          <w:sz w:val="28"/>
          <w:szCs w:val="28"/>
        </w:rPr>
        <w:t>efectuarea anuală a tăierilor scurte la speciile culturilor sîmburoase destinate producerii de ramuri-altoi cu lichidarea obligatorie a mugurilor florali (cu excepţia anilor cînd este planificată autentificarea şi stabilirea purităţii varietale a acestor plante);</w:t>
      </w:r>
    </w:p>
    <w:p w:rsidR="00D75CDA" w:rsidRPr="006B72DF" w:rsidRDefault="00D75CDA" w:rsidP="00D75CDA">
      <w:pPr>
        <w:ind w:firstLine="708"/>
        <w:jc w:val="both"/>
        <w:rPr>
          <w:sz w:val="28"/>
          <w:szCs w:val="28"/>
        </w:rPr>
      </w:pPr>
      <w:r w:rsidRPr="006B72DF">
        <w:rPr>
          <w:sz w:val="28"/>
          <w:szCs w:val="28"/>
        </w:rPr>
        <w:t>plantarea culturilor sîmburoase, bacifere şi a căpşunului pe loturi libere de nematozi-vectori ai virusurilor;</w:t>
      </w:r>
    </w:p>
    <w:p w:rsidR="00D75CDA" w:rsidRPr="006B72DF" w:rsidRDefault="00D75CDA" w:rsidP="00D75CDA">
      <w:pPr>
        <w:ind w:firstLine="708"/>
        <w:jc w:val="both"/>
        <w:rPr>
          <w:sz w:val="28"/>
          <w:szCs w:val="28"/>
        </w:rPr>
      </w:pPr>
      <w:r w:rsidRPr="006B72DF">
        <w:rPr>
          <w:sz w:val="28"/>
          <w:szCs w:val="28"/>
        </w:rPr>
        <w:t>efectuarea în pepinieră pe parcursul vegetaţiei a examinării vizuale a portaltoaielor din cîmpul I şi a pomilor altoiţi din cîmpul II, pentru evaluarea stării fitosanitare a plantelor;</w:t>
      </w:r>
    </w:p>
    <w:p w:rsidR="00D75CDA" w:rsidRPr="006B72DF" w:rsidRDefault="00D75CDA" w:rsidP="00D75CDA">
      <w:pPr>
        <w:ind w:firstLine="708"/>
        <w:jc w:val="both"/>
        <w:rPr>
          <w:sz w:val="28"/>
          <w:szCs w:val="28"/>
        </w:rPr>
      </w:pPr>
      <w:r w:rsidRPr="006B72DF">
        <w:rPr>
          <w:sz w:val="28"/>
          <w:szCs w:val="28"/>
        </w:rPr>
        <w:t>etichetarea obligatorie a materialului de plantare în cîmpul doi al pepinierei.</w:t>
      </w:r>
    </w:p>
    <w:p w:rsidR="00D75CDA" w:rsidRPr="006B72DF" w:rsidRDefault="00D75CDA" w:rsidP="00D75CDA">
      <w:pPr>
        <w:ind w:firstLine="708"/>
        <w:jc w:val="both"/>
        <w:rPr>
          <w:sz w:val="28"/>
          <w:szCs w:val="28"/>
        </w:rPr>
      </w:pPr>
      <w:r w:rsidRPr="006B72DF">
        <w:rPr>
          <w:sz w:val="28"/>
          <w:szCs w:val="28"/>
        </w:rPr>
        <w:t xml:space="preserve">Plantele-mamă semincere, libere de virusuri, trebuie să fie înregistrate oficial. Pomii seminceri trebuie să fie retestaţi anual prin metode de laborator la prezenţa virozelor transmisibile prin seminţe. De preferinţă, seminţele speciilor sîmburoase, îndeosebi pentru </w:t>
      </w:r>
      <w:r w:rsidRPr="006B72DF">
        <w:rPr>
          <w:i/>
          <w:iCs/>
          <w:sz w:val="28"/>
          <w:szCs w:val="28"/>
        </w:rPr>
        <w:t>Prunus avium</w:t>
      </w:r>
      <w:r w:rsidRPr="006B72DF">
        <w:rPr>
          <w:sz w:val="28"/>
          <w:szCs w:val="28"/>
        </w:rPr>
        <w:t xml:space="preserve"> şi </w:t>
      </w:r>
      <w:r w:rsidRPr="006B72DF">
        <w:rPr>
          <w:i/>
          <w:iCs/>
          <w:sz w:val="28"/>
          <w:szCs w:val="28"/>
        </w:rPr>
        <w:t xml:space="preserve">Prunus mahaleb </w:t>
      </w:r>
      <w:r w:rsidRPr="006B72DF">
        <w:rPr>
          <w:sz w:val="28"/>
          <w:szCs w:val="28"/>
        </w:rPr>
        <w:t>(la care două virusuri de bază se transmit prin</w:t>
      </w:r>
      <w:r>
        <w:rPr>
          <w:sz w:val="28"/>
          <w:szCs w:val="28"/>
        </w:rPr>
        <w:t xml:space="preserve"> </w:t>
      </w:r>
      <w:r w:rsidRPr="006B72DF">
        <w:rPr>
          <w:sz w:val="28"/>
          <w:szCs w:val="28"/>
        </w:rPr>
        <w:t>polen, cu o rată a transmiterii foarte înaltă), se recoltează separat, pe loturi.</w:t>
      </w:r>
    </w:p>
    <w:p w:rsidR="00D75CDA" w:rsidRPr="006B72DF" w:rsidRDefault="00D75CDA" w:rsidP="00D75CDA">
      <w:pPr>
        <w:ind w:firstLine="708"/>
        <w:jc w:val="both"/>
        <w:rPr>
          <w:sz w:val="28"/>
          <w:szCs w:val="28"/>
        </w:rPr>
      </w:pPr>
      <w:r w:rsidRPr="006B72DF">
        <w:rPr>
          <w:sz w:val="28"/>
          <w:szCs w:val="28"/>
        </w:rPr>
        <w:t>Termenul de exploatare a pomilor care au ca destinaţie producerea de seminţe este de 10 - 12 ani.</w:t>
      </w:r>
    </w:p>
    <w:p w:rsidR="00D75CDA" w:rsidRPr="006B72DF" w:rsidRDefault="00D75CDA" w:rsidP="00D75CDA">
      <w:pPr>
        <w:ind w:firstLine="708"/>
        <w:jc w:val="both"/>
        <w:rPr>
          <w:sz w:val="28"/>
          <w:szCs w:val="28"/>
        </w:rPr>
      </w:pPr>
      <w:r w:rsidRPr="006B72DF">
        <w:rPr>
          <w:sz w:val="28"/>
          <w:szCs w:val="28"/>
        </w:rPr>
        <w:t>În scopul limitării răspîndirii cancerului bacterian la producerea materialului de plantare fructifer, inspectorii organismului oficial responsabil efectuează un control strict în plantaţiile-mamă şi în</w:t>
      </w:r>
      <w:r>
        <w:rPr>
          <w:sz w:val="28"/>
          <w:szCs w:val="28"/>
        </w:rPr>
        <w:t xml:space="preserve"> </w:t>
      </w:r>
      <w:r w:rsidRPr="006B72DF">
        <w:rPr>
          <w:sz w:val="28"/>
          <w:szCs w:val="28"/>
        </w:rPr>
        <w:t xml:space="preserve">cîmpurile de formare ale pepinierelor. </w:t>
      </w:r>
    </w:p>
    <w:p w:rsidR="00D75CDA" w:rsidRPr="006B72DF" w:rsidRDefault="00D75CDA" w:rsidP="00D75CDA">
      <w:pPr>
        <w:ind w:firstLine="708"/>
        <w:jc w:val="both"/>
        <w:rPr>
          <w:sz w:val="28"/>
          <w:szCs w:val="28"/>
        </w:rPr>
      </w:pPr>
      <w:r w:rsidRPr="006B72DF">
        <w:rPr>
          <w:sz w:val="28"/>
          <w:szCs w:val="28"/>
        </w:rPr>
        <w:lastRenderedPageBreak/>
        <w:t xml:space="preserve">În plantaţiile-mamă de categoria </w:t>
      </w:r>
      <w:r>
        <w:rPr>
          <w:sz w:val="28"/>
          <w:szCs w:val="28"/>
        </w:rPr>
        <w:t>„</w:t>
      </w:r>
      <w:r w:rsidRPr="006B72DF">
        <w:rPr>
          <w:sz w:val="28"/>
          <w:szCs w:val="28"/>
        </w:rPr>
        <w:t>Bază</w:t>
      </w:r>
      <w:r>
        <w:rPr>
          <w:sz w:val="28"/>
          <w:szCs w:val="28"/>
        </w:rPr>
        <w:t>”</w:t>
      </w:r>
      <w:r w:rsidRPr="006B72DF">
        <w:rPr>
          <w:sz w:val="28"/>
          <w:szCs w:val="28"/>
        </w:rPr>
        <w:t xml:space="preserve"> şi </w:t>
      </w:r>
      <w:r>
        <w:rPr>
          <w:sz w:val="28"/>
          <w:szCs w:val="28"/>
        </w:rPr>
        <w:t>„</w:t>
      </w:r>
      <w:r w:rsidRPr="006B72DF">
        <w:rPr>
          <w:sz w:val="28"/>
          <w:szCs w:val="28"/>
        </w:rPr>
        <w:t>Certificat</w:t>
      </w:r>
      <w:r>
        <w:rPr>
          <w:sz w:val="28"/>
          <w:szCs w:val="28"/>
        </w:rPr>
        <w:t>”</w:t>
      </w:r>
      <w:r w:rsidRPr="006B72DF">
        <w:rPr>
          <w:sz w:val="28"/>
          <w:szCs w:val="28"/>
        </w:rPr>
        <w:t>, se controlează portaltoaiele vegetative şi generative ale culturilor pomicole şi bacifere. Aceste controale se fac prin examinare vizuală, efectuate în timpul colectării marcotelor, studiindu-se 100 din 10000 de plante.</w:t>
      </w:r>
    </w:p>
    <w:p w:rsidR="00D75CDA" w:rsidRPr="006B72DF" w:rsidRDefault="00D75CDA" w:rsidP="00D75CDA">
      <w:pPr>
        <w:ind w:firstLine="708"/>
        <w:jc w:val="both"/>
        <w:rPr>
          <w:sz w:val="28"/>
          <w:szCs w:val="28"/>
        </w:rPr>
      </w:pPr>
      <w:r w:rsidRPr="006B72DF">
        <w:rPr>
          <w:sz w:val="28"/>
          <w:szCs w:val="28"/>
        </w:rPr>
        <w:t>În cazul depistării simptomelor vizibile</w:t>
      </w:r>
      <w:r>
        <w:rPr>
          <w:sz w:val="28"/>
          <w:szCs w:val="28"/>
        </w:rPr>
        <w:t xml:space="preserve"> </w:t>
      </w:r>
      <w:r w:rsidRPr="006B72DF">
        <w:rPr>
          <w:sz w:val="28"/>
          <w:szCs w:val="28"/>
        </w:rPr>
        <w:t xml:space="preserve">de cancer bacterian la peste 0,1% din plantele studiate, plantaţiile-mamă nu se certifică. Dacă numărul plantelor infectate se situează între 0 şi 0,1%, marcotele se prelucrează, pentru profilaxie, cu preparate antitumorice primăvara, înainte de plantare. </w:t>
      </w:r>
    </w:p>
    <w:p w:rsidR="00D75CDA" w:rsidRPr="006B72DF" w:rsidRDefault="00D75CDA" w:rsidP="00D75CDA">
      <w:pPr>
        <w:ind w:firstLine="708"/>
        <w:jc w:val="both"/>
        <w:rPr>
          <w:sz w:val="28"/>
          <w:szCs w:val="28"/>
        </w:rPr>
      </w:pPr>
      <w:r w:rsidRPr="006B72DF">
        <w:rPr>
          <w:sz w:val="28"/>
          <w:szCs w:val="28"/>
        </w:rPr>
        <w:t xml:space="preserve">Pomii altoiţi, butaşii de coacăz şi agriş de categoria </w:t>
      </w:r>
      <w:r>
        <w:rPr>
          <w:sz w:val="28"/>
          <w:szCs w:val="28"/>
        </w:rPr>
        <w:t>„</w:t>
      </w:r>
      <w:r w:rsidRPr="006B72DF">
        <w:rPr>
          <w:sz w:val="28"/>
          <w:szCs w:val="28"/>
        </w:rPr>
        <w:t>Certificat</w:t>
      </w:r>
      <w:r>
        <w:rPr>
          <w:sz w:val="28"/>
          <w:szCs w:val="28"/>
        </w:rPr>
        <w:t>”</w:t>
      </w:r>
      <w:r w:rsidRPr="006B72DF">
        <w:rPr>
          <w:sz w:val="28"/>
          <w:szCs w:val="28"/>
        </w:rPr>
        <w:t xml:space="preserve"> şi </w:t>
      </w:r>
      <w:r>
        <w:rPr>
          <w:sz w:val="28"/>
          <w:szCs w:val="28"/>
        </w:rPr>
        <w:t>„</w:t>
      </w:r>
      <w:r w:rsidRPr="006B72DF">
        <w:rPr>
          <w:sz w:val="28"/>
          <w:szCs w:val="28"/>
        </w:rPr>
        <w:t>Obişnuit</w:t>
      </w:r>
      <w:r>
        <w:rPr>
          <w:sz w:val="28"/>
          <w:szCs w:val="28"/>
        </w:rPr>
        <w:t>”</w:t>
      </w:r>
      <w:r w:rsidRPr="006B72DF">
        <w:rPr>
          <w:sz w:val="28"/>
          <w:szCs w:val="28"/>
        </w:rPr>
        <w:t>, destinaţi înfiinţării plantaţiilor de producere a fructelor şi puieţii destinaţi</w:t>
      </w:r>
      <w:r>
        <w:rPr>
          <w:sz w:val="28"/>
          <w:szCs w:val="28"/>
        </w:rPr>
        <w:t xml:space="preserve"> producerii </w:t>
      </w:r>
      <w:r w:rsidRPr="006B72DF">
        <w:rPr>
          <w:sz w:val="28"/>
          <w:szCs w:val="28"/>
        </w:rPr>
        <w:t xml:space="preserve">pomilor altoiţi </w:t>
      </w:r>
      <w:r>
        <w:rPr>
          <w:sz w:val="28"/>
          <w:szCs w:val="28"/>
        </w:rPr>
        <w:t>sînt</w:t>
      </w:r>
      <w:r w:rsidRPr="006B72DF">
        <w:rPr>
          <w:sz w:val="28"/>
          <w:szCs w:val="28"/>
        </w:rPr>
        <w:t xml:space="preserve"> examinaţi vizual în timpul scoaterii lor, pentru depistarea simptomelor vizibile de cancer bacterian.</w:t>
      </w:r>
    </w:p>
    <w:p w:rsidR="00D75CDA" w:rsidRPr="006B72DF" w:rsidRDefault="00D75CDA" w:rsidP="00D75CDA">
      <w:pPr>
        <w:ind w:firstLine="708"/>
        <w:jc w:val="both"/>
        <w:rPr>
          <w:sz w:val="28"/>
          <w:szCs w:val="28"/>
        </w:rPr>
      </w:pPr>
      <w:r w:rsidRPr="006B72DF">
        <w:rPr>
          <w:sz w:val="28"/>
          <w:szCs w:val="28"/>
        </w:rPr>
        <w:t xml:space="preserve">Dacă numărul de pomi infectaţi depăşeşte 1%, materialul săditor nu este certificat şi nu se comercializează. </w:t>
      </w:r>
    </w:p>
    <w:p w:rsidR="00D75CDA" w:rsidRPr="006B72DF" w:rsidRDefault="00D75CDA" w:rsidP="00D75CDA">
      <w:pPr>
        <w:ind w:firstLine="708"/>
        <w:jc w:val="both"/>
        <w:rPr>
          <w:sz w:val="28"/>
          <w:szCs w:val="28"/>
        </w:rPr>
      </w:pPr>
      <w:r w:rsidRPr="006B72DF">
        <w:rPr>
          <w:sz w:val="28"/>
          <w:szCs w:val="28"/>
        </w:rPr>
        <w:t>Dacă numărul plantelor infectate se situează între 0 şi 1%, puieţii altoiţi fără simptome</w:t>
      </w:r>
      <w:r>
        <w:rPr>
          <w:sz w:val="28"/>
          <w:szCs w:val="28"/>
        </w:rPr>
        <w:t xml:space="preserve"> </w:t>
      </w:r>
      <w:r w:rsidRPr="006B72DF">
        <w:rPr>
          <w:sz w:val="28"/>
          <w:szCs w:val="28"/>
        </w:rPr>
        <w:t>vizibile, primăvara, înainte de plantare, se prelucrează pentru profilaxie cu preparate antitumorice.</w:t>
      </w:r>
    </w:p>
    <w:p w:rsidR="00D75CDA" w:rsidRPr="006B72DF" w:rsidRDefault="00D75CDA" w:rsidP="00D75CDA">
      <w:pPr>
        <w:ind w:firstLine="708"/>
        <w:jc w:val="both"/>
        <w:rPr>
          <w:sz w:val="28"/>
          <w:szCs w:val="28"/>
        </w:rPr>
      </w:pPr>
      <w:r w:rsidRPr="006B72DF">
        <w:rPr>
          <w:sz w:val="28"/>
          <w:szCs w:val="28"/>
        </w:rPr>
        <w:t>Toate plantele cu simptome vizibile de cancer bacterian sînt lichidate.</w:t>
      </w:r>
    </w:p>
    <w:p w:rsidR="00D75CDA" w:rsidRPr="006B72DF" w:rsidRDefault="00D75CDA" w:rsidP="00D75CDA">
      <w:pPr>
        <w:ind w:firstLine="708"/>
        <w:jc w:val="both"/>
        <w:rPr>
          <w:sz w:val="28"/>
          <w:szCs w:val="28"/>
        </w:rPr>
      </w:pPr>
      <w:r w:rsidRPr="006B72DF">
        <w:rPr>
          <w:sz w:val="28"/>
          <w:szCs w:val="28"/>
        </w:rPr>
        <w:t>Importul şi exportul materialului de înmulţire şi plantare fructifer cu semne vizibile de cancer bacterian nu trebuie autorizat.</w:t>
      </w:r>
    </w:p>
    <w:p w:rsidR="00D75CDA" w:rsidRPr="006B72DF" w:rsidRDefault="00D75CDA" w:rsidP="00D75CDA">
      <w:pPr>
        <w:jc w:val="center"/>
        <w:rPr>
          <w:sz w:val="28"/>
          <w:szCs w:val="28"/>
        </w:rPr>
      </w:pPr>
    </w:p>
    <w:p w:rsidR="00D75CDA" w:rsidRDefault="00D75CDA" w:rsidP="00D75CDA">
      <w:pPr>
        <w:ind w:firstLine="708"/>
        <w:jc w:val="both"/>
        <w:rPr>
          <w:sz w:val="28"/>
          <w:szCs w:val="28"/>
        </w:rPr>
      </w:pPr>
      <w:r w:rsidRPr="006B72DF">
        <w:rPr>
          <w:sz w:val="28"/>
          <w:szCs w:val="28"/>
        </w:rPr>
        <w:t>4. Indicatorii utilizaţi pentru evidenţierea bolilor speciilor fructifere:</w:t>
      </w:r>
    </w:p>
    <w:p w:rsidR="00D75CDA" w:rsidRPr="00977E1F" w:rsidRDefault="00D75CDA" w:rsidP="00D75CDA">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D75CDA" w:rsidRPr="006B72DF" w:rsidTr="00926B2A">
        <w:tc>
          <w:tcPr>
            <w:tcW w:w="5184" w:type="dxa"/>
          </w:tcPr>
          <w:p w:rsidR="00D75CDA" w:rsidRPr="006B72DF" w:rsidRDefault="00D75CDA" w:rsidP="00926B2A">
            <w:pPr>
              <w:jc w:val="center"/>
              <w:rPr>
                <w:b/>
                <w:sz w:val="28"/>
                <w:szCs w:val="28"/>
              </w:rPr>
            </w:pPr>
            <w:r w:rsidRPr="006B72DF">
              <w:rPr>
                <w:b/>
                <w:sz w:val="28"/>
                <w:szCs w:val="28"/>
              </w:rPr>
              <w:t>Indicatorii</w:t>
            </w:r>
          </w:p>
        </w:tc>
        <w:tc>
          <w:tcPr>
            <w:tcW w:w="5185" w:type="dxa"/>
          </w:tcPr>
          <w:p w:rsidR="00D75CDA" w:rsidRPr="006B72DF" w:rsidRDefault="00D75CDA" w:rsidP="00926B2A">
            <w:pPr>
              <w:jc w:val="center"/>
              <w:rPr>
                <w:b/>
                <w:sz w:val="28"/>
                <w:szCs w:val="28"/>
              </w:rPr>
            </w:pPr>
            <w:r w:rsidRPr="006B72DF">
              <w:rPr>
                <w:b/>
                <w:sz w:val="28"/>
                <w:szCs w:val="28"/>
              </w:rPr>
              <w:t>Bolile evidenţiate</w:t>
            </w:r>
          </w:p>
        </w:tc>
      </w:tr>
      <w:tr w:rsidR="00D75CDA" w:rsidRPr="006B72DF" w:rsidTr="00926B2A">
        <w:tc>
          <w:tcPr>
            <w:tcW w:w="10369" w:type="dxa"/>
            <w:gridSpan w:val="2"/>
          </w:tcPr>
          <w:p w:rsidR="00D75CDA" w:rsidRPr="006B72DF" w:rsidRDefault="00D75CDA" w:rsidP="00926B2A">
            <w:pPr>
              <w:jc w:val="center"/>
              <w:rPr>
                <w:b/>
                <w:sz w:val="28"/>
                <w:szCs w:val="28"/>
              </w:rPr>
            </w:pPr>
            <w:r w:rsidRPr="006B72DF">
              <w:rPr>
                <w:b/>
                <w:sz w:val="28"/>
                <w:szCs w:val="28"/>
              </w:rPr>
              <w:t>Măr</w:t>
            </w:r>
          </w:p>
        </w:tc>
      </w:tr>
      <w:tr w:rsidR="00D75CDA" w:rsidRPr="006B72DF" w:rsidTr="00926B2A">
        <w:tc>
          <w:tcPr>
            <w:tcW w:w="5184" w:type="dxa"/>
          </w:tcPr>
          <w:p w:rsidR="00D75CDA" w:rsidRPr="006B72DF" w:rsidRDefault="00D75CDA" w:rsidP="00926B2A">
            <w:pPr>
              <w:jc w:val="both"/>
              <w:rPr>
                <w:i/>
                <w:sz w:val="28"/>
                <w:szCs w:val="28"/>
              </w:rPr>
            </w:pPr>
            <w:r w:rsidRPr="006B72DF">
              <w:rPr>
                <w:i/>
                <w:sz w:val="28"/>
                <w:szCs w:val="28"/>
              </w:rPr>
              <w:t>Malus pumila Lord Lamdourne</w:t>
            </w:r>
          </w:p>
        </w:tc>
        <w:tc>
          <w:tcPr>
            <w:tcW w:w="5185" w:type="dxa"/>
          </w:tcPr>
          <w:p w:rsidR="00D75CDA" w:rsidRPr="006B72DF" w:rsidRDefault="00D75CDA" w:rsidP="00926B2A">
            <w:pPr>
              <w:jc w:val="both"/>
              <w:rPr>
                <w:sz w:val="28"/>
                <w:szCs w:val="28"/>
              </w:rPr>
            </w:pPr>
            <w:r w:rsidRPr="006B72DF">
              <w:rPr>
                <w:sz w:val="28"/>
                <w:szCs w:val="28"/>
              </w:rPr>
              <w:t>Mozaicul mărului</w:t>
            </w:r>
          </w:p>
        </w:tc>
      </w:tr>
      <w:tr w:rsidR="00D75CDA" w:rsidRPr="006B72DF" w:rsidTr="00926B2A">
        <w:tc>
          <w:tcPr>
            <w:tcW w:w="5184" w:type="dxa"/>
          </w:tcPr>
          <w:p w:rsidR="00D75CDA" w:rsidRPr="006B72DF" w:rsidRDefault="00D75CDA" w:rsidP="00926B2A">
            <w:pPr>
              <w:jc w:val="both"/>
              <w:rPr>
                <w:i/>
                <w:sz w:val="28"/>
                <w:szCs w:val="28"/>
              </w:rPr>
            </w:pPr>
            <w:r w:rsidRPr="006B72DF">
              <w:rPr>
                <w:i/>
                <w:sz w:val="28"/>
                <w:szCs w:val="28"/>
              </w:rPr>
              <w:t>Malus platycarpa, R 12740/7A</w:t>
            </w:r>
          </w:p>
        </w:tc>
        <w:tc>
          <w:tcPr>
            <w:tcW w:w="5185" w:type="dxa"/>
          </w:tcPr>
          <w:p w:rsidR="00D75CDA" w:rsidRPr="006B72DF" w:rsidRDefault="00D75CDA" w:rsidP="00926B2A">
            <w:pPr>
              <w:jc w:val="both"/>
              <w:rPr>
                <w:sz w:val="28"/>
                <w:szCs w:val="28"/>
              </w:rPr>
            </w:pPr>
            <w:r w:rsidRPr="006B72DF">
              <w:rPr>
                <w:sz w:val="28"/>
                <w:szCs w:val="28"/>
              </w:rPr>
              <w:t>Pătarea clorotică a frunzelor la măr</w:t>
            </w:r>
          </w:p>
        </w:tc>
      </w:tr>
      <w:tr w:rsidR="00D75CDA" w:rsidRPr="006B72DF" w:rsidTr="00926B2A">
        <w:tc>
          <w:tcPr>
            <w:tcW w:w="5184" w:type="dxa"/>
          </w:tcPr>
          <w:p w:rsidR="00D75CDA" w:rsidRPr="006B72DF" w:rsidRDefault="00D75CDA" w:rsidP="00926B2A">
            <w:pPr>
              <w:jc w:val="both"/>
              <w:rPr>
                <w:i/>
                <w:sz w:val="28"/>
                <w:szCs w:val="28"/>
              </w:rPr>
            </w:pPr>
            <w:r w:rsidRPr="006B72DF">
              <w:rPr>
                <w:i/>
                <w:sz w:val="28"/>
                <w:szCs w:val="28"/>
              </w:rPr>
              <w:t>Malus platycarpa</w:t>
            </w:r>
            <w:r w:rsidRPr="006B72DF">
              <w:rPr>
                <w:i/>
                <w:iCs/>
                <w:sz w:val="28"/>
                <w:szCs w:val="28"/>
              </w:rPr>
              <w:t xml:space="preserve"> </w:t>
            </w:r>
          </w:p>
        </w:tc>
        <w:tc>
          <w:tcPr>
            <w:tcW w:w="5185" w:type="dxa"/>
          </w:tcPr>
          <w:p w:rsidR="00D75CDA" w:rsidRPr="006B72DF" w:rsidRDefault="00D75CDA" w:rsidP="00926B2A">
            <w:pPr>
              <w:jc w:val="both"/>
              <w:rPr>
                <w:sz w:val="28"/>
                <w:szCs w:val="28"/>
              </w:rPr>
            </w:pPr>
            <w:r w:rsidRPr="006B72DF">
              <w:rPr>
                <w:sz w:val="28"/>
                <w:szCs w:val="28"/>
              </w:rPr>
              <w:t xml:space="preserve">Piticirea </w:t>
            </w:r>
            <w:smartTag w:uri="urn:schemas-microsoft-com:office:smarttags" w:element="PersonName">
              <w:smartTagPr>
                <w:attr w:name="ProductID" w:val="la Platycarpa"/>
              </w:smartTagPr>
              <w:r w:rsidRPr="006B72DF">
                <w:rPr>
                  <w:sz w:val="28"/>
                  <w:szCs w:val="28"/>
                </w:rPr>
                <w:t>la Platycarpa</w:t>
              </w:r>
            </w:smartTag>
            <w:r w:rsidRPr="006B72DF">
              <w:rPr>
                <w:sz w:val="28"/>
                <w:szCs w:val="28"/>
              </w:rPr>
              <w:t xml:space="preserve"> sau rugozitatea scoarţei la Platycarpa</w:t>
            </w:r>
          </w:p>
        </w:tc>
      </w:tr>
      <w:tr w:rsidR="00D75CDA" w:rsidRPr="006B72DF" w:rsidTr="00926B2A">
        <w:tc>
          <w:tcPr>
            <w:tcW w:w="5184" w:type="dxa"/>
          </w:tcPr>
          <w:p w:rsidR="00D75CDA" w:rsidRPr="006B72DF" w:rsidRDefault="00D75CDA" w:rsidP="00926B2A">
            <w:pPr>
              <w:jc w:val="both"/>
              <w:rPr>
                <w:sz w:val="28"/>
                <w:szCs w:val="28"/>
              </w:rPr>
            </w:pPr>
            <w:r w:rsidRPr="006B72DF">
              <w:rPr>
                <w:i/>
                <w:sz w:val="28"/>
                <w:szCs w:val="28"/>
              </w:rPr>
              <w:t>Malus</w:t>
            </w:r>
            <w:r w:rsidRPr="006B72DF">
              <w:rPr>
                <w:i/>
                <w:iCs/>
                <w:sz w:val="28"/>
                <w:szCs w:val="28"/>
              </w:rPr>
              <w:t xml:space="preserve"> sylvestris Virginia crab</w:t>
            </w:r>
            <w:r w:rsidRPr="006B72DF">
              <w:rPr>
                <w:i/>
                <w:iCs/>
                <w:sz w:val="28"/>
                <w:szCs w:val="28"/>
              </w:rPr>
              <w:tab/>
            </w:r>
          </w:p>
        </w:tc>
        <w:tc>
          <w:tcPr>
            <w:tcW w:w="5185" w:type="dxa"/>
          </w:tcPr>
          <w:p w:rsidR="00D75CDA" w:rsidRPr="006B72DF" w:rsidRDefault="00D75CDA" w:rsidP="00926B2A">
            <w:pPr>
              <w:jc w:val="both"/>
              <w:rPr>
                <w:sz w:val="28"/>
                <w:szCs w:val="28"/>
              </w:rPr>
            </w:pPr>
            <w:r w:rsidRPr="006B72DF">
              <w:rPr>
                <w:iCs/>
                <w:sz w:val="28"/>
                <w:szCs w:val="28"/>
              </w:rPr>
              <w:t>Brăzdarea tulpinii mărului</w:t>
            </w:r>
          </w:p>
        </w:tc>
      </w:tr>
      <w:tr w:rsidR="00D75CDA" w:rsidRPr="006B72DF" w:rsidTr="00926B2A">
        <w:tc>
          <w:tcPr>
            <w:tcW w:w="5184" w:type="dxa"/>
          </w:tcPr>
          <w:p w:rsidR="00D75CDA" w:rsidRPr="006B72DF" w:rsidRDefault="00D75CDA" w:rsidP="00926B2A">
            <w:pPr>
              <w:jc w:val="both"/>
              <w:rPr>
                <w:sz w:val="28"/>
                <w:szCs w:val="28"/>
              </w:rPr>
            </w:pPr>
            <w:r w:rsidRPr="006B72DF">
              <w:rPr>
                <w:i/>
                <w:sz w:val="28"/>
                <w:szCs w:val="28"/>
              </w:rPr>
              <w:t>Malus</w:t>
            </w:r>
            <w:r w:rsidRPr="006B72DF">
              <w:rPr>
                <w:i/>
                <w:iCs/>
                <w:sz w:val="28"/>
                <w:szCs w:val="28"/>
              </w:rPr>
              <w:t xml:space="preserve"> sylvestris Spy 227,Malus Virginia crab, Pyronia veitchii</w:t>
            </w:r>
          </w:p>
        </w:tc>
        <w:tc>
          <w:tcPr>
            <w:tcW w:w="5185" w:type="dxa"/>
          </w:tcPr>
          <w:p w:rsidR="00D75CDA" w:rsidRPr="006B72DF" w:rsidRDefault="00D75CDA" w:rsidP="00926B2A">
            <w:pPr>
              <w:jc w:val="both"/>
              <w:rPr>
                <w:sz w:val="28"/>
                <w:szCs w:val="28"/>
              </w:rPr>
            </w:pPr>
            <w:r w:rsidRPr="006B72DF">
              <w:rPr>
                <w:iCs/>
                <w:sz w:val="28"/>
                <w:szCs w:val="28"/>
              </w:rPr>
              <w:t>Strierea tulpinii mărului</w:t>
            </w:r>
          </w:p>
        </w:tc>
      </w:tr>
      <w:tr w:rsidR="00D75CDA" w:rsidRPr="006B72DF" w:rsidTr="00926B2A">
        <w:tc>
          <w:tcPr>
            <w:tcW w:w="5184" w:type="dxa"/>
          </w:tcPr>
          <w:p w:rsidR="00D75CDA" w:rsidRPr="006B72DF" w:rsidRDefault="00D75CDA" w:rsidP="00926B2A">
            <w:pPr>
              <w:jc w:val="both"/>
              <w:rPr>
                <w:sz w:val="28"/>
                <w:szCs w:val="28"/>
              </w:rPr>
            </w:pPr>
            <w:r w:rsidRPr="006B72DF">
              <w:rPr>
                <w:i/>
                <w:iCs/>
                <w:sz w:val="28"/>
                <w:szCs w:val="28"/>
              </w:rPr>
              <w:t>Lord Lambourne</w:t>
            </w:r>
          </w:p>
        </w:tc>
        <w:tc>
          <w:tcPr>
            <w:tcW w:w="5185" w:type="dxa"/>
          </w:tcPr>
          <w:p w:rsidR="00D75CDA" w:rsidRPr="006B72DF" w:rsidRDefault="00D75CDA" w:rsidP="00926B2A">
            <w:pPr>
              <w:jc w:val="both"/>
              <w:rPr>
                <w:sz w:val="28"/>
                <w:szCs w:val="28"/>
              </w:rPr>
            </w:pPr>
            <w:r w:rsidRPr="006B72DF">
              <w:rPr>
                <w:iCs/>
                <w:sz w:val="28"/>
                <w:szCs w:val="28"/>
              </w:rPr>
              <w:t>Mere mici</w:t>
            </w:r>
          </w:p>
        </w:tc>
      </w:tr>
      <w:tr w:rsidR="00D75CDA" w:rsidRPr="006B72DF" w:rsidTr="00926B2A">
        <w:tc>
          <w:tcPr>
            <w:tcW w:w="5184" w:type="dxa"/>
          </w:tcPr>
          <w:p w:rsidR="00D75CDA" w:rsidRPr="006B72DF" w:rsidRDefault="00D75CDA" w:rsidP="00926B2A">
            <w:pPr>
              <w:jc w:val="both"/>
              <w:rPr>
                <w:sz w:val="28"/>
                <w:szCs w:val="28"/>
              </w:rPr>
            </w:pPr>
            <w:r w:rsidRPr="006B72DF">
              <w:rPr>
                <w:i/>
                <w:sz w:val="28"/>
                <w:szCs w:val="28"/>
              </w:rPr>
              <w:t>Malus</w:t>
            </w:r>
            <w:r w:rsidRPr="006B72DF">
              <w:rPr>
                <w:i/>
                <w:iCs/>
                <w:sz w:val="28"/>
                <w:szCs w:val="28"/>
              </w:rPr>
              <w:t xml:space="preserve">  pumila Golden Delicious</w:t>
            </w:r>
          </w:p>
        </w:tc>
        <w:tc>
          <w:tcPr>
            <w:tcW w:w="5185" w:type="dxa"/>
          </w:tcPr>
          <w:p w:rsidR="00D75CDA" w:rsidRPr="006B72DF" w:rsidRDefault="00D75CDA" w:rsidP="00926B2A">
            <w:pPr>
              <w:jc w:val="both"/>
              <w:rPr>
                <w:sz w:val="28"/>
                <w:szCs w:val="28"/>
              </w:rPr>
            </w:pPr>
            <w:r w:rsidRPr="006B72DF">
              <w:rPr>
                <w:iCs/>
                <w:sz w:val="28"/>
                <w:szCs w:val="28"/>
              </w:rPr>
              <w:t>Vericozitatea ruginie a merelor</w:t>
            </w:r>
          </w:p>
        </w:tc>
      </w:tr>
      <w:tr w:rsidR="00D75CDA" w:rsidRPr="006B72DF" w:rsidTr="00926B2A">
        <w:trPr>
          <w:trHeight w:val="315"/>
        </w:trPr>
        <w:tc>
          <w:tcPr>
            <w:tcW w:w="5184" w:type="dxa"/>
          </w:tcPr>
          <w:p w:rsidR="00D75CDA" w:rsidRPr="006B72DF" w:rsidRDefault="00D75CDA" w:rsidP="00926B2A">
            <w:pPr>
              <w:jc w:val="both"/>
              <w:rPr>
                <w:sz w:val="28"/>
                <w:szCs w:val="28"/>
              </w:rPr>
            </w:pPr>
            <w:r w:rsidRPr="006B72DF">
              <w:rPr>
                <w:i/>
                <w:iCs/>
                <w:sz w:val="28"/>
                <w:szCs w:val="28"/>
              </w:rPr>
              <w:t>Golden Delicious</w:t>
            </w:r>
            <w:r w:rsidRPr="006B72DF">
              <w:rPr>
                <w:i/>
                <w:iCs/>
                <w:sz w:val="28"/>
                <w:szCs w:val="28"/>
              </w:rPr>
              <w:tab/>
            </w:r>
          </w:p>
        </w:tc>
        <w:tc>
          <w:tcPr>
            <w:tcW w:w="5185" w:type="dxa"/>
          </w:tcPr>
          <w:p w:rsidR="00D75CDA" w:rsidRPr="006B72DF" w:rsidRDefault="00D75CDA" w:rsidP="00926B2A">
            <w:pPr>
              <w:jc w:val="both"/>
              <w:rPr>
                <w:sz w:val="28"/>
                <w:szCs w:val="28"/>
              </w:rPr>
            </w:pPr>
            <w:r w:rsidRPr="006B72DF">
              <w:rPr>
                <w:iCs/>
                <w:sz w:val="28"/>
                <w:szCs w:val="28"/>
              </w:rPr>
              <w:t>Crăparea stelată a merelor</w:t>
            </w:r>
          </w:p>
        </w:tc>
      </w:tr>
      <w:tr w:rsidR="00D75CDA" w:rsidRPr="006B72DF" w:rsidTr="00926B2A">
        <w:trPr>
          <w:trHeight w:val="307"/>
        </w:trPr>
        <w:tc>
          <w:tcPr>
            <w:tcW w:w="5184" w:type="dxa"/>
          </w:tcPr>
          <w:p w:rsidR="00D75CDA" w:rsidRPr="006B72DF" w:rsidRDefault="00D75CDA" w:rsidP="00926B2A">
            <w:pPr>
              <w:jc w:val="both"/>
              <w:rPr>
                <w:b/>
                <w:sz w:val="28"/>
                <w:szCs w:val="28"/>
              </w:rPr>
            </w:pPr>
            <w:r w:rsidRPr="006B72DF">
              <w:rPr>
                <w:i/>
                <w:iCs/>
                <w:sz w:val="28"/>
                <w:szCs w:val="28"/>
              </w:rPr>
              <w:t>Golden Delicious</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Deformarea verde a merelor</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Golden Delicious</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Pătarea inelară a merelor</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Golden Delicious</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Proliferarea mărului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Lord Lambourne</w:t>
            </w:r>
            <w:r w:rsidRPr="006B72DF">
              <w:rPr>
                <w:i/>
                <w:iCs/>
                <w:sz w:val="28"/>
                <w:szCs w:val="28"/>
              </w:rPr>
              <w:tab/>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Flexibilitatea patologică a lemnului la măr</w:t>
            </w:r>
          </w:p>
        </w:tc>
      </w:tr>
      <w:tr w:rsidR="00D75CDA" w:rsidRPr="006B72DF" w:rsidTr="00926B2A">
        <w:tc>
          <w:tcPr>
            <w:tcW w:w="10369" w:type="dxa"/>
            <w:gridSpan w:val="2"/>
          </w:tcPr>
          <w:p w:rsidR="00D75CDA" w:rsidRPr="006B72DF" w:rsidRDefault="00D75CDA" w:rsidP="00926B2A">
            <w:pPr>
              <w:jc w:val="center"/>
              <w:rPr>
                <w:b/>
                <w:bCs/>
                <w:sz w:val="28"/>
                <w:szCs w:val="28"/>
              </w:rPr>
            </w:pPr>
            <w:r w:rsidRPr="006B72DF">
              <w:rPr>
                <w:b/>
                <w:bCs/>
                <w:sz w:val="28"/>
                <w:szCs w:val="28"/>
              </w:rPr>
              <w:t>Păr şi gutui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 xml:space="preserve">Pyrus communis Beurre hardy, </w:t>
            </w:r>
          </w:p>
          <w:p w:rsidR="00D75CDA" w:rsidRPr="006B72DF" w:rsidRDefault="00D75CDA" w:rsidP="00926B2A">
            <w:pPr>
              <w:jc w:val="both"/>
              <w:rPr>
                <w:i/>
                <w:iCs/>
                <w:sz w:val="28"/>
                <w:szCs w:val="28"/>
              </w:rPr>
            </w:pPr>
            <w:r w:rsidRPr="006B72DF">
              <w:rPr>
                <w:i/>
                <w:iCs/>
                <w:sz w:val="28"/>
                <w:szCs w:val="28"/>
              </w:rPr>
              <w:t>Cydonia oblonga C 7/1</w:t>
            </w:r>
          </w:p>
        </w:tc>
        <w:tc>
          <w:tcPr>
            <w:tcW w:w="5185" w:type="dxa"/>
          </w:tcPr>
          <w:p w:rsidR="00D75CDA" w:rsidRPr="006B72DF" w:rsidRDefault="00D75CDA" w:rsidP="00926B2A">
            <w:pPr>
              <w:jc w:val="both"/>
              <w:rPr>
                <w:b/>
                <w:sz w:val="28"/>
                <w:szCs w:val="28"/>
              </w:rPr>
            </w:pPr>
            <w:r w:rsidRPr="006B72DF">
              <w:rPr>
                <w:iCs/>
                <w:sz w:val="28"/>
                <w:szCs w:val="28"/>
              </w:rPr>
              <w:t xml:space="preserve">Mozaicul inelar la păr, </w:t>
            </w:r>
            <w:r>
              <w:rPr>
                <w:iCs/>
                <w:sz w:val="28"/>
                <w:szCs w:val="28"/>
              </w:rPr>
              <w:t>n</w:t>
            </w:r>
            <w:r w:rsidRPr="006B72DF">
              <w:rPr>
                <w:iCs/>
                <w:sz w:val="28"/>
                <w:szCs w:val="28"/>
              </w:rPr>
              <w:t>anifierea gutuiului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Beurre hardy</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Necrozarea scoarţei părului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Beurre hardy</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Crăparea scoarţei părului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lastRenderedPageBreak/>
              <w:t>Pyrus communis Williams</w:t>
            </w:r>
          </w:p>
        </w:tc>
        <w:tc>
          <w:tcPr>
            <w:tcW w:w="5185" w:type="dxa"/>
          </w:tcPr>
          <w:p w:rsidR="00D75CDA" w:rsidRPr="006B72DF" w:rsidRDefault="00D75CDA" w:rsidP="00926B2A">
            <w:pPr>
              <w:jc w:val="both"/>
              <w:rPr>
                <w:b/>
                <w:sz w:val="28"/>
                <w:szCs w:val="28"/>
              </w:rPr>
            </w:pPr>
            <w:r w:rsidRPr="006B72DF">
              <w:rPr>
                <w:iCs/>
                <w:sz w:val="28"/>
                <w:szCs w:val="28"/>
              </w:rPr>
              <w:t>Cancerul pustulos al părului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Williams</w:t>
            </w:r>
          </w:p>
        </w:tc>
        <w:tc>
          <w:tcPr>
            <w:tcW w:w="5185" w:type="dxa"/>
          </w:tcPr>
          <w:p w:rsidR="00D75CDA" w:rsidRPr="006B72DF" w:rsidRDefault="00D75CDA" w:rsidP="00926B2A">
            <w:pPr>
              <w:jc w:val="both"/>
              <w:rPr>
                <w:b/>
                <w:sz w:val="28"/>
                <w:szCs w:val="28"/>
              </w:rPr>
            </w:pPr>
            <w:r w:rsidRPr="006B72DF">
              <w:rPr>
                <w:iCs/>
                <w:sz w:val="28"/>
                <w:szCs w:val="28"/>
              </w:rPr>
              <w:t>Rugozitatea scoarţei părului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Beurre Rosc, Beurre hardy, Pyronia veitchii</w:t>
            </w:r>
          </w:p>
        </w:tc>
        <w:tc>
          <w:tcPr>
            <w:tcW w:w="5185" w:type="dxa"/>
          </w:tcPr>
          <w:p w:rsidR="00D75CDA" w:rsidRPr="006B72DF" w:rsidRDefault="00D75CDA" w:rsidP="00926B2A">
            <w:pPr>
              <w:jc w:val="both"/>
              <w:rPr>
                <w:b/>
                <w:sz w:val="28"/>
                <w:szCs w:val="28"/>
              </w:rPr>
            </w:pPr>
            <w:r w:rsidRPr="006B72DF">
              <w:rPr>
                <w:iCs/>
                <w:sz w:val="28"/>
                <w:szCs w:val="28"/>
              </w:rPr>
              <w:t>Pietrificarea fructelor la păr</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Cydonia oblonga C 7/1</w:t>
            </w:r>
          </w:p>
        </w:tc>
        <w:tc>
          <w:tcPr>
            <w:tcW w:w="5185" w:type="dxa"/>
          </w:tcPr>
          <w:p w:rsidR="00D75CDA" w:rsidRPr="006B72DF" w:rsidRDefault="00D75CDA" w:rsidP="00926B2A">
            <w:pPr>
              <w:jc w:val="both"/>
              <w:rPr>
                <w:b/>
                <w:sz w:val="28"/>
                <w:szCs w:val="28"/>
              </w:rPr>
            </w:pPr>
            <w:r w:rsidRPr="006B72DF">
              <w:rPr>
                <w:iCs/>
                <w:sz w:val="28"/>
                <w:szCs w:val="28"/>
              </w:rPr>
              <w:t>Pătarea inelară neagră a gutuiului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Cydonia oblonga C 7/1</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Pătarea galbenă a gutuiului</w:t>
            </w:r>
          </w:p>
        </w:tc>
      </w:tr>
      <w:tr w:rsidR="00D75CDA" w:rsidRPr="006B72DF" w:rsidTr="00926B2A">
        <w:tc>
          <w:tcPr>
            <w:tcW w:w="5184" w:type="dxa"/>
          </w:tcPr>
          <w:p w:rsidR="00D75CDA" w:rsidRPr="006B72DF" w:rsidRDefault="00D75CDA" w:rsidP="00926B2A">
            <w:pPr>
              <w:jc w:val="both"/>
              <w:rPr>
                <w:i/>
                <w:iCs/>
                <w:sz w:val="28"/>
                <w:szCs w:val="28"/>
              </w:rPr>
            </w:pPr>
          </w:p>
          <w:p w:rsidR="00D75CDA" w:rsidRPr="006B72DF" w:rsidRDefault="00D75CDA" w:rsidP="00926B2A">
            <w:pPr>
              <w:jc w:val="both"/>
              <w:rPr>
                <w:b/>
                <w:sz w:val="28"/>
                <w:szCs w:val="28"/>
              </w:rPr>
            </w:pPr>
            <w:r w:rsidRPr="006B72DF">
              <w:rPr>
                <w:i/>
                <w:iCs/>
                <w:sz w:val="28"/>
                <w:szCs w:val="28"/>
              </w:rPr>
              <w:t>Virginia crab,  Pyrus veitchii</w:t>
            </w:r>
          </w:p>
        </w:tc>
        <w:tc>
          <w:tcPr>
            <w:tcW w:w="5185" w:type="dxa"/>
          </w:tcPr>
          <w:p w:rsidR="00D75CDA" w:rsidRPr="006B72DF" w:rsidRDefault="00D75CDA" w:rsidP="00926B2A">
            <w:pPr>
              <w:jc w:val="both"/>
              <w:rPr>
                <w:b/>
                <w:sz w:val="28"/>
                <w:szCs w:val="28"/>
              </w:rPr>
            </w:pPr>
            <w:r w:rsidRPr="006B72DF">
              <w:rPr>
                <w:iCs/>
                <w:sz w:val="28"/>
                <w:szCs w:val="28"/>
              </w:rPr>
              <w:t xml:space="preserve">Strierea tulpinii la păr, îngălbenirea nervurilor la păr, </w:t>
            </w:r>
            <w:r>
              <w:rPr>
                <w:iCs/>
                <w:sz w:val="28"/>
                <w:szCs w:val="28"/>
              </w:rPr>
              <w:t>p</w:t>
            </w:r>
            <w:r w:rsidRPr="006B72DF">
              <w:rPr>
                <w:iCs/>
                <w:sz w:val="28"/>
                <w:szCs w:val="28"/>
              </w:rPr>
              <w:t>ătarea roşie a frunzelor la păr</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Pyrus veitchii</w:t>
            </w:r>
          </w:p>
        </w:tc>
        <w:tc>
          <w:tcPr>
            <w:tcW w:w="5185" w:type="dxa"/>
          </w:tcPr>
          <w:p w:rsidR="00D75CDA" w:rsidRPr="006B72DF" w:rsidRDefault="00D75CDA" w:rsidP="00926B2A">
            <w:pPr>
              <w:jc w:val="both"/>
              <w:rPr>
                <w:b/>
                <w:sz w:val="28"/>
                <w:szCs w:val="28"/>
              </w:rPr>
            </w:pPr>
            <w:r w:rsidRPr="006B72DF">
              <w:rPr>
                <w:iCs/>
                <w:sz w:val="28"/>
                <w:szCs w:val="28"/>
              </w:rPr>
              <w:t>Declinul părului</w:t>
            </w:r>
          </w:p>
        </w:tc>
      </w:tr>
      <w:tr w:rsidR="00D75CDA" w:rsidRPr="006B72DF" w:rsidTr="00926B2A">
        <w:tc>
          <w:tcPr>
            <w:tcW w:w="5184" w:type="dxa"/>
          </w:tcPr>
          <w:p w:rsidR="00D75CDA" w:rsidRPr="006B72DF" w:rsidRDefault="00D75CDA" w:rsidP="00926B2A">
            <w:pPr>
              <w:jc w:val="both"/>
              <w:rPr>
                <w:i/>
                <w:iCs/>
                <w:sz w:val="28"/>
                <w:szCs w:val="28"/>
              </w:rPr>
            </w:pPr>
          </w:p>
          <w:p w:rsidR="00D75CDA" w:rsidRPr="006B72DF" w:rsidRDefault="00D75CDA" w:rsidP="00926B2A">
            <w:pPr>
              <w:jc w:val="both"/>
              <w:rPr>
                <w:b/>
                <w:sz w:val="28"/>
                <w:szCs w:val="28"/>
              </w:rPr>
            </w:pPr>
            <w:r w:rsidRPr="006B72DF">
              <w:rPr>
                <w:i/>
                <w:iCs/>
                <w:sz w:val="28"/>
                <w:szCs w:val="28"/>
              </w:rPr>
              <w:t>Lord Lambourne</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Flexibilitatea  patologică a lemnului la păr</w:t>
            </w:r>
            <w:r w:rsidRPr="006B72DF">
              <w:rPr>
                <w:iCs/>
                <w:sz w:val="28"/>
                <w:szCs w:val="28"/>
              </w:rPr>
              <w:tab/>
            </w:r>
          </w:p>
        </w:tc>
      </w:tr>
      <w:tr w:rsidR="00D75CDA" w:rsidRPr="006B72DF" w:rsidTr="00926B2A">
        <w:tc>
          <w:tcPr>
            <w:tcW w:w="10369" w:type="dxa"/>
            <w:gridSpan w:val="2"/>
          </w:tcPr>
          <w:p w:rsidR="00D75CDA" w:rsidRPr="006B72DF" w:rsidRDefault="00D75CDA" w:rsidP="00926B2A">
            <w:pPr>
              <w:jc w:val="center"/>
              <w:rPr>
                <w:b/>
                <w:bCs/>
                <w:sz w:val="28"/>
                <w:szCs w:val="28"/>
              </w:rPr>
            </w:pPr>
            <w:r w:rsidRPr="006B72DF">
              <w:rPr>
                <w:b/>
                <w:bCs/>
                <w:sz w:val="28"/>
                <w:szCs w:val="28"/>
              </w:rPr>
              <w:t>Cireş şi vişin</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 GF-305</w:t>
            </w:r>
            <w:r w:rsidRPr="006B72DF">
              <w:rPr>
                <w:i/>
                <w:iCs/>
                <w:sz w:val="28"/>
                <w:szCs w:val="28"/>
              </w:rPr>
              <w:tab/>
            </w:r>
          </w:p>
        </w:tc>
        <w:tc>
          <w:tcPr>
            <w:tcW w:w="5185" w:type="dxa"/>
          </w:tcPr>
          <w:p w:rsidR="00D75CDA" w:rsidRPr="006B72DF" w:rsidRDefault="00D75CDA" w:rsidP="00926B2A">
            <w:pPr>
              <w:jc w:val="both"/>
              <w:rPr>
                <w:b/>
                <w:sz w:val="28"/>
                <w:szCs w:val="28"/>
              </w:rPr>
            </w:pPr>
            <w:r w:rsidRPr="006B72DF">
              <w:rPr>
                <w:iCs/>
                <w:sz w:val="28"/>
                <w:szCs w:val="28"/>
              </w:rPr>
              <w:t>Mozaicul mărului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 GF-305</w:t>
            </w:r>
          </w:p>
        </w:tc>
        <w:tc>
          <w:tcPr>
            <w:tcW w:w="5185" w:type="dxa"/>
          </w:tcPr>
          <w:p w:rsidR="00D75CDA" w:rsidRPr="006B72DF" w:rsidRDefault="00D75CDA" w:rsidP="00926B2A">
            <w:pPr>
              <w:jc w:val="both"/>
              <w:rPr>
                <w:b/>
                <w:sz w:val="28"/>
                <w:szCs w:val="28"/>
              </w:rPr>
            </w:pPr>
            <w:r w:rsidRPr="006B72DF">
              <w:rPr>
                <w:iCs/>
                <w:sz w:val="28"/>
                <w:szCs w:val="28"/>
              </w:rPr>
              <w:t>Pătarea clorotică a frunzelor la măr</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serrulata Shirofugen</w:t>
            </w:r>
          </w:p>
        </w:tc>
        <w:tc>
          <w:tcPr>
            <w:tcW w:w="5185" w:type="dxa"/>
          </w:tcPr>
          <w:p w:rsidR="00D75CDA" w:rsidRPr="006B72DF" w:rsidRDefault="00D75CDA" w:rsidP="00926B2A">
            <w:pPr>
              <w:jc w:val="both"/>
              <w:rPr>
                <w:b/>
                <w:sz w:val="28"/>
                <w:szCs w:val="28"/>
              </w:rPr>
            </w:pPr>
            <w:r w:rsidRPr="006B72DF">
              <w:rPr>
                <w:iCs/>
                <w:sz w:val="28"/>
                <w:szCs w:val="28"/>
              </w:rPr>
              <w:t>Pătarea inelară necrotică</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serrulata Shirofugen, Prunus avium Bing</w:t>
            </w:r>
          </w:p>
        </w:tc>
        <w:tc>
          <w:tcPr>
            <w:tcW w:w="5185" w:type="dxa"/>
          </w:tcPr>
          <w:p w:rsidR="00D75CDA" w:rsidRPr="006B72DF" w:rsidRDefault="00D75CDA" w:rsidP="00926B2A">
            <w:pPr>
              <w:jc w:val="both"/>
              <w:rPr>
                <w:b/>
                <w:sz w:val="28"/>
                <w:szCs w:val="28"/>
              </w:rPr>
            </w:pPr>
            <w:r w:rsidRPr="006B72DF">
              <w:rPr>
                <w:iCs/>
                <w:sz w:val="28"/>
                <w:szCs w:val="28"/>
              </w:rPr>
              <w:t>Pătarea inelară clorotică</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 GF-305</w:t>
            </w:r>
          </w:p>
        </w:tc>
        <w:tc>
          <w:tcPr>
            <w:tcW w:w="5185" w:type="dxa"/>
          </w:tcPr>
          <w:p w:rsidR="00D75CDA" w:rsidRPr="006B72DF" w:rsidRDefault="00D75CDA" w:rsidP="00926B2A">
            <w:pPr>
              <w:jc w:val="both"/>
              <w:rPr>
                <w:b/>
                <w:sz w:val="28"/>
                <w:szCs w:val="28"/>
              </w:rPr>
            </w:pPr>
            <w:r w:rsidRPr="006B72DF">
              <w:rPr>
                <w:iCs/>
                <w:sz w:val="28"/>
                <w:szCs w:val="28"/>
              </w:rPr>
              <w:t>Răsucirea frunzelor la cireş</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serrulata Kwanzan</w:t>
            </w:r>
          </w:p>
        </w:tc>
        <w:tc>
          <w:tcPr>
            <w:tcW w:w="5185" w:type="dxa"/>
          </w:tcPr>
          <w:p w:rsidR="00D75CDA" w:rsidRPr="006B72DF" w:rsidRDefault="00D75CDA" w:rsidP="00926B2A">
            <w:pPr>
              <w:jc w:val="both"/>
              <w:rPr>
                <w:b/>
                <w:sz w:val="28"/>
                <w:szCs w:val="28"/>
              </w:rPr>
            </w:pPr>
            <w:r w:rsidRPr="006B72DF">
              <w:rPr>
                <w:iCs/>
                <w:sz w:val="28"/>
                <w:szCs w:val="28"/>
              </w:rPr>
              <w:t>Marmorarea inelară verde a vişinului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 xml:space="preserve">Prunus persica,GF-305,Prunus avium Bing,  </w:t>
            </w:r>
          </w:p>
          <w:p w:rsidR="00D75CDA" w:rsidRPr="006B72DF" w:rsidRDefault="00D75CDA" w:rsidP="00926B2A">
            <w:pPr>
              <w:jc w:val="both"/>
              <w:rPr>
                <w:b/>
                <w:sz w:val="28"/>
                <w:szCs w:val="28"/>
              </w:rPr>
            </w:pPr>
            <w:r w:rsidRPr="006B72DF">
              <w:rPr>
                <w:i/>
                <w:iCs/>
                <w:sz w:val="28"/>
                <w:szCs w:val="28"/>
              </w:rPr>
              <w:t>Chenopodium quinoa</w:t>
            </w:r>
          </w:p>
        </w:tc>
        <w:tc>
          <w:tcPr>
            <w:tcW w:w="5185" w:type="dxa"/>
          </w:tcPr>
          <w:p w:rsidR="00D75CDA" w:rsidRPr="006B72DF" w:rsidRDefault="00D75CDA" w:rsidP="00926B2A">
            <w:pPr>
              <w:jc w:val="both"/>
              <w:rPr>
                <w:b/>
                <w:sz w:val="28"/>
                <w:szCs w:val="28"/>
              </w:rPr>
            </w:pPr>
            <w:r w:rsidRPr="006B72DF">
              <w:rPr>
                <w:iCs/>
                <w:sz w:val="28"/>
                <w:szCs w:val="28"/>
              </w:rPr>
              <w:t>Rugozitatea europeană a cireşului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avium Sam, Mazzard f-12/1</w:t>
            </w:r>
          </w:p>
        </w:tc>
        <w:tc>
          <w:tcPr>
            <w:tcW w:w="5185" w:type="dxa"/>
          </w:tcPr>
          <w:p w:rsidR="00D75CDA" w:rsidRPr="006B72DF" w:rsidRDefault="00D75CDA" w:rsidP="00926B2A">
            <w:pPr>
              <w:jc w:val="both"/>
              <w:rPr>
                <w:b/>
                <w:sz w:val="28"/>
                <w:szCs w:val="28"/>
              </w:rPr>
            </w:pPr>
            <w:r w:rsidRPr="006B72DF">
              <w:rPr>
                <w:iCs/>
                <w:sz w:val="28"/>
                <w:szCs w:val="28"/>
              </w:rPr>
              <w:t>Nanismul fructelor de cireş</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 GF-305</w:t>
            </w:r>
          </w:p>
        </w:tc>
        <w:tc>
          <w:tcPr>
            <w:tcW w:w="5185" w:type="dxa"/>
          </w:tcPr>
          <w:p w:rsidR="00D75CDA" w:rsidRPr="006B72DF" w:rsidRDefault="00D75CDA" w:rsidP="00926B2A">
            <w:pPr>
              <w:jc w:val="both"/>
              <w:rPr>
                <w:b/>
                <w:sz w:val="28"/>
                <w:szCs w:val="28"/>
              </w:rPr>
            </w:pPr>
            <w:r w:rsidRPr="006B72DF">
              <w:rPr>
                <w:iCs/>
                <w:sz w:val="28"/>
                <w:szCs w:val="28"/>
              </w:rPr>
              <w:t>Pătarea în benzi a cireşului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w:t>
            </w:r>
          </w:p>
        </w:tc>
        <w:tc>
          <w:tcPr>
            <w:tcW w:w="5185" w:type="dxa"/>
          </w:tcPr>
          <w:p w:rsidR="00D75CDA" w:rsidRPr="006B72DF" w:rsidRDefault="00D75CDA" w:rsidP="00926B2A">
            <w:pPr>
              <w:jc w:val="both"/>
              <w:rPr>
                <w:b/>
                <w:sz w:val="28"/>
                <w:szCs w:val="28"/>
              </w:rPr>
            </w:pPr>
            <w:r w:rsidRPr="006B72DF">
              <w:rPr>
                <w:iCs/>
                <w:sz w:val="28"/>
                <w:szCs w:val="28"/>
              </w:rPr>
              <w:t>Strierea tulpinii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 Prunus virginiana</w:t>
            </w:r>
          </w:p>
        </w:tc>
        <w:tc>
          <w:tcPr>
            <w:tcW w:w="5185" w:type="dxa"/>
          </w:tcPr>
          <w:p w:rsidR="00D75CDA" w:rsidRPr="006B72DF" w:rsidRDefault="00D75CDA" w:rsidP="00926B2A">
            <w:pPr>
              <w:jc w:val="both"/>
              <w:rPr>
                <w:b/>
                <w:sz w:val="28"/>
                <w:szCs w:val="28"/>
              </w:rPr>
            </w:pPr>
            <w:r w:rsidRPr="006B72DF">
              <w:rPr>
                <w:iCs/>
                <w:sz w:val="28"/>
                <w:szCs w:val="28"/>
              </w:rPr>
              <w:t>Boala x de vest a cireşului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persica,GF-305,Prunus avium Bing, Chenopodium quinoa</w:t>
            </w:r>
          </w:p>
        </w:tc>
        <w:tc>
          <w:tcPr>
            <w:tcW w:w="5185" w:type="dxa"/>
          </w:tcPr>
          <w:p w:rsidR="00D75CDA" w:rsidRPr="006B72DF" w:rsidRDefault="00D75CDA" w:rsidP="00926B2A">
            <w:pPr>
              <w:jc w:val="both"/>
              <w:rPr>
                <w:b/>
                <w:sz w:val="28"/>
                <w:szCs w:val="28"/>
              </w:rPr>
            </w:pPr>
            <w:r w:rsidRPr="006B72DF">
              <w:rPr>
                <w:iCs/>
                <w:sz w:val="28"/>
                <w:szCs w:val="28"/>
              </w:rPr>
              <w:t>Mozaicul virotic „Arabic”</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persica,GF-305, Prunus avium Bing, Sam, Chenopodium quinoa</w:t>
            </w:r>
          </w:p>
        </w:tc>
        <w:tc>
          <w:tcPr>
            <w:tcW w:w="5185" w:type="dxa"/>
          </w:tcPr>
          <w:p w:rsidR="00D75CDA" w:rsidRPr="006B72DF" w:rsidRDefault="00D75CDA" w:rsidP="00926B2A">
            <w:pPr>
              <w:jc w:val="both"/>
              <w:rPr>
                <w:b/>
                <w:sz w:val="28"/>
                <w:szCs w:val="28"/>
              </w:rPr>
            </w:pPr>
            <w:r w:rsidRPr="006B72DF">
              <w:rPr>
                <w:iCs/>
                <w:sz w:val="28"/>
                <w:szCs w:val="28"/>
              </w:rPr>
              <w:t>Marmorarea frunzelor la cireş</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 xml:space="preserve">Prunus persica,GF-305,Prunus avium Bing, </w:t>
            </w:r>
          </w:p>
          <w:p w:rsidR="00D75CDA" w:rsidRPr="006B72DF" w:rsidRDefault="00D75CDA" w:rsidP="00926B2A">
            <w:pPr>
              <w:jc w:val="both"/>
              <w:rPr>
                <w:b/>
                <w:sz w:val="28"/>
                <w:szCs w:val="28"/>
              </w:rPr>
            </w:pPr>
            <w:r w:rsidRPr="006B72DF">
              <w:rPr>
                <w:i/>
                <w:iCs/>
                <w:sz w:val="28"/>
                <w:szCs w:val="28"/>
              </w:rPr>
              <w:t>Chenopodium quinoa</w:t>
            </w:r>
          </w:p>
        </w:tc>
        <w:tc>
          <w:tcPr>
            <w:tcW w:w="5185" w:type="dxa"/>
          </w:tcPr>
          <w:p w:rsidR="00D75CDA" w:rsidRPr="006B72DF" w:rsidRDefault="00D75CDA" w:rsidP="00926B2A">
            <w:pPr>
              <w:jc w:val="both"/>
              <w:rPr>
                <w:b/>
                <w:sz w:val="28"/>
                <w:szCs w:val="28"/>
              </w:rPr>
            </w:pPr>
            <w:r w:rsidRPr="006B72DF">
              <w:rPr>
                <w:iCs/>
                <w:sz w:val="28"/>
                <w:szCs w:val="28"/>
              </w:rPr>
              <w:t>Pătarea neagră inelară a tomatelor</w:t>
            </w:r>
          </w:p>
        </w:tc>
      </w:tr>
      <w:tr w:rsidR="00D75CDA" w:rsidRPr="006B72DF" w:rsidTr="00926B2A">
        <w:tc>
          <w:tcPr>
            <w:tcW w:w="10369" w:type="dxa"/>
            <w:gridSpan w:val="2"/>
          </w:tcPr>
          <w:p w:rsidR="00D75CDA" w:rsidRPr="006B72DF" w:rsidRDefault="00D75CDA" w:rsidP="00926B2A">
            <w:pPr>
              <w:jc w:val="center"/>
              <w:rPr>
                <w:b/>
                <w:bCs/>
                <w:sz w:val="28"/>
                <w:szCs w:val="28"/>
              </w:rPr>
            </w:pPr>
            <w:r w:rsidRPr="006B72DF">
              <w:rPr>
                <w:b/>
                <w:bCs/>
                <w:sz w:val="28"/>
                <w:szCs w:val="28"/>
              </w:rPr>
              <w:t>Prun, cais, piersic şi migdal</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Prunus persica,GF-305,</w:t>
            </w:r>
          </w:p>
          <w:p w:rsidR="00D75CDA" w:rsidRPr="006B72DF" w:rsidRDefault="00D75CDA" w:rsidP="00926B2A">
            <w:pPr>
              <w:jc w:val="both"/>
              <w:rPr>
                <w:b/>
                <w:sz w:val="28"/>
                <w:szCs w:val="28"/>
              </w:rPr>
            </w:pPr>
            <w:r w:rsidRPr="006B72DF">
              <w:rPr>
                <w:i/>
                <w:iCs/>
                <w:sz w:val="28"/>
                <w:szCs w:val="28"/>
              </w:rPr>
              <w:t>Prunus tomentosa, Malus platycarpa</w:t>
            </w:r>
          </w:p>
        </w:tc>
        <w:tc>
          <w:tcPr>
            <w:tcW w:w="5185" w:type="dxa"/>
          </w:tcPr>
          <w:p w:rsidR="00D75CDA" w:rsidRPr="006B72DF" w:rsidRDefault="00D75CDA" w:rsidP="00926B2A">
            <w:pPr>
              <w:jc w:val="both"/>
              <w:rPr>
                <w:b/>
                <w:sz w:val="28"/>
                <w:szCs w:val="28"/>
              </w:rPr>
            </w:pPr>
            <w:r w:rsidRPr="006B72DF">
              <w:rPr>
                <w:iCs/>
                <w:sz w:val="28"/>
                <w:szCs w:val="28"/>
              </w:rPr>
              <w:t>Pătarea clorotică a frunzelor la măr</w:t>
            </w:r>
            <w:r>
              <w:rPr>
                <w:iCs/>
                <w:sz w:val="28"/>
                <w:szCs w:val="28"/>
              </w:rPr>
              <w:t>,</w:t>
            </w:r>
            <w:r w:rsidRPr="006B72DF">
              <w:rPr>
                <w:iCs/>
                <w:sz w:val="28"/>
                <w:szCs w:val="28"/>
              </w:rPr>
              <w:t xml:space="preserve"> </w:t>
            </w:r>
            <w:r>
              <w:rPr>
                <w:iCs/>
                <w:sz w:val="28"/>
                <w:szCs w:val="28"/>
              </w:rPr>
              <w:t>v</w:t>
            </w:r>
            <w:r w:rsidRPr="006B72DF">
              <w:rPr>
                <w:iCs/>
                <w:sz w:val="28"/>
                <w:szCs w:val="28"/>
              </w:rPr>
              <w:t>ărsatul fals al prunului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Tuleu dulce</w:t>
            </w:r>
          </w:p>
        </w:tc>
        <w:tc>
          <w:tcPr>
            <w:tcW w:w="5185" w:type="dxa"/>
          </w:tcPr>
          <w:p w:rsidR="00D75CDA" w:rsidRPr="006B72DF" w:rsidRDefault="00D75CDA" w:rsidP="00926B2A">
            <w:pPr>
              <w:jc w:val="both"/>
              <w:rPr>
                <w:b/>
                <w:sz w:val="28"/>
                <w:szCs w:val="28"/>
              </w:rPr>
            </w:pPr>
            <w:r w:rsidRPr="006B72DF">
              <w:rPr>
                <w:iCs/>
                <w:sz w:val="28"/>
                <w:szCs w:val="28"/>
              </w:rPr>
              <w:t>Vărsatul prunului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w:t>
            </w:r>
          </w:p>
        </w:tc>
        <w:tc>
          <w:tcPr>
            <w:tcW w:w="5185" w:type="dxa"/>
          </w:tcPr>
          <w:p w:rsidR="00D75CDA" w:rsidRPr="006B72DF" w:rsidRDefault="00D75CDA" w:rsidP="00926B2A">
            <w:pPr>
              <w:jc w:val="both"/>
              <w:rPr>
                <w:b/>
                <w:sz w:val="28"/>
                <w:szCs w:val="28"/>
              </w:rPr>
            </w:pPr>
            <w:r w:rsidRPr="006B72DF">
              <w:rPr>
                <w:iCs/>
                <w:sz w:val="28"/>
                <w:szCs w:val="28"/>
              </w:rPr>
              <w:t>Piticirea  prunului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persica,GF- 305</w:t>
            </w:r>
          </w:p>
        </w:tc>
        <w:tc>
          <w:tcPr>
            <w:tcW w:w="5185" w:type="dxa"/>
          </w:tcPr>
          <w:p w:rsidR="00D75CDA" w:rsidRPr="006B72DF" w:rsidRDefault="00D75CDA" w:rsidP="00926B2A">
            <w:pPr>
              <w:jc w:val="both"/>
              <w:rPr>
                <w:b/>
                <w:sz w:val="28"/>
                <w:szCs w:val="28"/>
              </w:rPr>
            </w:pPr>
            <w:r w:rsidRPr="006B72DF">
              <w:rPr>
                <w:iCs/>
                <w:sz w:val="28"/>
                <w:szCs w:val="28"/>
              </w:rPr>
              <w:t>Pătarea inelară necrotică</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 GF- 305</w:t>
            </w:r>
          </w:p>
        </w:tc>
        <w:tc>
          <w:tcPr>
            <w:tcW w:w="5185" w:type="dxa"/>
          </w:tcPr>
          <w:p w:rsidR="00D75CDA" w:rsidRPr="006B72DF" w:rsidRDefault="00D75CDA" w:rsidP="00926B2A">
            <w:pPr>
              <w:jc w:val="both"/>
              <w:rPr>
                <w:b/>
                <w:sz w:val="28"/>
                <w:szCs w:val="28"/>
              </w:rPr>
            </w:pPr>
            <w:r w:rsidRPr="006B72DF">
              <w:rPr>
                <w:iCs/>
                <w:sz w:val="28"/>
                <w:szCs w:val="28"/>
              </w:rPr>
              <w:t>Mozaicul mărului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 xml:space="preserve">Prunus persica,GF-305,Prunus avium Bing, </w:t>
            </w:r>
          </w:p>
          <w:p w:rsidR="00D75CDA" w:rsidRPr="006B72DF" w:rsidRDefault="00D75CDA" w:rsidP="00926B2A">
            <w:pPr>
              <w:jc w:val="both"/>
              <w:rPr>
                <w:b/>
                <w:sz w:val="28"/>
                <w:szCs w:val="28"/>
              </w:rPr>
            </w:pPr>
            <w:r w:rsidRPr="006B72DF">
              <w:rPr>
                <w:i/>
                <w:iCs/>
                <w:sz w:val="28"/>
                <w:szCs w:val="28"/>
              </w:rPr>
              <w:t>Chenopodium quinoa</w:t>
            </w:r>
          </w:p>
        </w:tc>
        <w:tc>
          <w:tcPr>
            <w:tcW w:w="5185" w:type="dxa"/>
          </w:tcPr>
          <w:p w:rsidR="00D75CDA" w:rsidRPr="006B72DF" w:rsidRDefault="00D75CDA" w:rsidP="00926B2A">
            <w:pPr>
              <w:jc w:val="both"/>
              <w:rPr>
                <w:b/>
                <w:sz w:val="28"/>
                <w:szCs w:val="28"/>
              </w:rPr>
            </w:pPr>
            <w:r w:rsidRPr="006B72DF">
              <w:rPr>
                <w:iCs/>
                <w:sz w:val="28"/>
                <w:szCs w:val="28"/>
              </w:rPr>
              <w:t>Pătarea neagră inelară a tomatelor</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lastRenderedPageBreak/>
              <w:t>Chenopodium quinoa</w:t>
            </w:r>
          </w:p>
        </w:tc>
        <w:tc>
          <w:tcPr>
            <w:tcW w:w="5185" w:type="dxa"/>
          </w:tcPr>
          <w:p w:rsidR="00D75CDA" w:rsidRPr="006B72DF" w:rsidRDefault="00D75CDA" w:rsidP="00926B2A">
            <w:pPr>
              <w:jc w:val="both"/>
              <w:rPr>
                <w:b/>
                <w:sz w:val="28"/>
                <w:szCs w:val="28"/>
              </w:rPr>
            </w:pPr>
            <w:r w:rsidRPr="006B72DF">
              <w:rPr>
                <w:iCs/>
                <w:sz w:val="28"/>
                <w:szCs w:val="28"/>
              </w:rPr>
              <w:t>Pătarea inelară latentă a căpşunului</w:t>
            </w:r>
          </w:p>
        </w:tc>
      </w:tr>
      <w:tr w:rsidR="00D75CDA" w:rsidRPr="006B72DF" w:rsidTr="00926B2A">
        <w:tc>
          <w:tcPr>
            <w:tcW w:w="5184" w:type="dxa"/>
          </w:tcPr>
          <w:p w:rsidR="00D75CDA" w:rsidRPr="006B72DF" w:rsidRDefault="00D75CDA" w:rsidP="00926B2A">
            <w:pPr>
              <w:jc w:val="both"/>
              <w:rPr>
                <w:b/>
                <w:sz w:val="28"/>
                <w:szCs w:val="28"/>
              </w:rPr>
            </w:pPr>
            <w:r w:rsidRPr="006B72DF">
              <w:rPr>
                <w:i/>
                <w:iCs/>
                <w:sz w:val="28"/>
                <w:szCs w:val="28"/>
              </w:rPr>
              <w:t>Prunus persica,GF-305</w:t>
            </w:r>
          </w:p>
        </w:tc>
        <w:tc>
          <w:tcPr>
            <w:tcW w:w="5185" w:type="dxa"/>
          </w:tcPr>
          <w:p w:rsidR="00D75CDA" w:rsidRPr="006B72DF" w:rsidRDefault="00D75CDA" w:rsidP="00926B2A">
            <w:pPr>
              <w:jc w:val="both"/>
              <w:rPr>
                <w:iCs/>
                <w:sz w:val="28"/>
                <w:szCs w:val="28"/>
              </w:rPr>
            </w:pPr>
            <w:r w:rsidRPr="006B72DF">
              <w:rPr>
                <w:iCs/>
                <w:sz w:val="28"/>
                <w:szCs w:val="28"/>
              </w:rPr>
              <w:t>Mozaicul în benzi</w:t>
            </w:r>
          </w:p>
        </w:tc>
      </w:tr>
      <w:tr w:rsidR="00D75CDA" w:rsidRPr="006B72DF" w:rsidTr="00926B2A">
        <w:tc>
          <w:tcPr>
            <w:tcW w:w="10369" w:type="dxa"/>
            <w:gridSpan w:val="2"/>
          </w:tcPr>
          <w:p w:rsidR="00D75CDA" w:rsidRPr="006B72DF" w:rsidRDefault="00D75CDA" w:rsidP="00926B2A">
            <w:pPr>
              <w:jc w:val="center"/>
              <w:rPr>
                <w:b/>
                <w:bCs/>
                <w:sz w:val="28"/>
                <w:szCs w:val="28"/>
              </w:rPr>
            </w:pPr>
            <w:r w:rsidRPr="006B72DF">
              <w:rPr>
                <w:b/>
                <w:bCs/>
                <w:sz w:val="28"/>
                <w:szCs w:val="28"/>
              </w:rPr>
              <w:t>Căpşun</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Fragaria vesca UC 4, UC 5, UC 6</w:t>
            </w:r>
          </w:p>
        </w:tc>
        <w:tc>
          <w:tcPr>
            <w:tcW w:w="5185" w:type="dxa"/>
          </w:tcPr>
          <w:p w:rsidR="00D75CDA" w:rsidRPr="006B72DF" w:rsidRDefault="00D75CDA" w:rsidP="00926B2A">
            <w:pPr>
              <w:jc w:val="both"/>
              <w:rPr>
                <w:iCs/>
                <w:sz w:val="28"/>
                <w:szCs w:val="28"/>
              </w:rPr>
            </w:pPr>
            <w:r w:rsidRPr="006B72DF">
              <w:rPr>
                <w:iCs/>
                <w:sz w:val="28"/>
                <w:szCs w:val="28"/>
              </w:rPr>
              <w:t>Marmorarea căpşunului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UC 4, UC 5, UC 6</w:t>
            </w:r>
          </w:p>
        </w:tc>
        <w:tc>
          <w:tcPr>
            <w:tcW w:w="5185" w:type="dxa"/>
          </w:tcPr>
          <w:p w:rsidR="00D75CDA" w:rsidRPr="006B72DF" w:rsidRDefault="00D75CDA" w:rsidP="00926B2A">
            <w:pPr>
              <w:jc w:val="both"/>
              <w:rPr>
                <w:iCs/>
                <w:sz w:val="28"/>
                <w:szCs w:val="28"/>
              </w:rPr>
            </w:pPr>
            <w:r w:rsidRPr="006B72DF">
              <w:rPr>
                <w:iCs/>
                <w:sz w:val="28"/>
                <w:szCs w:val="28"/>
              </w:rPr>
              <w:t>Zbîrcirea căpşunului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UC 4, UC 5, UC 6,</w:t>
            </w:r>
          </w:p>
        </w:tc>
        <w:tc>
          <w:tcPr>
            <w:tcW w:w="5185" w:type="dxa"/>
          </w:tcPr>
          <w:p w:rsidR="00D75CDA" w:rsidRPr="006B72DF" w:rsidRDefault="00D75CDA" w:rsidP="00926B2A">
            <w:pPr>
              <w:jc w:val="both"/>
              <w:rPr>
                <w:iCs/>
                <w:sz w:val="28"/>
                <w:szCs w:val="28"/>
              </w:rPr>
            </w:pPr>
            <w:r w:rsidRPr="006B72DF">
              <w:rPr>
                <w:iCs/>
                <w:sz w:val="28"/>
                <w:szCs w:val="28"/>
              </w:rPr>
              <w:t>Îngălbenirea slabă a marginilor la frunze</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UC 6, Fragaria virginiana UC 12</w:t>
            </w:r>
          </w:p>
        </w:tc>
        <w:tc>
          <w:tcPr>
            <w:tcW w:w="5185" w:type="dxa"/>
          </w:tcPr>
          <w:p w:rsidR="00D75CDA" w:rsidRPr="006B72DF" w:rsidRDefault="00D75CDA" w:rsidP="00926B2A">
            <w:pPr>
              <w:jc w:val="both"/>
              <w:rPr>
                <w:iCs/>
                <w:sz w:val="28"/>
                <w:szCs w:val="28"/>
              </w:rPr>
            </w:pPr>
            <w:r w:rsidRPr="006B72DF">
              <w:rPr>
                <w:iCs/>
                <w:sz w:val="28"/>
                <w:szCs w:val="28"/>
              </w:rPr>
              <w:t>Mozaicul în bandă al nervurilor</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w:t>
            </w:r>
          </w:p>
        </w:tc>
        <w:tc>
          <w:tcPr>
            <w:tcW w:w="5185" w:type="dxa"/>
          </w:tcPr>
          <w:p w:rsidR="00D75CDA" w:rsidRPr="006B72DF" w:rsidRDefault="00D75CDA" w:rsidP="00926B2A">
            <w:pPr>
              <w:jc w:val="both"/>
              <w:rPr>
                <w:iCs/>
                <w:sz w:val="28"/>
                <w:szCs w:val="28"/>
              </w:rPr>
            </w:pPr>
            <w:r w:rsidRPr="006B72DF">
              <w:rPr>
                <w:iCs/>
                <w:sz w:val="28"/>
                <w:szCs w:val="28"/>
              </w:rPr>
              <w:t>Mozaicul virotic „Arabic”</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w:t>
            </w:r>
          </w:p>
        </w:tc>
        <w:tc>
          <w:tcPr>
            <w:tcW w:w="5185" w:type="dxa"/>
          </w:tcPr>
          <w:p w:rsidR="00D75CDA" w:rsidRPr="006B72DF" w:rsidRDefault="00D75CDA" w:rsidP="00926B2A">
            <w:pPr>
              <w:jc w:val="both"/>
              <w:rPr>
                <w:iCs/>
                <w:sz w:val="28"/>
                <w:szCs w:val="28"/>
              </w:rPr>
            </w:pPr>
            <w:r w:rsidRPr="006B72DF">
              <w:rPr>
                <w:iCs/>
                <w:sz w:val="28"/>
                <w:szCs w:val="28"/>
              </w:rPr>
              <w:t>Pătarea inelară virotică latentă a căpşunului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w:t>
            </w:r>
          </w:p>
        </w:tc>
        <w:tc>
          <w:tcPr>
            <w:tcW w:w="5185" w:type="dxa"/>
          </w:tcPr>
          <w:p w:rsidR="00D75CDA" w:rsidRPr="006B72DF" w:rsidRDefault="00D75CDA" w:rsidP="00926B2A">
            <w:pPr>
              <w:jc w:val="both"/>
              <w:rPr>
                <w:iCs/>
                <w:sz w:val="28"/>
                <w:szCs w:val="28"/>
              </w:rPr>
            </w:pPr>
            <w:r w:rsidRPr="006B72DF">
              <w:rPr>
                <w:iCs/>
                <w:sz w:val="28"/>
                <w:szCs w:val="28"/>
              </w:rPr>
              <w:t>Pătarea neagră inelară a tomatelor</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w:t>
            </w:r>
          </w:p>
        </w:tc>
        <w:tc>
          <w:tcPr>
            <w:tcW w:w="5185" w:type="dxa"/>
          </w:tcPr>
          <w:p w:rsidR="00D75CDA" w:rsidRPr="006B72DF" w:rsidRDefault="00D75CDA" w:rsidP="00926B2A">
            <w:pPr>
              <w:jc w:val="both"/>
              <w:rPr>
                <w:iCs/>
                <w:sz w:val="28"/>
                <w:szCs w:val="28"/>
              </w:rPr>
            </w:pPr>
            <w:r w:rsidRPr="006B72DF">
              <w:rPr>
                <w:iCs/>
                <w:sz w:val="28"/>
                <w:szCs w:val="28"/>
              </w:rPr>
              <w:t>Pătarea inelară a zmeurului</w:t>
            </w:r>
          </w:p>
        </w:tc>
      </w:tr>
      <w:tr w:rsidR="00D75CDA" w:rsidRPr="006B72DF" w:rsidTr="00926B2A">
        <w:tc>
          <w:tcPr>
            <w:tcW w:w="10369" w:type="dxa"/>
            <w:gridSpan w:val="2"/>
          </w:tcPr>
          <w:p w:rsidR="00D75CDA" w:rsidRPr="006B72DF" w:rsidRDefault="00D75CDA" w:rsidP="00926B2A">
            <w:pPr>
              <w:jc w:val="center"/>
              <w:rPr>
                <w:b/>
                <w:bCs/>
                <w:sz w:val="28"/>
                <w:szCs w:val="28"/>
              </w:rPr>
            </w:pPr>
            <w:r w:rsidRPr="006B72DF">
              <w:rPr>
                <w:b/>
                <w:bCs/>
                <w:sz w:val="28"/>
                <w:szCs w:val="28"/>
              </w:rPr>
              <w:t>Zmeur şi mur</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Crocus sativus, Chenopodium quinoa, Nicotiana clevelandii</w:t>
            </w:r>
          </w:p>
        </w:tc>
        <w:tc>
          <w:tcPr>
            <w:tcW w:w="5185" w:type="dxa"/>
          </w:tcPr>
          <w:p w:rsidR="00D75CDA" w:rsidRPr="006B72DF" w:rsidRDefault="00D75CDA" w:rsidP="00926B2A">
            <w:pPr>
              <w:jc w:val="both"/>
              <w:rPr>
                <w:iCs/>
                <w:sz w:val="28"/>
                <w:szCs w:val="28"/>
              </w:rPr>
            </w:pPr>
            <w:r w:rsidRPr="006B72DF">
              <w:rPr>
                <w:iCs/>
                <w:sz w:val="28"/>
                <w:szCs w:val="28"/>
              </w:rPr>
              <w:t xml:space="preserve">Răsucirea frunzelor la cireş la genul </w:t>
            </w:r>
            <w:r w:rsidRPr="006B72DF">
              <w:rPr>
                <w:i/>
                <w:iCs/>
                <w:sz w:val="28"/>
                <w:szCs w:val="28"/>
              </w:rPr>
              <w:t>Rubus</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Crocus sativus, Chenopodium quinoa, Nicotiana clevelandii</w:t>
            </w:r>
          </w:p>
        </w:tc>
        <w:tc>
          <w:tcPr>
            <w:tcW w:w="5185" w:type="dxa"/>
          </w:tcPr>
          <w:p w:rsidR="00D75CDA" w:rsidRPr="006B72DF" w:rsidRDefault="00D75CDA" w:rsidP="00926B2A">
            <w:pPr>
              <w:jc w:val="both"/>
              <w:rPr>
                <w:iCs/>
                <w:sz w:val="28"/>
                <w:szCs w:val="28"/>
              </w:rPr>
            </w:pPr>
            <w:r w:rsidRPr="006B72DF">
              <w:rPr>
                <w:iCs/>
                <w:sz w:val="28"/>
                <w:szCs w:val="28"/>
              </w:rPr>
              <w:t>Mozaicul virotic „Arabic”</w:t>
            </w:r>
          </w:p>
        </w:tc>
      </w:tr>
      <w:tr w:rsidR="00D75CDA" w:rsidRPr="006B72DF" w:rsidTr="00926B2A">
        <w:tc>
          <w:tcPr>
            <w:tcW w:w="5184" w:type="dxa"/>
          </w:tcPr>
          <w:p w:rsidR="00D75CDA" w:rsidRPr="006B72DF" w:rsidRDefault="00D75CDA" w:rsidP="00926B2A">
            <w:pPr>
              <w:jc w:val="both"/>
              <w:rPr>
                <w:i/>
                <w:iCs/>
                <w:sz w:val="28"/>
                <w:szCs w:val="28"/>
              </w:rPr>
            </w:pPr>
            <w:r w:rsidRPr="006B72DF">
              <w:rPr>
                <w:sz w:val="28"/>
                <w:szCs w:val="28"/>
              </w:rPr>
              <w:t>Crocus sativus. Ch</w:t>
            </w:r>
            <w:r w:rsidRPr="006B72DF">
              <w:rPr>
                <w:i/>
                <w:iCs/>
                <w:sz w:val="28"/>
                <w:szCs w:val="28"/>
              </w:rPr>
              <w:t xml:space="preserve">enopodium </w:t>
            </w:r>
            <w:r w:rsidRPr="006B72DF">
              <w:rPr>
                <w:sz w:val="28"/>
                <w:szCs w:val="28"/>
              </w:rPr>
              <w:t xml:space="preserve">quinoa, </w:t>
            </w:r>
            <w:r w:rsidRPr="006B72DF">
              <w:rPr>
                <w:i/>
                <w:sz w:val="28"/>
                <w:szCs w:val="28"/>
              </w:rPr>
              <w:t>N</w:t>
            </w:r>
            <w:r w:rsidRPr="006B72DF">
              <w:rPr>
                <w:i/>
                <w:iCs/>
                <w:sz w:val="28"/>
                <w:szCs w:val="28"/>
              </w:rPr>
              <w:t>icotiana</w:t>
            </w:r>
            <w:r w:rsidRPr="006B72DF">
              <w:rPr>
                <w:sz w:val="28"/>
                <w:szCs w:val="28"/>
              </w:rPr>
              <w:t>. clevelandii</w:t>
            </w:r>
          </w:p>
        </w:tc>
        <w:tc>
          <w:tcPr>
            <w:tcW w:w="5185" w:type="dxa"/>
          </w:tcPr>
          <w:p w:rsidR="00D75CDA" w:rsidRPr="006B72DF" w:rsidRDefault="00D75CDA" w:rsidP="00926B2A">
            <w:pPr>
              <w:jc w:val="both"/>
              <w:rPr>
                <w:iCs/>
                <w:sz w:val="28"/>
                <w:szCs w:val="28"/>
              </w:rPr>
            </w:pPr>
            <w:r w:rsidRPr="006B72DF">
              <w:rPr>
                <w:iCs/>
                <w:sz w:val="28"/>
                <w:szCs w:val="28"/>
              </w:rPr>
              <w:t>Pătarea inelară latentă a căpşunului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Crocus sativus, Chenopodium quinoa, Nicotiana clevelandii</w:t>
            </w:r>
          </w:p>
        </w:tc>
        <w:tc>
          <w:tcPr>
            <w:tcW w:w="5185" w:type="dxa"/>
          </w:tcPr>
          <w:p w:rsidR="00D75CDA" w:rsidRPr="006B72DF" w:rsidRDefault="00D75CDA" w:rsidP="00926B2A">
            <w:pPr>
              <w:jc w:val="both"/>
              <w:rPr>
                <w:iCs/>
                <w:sz w:val="28"/>
                <w:szCs w:val="28"/>
              </w:rPr>
            </w:pPr>
            <w:r w:rsidRPr="006B72DF">
              <w:rPr>
                <w:iCs/>
                <w:sz w:val="28"/>
                <w:szCs w:val="28"/>
              </w:rPr>
              <w:t>Pătarea inelară a zmeurului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Crocus sativus, Chenopodium quinoa, Nicotiana clevelandii</w:t>
            </w:r>
          </w:p>
        </w:tc>
        <w:tc>
          <w:tcPr>
            <w:tcW w:w="5185" w:type="dxa"/>
          </w:tcPr>
          <w:p w:rsidR="00D75CDA" w:rsidRPr="006B72DF" w:rsidRDefault="00D75CDA" w:rsidP="00926B2A">
            <w:pPr>
              <w:jc w:val="both"/>
              <w:rPr>
                <w:iCs/>
                <w:sz w:val="28"/>
                <w:szCs w:val="28"/>
              </w:rPr>
            </w:pPr>
            <w:r w:rsidRPr="006B72DF">
              <w:rPr>
                <w:iCs/>
                <w:sz w:val="28"/>
                <w:szCs w:val="28"/>
              </w:rPr>
              <w:t>Pătarea neagră inelară a tomatelor</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Crocus sativus</w:t>
            </w:r>
          </w:p>
        </w:tc>
        <w:tc>
          <w:tcPr>
            <w:tcW w:w="5185" w:type="dxa"/>
          </w:tcPr>
          <w:p w:rsidR="00D75CDA" w:rsidRPr="006B72DF" w:rsidRDefault="00D75CDA" w:rsidP="00926B2A">
            <w:pPr>
              <w:jc w:val="both"/>
              <w:rPr>
                <w:iCs/>
                <w:sz w:val="28"/>
                <w:szCs w:val="28"/>
              </w:rPr>
            </w:pPr>
            <w:r w:rsidRPr="006B72DF">
              <w:rPr>
                <w:iCs/>
                <w:sz w:val="28"/>
                <w:szCs w:val="28"/>
              </w:rPr>
              <w:t>Mozaicul castraveţilor</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 Lloid George, Rubus henry</w:t>
            </w:r>
          </w:p>
        </w:tc>
        <w:tc>
          <w:tcPr>
            <w:tcW w:w="5185" w:type="dxa"/>
          </w:tcPr>
          <w:p w:rsidR="00D75CDA" w:rsidRPr="006B72DF" w:rsidRDefault="00D75CDA" w:rsidP="00926B2A">
            <w:pPr>
              <w:jc w:val="both"/>
              <w:rPr>
                <w:iCs/>
                <w:sz w:val="28"/>
                <w:szCs w:val="28"/>
              </w:rPr>
            </w:pPr>
            <w:r w:rsidRPr="006B72DF">
              <w:rPr>
                <w:iCs/>
                <w:sz w:val="28"/>
                <w:szCs w:val="28"/>
              </w:rPr>
              <w:t>Piticirea tufoasă a zmeurului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w:t>
            </w:r>
          </w:p>
        </w:tc>
        <w:tc>
          <w:tcPr>
            <w:tcW w:w="5185" w:type="dxa"/>
          </w:tcPr>
          <w:p w:rsidR="00D75CDA" w:rsidRPr="006B72DF" w:rsidRDefault="00D75CDA" w:rsidP="00926B2A">
            <w:pPr>
              <w:jc w:val="both"/>
              <w:rPr>
                <w:iCs/>
                <w:sz w:val="28"/>
                <w:szCs w:val="28"/>
              </w:rPr>
            </w:pPr>
            <w:r w:rsidRPr="006B72DF">
              <w:rPr>
                <w:iCs/>
                <w:sz w:val="28"/>
                <w:szCs w:val="28"/>
              </w:rPr>
              <w:t xml:space="preserve">Piticirea galbenă a zmeurului </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Rubus occidentalis, Rubus henry</w:t>
            </w:r>
          </w:p>
        </w:tc>
        <w:tc>
          <w:tcPr>
            <w:tcW w:w="5185" w:type="dxa"/>
          </w:tcPr>
          <w:p w:rsidR="00D75CDA" w:rsidRPr="006B72DF" w:rsidRDefault="00D75CDA" w:rsidP="00926B2A">
            <w:pPr>
              <w:jc w:val="both"/>
              <w:rPr>
                <w:iCs/>
                <w:sz w:val="28"/>
                <w:szCs w:val="28"/>
              </w:rPr>
            </w:pPr>
            <w:r w:rsidRPr="006B72DF">
              <w:rPr>
                <w:iCs/>
                <w:sz w:val="28"/>
                <w:szCs w:val="28"/>
              </w:rPr>
              <w:t>Mozaicul zmeurului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Rubus occidentalis</w:t>
            </w:r>
          </w:p>
        </w:tc>
        <w:tc>
          <w:tcPr>
            <w:tcW w:w="5185" w:type="dxa"/>
          </w:tcPr>
          <w:p w:rsidR="00D75CDA" w:rsidRPr="006B72DF" w:rsidRDefault="00D75CDA" w:rsidP="00926B2A">
            <w:pPr>
              <w:jc w:val="both"/>
              <w:rPr>
                <w:iCs/>
                <w:sz w:val="28"/>
                <w:szCs w:val="28"/>
              </w:rPr>
            </w:pPr>
            <w:r w:rsidRPr="006B72DF">
              <w:rPr>
                <w:iCs/>
                <w:sz w:val="28"/>
                <w:szCs w:val="28"/>
              </w:rPr>
              <w:t xml:space="preserve">Mozaicul galben în formă de plasă la </w:t>
            </w:r>
            <w:r w:rsidRPr="006B72DF">
              <w:rPr>
                <w:i/>
                <w:iCs/>
                <w:sz w:val="28"/>
                <w:szCs w:val="28"/>
              </w:rPr>
              <w:t>Rubus</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Rubus occidentalis, v. Norfolk Giant</w:t>
            </w:r>
          </w:p>
        </w:tc>
        <w:tc>
          <w:tcPr>
            <w:tcW w:w="5185" w:type="dxa"/>
          </w:tcPr>
          <w:p w:rsidR="00D75CDA" w:rsidRPr="006B72DF" w:rsidRDefault="00D75CDA" w:rsidP="00926B2A">
            <w:pPr>
              <w:jc w:val="both"/>
              <w:rPr>
                <w:iCs/>
                <w:sz w:val="28"/>
                <w:szCs w:val="28"/>
              </w:rPr>
            </w:pPr>
            <w:r w:rsidRPr="006B72DF">
              <w:rPr>
                <w:iCs/>
                <w:sz w:val="28"/>
                <w:szCs w:val="28"/>
              </w:rPr>
              <w:t>Marmorarea frunzelor şi pătarea frunzelor la zmeur</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Rubus occidentalis, Rubus henry</w:t>
            </w:r>
            <w:r w:rsidRPr="006B72DF">
              <w:rPr>
                <w:i/>
                <w:iCs/>
                <w:sz w:val="28"/>
                <w:szCs w:val="28"/>
              </w:rPr>
              <w:tab/>
            </w:r>
          </w:p>
        </w:tc>
        <w:tc>
          <w:tcPr>
            <w:tcW w:w="5185" w:type="dxa"/>
          </w:tcPr>
          <w:p w:rsidR="00D75CDA" w:rsidRPr="006B72DF" w:rsidRDefault="00D75CDA" w:rsidP="00926B2A">
            <w:pPr>
              <w:jc w:val="both"/>
              <w:rPr>
                <w:iCs/>
                <w:sz w:val="28"/>
                <w:szCs w:val="28"/>
              </w:rPr>
            </w:pPr>
            <w:r w:rsidRPr="006B72DF">
              <w:rPr>
                <w:iCs/>
                <w:sz w:val="28"/>
                <w:szCs w:val="28"/>
              </w:rPr>
              <w:t>Necroza murului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Lloid George, Norfolk Giant</w:t>
            </w:r>
          </w:p>
        </w:tc>
        <w:tc>
          <w:tcPr>
            <w:tcW w:w="5185" w:type="dxa"/>
          </w:tcPr>
          <w:p w:rsidR="00D75CDA" w:rsidRPr="006B72DF" w:rsidRDefault="00D75CDA" w:rsidP="00926B2A">
            <w:pPr>
              <w:jc w:val="both"/>
              <w:rPr>
                <w:iCs/>
                <w:sz w:val="28"/>
                <w:szCs w:val="28"/>
              </w:rPr>
            </w:pPr>
            <w:r w:rsidRPr="006B72DF">
              <w:rPr>
                <w:iCs/>
                <w:sz w:val="28"/>
                <w:szCs w:val="28"/>
              </w:rPr>
              <w:t>Cloroza nervurilor</w:t>
            </w:r>
          </w:p>
        </w:tc>
      </w:tr>
      <w:tr w:rsidR="00D75CDA" w:rsidRPr="006B72DF" w:rsidTr="00926B2A">
        <w:tc>
          <w:tcPr>
            <w:tcW w:w="5184" w:type="dxa"/>
          </w:tcPr>
          <w:p w:rsidR="00D75CDA" w:rsidRPr="006B72DF" w:rsidRDefault="00D75CDA" w:rsidP="00926B2A">
            <w:pPr>
              <w:ind w:left="5103" w:hanging="5103"/>
              <w:jc w:val="both"/>
              <w:rPr>
                <w:i/>
                <w:iCs/>
                <w:sz w:val="28"/>
                <w:szCs w:val="28"/>
              </w:rPr>
            </w:pPr>
            <w:r w:rsidRPr="006B72DF">
              <w:rPr>
                <w:i/>
                <w:iCs/>
                <w:sz w:val="28"/>
                <w:szCs w:val="28"/>
              </w:rPr>
              <w:t xml:space="preserve">Mallig landmark,  Norfolk Giant                                                 </w:t>
            </w:r>
          </w:p>
        </w:tc>
        <w:tc>
          <w:tcPr>
            <w:tcW w:w="5185" w:type="dxa"/>
          </w:tcPr>
          <w:p w:rsidR="00D75CDA" w:rsidRPr="006B72DF" w:rsidRDefault="00D75CDA" w:rsidP="00926B2A">
            <w:pPr>
              <w:jc w:val="both"/>
              <w:rPr>
                <w:iCs/>
                <w:sz w:val="28"/>
                <w:szCs w:val="28"/>
              </w:rPr>
            </w:pPr>
            <w:r w:rsidRPr="006B72DF">
              <w:rPr>
                <w:iCs/>
                <w:sz w:val="28"/>
                <w:szCs w:val="28"/>
              </w:rPr>
              <w:t>Mătura vrăjitoarei, piticirea zmeurului  (fitoplasma)</w:t>
            </w:r>
          </w:p>
        </w:tc>
      </w:tr>
      <w:tr w:rsidR="00D75CDA" w:rsidRPr="006B72DF" w:rsidTr="00926B2A">
        <w:tc>
          <w:tcPr>
            <w:tcW w:w="10369" w:type="dxa"/>
            <w:gridSpan w:val="2"/>
          </w:tcPr>
          <w:p w:rsidR="00D75CDA" w:rsidRPr="006B72DF" w:rsidRDefault="00D75CDA" w:rsidP="00926B2A">
            <w:pPr>
              <w:jc w:val="center"/>
              <w:rPr>
                <w:b/>
                <w:bCs/>
                <w:sz w:val="28"/>
                <w:szCs w:val="28"/>
              </w:rPr>
            </w:pPr>
            <w:r w:rsidRPr="006B72DF">
              <w:rPr>
                <w:b/>
                <w:bCs/>
                <w:sz w:val="28"/>
                <w:szCs w:val="28"/>
              </w:rPr>
              <w:t>Coacăz şi agriş</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 Norfolk clevelandii</w:t>
            </w:r>
          </w:p>
        </w:tc>
        <w:tc>
          <w:tcPr>
            <w:tcW w:w="5185" w:type="dxa"/>
          </w:tcPr>
          <w:p w:rsidR="00D75CDA" w:rsidRPr="006B72DF" w:rsidRDefault="00D75CDA" w:rsidP="00926B2A">
            <w:pPr>
              <w:jc w:val="both"/>
              <w:rPr>
                <w:iCs/>
                <w:sz w:val="28"/>
                <w:szCs w:val="28"/>
              </w:rPr>
            </w:pPr>
            <w:r w:rsidRPr="006B72DF">
              <w:rPr>
                <w:iCs/>
                <w:sz w:val="28"/>
                <w:szCs w:val="28"/>
              </w:rPr>
              <w:t>Mozaicul lucernei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 quinoa, Norfolk clevelandii</w:t>
            </w:r>
          </w:p>
        </w:tc>
        <w:tc>
          <w:tcPr>
            <w:tcW w:w="5185" w:type="dxa"/>
          </w:tcPr>
          <w:p w:rsidR="00D75CDA" w:rsidRPr="006B72DF" w:rsidRDefault="00D75CDA" w:rsidP="00926B2A">
            <w:pPr>
              <w:jc w:val="both"/>
              <w:rPr>
                <w:iCs/>
                <w:sz w:val="28"/>
                <w:szCs w:val="28"/>
              </w:rPr>
            </w:pPr>
            <w:r w:rsidRPr="006B72DF">
              <w:rPr>
                <w:iCs/>
                <w:sz w:val="28"/>
                <w:szCs w:val="28"/>
              </w:rPr>
              <w:t>Mozaicul virotic „Arabic”</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Chenopodiumb quinoa, Norfolk clevelandi</w:t>
            </w:r>
          </w:p>
        </w:tc>
        <w:tc>
          <w:tcPr>
            <w:tcW w:w="5185" w:type="dxa"/>
          </w:tcPr>
          <w:p w:rsidR="00D75CDA" w:rsidRPr="006B72DF" w:rsidRDefault="00D75CDA" w:rsidP="00926B2A">
            <w:pPr>
              <w:jc w:val="both"/>
              <w:rPr>
                <w:iCs/>
                <w:sz w:val="28"/>
                <w:szCs w:val="28"/>
              </w:rPr>
            </w:pPr>
            <w:r w:rsidRPr="006B72DF">
              <w:rPr>
                <w:iCs/>
                <w:sz w:val="28"/>
                <w:szCs w:val="28"/>
              </w:rPr>
              <w:t>Pătarea inelară latentă a căpşunului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 xml:space="preserve">Chenopodium quinoa, Norfolk </w:t>
            </w:r>
            <w:r w:rsidRPr="006B72DF">
              <w:rPr>
                <w:i/>
                <w:iCs/>
                <w:sz w:val="28"/>
                <w:szCs w:val="28"/>
              </w:rPr>
              <w:lastRenderedPageBreak/>
              <w:t>clevelandii</w:t>
            </w:r>
            <w:r w:rsidRPr="006B72DF">
              <w:rPr>
                <w:i/>
                <w:iCs/>
                <w:sz w:val="28"/>
                <w:szCs w:val="28"/>
              </w:rPr>
              <w:tab/>
            </w:r>
          </w:p>
        </w:tc>
        <w:tc>
          <w:tcPr>
            <w:tcW w:w="5185" w:type="dxa"/>
          </w:tcPr>
          <w:p w:rsidR="00D75CDA" w:rsidRPr="006B72DF" w:rsidRDefault="00D75CDA" w:rsidP="00926B2A">
            <w:pPr>
              <w:jc w:val="both"/>
              <w:rPr>
                <w:iCs/>
                <w:sz w:val="28"/>
                <w:szCs w:val="28"/>
              </w:rPr>
            </w:pPr>
            <w:r w:rsidRPr="006B72DF">
              <w:rPr>
                <w:iCs/>
                <w:sz w:val="28"/>
                <w:szCs w:val="28"/>
              </w:rPr>
              <w:lastRenderedPageBreak/>
              <w:t>Pătarea inelară a zmeurului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lastRenderedPageBreak/>
              <w:t>Crocus sativus, Norfolk clevelandii, Chenopodium quinoa</w:t>
            </w:r>
          </w:p>
        </w:tc>
        <w:tc>
          <w:tcPr>
            <w:tcW w:w="5185" w:type="dxa"/>
          </w:tcPr>
          <w:p w:rsidR="00D75CDA" w:rsidRPr="006B72DF" w:rsidRDefault="00D75CDA" w:rsidP="00926B2A">
            <w:pPr>
              <w:jc w:val="both"/>
              <w:rPr>
                <w:iCs/>
                <w:sz w:val="28"/>
                <w:szCs w:val="28"/>
              </w:rPr>
            </w:pPr>
            <w:r w:rsidRPr="006B72DF">
              <w:rPr>
                <w:iCs/>
                <w:sz w:val="28"/>
                <w:szCs w:val="28"/>
              </w:rPr>
              <w:t>Mozaicul castraveţilor, pătarea verde a coacăzului negru</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var.Odjebin, Baldwin</w:t>
            </w:r>
          </w:p>
        </w:tc>
        <w:tc>
          <w:tcPr>
            <w:tcW w:w="5185" w:type="dxa"/>
          </w:tcPr>
          <w:p w:rsidR="00D75CDA" w:rsidRPr="006B72DF" w:rsidRDefault="00D75CDA" w:rsidP="00926B2A">
            <w:pPr>
              <w:jc w:val="both"/>
              <w:rPr>
                <w:iCs/>
                <w:sz w:val="28"/>
                <w:szCs w:val="28"/>
              </w:rPr>
            </w:pPr>
            <w:r w:rsidRPr="006B72DF">
              <w:rPr>
                <w:iCs/>
                <w:sz w:val="28"/>
                <w:szCs w:val="28"/>
              </w:rPr>
              <w:t>Reversia coacăzului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var.Baldwin, Amos Black</w:t>
            </w:r>
          </w:p>
        </w:tc>
        <w:tc>
          <w:tcPr>
            <w:tcW w:w="5185" w:type="dxa"/>
          </w:tcPr>
          <w:p w:rsidR="00D75CDA" w:rsidRPr="006B72DF" w:rsidRDefault="00D75CDA" w:rsidP="00926B2A">
            <w:pPr>
              <w:jc w:val="both"/>
              <w:rPr>
                <w:iCs/>
                <w:sz w:val="28"/>
                <w:szCs w:val="28"/>
              </w:rPr>
            </w:pPr>
            <w:r w:rsidRPr="006B72DF">
              <w:rPr>
                <w:iCs/>
                <w:sz w:val="28"/>
                <w:szCs w:val="28"/>
              </w:rPr>
              <w:t>Îngălbenirea coacăzului</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var.Amos Black, VB1</w:t>
            </w:r>
          </w:p>
        </w:tc>
        <w:tc>
          <w:tcPr>
            <w:tcW w:w="5185" w:type="dxa"/>
          </w:tcPr>
          <w:p w:rsidR="00D75CDA" w:rsidRPr="006B72DF" w:rsidRDefault="00D75CDA" w:rsidP="00926B2A">
            <w:pPr>
              <w:jc w:val="both"/>
              <w:rPr>
                <w:iCs/>
                <w:sz w:val="28"/>
                <w:szCs w:val="28"/>
              </w:rPr>
            </w:pPr>
            <w:r w:rsidRPr="006B72DF">
              <w:rPr>
                <w:iCs/>
                <w:sz w:val="28"/>
                <w:szCs w:val="28"/>
              </w:rPr>
              <w:t>Mozaicul în bandă al nervurilor</w:t>
            </w:r>
          </w:p>
        </w:tc>
      </w:tr>
      <w:tr w:rsidR="00D75CDA" w:rsidRPr="006B72DF" w:rsidTr="00926B2A">
        <w:tc>
          <w:tcPr>
            <w:tcW w:w="5184" w:type="dxa"/>
          </w:tcPr>
          <w:p w:rsidR="00D75CDA" w:rsidRPr="006B72DF" w:rsidRDefault="00D75CDA" w:rsidP="00926B2A">
            <w:pPr>
              <w:jc w:val="both"/>
              <w:rPr>
                <w:i/>
                <w:iCs/>
                <w:sz w:val="28"/>
                <w:szCs w:val="28"/>
              </w:rPr>
            </w:pPr>
            <w:r w:rsidRPr="006B72DF">
              <w:rPr>
                <w:i/>
                <w:iCs/>
                <w:sz w:val="28"/>
                <w:szCs w:val="28"/>
              </w:rPr>
              <w:t>var.Amos Black</w:t>
            </w:r>
          </w:p>
        </w:tc>
        <w:tc>
          <w:tcPr>
            <w:tcW w:w="5185" w:type="dxa"/>
          </w:tcPr>
          <w:p w:rsidR="00D75CDA" w:rsidRPr="006B72DF" w:rsidRDefault="00D75CDA" w:rsidP="00926B2A">
            <w:pPr>
              <w:jc w:val="both"/>
              <w:rPr>
                <w:iCs/>
                <w:sz w:val="28"/>
                <w:szCs w:val="28"/>
              </w:rPr>
            </w:pPr>
            <w:r w:rsidRPr="006B72DF">
              <w:rPr>
                <w:iCs/>
                <w:sz w:val="28"/>
                <w:szCs w:val="28"/>
              </w:rPr>
              <w:t>Marmorarea nervurilor la coacăzul negru</w:t>
            </w:r>
          </w:p>
        </w:tc>
      </w:tr>
    </w:tbl>
    <w:p w:rsidR="00782126" w:rsidRDefault="00782126">
      <w:bookmarkStart w:id="0" w:name="_GoBack"/>
      <w:bookmarkEnd w:id="0"/>
    </w:p>
    <w:sectPr w:rsidR="00782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6E"/>
    <w:rsid w:val="001D636E"/>
    <w:rsid w:val="00782126"/>
    <w:rsid w:val="00D7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DA"/>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DA"/>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12590</Characters>
  <Application>Microsoft Office Word</Application>
  <DocSecurity>0</DocSecurity>
  <Lines>104</Lines>
  <Paragraphs>29</Paragraphs>
  <ScaleCrop>false</ScaleCrop>
  <Company>SPecialiST RePack</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2013-06-28T06:53:00Z</dcterms:created>
  <dcterms:modified xsi:type="dcterms:W3CDTF">2013-06-28T06:53:00Z</dcterms:modified>
</cp:coreProperties>
</file>