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AB" w:rsidRDefault="006521AB" w:rsidP="00C61C61">
      <w:pPr>
        <w:ind w:left="5664" w:firstLine="708"/>
        <w:rPr>
          <w:lang w:val="ro-RO"/>
        </w:rPr>
      </w:pPr>
      <w:r>
        <w:rPr>
          <w:lang w:val="ro-RO"/>
        </w:rPr>
        <w:t>Anexa nr. 3</w:t>
      </w:r>
    </w:p>
    <w:p w:rsidR="006521AB" w:rsidRDefault="006521AB" w:rsidP="00C61C61">
      <w:pPr>
        <w:ind w:left="5664"/>
        <w:rPr>
          <w:lang w:val="ro-RO"/>
        </w:rPr>
      </w:pPr>
      <w:smartTag w:uri="urn:schemas-microsoft-com:office:smarttags" w:element="PersonName">
        <w:smartTagPr>
          <w:attr w:name="ProductID" w:val="la Hotărîrea"/>
        </w:smartTagPr>
        <w:smartTag w:uri="urn:schemas-microsoft-com:office:smarttags" w:element="PersonName">
          <w:smartTagPr>
            <w:attr w:name="ProductID" w:val="la Hotărîrea Guvernului"/>
          </w:smartTagPr>
          <w:r>
            <w:rPr>
              <w:lang w:val="ro-RO"/>
            </w:rPr>
            <w:t>la Hotărîrea</w:t>
          </w:r>
        </w:smartTag>
        <w:r>
          <w:rPr>
            <w:lang w:val="ro-RO"/>
          </w:rPr>
          <w:t xml:space="preserve"> Guvernului</w:t>
        </w:r>
      </w:smartTag>
      <w:r>
        <w:rPr>
          <w:lang w:val="ro-RO"/>
        </w:rPr>
        <w:t xml:space="preserve"> nr.462</w:t>
      </w:r>
    </w:p>
    <w:p w:rsidR="006521AB" w:rsidRDefault="006521AB" w:rsidP="00C61C61">
      <w:pPr>
        <w:ind w:left="5664"/>
        <w:rPr>
          <w:lang w:val="ro-RO"/>
        </w:rPr>
      </w:pPr>
      <w:r>
        <w:rPr>
          <w:lang w:val="ro-RO"/>
        </w:rPr>
        <w:t>din 2 iulie</w:t>
      </w:r>
      <w:bookmarkStart w:id="0" w:name="_GoBack"/>
      <w:bookmarkEnd w:id="0"/>
      <w:r>
        <w:rPr>
          <w:lang w:val="ro-RO"/>
        </w:rPr>
        <w:t xml:space="preserve"> 2013</w:t>
      </w:r>
    </w:p>
    <w:p w:rsidR="006521AB" w:rsidRDefault="006521AB" w:rsidP="00C61C61">
      <w:pPr>
        <w:ind w:left="6300"/>
        <w:rPr>
          <w:b/>
          <w:sz w:val="28"/>
          <w:szCs w:val="28"/>
          <w:lang w:val="ro-RO"/>
        </w:rPr>
      </w:pPr>
    </w:p>
    <w:p w:rsidR="006521AB" w:rsidRDefault="006521AB" w:rsidP="00C61C61">
      <w:pPr>
        <w:ind w:left="180"/>
        <w:jc w:val="center"/>
        <w:rPr>
          <w:b/>
          <w:sz w:val="28"/>
          <w:szCs w:val="28"/>
          <w:lang w:val="ro-RO"/>
        </w:rPr>
      </w:pPr>
    </w:p>
    <w:p w:rsidR="006521AB" w:rsidRDefault="006521AB" w:rsidP="002D6600">
      <w:pPr>
        <w:ind w:firstLine="540"/>
        <w:jc w:val="center"/>
        <w:rPr>
          <w:b/>
          <w:sz w:val="28"/>
          <w:szCs w:val="28"/>
          <w:lang w:val="ro-RO"/>
        </w:rPr>
      </w:pPr>
      <w:r>
        <w:rPr>
          <w:b/>
          <w:sz w:val="28"/>
          <w:szCs w:val="28"/>
          <w:lang w:val="ro-RO"/>
        </w:rPr>
        <w:t>CERINŢE GENERALE</w:t>
      </w:r>
    </w:p>
    <w:p w:rsidR="006521AB" w:rsidRDefault="006521AB" w:rsidP="002D6600">
      <w:pPr>
        <w:ind w:firstLine="540"/>
        <w:jc w:val="center"/>
        <w:rPr>
          <w:b/>
          <w:bCs/>
          <w:sz w:val="28"/>
          <w:szCs w:val="28"/>
          <w:lang w:val="ro-RO"/>
        </w:rPr>
      </w:pPr>
      <w:r>
        <w:rPr>
          <w:b/>
          <w:sz w:val="28"/>
          <w:szCs w:val="28"/>
          <w:lang w:val="ro-RO"/>
        </w:rPr>
        <w:t xml:space="preserve">privind activitatea </w:t>
      </w:r>
      <w:r>
        <w:rPr>
          <w:b/>
          <w:bCs/>
          <w:sz w:val="28"/>
          <w:szCs w:val="28"/>
          <w:lang w:val="ro-RO"/>
        </w:rPr>
        <w:t>unităţilor din sectorul hranei pentru animale</w:t>
      </w:r>
    </w:p>
    <w:p w:rsidR="006521AB" w:rsidRDefault="006521AB" w:rsidP="002D6600">
      <w:pPr>
        <w:ind w:firstLine="540"/>
        <w:jc w:val="both"/>
        <w:rPr>
          <w:bCs/>
          <w:sz w:val="28"/>
          <w:szCs w:val="28"/>
          <w:lang w:val="ro-RO"/>
        </w:rPr>
      </w:pPr>
      <w:r>
        <w:rPr>
          <w:sz w:val="28"/>
          <w:szCs w:val="28"/>
          <w:lang w:val="ro-RO"/>
        </w:rPr>
        <w:t>Prezentele Cerinţe generale privind activitatea unităţilor din sectorul hranei pentru animale  transpun parţial Regulamentul (CE) nr. 183/2003 al Parlamentului European şi al Consiliului din 12 ianuarie 2005 de stabilire a cerinţelor privind igiena furajelor, publicat în Jurnalul Oficial L 35 din 8 februarie 2005</w:t>
      </w:r>
      <w:r>
        <w:rPr>
          <w:bCs/>
          <w:sz w:val="28"/>
          <w:szCs w:val="28"/>
          <w:lang w:val="ro-RO"/>
        </w:rPr>
        <w:t>.</w:t>
      </w:r>
    </w:p>
    <w:p w:rsidR="006521AB" w:rsidRDefault="006521AB" w:rsidP="002D6600">
      <w:pPr>
        <w:ind w:firstLine="540"/>
        <w:jc w:val="center"/>
        <w:rPr>
          <w:b/>
          <w:bCs/>
          <w:sz w:val="28"/>
          <w:szCs w:val="28"/>
          <w:lang w:val="ro-RO"/>
        </w:rPr>
      </w:pPr>
      <w:r>
        <w:rPr>
          <w:b/>
          <w:bCs/>
          <w:sz w:val="28"/>
          <w:szCs w:val="28"/>
          <w:lang w:val="ro-RO"/>
        </w:rPr>
        <w:t>I. Noţiuni, domeniul de aplicare</w:t>
      </w:r>
    </w:p>
    <w:p w:rsidR="006521AB" w:rsidRDefault="006521AB" w:rsidP="002D6600">
      <w:pPr>
        <w:ind w:firstLine="540"/>
        <w:jc w:val="both"/>
        <w:rPr>
          <w:sz w:val="28"/>
          <w:szCs w:val="28"/>
          <w:lang w:val="ro-RO"/>
        </w:rPr>
      </w:pPr>
      <w:r>
        <w:rPr>
          <w:bCs/>
          <w:sz w:val="28"/>
          <w:szCs w:val="28"/>
          <w:lang w:val="ro-RO"/>
        </w:rPr>
        <w:t xml:space="preserve">1. Cerinţele generale privind activitatea unităţilor din sectorul hranei pentru animale (în continuare – Cerinţe) stabileşte norme </w:t>
      </w:r>
      <w:r>
        <w:rPr>
          <w:sz w:val="28"/>
          <w:szCs w:val="28"/>
          <w:lang w:val="ro-RO"/>
        </w:rPr>
        <w:t>generale privind activitatea unităţilor din sectorul hranei pentru animale (în continuare – unităţi).</w:t>
      </w:r>
    </w:p>
    <w:p w:rsidR="006521AB" w:rsidRDefault="006521AB" w:rsidP="002D6600">
      <w:pPr>
        <w:ind w:firstLine="540"/>
        <w:jc w:val="both"/>
        <w:rPr>
          <w:rFonts w:eastAsia="Times New Roman"/>
          <w:sz w:val="28"/>
          <w:szCs w:val="28"/>
          <w:lang w:val="ro-RO"/>
        </w:rPr>
      </w:pPr>
      <w:r>
        <w:rPr>
          <w:rStyle w:val="tpa1"/>
          <w:rFonts w:eastAsia="Times New Roman"/>
          <w:sz w:val="28"/>
          <w:szCs w:val="28"/>
          <w:lang w:val="ro-RO"/>
        </w:rPr>
        <w:t xml:space="preserve">2. În sensul prezentelor Cerinţe,noţiunea „unitate” desemnează </w:t>
      </w:r>
      <w:r>
        <w:rPr>
          <w:sz w:val="28"/>
          <w:szCs w:val="28"/>
          <w:lang w:val="ro-RO"/>
        </w:rPr>
        <w:t>orice unitate a unei întreprinderi din sectorul hranei pentruanimale.</w:t>
      </w:r>
    </w:p>
    <w:p w:rsidR="006521AB" w:rsidRDefault="006521AB" w:rsidP="002D6600">
      <w:pPr>
        <w:ind w:firstLine="540"/>
        <w:jc w:val="both"/>
        <w:rPr>
          <w:b/>
          <w:bCs/>
          <w:sz w:val="28"/>
          <w:szCs w:val="28"/>
          <w:lang w:val="ro-RO"/>
        </w:rPr>
      </w:pPr>
      <w:r>
        <w:rPr>
          <w:b/>
          <w:sz w:val="28"/>
          <w:szCs w:val="28"/>
          <w:lang w:val="ro-RO"/>
        </w:rPr>
        <w:t xml:space="preserve">II. </w:t>
      </w:r>
      <w:r>
        <w:rPr>
          <w:b/>
          <w:bCs/>
          <w:sz w:val="28"/>
          <w:szCs w:val="28"/>
          <w:lang w:val="ro-RO"/>
        </w:rPr>
        <w:t>Activitatea unităţilor din sectorul hranei pentru animale</w:t>
      </w:r>
    </w:p>
    <w:p w:rsidR="006521AB" w:rsidRDefault="006521AB" w:rsidP="002D6600">
      <w:pPr>
        <w:ind w:firstLine="540"/>
        <w:jc w:val="both"/>
        <w:rPr>
          <w:sz w:val="28"/>
          <w:szCs w:val="28"/>
          <w:lang w:val="ro-RO"/>
        </w:rPr>
      </w:pPr>
      <w:r>
        <w:rPr>
          <w:sz w:val="28"/>
          <w:szCs w:val="28"/>
          <w:lang w:val="ro-RO"/>
        </w:rPr>
        <w:t>3. Operatorii din sectorul hranei pentru animale colaborează cu unităţile autorizate de către autoritatea competentă.</w:t>
      </w:r>
    </w:p>
    <w:p w:rsidR="006521AB" w:rsidRDefault="006521AB" w:rsidP="002D6600">
      <w:pPr>
        <w:ind w:firstLine="540"/>
        <w:jc w:val="both"/>
        <w:rPr>
          <w:rFonts w:eastAsia="Arial Unicode MS"/>
          <w:sz w:val="28"/>
          <w:szCs w:val="28"/>
          <w:lang w:val="ro-RO"/>
        </w:rPr>
      </w:pPr>
      <w:r>
        <w:rPr>
          <w:sz w:val="28"/>
          <w:szCs w:val="28"/>
          <w:lang w:val="ro-RO"/>
        </w:rPr>
        <w:t xml:space="preserve">4. </w:t>
      </w:r>
      <w:r>
        <w:rPr>
          <w:bCs/>
          <w:sz w:val="28"/>
          <w:szCs w:val="28"/>
          <w:lang w:val="ro-RO"/>
        </w:rPr>
        <w:t xml:space="preserve">Unităţile </w:t>
      </w:r>
      <w:r>
        <w:rPr>
          <w:sz w:val="28"/>
          <w:szCs w:val="28"/>
          <w:lang w:val="ro-RO"/>
        </w:rPr>
        <w:t>îndeplinesc următoarele condiţii:</w:t>
      </w:r>
    </w:p>
    <w:p w:rsidR="006521AB" w:rsidRDefault="006521AB" w:rsidP="002D6600">
      <w:pPr>
        <w:ind w:firstLine="540"/>
        <w:jc w:val="both"/>
        <w:rPr>
          <w:sz w:val="28"/>
          <w:szCs w:val="28"/>
          <w:lang w:val="ro-RO"/>
        </w:rPr>
      </w:pPr>
      <w:r>
        <w:rPr>
          <w:sz w:val="28"/>
          <w:szCs w:val="28"/>
          <w:lang w:val="ro-RO"/>
        </w:rPr>
        <w:t>1) fabrică şi/sau plasează pe piaţă aditivi furajeri destinaţi hranei pentru animale şi unele produse precum:</w:t>
      </w:r>
    </w:p>
    <w:p w:rsidR="006521AB" w:rsidRDefault="006521AB" w:rsidP="002D6600">
      <w:pPr>
        <w:ind w:firstLine="540"/>
        <w:jc w:val="both"/>
        <w:rPr>
          <w:sz w:val="28"/>
          <w:szCs w:val="28"/>
          <w:lang w:val="ro-RO"/>
        </w:rPr>
      </w:pPr>
      <w:r>
        <w:rPr>
          <w:sz w:val="28"/>
          <w:szCs w:val="28"/>
          <w:lang w:val="ro-RO"/>
        </w:rPr>
        <w:t>a) proteine obţinute din microorganisme care aparţin grupei de bacterii, drojdii, alge, ciuperci;</w:t>
      </w:r>
    </w:p>
    <w:p w:rsidR="006521AB" w:rsidRDefault="006521AB" w:rsidP="002D6600">
      <w:pPr>
        <w:ind w:firstLine="540"/>
        <w:jc w:val="both"/>
        <w:rPr>
          <w:sz w:val="28"/>
          <w:szCs w:val="28"/>
          <w:lang w:val="ro-RO"/>
        </w:rPr>
      </w:pPr>
      <w:r>
        <w:rPr>
          <w:sz w:val="28"/>
          <w:szCs w:val="28"/>
          <w:lang w:val="ro-RO"/>
        </w:rPr>
        <w:t>b) produse ale fabricaţiei de aminoacizi obţinuţi prin fermentaţie;</w:t>
      </w:r>
    </w:p>
    <w:p w:rsidR="006521AB" w:rsidRDefault="006521AB" w:rsidP="002D6600">
      <w:pPr>
        <w:ind w:firstLine="540"/>
        <w:jc w:val="both"/>
        <w:rPr>
          <w:sz w:val="28"/>
          <w:szCs w:val="28"/>
          <w:lang w:val="ro-RO"/>
        </w:rPr>
      </w:pPr>
      <w:r>
        <w:rPr>
          <w:sz w:val="28"/>
          <w:szCs w:val="28"/>
          <w:lang w:val="ro-RO"/>
        </w:rPr>
        <w:t>2) fabrică şi/sau plasează pe piaţă preamestecuri preparate cu ajutorul unor aditivi furajeri destinaţi hranei pentru animale ca:</w:t>
      </w:r>
    </w:p>
    <w:p w:rsidR="006521AB" w:rsidRDefault="006521AB" w:rsidP="002D6600">
      <w:pPr>
        <w:ind w:firstLine="540"/>
        <w:jc w:val="both"/>
        <w:rPr>
          <w:sz w:val="28"/>
          <w:szCs w:val="28"/>
          <w:lang w:val="ro-RO"/>
        </w:rPr>
      </w:pPr>
      <w:r>
        <w:rPr>
          <w:sz w:val="28"/>
          <w:szCs w:val="28"/>
          <w:lang w:val="ro-RO"/>
        </w:rPr>
        <w:t>a) aditivi zootehnici;</w:t>
      </w:r>
    </w:p>
    <w:p w:rsidR="006521AB" w:rsidRDefault="006521AB" w:rsidP="002D6600">
      <w:pPr>
        <w:ind w:firstLine="540"/>
        <w:jc w:val="both"/>
        <w:rPr>
          <w:sz w:val="28"/>
          <w:szCs w:val="28"/>
          <w:lang w:val="ro-RO"/>
        </w:rPr>
      </w:pPr>
      <w:r>
        <w:rPr>
          <w:sz w:val="28"/>
          <w:szCs w:val="28"/>
          <w:lang w:val="ro-RO"/>
        </w:rPr>
        <w:t>b) antibiotice;</w:t>
      </w:r>
    </w:p>
    <w:p w:rsidR="006521AB" w:rsidRDefault="006521AB" w:rsidP="002D6600">
      <w:pPr>
        <w:ind w:firstLine="540"/>
        <w:jc w:val="both"/>
        <w:rPr>
          <w:sz w:val="28"/>
          <w:szCs w:val="28"/>
          <w:lang w:val="ro-RO"/>
        </w:rPr>
      </w:pPr>
      <w:r>
        <w:rPr>
          <w:sz w:val="28"/>
          <w:szCs w:val="28"/>
          <w:lang w:val="ro-RO"/>
        </w:rPr>
        <w:t>c) coccidiostatici şi histomonostatici;</w:t>
      </w:r>
    </w:p>
    <w:p w:rsidR="006521AB" w:rsidRDefault="006521AB" w:rsidP="002D6600">
      <w:pPr>
        <w:ind w:firstLine="540"/>
        <w:jc w:val="both"/>
        <w:rPr>
          <w:sz w:val="28"/>
          <w:szCs w:val="28"/>
          <w:lang w:val="ro-RO"/>
        </w:rPr>
      </w:pPr>
      <w:r>
        <w:rPr>
          <w:sz w:val="28"/>
          <w:szCs w:val="28"/>
          <w:lang w:val="ro-RO"/>
        </w:rPr>
        <w:t>d) factori de creştere;</w:t>
      </w:r>
    </w:p>
    <w:p w:rsidR="006521AB" w:rsidRDefault="006521AB" w:rsidP="002D6600">
      <w:pPr>
        <w:ind w:firstLine="540"/>
        <w:jc w:val="both"/>
        <w:rPr>
          <w:sz w:val="28"/>
          <w:szCs w:val="28"/>
          <w:lang w:val="ro-RO"/>
        </w:rPr>
      </w:pPr>
      <w:r>
        <w:rPr>
          <w:sz w:val="28"/>
          <w:szCs w:val="28"/>
          <w:lang w:val="ro-RO"/>
        </w:rPr>
        <w:t>e) aditivi nutriţionali;</w:t>
      </w:r>
    </w:p>
    <w:p w:rsidR="006521AB" w:rsidRDefault="006521AB" w:rsidP="002D6600">
      <w:pPr>
        <w:ind w:firstLine="540"/>
        <w:jc w:val="both"/>
        <w:rPr>
          <w:sz w:val="28"/>
          <w:szCs w:val="28"/>
          <w:lang w:val="ro-RO"/>
        </w:rPr>
      </w:pPr>
      <w:r>
        <w:rPr>
          <w:sz w:val="28"/>
          <w:szCs w:val="28"/>
          <w:lang w:val="ro-RO"/>
        </w:rPr>
        <w:t>f) vitamine, provitamine şi substanţe cu efect analog bine definite din punct de vedere chimic: A şi D;</w:t>
      </w:r>
    </w:p>
    <w:p w:rsidR="006521AB" w:rsidRDefault="006521AB" w:rsidP="002D6600">
      <w:pPr>
        <w:ind w:firstLine="540"/>
        <w:jc w:val="both"/>
        <w:rPr>
          <w:sz w:val="28"/>
          <w:szCs w:val="28"/>
          <w:lang w:val="ro-RO"/>
        </w:rPr>
      </w:pPr>
      <w:r>
        <w:rPr>
          <w:sz w:val="28"/>
          <w:szCs w:val="28"/>
          <w:lang w:val="ro-RO"/>
        </w:rPr>
        <w:t>g) compuşi de oligoelemente: Cu şi Se;</w:t>
      </w:r>
    </w:p>
    <w:p w:rsidR="006521AB" w:rsidRDefault="006521AB" w:rsidP="002D6600">
      <w:pPr>
        <w:ind w:firstLine="540"/>
        <w:jc w:val="both"/>
        <w:rPr>
          <w:sz w:val="28"/>
          <w:szCs w:val="28"/>
          <w:lang w:val="ro-RO"/>
        </w:rPr>
      </w:pPr>
      <w:r>
        <w:rPr>
          <w:sz w:val="28"/>
          <w:szCs w:val="28"/>
          <w:lang w:val="ro-RO"/>
        </w:rPr>
        <w:t>3) fabrică cu scopul de a plasa pe piaţă sau de a produce furaje combinate, prin utilizarea aditivilor destinaţi hranei pentru animale sau de preamestecuri care conţin aditivi destinaţi hranei pentru animale ca:</w:t>
      </w:r>
    </w:p>
    <w:p w:rsidR="006521AB" w:rsidRDefault="006521AB" w:rsidP="002D6600">
      <w:pPr>
        <w:ind w:firstLine="540"/>
        <w:jc w:val="both"/>
        <w:rPr>
          <w:sz w:val="28"/>
          <w:szCs w:val="28"/>
          <w:lang w:val="ro-RO"/>
        </w:rPr>
      </w:pPr>
      <w:r>
        <w:rPr>
          <w:sz w:val="28"/>
          <w:szCs w:val="28"/>
          <w:lang w:val="ro-RO"/>
        </w:rPr>
        <w:t>a) aditivi zootehnici;</w:t>
      </w:r>
    </w:p>
    <w:p w:rsidR="006521AB" w:rsidRDefault="006521AB" w:rsidP="002D6600">
      <w:pPr>
        <w:ind w:firstLine="540"/>
        <w:jc w:val="both"/>
        <w:rPr>
          <w:sz w:val="28"/>
          <w:szCs w:val="28"/>
          <w:lang w:val="ro-RO"/>
        </w:rPr>
      </w:pPr>
      <w:r>
        <w:rPr>
          <w:sz w:val="28"/>
          <w:szCs w:val="28"/>
          <w:lang w:val="ro-RO"/>
        </w:rPr>
        <w:t>b) antibiotice;</w:t>
      </w:r>
    </w:p>
    <w:p w:rsidR="006521AB" w:rsidRDefault="006521AB" w:rsidP="002D6600">
      <w:pPr>
        <w:ind w:firstLine="540"/>
        <w:jc w:val="both"/>
        <w:rPr>
          <w:sz w:val="28"/>
          <w:szCs w:val="28"/>
          <w:lang w:val="ro-RO"/>
        </w:rPr>
      </w:pPr>
      <w:r>
        <w:rPr>
          <w:sz w:val="28"/>
          <w:szCs w:val="28"/>
          <w:lang w:val="ro-RO"/>
        </w:rPr>
        <w:t>c) coccidiostatici şi histomonostatici;</w:t>
      </w:r>
    </w:p>
    <w:p w:rsidR="006521AB" w:rsidRDefault="006521AB" w:rsidP="002D6600">
      <w:pPr>
        <w:ind w:firstLine="540"/>
        <w:jc w:val="both"/>
        <w:rPr>
          <w:sz w:val="28"/>
          <w:szCs w:val="28"/>
          <w:lang w:val="ro-RO"/>
        </w:rPr>
      </w:pPr>
      <w:r>
        <w:rPr>
          <w:sz w:val="28"/>
          <w:szCs w:val="28"/>
          <w:lang w:val="ro-RO"/>
        </w:rPr>
        <w:t>d) factori de creştere.</w:t>
      </w:r>
    </w:p>
    <w:p w:rsidR="006521AB" w:rsidRDefault="006521AB" w:rsidP="002D6600">
      <w:pPr>
        <w:ind w:firstLine="540"/>
        <w:jc w:val="both"/>
        <w:rPr>
          <w:sz w:val="28"/>
          <w:szCs w:val="28"/>
          <w:lang w:val="ro-RO"/>
        </w:rPr>
      </w:pPr>
    </w:p>
    <w:p w:rsidR="006521AB" w:rsidRDefault="006521AB" w:rsidP="002D6600">
      <w:pPr>
        <w:ind w:firstLine="540"/>
        <w:jc w:val="both"/>
        <w:rPr>
          <w:sz w:val="28"/>
          <w:szCs w:val="28"/>
          <w:lang w:val="ro-RO"/>
        </w:rPr>
      </w:pPr>
      <w:r>
        <w:rPr>
          <w:sz w:val="28"/>
          <w:szCs w:val="28"/>
          <w:lang w:val="ro-RO"/>
        </w:rPr>
        <w:t>5. Autoritatea competentă autorizează unităţile doar după efectuarea unui control în teren de către o echipă din cadrul subdiviziunilor teritoriale raionale/municipale.</w:t>
      </w:r>
    </w:p>
    <w:p w:rsidR="006521AB" w:rsidRDefault="006521AB" w:rsidP="002D6600">
      <w:pPr>
        <w:ind w:firstLine="540"/>
        <w:jc w:val="both"/>
        <w:rPr>
          <w:sz w:val="28"/>
          <w:szCs w:val="28"/>
          <w:lang w:val="ro-RO"/>
        </w:rPr>
      </w:pPr>
      <w:r>
        <w:rPr>
          <w:sz w:val="28"/>
          <w:szCs w:val="28"/>
          <w:lang w:val="ro-RO"/>
        </w:rPr>
        <w:t>6. Autoritatea competentăeliberează autorizaţia sanitar-veterinară doar dacă unitatea respectivă îndeplineşte cerinţele sanitar-veterinare în ceea ce priveşte infrastructura şi echipamentele, reglementate în Hotărîrea Guvernului nr. 1405 din 10 decembrie 2008 „Cu privire la aprobarea Normei sanitar-veterinare privind igiena nutreţurilor şi conţinutul substanţelor nedorite în nutreţuri” (Monitorul Oficial al Republicii Moldova, 2008, nr. 230-232, art. 1441), şi dacă dispune de contracte încheiate cu medicii veterinari de liberă practică împuterniciţi.</w:t>
      </w:r>
    </w:p>
    <w:p w:rsidR="006521AB" w:rsidRDefault="006521AB" w:rsidP="002D6600">
      <w:pPr>
        <w:ind w:firstLine="540"/>
        <w:jc w:val="both"/>
        <w:rPr>
          <w:sz w:val="28"/>
          <w:szCs w:val="28"/>
          <w:lang w:val="ro-RO"/>
        </w:rPr>
      </w:pPr>
      <w:r>
        <w:rPr>
          <w:sz w:val="28"/>
          <w:szCs w:val="28"/>
          <w:lang w:val="ro-RO"/>
        </w:rPr>
        <w:t>7. Autoritatea competentă</w:t>
      </w:r>
      <w:r>
        <w:rPr>
          <w:rFonts w:eastAsia="Arial Unicode MS"/>
          <w:sz w:val="28"/>
          <w:szCs w:val="28"/>
          <w:lang w:val="ro-RO"/>
        </w:rPr>
        <w:t xml:space="preserve"> suspendă</w:t>
      </w:r>
      <w:r>
        <w:rPr>
          <w:sz w:val="28"/>
          <w:szCs w:val="28"/>
          <w:lang w:val="ro-RO"/>
        </w:rPr>
        <w:t xml:space="preserve"> autorizaţia unităţii atunci cînd se demonstrează că această unitate nu îndeplineşte toate cerinţele sanitar-veterinare.</w:t>
      </w:r>
    </w:p>
    <w:p w:rsidR="006521AB" w:rsidRDefault="006521AB" w:rsidP="002D6600">
      <w:pPr>
        <w:ind w:firstLine="540"/>
        <w:jc w:val="both"/>
        <w:rPr>
          <w:sz w:val="28"/>
          <w:szCs w:val="28"/>
          <w:lang w:val="ro-RO"/>
        </w:rPr>
      </w:pPr>
      <w:r>
        <w:rPr>
          <w:sz w:val="28"/>
          <w:szCs w:val="28"/>
          <w:lang w:val="ro-RO"/>
        </w:rPr>
        <w:t>8. Autoritatea competentăretrage autorizaţia unităţii pentru una sau mai multe activităţi în cazul în care:</w:t>
      </w:r>
    </w:p>
    <w:p w:rsidR="006521AB" w:rsidRDefault="006521AB" w:rsidP="002D6600">
      <w:pPr>
        <w:ind w:firstLine="540"/>
        <w:jc w:val="both"/>
        <w:rPr>
          <w:sz w:val="28"/>
          <w:szCs w:val="28"/>
          <w:lang w:val="ro-RO"/>
        </w:rPr>
      </w:pPr>
      <w:r>
        <w:rPr>
          <w:sz w:val="28"/>
          <w:szCs w:val="28"/>
          <w:lang w:val="ro-RO"/>
        </w:rPr>
        <w:t>a) unitatea îşi încetează una sau mai multe dintre activităţile sale;</w:t>
      </w:r>
    </w:p>
    <w:p w:rsidR="006521AB" w:rsidRDefault="006521AB" w:rsidP="002D6600">
      <w:pPr>
        <w:ind w:firstLine="540"/>
        <w:jc w:val="both"/>
        <w:rPr>
          <w:sz w:val="28"/>
          <w:szCs w:val="28"/>
          <w:lang w:val="ro-RO"/>
        </w:rPr>
      </w:pPr>
      <w:r>
        <w:rPr>
          <w:sz w:val="28"/>
          <w:szCs w:val="28"/>
          <w:lang w:val="ro-RO"/>
        </w:rPr>
        <w:t>b) se demonstrează că unitatea nu a îndeplinit cerinţele impuse de legislaţia în vigoare în decurs de un an;</w:t>
      </w:r>
    </w:p>
    <w:p w:rsidR="006521AB" w:rsidRDefault="006521AB" w:rsidP="002D6600">
      <w:pPr>
        <w:ind w:firstLine="540"/>
        <w:jc w:val="both"/>
        <w:rPr>
          <w:sz w:val="28"/>
          <w:szCs w:val="28"/>
          <w:lang w:val="ro-RO"/>
        </w:rPr>
      </w:pPr>
      <w:r>
        <w:rPr>
          <w:sz w:val="28"/>
          <w:szCs w:val="28"/>
          <w:lang w:val="ro-RO"/>
        </w:rPr>
        <w:t>c) se descoperă nereguli grave sau unitatea a fost obligată să înceteze producţia;</w:t>
      </w:r>
    </w:p>
    <w:p w:rsidR="006521AB" w:rsidRDefault="006521AB" w:rsidP="002D6600">
      <w:pPr>
        <w:ind w:firstLine="540"/>
        <w:jc w:val="both"/>
        <w:rPr>
          <w:sz w:val="28"/>
          <w:szCs w:val="28"/>
          <w:lang w:val="ro-RO"/>
        </w:rPr>
      </w:pPr>
      <w:r>
        <w:rPr>
          <w:sz w:val="28"/>
          <w:szCs w:val="28"/>
          <w:lang w:val="ro-RO"/>
        </w:rPr>
        <w:t>d) nu se oferă garanţii adecvate cu privire la producţia viitoare.</w:t>
      </w:r>
    </w:p>
    <w:p w:rsidR="006521AB" w:rsidRDefault="006521AB" w:rsidP="002D6600">
      <w:pPr>
        <w:ind w:firstLine="540"/>
        <w:jc w:val="both"/>
        <w:rPr>
          <w:sz w:val="28"/>
          <w:szCs w:val="28"/>
          <w:lang w:val="ro-RO"/>
        </w:rPr>
      </w:pPr>
      <w:r>
        <w:rPr>
          <w:sz w:val="28"/>
          <w:szCs w:val="28"/>
          <w:lang w:val="ro-RO"/>
        </w:rPr>
        <w:t>9. Eliberarea şi evidenţa autorizaţiilor de către subdiviziunile teritoriale raionale/municipale se vor efectua prin înscrierea în registru, după modelul prezentat în anexa la prezentele Cerinţe.</w:t>
      </w:r>
    </w:p>
    <w:p w:rsidR="006521AB" w:rsidRDefault="006521AB" w:rsidP="002D6600">
      <w:pPr>
        <w:ind w:firstLine="540"/>
        <w:jc w:val="center"/>
        <w:rPr>
          <w:b/>
          <w:sz w:val="28"/>
          <w:szCs w:val="28"/>
          <w:lang w:val="ro-RO"/>
        </w:rPr>
      </w:pPr>
      <w:r>
        <w:rPr>
          <w:b/>
          <w:sz w:val="28"/>
          <w:szCs w:val="28"/>
          <w:lang w:val="ro-RO"/>
        </w:rPr>
        <w:t xml:space="preserve">III. Elaborarea, difuzarea şi utilizarea </w:t>
      </w:r>
      <w:r>
        <w:rPr>
          <w:b/>
          <w:sz w:val="28"/>
          <w:szCs w:val="28"/>
          <w:lang w:val="ro-RO"/>
        </w:rPr>
        <w:br/>
        <w:t>ghidurilor naţionale</w:t>
      </w:r>
    </w:p>
    <w:p w:rsidR="006521AB" w:rsidRDefault="006521AB" w:rsidP="002D6600">
      <w:pPr>
        <w:ind w:firstLine="540"/>
        <w:jc w:val="both"/>
        <w:rPr>
          <w:sz w:val="28"/>
          <w:szCs w:val="28"/>
          <w:lang w:val="ro-RO"/>
        </w:rPr>
      </w:pPr>
      <w:r>
        <w:rPr>
          <w:sz w:val="28"/>
          <w:szCs w:val="28"/>
          <w:lang w:val="ro-RO"/>
        </w:rPr>
        <w:t>10. Unităţile funcţionează respectînd în mod facultativ prevederile ghidurilor naţionale de bună practică, care, potrivit prevederilor pct. 11 lit. d) din Hotărîrea Guvernului nr. 412 din 25 mai 2010 „Pentru aprobarea Regulilor generale de igienă a produselor alimentare” (Monitorul Oficial al Republicii Moldova, 2011, nr. 83-84, art. 484), vor fi aprobate de către autoritatea competentă.</w:t>
      </w:r>
    </w:p>
    <w:p w:rsidR="006521AB" w:rsidRDefault="006521AB" w:rsidP="002D6600">
      <w:pPr>
        <w:ind w:firstLine="540"/>
        <w:jc w:val="both"/>
        <w:rPr>
          <w:sz w:val="28"/>
          <w:szCs w:val="28"/>
          <w:lang w:val="ro-RO"/>
        </w:rPr>
      </w:pPr>
      <w:r>
        <w:rPr>
          <w:sz w:val="28"/>
          <w:szCs w:val="28"/>
          <w:lang w:val="ro-RO"/>
        </w:rPr>
        <w:t>11. După stabilirea conţinutului, ghidurile naţionale de bună practică se elaborează şi se distribuie ramurilor sectorului hranei pentru animale.</w:t>
      </w:r>
    </w:p>
    <w:p w:rsidR="006521AB" w:rsidRDefault="006521AB" w:rsidP="002D6600">
      <w:pPr>
        <w:ind w:firstLine="540"/>
        <w:jc w:val="both"/>
        <w:rPr>
          <w:sz w:val="28"/>
          <w:szCs w:val="28"/>
          <w:lang w:val="ro-RO"/>
        </w:rPr>
      </w:pPr>
      <w:r>
        <w:rPr>
          <w:sz w:val="28"/>
          <w:szCs w:val="28"/>
          <w:lang w:val="ro-RO"/>
        </w:rPr>
        <w:t>12. Ghidurile naţionale trebuie să cuprindă orientări privind bunele practici de control al riscurilor în stadiul producţiei primare a furajelor.</w:t>
      </w:r>
    </w:p>
    <w:p w:rsidR="006521AB" w:rsidRDefault="006521AB" w:rsidP="002D6600">
      <w:pPr>
        <w:ind w:firstLine="540"/>
        <w:jc w:val="both"/>
        <w:rPr>
          <w:sz w:val="28"/>
          <w:szCs w:val="28"/>
          <w:lang w:val="ro-RO"/>
        </w:rPr>
      </w:pPr>
      <w:r>
        <w:rPr>
          <w:sz w:val="28"/>
          <w:szCs w:val="28"/>
          <w:lang w:val="ro-RO"/>
        </w:rPr>
        <w:t>13. Ghidurile de bună practică conţin informaţii privind riscurile care apar în stadiul producţiei primare a furajelor şi măsurile de control al acestor riscuri, inclusiv:</w:t>
      </w:r>
    </w:p>
    <w:p w:rsidR="006521AB" w:rsidRDefault="006521AB" w:rsidP="002D6600">
      <w:pPr>
        <w:ind w:firstLine="540"/>
        <w:jc w:val="both"/>
        <w:rPr>
          <w:sz w:val="28"/>
          <w:szCs w:val="28"/>
          <w:lang w:val="ro-RO"/>
        </w:rPr>
      </w:pPr>
      <w:r>
        <w:rPr>
          <w:sz w:val="28"/>
          <w:szCs w:val="28"/>
          <w:lang w:val="ro-RO"/>
        </w:rPr>
        <w:t>a) controlul contaminării cu micotoxine, metale grele şi substanţe radioactive;</w:t>
      </w:r>
    </w:p>
    <w:p w:rsidR="006521AB" w:rsidRDefault="006521AB" w:rsidP="002D6600">
      <w:pPr>
        <w:ind w:firstLine="540"/>
        <w:jc w:val="both"/>
        <w:rPr>
          <w:sz w:val="28"/>
          <w:szCs w:val="28"/>
          <w:lang w:val="ro-RO"/>
        </w:rPr>
      </w:pPr>
      <w:r>
        <w:rPr>
          <w:sz w:val="28"/>
          <w:szCs w:val="28"/>
          <w:lang w:val="ro-RO"/>
        </w:rPr>
        <w:t>b) utilizarea apei, a deşeurilor organice şi a îngrăşămintelor;</w:t>
      </w:r>
    </w:p>
    <w:p w:rsidR="006521AB" w:rsidRDefault="006521AB" w:rsidP="002D6600">
      <w:pPr>
        <w:ind w:firstLine="540"/>
        <w:jc w:val="both"/>
        <w:rPr>
          <w:sz w:val="28"/>
          <w:szCs w:val="28"/>
          <w:lang w:val="ro-RO"/>
        </w:rPr>
      </w:pPr>
      <w:r>
        <w:rPr>
          <w:sz w:val="28"/>
          <w:szCs w:val="28"/>
          <w:lang w:val="ro-RO"/>
        </w:rPr>
        <w:t>c) utilizarea corectă şi corespunzătoare a produselor fitosanitare şi a biocidelor şi trasabilitatea acestora;</w:t>
      </w:r>
    </w:p>
    <w:p w:rsidR="006521AB" w:rsidRDefault="006521AB" w:rsidP="002D6600">
      <w:pPr>
        <w:ind w:firstLine="540"/>
        <w:jc w:val="both"/>
        <w:rPr>
          <w:sz w:val="28"/>
          <w:szCs w:val="28"/>
          <w:lang w:val="ro-RO"/>
        </w:rPr>
      </w:pPr>
      <w:r>
        <w:rPr>
          <w:sz w:val="28"/>
          <w:szCs w:val="28"/>
          <w:lang w:val="ro-RO"/>
        </w:rPr>
        <w:t>d) utilizarea corectă şi corespunzătoare a medicamentelor de uz veterinar şi a aditivilor în hrana pentru animale şi trasabilitatea acestora;</w:t>
      </w:r>
    </w:p>
    <w:p w:rsidR="006521AB" w:rsidRDefault="006521AB" w:rsidP="002D6600">
      <w:pPr>
        <w:ind w:firstLine="540"/>
        <w:jc w:val="both"/>
        <w:rPr>
          <w:sz w:val="28"/>
          <w:szCs w:val="28"/>
          <w:lang w:val="ro-RO"/>
        </w:rPr>
      </w:pPr>
      <w:r>
        <w:rPr>
          <w:sz w:val="28"/>
          <w:szCs w:val="28"/>
          <w:lang w:val="ro-RO"/>
        </w:rPr>
        <w:t>e) prepararea, depozitarea şi trasabilitatea materiilor prime pentru furaje;</w:t>
      </w:r>
    </w:p>
    <w:p w:rsidR="006521AB" w:rsidRDefault="006521AB" w:rsidP="002D6600">
      <w:pPr>
        <w:ind w:firstLine="540"/>
        <w:jc w:val="both"/>
        <w:rPr>
          <w:sz w:val="28"/>
          <w:szCs w:val="28"/>
          <w:lang w:val="ro-RO"/>
        </w:rPr>
      </w:pPr>
      <w:r>
        <w:rPr>
          <w:sz w:val="28"/>
          <w:szCs w:val="28"/>
          <w:lang w:val="ro-RO"/>
        </w:rPr>
        <w:t>f) eliminarea corectă a cadavrelor, a deşeurilor şi aşternuturilor de paie;</w:t>
      </w:r>
    </w:p>
    <w:p w:rsidR="006521AB" w:rsidRDefault="006521AB" w:rsidP="002D6600">
      <w:pPr>
        <w:ind w:firstLine="540"/>
        <w:jc w:val="both"/>
        <w:rPr>
          <w:sz w:val="28"/>
          <w:szCs w:val="28"/>
          <w:lang w:val="ro-RO"/>
        </w:rPr>
      </w:pPr>
      <w:r>
        <w:rPr>
          <w:sz w:val="28"/>
          <w:szCs w:val="28"/>
          <w:lang w:val="ro-RO"/>
        </w:rPr>
        <w:t>g) măsurile de protecţie destinate prevenirii introducerii unor boli contagioase transmisibile la animale prin intermediul furajelor;</w:t>
      </w:r>
    </w:p>
    <w:p w:rsidR="006521AB" w:rsidRDefault="006521AB" w:rsidP="002D6600">
      <w:pPr>
        <w:ind w:firstLine="540"/>
        <w:jc w:val="both"/>
        <w:rPr>
          <w:sz w:val="28"/>
          <w:szCs w:val="28"/>
          <w:lang w:val="ro-RO"/>
        </w:rPr>
      </w:pPr>
      <w:r>
        <w:rPr>
          <w:sz w:val="28"/>
          <w:szCs w:val="28"/>
          <w:lang w:val="ro-RO"/>
        </w:rPr>
        <w:t>h) procedurile, practicile şi metodele care garantează că furajele sînt produse, preparate, ambalate, depozitate şi transportate în condiţii de igienă corespunzătoare, inclusiv în ceea ce priveşte curăţarea şi lupta eficientă împotriva organismelor dăunătoare;</w:t>
      </w:r>
    </w:p>
    <w:p w:rsidR="006521AB" w:rsidRDefault="006521AB" w:rsidP="002D6600">
      <w:pPr>
        <w:ind w:firstLine="540"/>
        <w:jc w:val="both"/>
        <w:rPr>
          <w:sz w:val="28"/>
          <w:szCs w:val="28"/>
          <w:lang w:val="ro-RO"/>
        </w:rPr>
      </w:pPr>
      <w:r>
        <w:rPr>
          <w:sz w:val="28"/>
          <w:szCs w:val="28"/>
          <w:lang w:val="ro-RO"/>
        </w:rPr>
        <w:t>i) detalii privind întocmirea registrelor.</w:t>
      </w:r>
    </w:p>
    <w:p w:rsidR="006521AB" w:rsidRDefault="006521AB" w:rsidP="00C61C61">
      <w:pPr>
        <w:jc w:val="both"/>
        <w:rPr>
          <w:sz w:val="28"/>
          <w:szCs w:val="28"/>
          <w:lang w:val="ro-RO"/>
        </w:rPr>
      </w:pPr>
    </w:p>
    <w:p w:rsidR="006521AB" w:rsidRPr="00C61C61" w:rsidRDefault="006521AB" w:rsidP="00C61C61">
      <w:pPr>
        <w:ind w:left="4956"/>
        <w:jc w:val="both"/>
        <w:rPr>
          <w:lang w:val="en-US"/>
        </w:rPr>
      </w:pPr>
      <w:r>
        <w:rPr>
          <w:sz w:val="28"/>
          <w:szCs w:val="28"/>
          <w:lang w:val="ro-RO"/>
        </w:rPr>
        <w:br w:type="page"/>
      </w:r>
      <w:r>
        <w:rPr>
          <w:lang w:val="ro-RO"/>
        </w:rPr>
        <w:t>Anexă</w:t>
      </w:r>
    </w:p>
    <w:p w:rsidR="006521AB" w:rsidRDefault="006521AB" w:rsidP="00C61C61">
      <w:pPr>
        <w:autoSpaceDE w:val="0"/>
        <w:autoSpaceDN w:val="0"/>
        <w:adjustRightInd w:val="0"/>
        <w:ind w:left="4956" w:right="-186"/>
        <w:jc w:val="both"/>
        <w:rPr>
          <w:lang w:val="ro-RO"/>
        </w:rPr>
      </w:pPr>
      <w:smartTag w:uri="urn:schemas-microsoft-com:office:smarttags" w:element="PersonName">
        <w:smartTagPr>
          <w:attr w:name="ProductID" w:val="la Cerinţele"/>
        </w:smartTagPr>
        <w:r>
          <w:rPr>
            <w:lang w:val="ro-RO"/>
          </w:rPr>
          <w:t>la Cerinţele</w:t>
        </w:r>
      </w:smartTag>
      <w:r>
        <w:rPr>
          <w:lang w:val="ro-RO"/>
        </w:rPr>
        <w:t xml:space="preserve"> generale privind activitatea </w:t>
      </w:r>
    </w:p>
    <w:p w:rsidR="006521AB" w:rsidRDefault="006521AB" w:rsidP="00C61C61">
      <w:pPr>
        <w:autoSpaceDE w:val="0"/>
        <w:autoSpaceDN w:val="0"/>
        <w:adjustRightInd w:val="0"/>
        <w:ind w:left="4956" w:right="-186"/>
        <w:jc w:val="both"/>
        <w:rPr>
          <w:bCs/>
          <w:lang w:val="ro-RO"/>
        </w:rPr>
      </w:pPr>
      <w:r>
        <w:rPr>
          <w:bCs/>
          <w:lang w:val="ro-RO"/>
        </w:rPr>
        <w:t>unităţilor din sectorul hranei pentru animale</w:t>
      </w:r>
    </w:p>
    <w:p w:rsidR="006521AB" w:rsidRDefault="006521AB" w:rsidP="00C61C61">
      <w:pPr>
        <w:ind w:left="5245"/>
        <w:jc w:val="right"/>
        <w:rPr>
          <w:b/>
          <w:sz w:val="28"/>
          <w:szCs w:val="28"/>
          <w:lang w:val="ro-RO"/>
        </w:rPr>
      </w:pPr>
    </w:p>
    <w:p w:rsidR="006521AB" w:rsidRDefault="006521AB" w:rsidP="00C61C61">
      <w:pPr>
        <w:autoSpaceDE w:val="0"/>
        <w:autoSpaceDN w:val="0"/>
        <w:adjustRightInd w:val="0"/>
        <w:ind w:firstLine="709"/>
        <w:jc w:val="center"/>
        <w:rPr>
          <w:b/>
          <w:sz w:val="28"/>
          <w:szCs w:val="28"/>
          <w:lang w:val="ro-RO"/>
        </w:rPr>
      </w:pPr>
    </w:p>
    <w:p w:rsidR="006521AB" w:rsidRDefault="006521AB" w:rsidP="00C61C61">
      <w:pPr>
        <w:autoSpaceDE w:val="0"/>
        <w:autoSpaceDN w:val="0"/>
        <w:adjustRightInd w:val="0"/>
        <w:ind w:firstLine="709"/>
        <w:jc w:val="center"/>
        <w:rPr>
          <w:b/>
          <w:sz w:val="28"/>
          <w:szCs w:val="28"/>
          <w:lang w:val="ro-RO"/>
        </w:rPr>
      </w:pPr>
      <w:r>
        <w:rPr>
          <w:b/>
          <w:sz w:val="28"/>
          <w:szCs w:val="28"/>
          <w:lang w:val="ro-RO"/>
        </w:rPr>
        <w:t xml:space="preserve">REGISTRUL </w:t>
      </w:r>
    </w:p>
    <w:p w:rsidR="006521AB" w:rsidRDefault="006521AB" w:rsidP="00C61C61">
      <w:pPr>
        <w:autoSpaceDE w:val="0"/>
        <w:autoSpaceDN w:val="0"/>
        <w:adjustRightInd w:val="0"/>
        <w:ind w:firstLine="709"/>
        <w:jc w:val="center"/>
        <w:rPr>
          <w:b/>
          <w:sz w:val="28"/>
          <w:szCs w:val="28"/>
          <w:lang w:val="ro-RO"/>
        </w:rPr>
      </w:pPr>
      <w:r>
        <w:rPr>
          <w:b/>
          <w:sz w:val="28"/>
          <w:szCs w:val="28"/>
          <w:lang w:val="ro-RO"/>
        </w:rPr>
        <w:t>unităţilor autorizate sanitar-veterinar</w:t>
      </w:r>
    </w:p>
    <w:p w:rsidR="006521AB" w:rsidRDefault="006521AB" w:rsidP="00C61C61">
      <w:pPr>
        <w:autoSpaceDE w:val="0"/>
        <w:autoSpaceDN w:val="0"/>
        <w:adjustRightInd w:val="0"/>
        <w:ind w:firstLine="709"/>
        <w:jc w:val="center"/>
        <w:rPr>
          <w:b/>
          <w:sz w:val="28"/>
          <w:szCs w:val="28"/>
          <w:lang w:val="ro-RO"/>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1"/>
        <w:gridCol w:w="1276"/>
        <w:gridCol w:w="945"/>
        <w:gridCol w:w="1260"/>
        <w:gridCol w:w="1056"/>
        <w:gridCol w:w="1464"/>
        <w:gridCol w:w="1080"/>
        <w:gridCol w:w="823"/>
      </w:tblGrid>
      <w:tr w:rsidR="006521AB" w:rsidTr="00C61C61">
        <w:tc>
          <w:tcPr>
            <w:tcW w:w="1560" w:type="dxa"/>
          </w:tcPr>
          <w:p w:rsidR="006521AB" w:rsidRDefault="006521AB">
            <w:pPr>
              <w:autoSpaceDE w:val="0"/>
              <w:autoSpaceDN w:val="0"/>
              <w:adjustRightInd w:val="0"/>
              <w:jc w:val="center"/>
              <w:rPr>
                <w:rFonts w:eastAsia="Times New Roman"/>
                <w:b/>
                <w:lang w:val="ro-RO"/>
              </w:rPr>
            </w:pPr>
            <w:r>
              <w:rPr>
                <w:rFonts w:eastAsia="Times New Roman"/>
                <w:b/>
                <w:sz w:val="22"/>
                <w:szCs w:val="22"/>
                <w:lang w:val="ro-RO"/>
              </w:rPr>
              <w:t>Nr.d/o</w:t>
            </w:r>
          </w:p>
        </w:tc>
        <w:tc>
          <w:tcPr>
            <w:tcW w:w="1275" w:type="dxa"/>
          </w:tcPr>
          <w:p w:rsidR="006521AB" w:rsidRDefault="006521AB">
            <w:pPr>
              <w:autoSpaceDE w:val="0"/>
              <w:autoSpaceDN w:val="0"/>
              <w:adjustRightInd w:val="0"/>
              <w:jc w:val="center"/>
              <w:rPr>
                <w:rFonts w:eastAsia="Times New Roman"/>
                <w:b/>
                <w:lang w:val="ro-RO"/>
              </w:rPr>
            </w:pPr>
            <w:r>
              <w:rPr>
                <w:b/>
                <w:sz w:val="22"/>
                <w:szCs w:val="22"/>
                <w:lang w:val="ro-RO"/>
              </w:rPr>
              <w:t>Denumirea unităţii</w:t>
            </w:r>
          </w:p>
        </w:tc>
        <w:tc>
          <w:tcPr>
            <w:tcW w:w="945" w:type="dxa"/>
          </w:tcPr>
          <w:p w:rsidR="006521AB" w:rsidRDefault="006521AB">
            <w:pPr>
              <w:autoSpaceDE w:val="0"/>
              <w:autoSpaceDN w:val="0"/>
              <w:adjustRightInd w:val="0"/>
              <w:jc w:val="center"/>
              <w:rPr>
                <w:rFonts w:eastAsia="Times New Roman"/>
                <w:b/>
                <w:lang w:val="ro-RO"/>
              </w:rPr>
            </w:pPr>
            <w:r>
              <w:rPr>
                <w:rFonts w:eastAsia="Times New Roman"/>
                <w:b/>
                <w:sz w:val="22"/>
                <w:szCs w:val="22"/>
                <w:lang w:val="ro-RO"/>
              </w:rPr>
              <w:t>Adresa</w:t>
            </w:r>
          </w:p>
        </w:tc>
        <w:tc>
          <w:tcPr>
            <w:tcW w:w="1260" w:type="dxa"/>
          </w:tcPr>
          <w:p w:rsidR="006521AB" w:rsidRDefault="006521AB">
            <w:pPr>
              <w:autoSpaceDE w:val="0"/>
              <w:autoSpaceDN w:val="0"/>
              <w:adjustRightInd w:val="0"/>
              <w:jc w:val="center"/>
              <w:rPr>
                <w:rFonts w:eastAsia="Times New Roman"/>
                <w:b/>
                <w:lang w:val="ro-RO"/>
              </w:rPr>
            </w:pPr>
            <w:r>
              <w:rPr>
                <w:rFonts w:eastAsia="Times New Roman"/>
                <w:b/>
                <w:sz w:val="22"/>
                <w:szCs w:val="22"/>
                <w:lang w:val="ro-RO"/>
              </w:rPr>
              <w:t>Profilul de activitate</w:t>
            </w:r>
          </w:p>
        </w:tc>
        <w:tc>
          <w:tcPr>
            <w:tcW w:w="1056" w:type="dxa"/>
          </w:tcPr>
          <w:p w:rsidR="006521AB" w:rsidRDefault="006521AB">
            <w:pPr>
              <w:autoSpaceDE w:val="0"/>
              <w:autoSpaceDN w:val="0"/>
              <w:adjustRightInd w:val="0"/>
              <w:jc w:val="center"/>
              <w:rPr>
                <w:rFonts w:eastAsia="Times New Roman"/>
                <w:b/>
                <w:lang w:val="ro-RO"/>
              </w:rPr>
            </w:pPr>
            <w:r>
              <w:rPr>
                <w:rFonts w:eastAsia="Times New Roman"/>
                <w:b/>
                <w:sz w:val="22"/>
                <w:szCs w:val="22"/>
                <w:lang w:val="ro-RO"/>
              </w:rPr>
              <w:t>Aditivi</w:t>
            </w:r>
          </w:p>
          <w:p w:rsidR="006521AB" w:rsidRDefault="006521AB">
            <w:pPr>
              <w:autoSpaceDE w:val="0"/>
              <w:autoSpaceDN w:val="0"/>
              <w:adjustRightInd w:val="0"/>
              <w:jc w:val="center"/>
              <w:rPr>
                <w:rFonts w:eastAsia="Times New Roman"/>
                <w:b/>
                <w:lang w:val="ro-RO"/>
              </w:rPr>
            </w:pPr>
            <w:r>
              <w:rPr>
                <w:b/>
                <w:sz w:val="22"/>
                <w:szCs w:val="22"/>
                <w:lang w:val="ro-RO"/>
              </w:rPr>
              <w:t>utilizaţi</w:t>
            </w:r>
          </w:p>
        </w:tc>
        <w:tc>
          <w:tcPr>
            <w:tcW w:w="1464" w:type="dxa"/>
          </w:tcPr>
          <w:p w:rsidR="006521AB" w:rsidRDefault="006521AB">
            <w:pPr>
              <w:autoSpaceDE w:val="0"/>
              <w:autoSpaceDN w:val="0"/>
              <w:adjustRightInd w:val="0"/>
              <w:ind w:left="-108"/>
              <w:jc w:val="center"/>
              <w:rPr>
                <w:rFonts w:eastAsia="Times New Roman"/>
                <w:b/>
                <w:lang w:val="ro-RO"/>
              </w:rPr>
            </w:pPr>
            <w:r>
              <w:rPr>
                <w:rFonts w:eastAsia="Times New Roman"/>
                <w:b/>
                <w:sz w:val="22"/>
                <w:szCs w:val="22"/>
                <w:lang w:val="ro-RO"/>
              </w:rPr>
              <w:t>Capacitatea</w:t>
            </w:r>
          </w:p>
        </w:tc>
        <w:tc>
          <w:tcPr>
            <w:tcW w:w="1080" w:type="dxa"/>
          </w:tcPr>
          <w:p w:rsidR="006521AB" w:rsidRDefault="006521AB">
            <w:pPr>
              <w:autoSpaceDE w:val="0"/>
              <w:autoSpaceDN w:val="0"/>
              <w:adjustRightInd w:val="0"/>
              <w:jc w:val="center"/>
              <w:rPr>
                <w:rFonts w:eastAsia="Times New Roman"/>
                <w:b/>
                <w:lang w:val="ro-RO"/>
              </w:rPr>
            </w:pPr>
            <w:r>
              <w:rPr>
                <w:rFonts w:eastAsia="Times New Roman"/>
                <w:b/>
                <w:sz w:val="22"/>
                <w:szCs w:val="22"/>
                <w:lang w:val="ro-RO"/>
              </w:rPr>
              <w:t>Date de contact</w:t>
            </w:r>
          </w:p>
        </w:tc>
        <w:tc>
          <w:tcPr>
            <w:tcW w:w="823" w:type="dxa"/>
          </w:tcPr>
          <w:p w:rsidR="006521AB" w:rsidRDefault="006521AB">
            <w:pPr>
              <w:autoSpaceDE w:val="0"/>
              <w:autoSpaceDN w:val="0"/>
              <w:adjustRightInd w:val="0"/>
              <w:jc w:val="center"/>
              <w:rPr>
                <w:rFonts w:eastAsia="Times New Roman"/>
                <w:b/>
                <w:lang w:val="ro-RO"/>
              </w:rPr>
            </w:pPr>
            <w:r>
              <w:rPr>
                <w:rFonts w:eastAsia="Times New Roman"/>
                <w:b/>
                <w:sz w:val="22"/>
                <w:szCs w:val="22"/>
                <w:lang w:val="ro-RO"/>
              </w:rPr>
              <w:t>Note</w:t>
            </w:r>
          </w:p>
        </w:tc>
      </w:tr>
      <w:tr w:rsidR="006521AB" w:rsidTr="00C61C61">
        <w:tc>
          <w:tcPr>
            <w:tcW w:w="1560" w:type="dxa"/>
          </w:tcPr>
          <w:p w:rsidR="006521AB" w:rsidRDefault="006521AB">
            <w:pPr>
              <w:autoSpaceDE w:val="0"/>
              <w:autoSpaceDN w:val="0"/>
              <w:adjustRightInd w:val="0"/>
              <w:jc w:val="both"/>
              <w:rPr>
                <w:rFonts w:eastAsia="Times New Roman"/>
                <w:b/>
                <w:lang w:val="ro-RO"/>
              </w:rPr>
            </w:pPr>
          </w:p>
        </w:tc>
        <w:tc>
          <w:tcPr>
            <w:tcW w:w="1275" w:type="dxa"/>
          </w:tcPr>
          <w:p w:rsidR="006521AB" w:rsidRDefault="006521AB">
            <w:pPr>
              <w:autoSpaceDE w:val="0"/>
              <w:autoSpaceDN w:val="0"/>
              <w:adjustRightInd w:val="0"/>
              <w:jc w:val="center"/>
              <w:rPr>
                <w:rFonts w:eastAsia="Times New Roman"/>
                <w:b/>
                <w:lang w:val="ro-RO"/>
              </w:rPr>
            </w:pPr>
          </w:p>
        </w:tc>
        <w:tc>
          <w:tcPr>
            <w:tcW w:w="945" w:type="dxa"/>
          </w:tcPr>
          <w:p w:rsidR="006521AB" w:rsidRDefault="006521AB">
            <w:pPr>
              <w:autoSpaceDE w:val="0"/>
              <w:autoSpaceDN w:val="0"/>
              <w:adjustRightInd w:val="0"/>
              <w:jc w:val="center"/>
              <w:rPr>
                <w:rFonts w:eastAsia="Times New Roman"/>
                <w:b/>
                <w:lang w:val="ro-RO"/>
              </w:rPr>
            </w:pPr>
          </w:p>
        </w:tc>
        <w:tc>
          <w:tcPr>
            <w:tcW w:w="1260" w:type="dxa"/>
          </w:tcPr>
          <w:p w:rsidR="006521AB" w:rsidRDefault="006521AB">
            <w:pPr>
              <w:autoSpaceDE w:val="0"/>
              <w:autoSpaceDN w:val="0"/>
              <w:adjustRightInd w:val="0"/>
              <w:jc w:val="center"/>
              <w:rPr>
                <w:rFonts w:eastAsia="Times New Roman"/>
                <w:b/>
                <w:lang w:val="ro-RO"/>
              </w:rPr>
            </w:pPr>
          </w:p>
        </w:tc>
        <w:tc>
          <w:tcPr>
            <w:tcW w:w="1056" w:type="dxa"/>
          </w:tcPr>
          <w:p w:rsidR="006521AB" w:rsidRDefault="006521AB">
            <w:pPr>
              <w:autoSpaceDE w:val="0"/>
              <w:autoSpaceDN w:val="0"/>
              <w:adjustRightInd w:val="0"/>
              <w:jc w:val="center"/>
              <w:rPr>
                <w:rFonts w:eastAsia="Times New Roman"/>
                <w:b/>
                <w:lang w:val="ro-RO"/>
              </w:rPr>
            </w:pPr>
          </w:p>
        </w:tc>
        <w:tc>
          <w:tcPr>
            <w:tcW w:w="1464" w:type="dxa"/>
          </w:tcPr>
          <w:p w:rsidR="006521AB" w:rsidRDefault="006521AB">
            <w:pPr>
              <w:autoSpaceDE w:val="0"/>
              <w:autoSpaceDN w:val="0"/>
              <w:adjustRightInd w:val="0"/>
              <w:jc w:val="center"/>
              <w:rPr>
                <w:rFonts w:eastAsia="Times New Roman"/>
                <w:b/>
                <w:lang w:val="ro-RO"/>
              </w:rPr>
            </w:pPr>
          </w:p>
        </w:tc>
        <w:tc>
          <w:tcPr>
            <w:tcW w:w="1080" w:type="dxa"/>
          </w:tcPr>
          <w:p w:rsidR="006521AB" w:rsidRDefault="006521AB">
            <w:pPr>
              <w:autoSpaceDE w:val="0"/>
              <w:autoSpaceDN w:val="0"/>
              <w:adjustRightInd w:val="0"/>
              <w:rPr>
                <w:rFonts w:eastAsia="Times New Roman"/>
                <w:b/>
                <w:lang w:val="ro-RO"/>
              </w:rPr>
            </w:pPr>
          </w:p>
        </w:tc>
        <w:tc>
          <w:tcPr>
            <w:tcW w:w="823" w:type="dxa"/>
          </w:tcPr>
          <w:p w:rsidR="006521AB" w:rsidRDefault="006521AB">
            <w:pPr>
              <w:autoSpaceDE w:val="0"/>
              <w:autoSpaceDN w:val="0"/>
              <w:adjustRightInd w:val="0"/>
              <w:rPr>
                <w:rFonts w:eastAsia="Times New Roman"/>
                <w:b/>
                <w:lang w:val="ro-RO"/>
              </w:rPr>
            </w:pPr>
          </w:p>
        </w:tc>
      </w:tr>
    </w:tbl>
    <w:p w:rsidR="006521AB" w:rsidRDefault="006521AB" w:rsidP="00C61C61">
      <w:pPr>
        <w:rPr>
          <w:lang w:val="ro-RO"/>
        </w:rPr>
      </w:pPr>
    </w:p>
    <w:p w:rsidR="006521AB" w:rsidRDefault="006521AB" w:rsidP="00C61C61">
      <w:pPr>
        <w:rPr>
          <w:lang w:val="ro-RO"/>
        </w:rPr>
      </w:pPr>
    </w:p>
    <w:p w:rsidR="006521AB" w:rsidRDefault="006521AB"/>
    <w:sectPr w:rsidR="006521AB" w:rsidSect="00887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80D"/>
    <w:rsid w:val="000E1E01"/>
    <w:rsid w:val="0026280D"/>
    <w:rsid w:val="002D6600"/>
    <w:rsid w:val="00626982"/>
    <w:rsid w:val="006521AB"/>
    <w:rsid w:val="00887CE5"/>
    <w:rsid w:val="00896559"/>
    <w:rsid w:val="009E60E2"/>
    <w:rsid w:val="00C61C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1"/>
    <w:rPr>
      <w:rFonts w:ascii="Times New Roman" w:eastAsia="MS Mincho"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uiPriority w:val="99"/>
    <w:rsid w:val="00C61C61"/>
    <w:rPr>
      <w:rFonts w:cs="Times New Roman"/>
    </w:rPr>
  </w:style>
</w:styles>
</file>

<file path=word/webSettings.xml><?xml version="1.0" encoding="utf-8"?>
<w:webSettings xmlns:r="http://schemas.openxmlformats.org/officeDocument/2006/relationships" xmlns:w="http://schemas.openxmlformats.org/wordprocessingml/2006/main">
  <w:divs>
    <w:div w:id="1326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861</Words>
  <Characters>4910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pavalachii</cp:lastModifiedBy>
  <cp:revision>6</cp:revision>
  <dcterms:created xsi:type="dcterms:W3CDTF">2013-07-05T09:55:00Z</dcterms:created>
  <dcterms:modified xsi:type="dcterms:W3CDTF">2013-07-08T08:33:00Z</dcterms:modified>
</cp:coreProperties>
</file>