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95" w:rsidRPr="00BF4C65" w:rsidRDefault="00813E95" w:rsidP="00813E95">
      <w:pPr>
        <w:pStyle w:val="a4"/>
        <w:ind w:left="7088"/>
        <w:rPr>
          <w:rFonts w:ascii="Times New Roman" w:hAnsi="Times New Roman"/>
          <w:b/>
          <w:sz w:val="20"/>
          <w:szCs w:val="20"/>
          <w:lang w:val="ro-MO" w:eastAsia="ru-RU"/>
        </w:rPr>
      </w:pPr>
      <w:r w:rsidRPr="00BF4C65">
        <w:rPr>
          <w:rFonts w:ascii="Times New Roman" w:hAnsi="Times New Roman"/>
          <w:b/>
          <w:sz w:val="20"/>
          <w:szCs w:val="20"/>
          <w:lang w:val="ro-MO" w:eastAsia="ru-RU"/>
        </w:rPr>
        <w:t>Anexa nr.2</w:t>
      </w:r>
    </w:p>
    <w:p w:rsidR="00813E95" w:rsidRPr="00BF4C65" w:rsidRDefault="00813E95" w:rsidP="00813E95">
      <w:pPr>
        <w:pStyle w:val="a4"/>
        <w:ind w:left="7088"/>
        <w:rPr>
          <w:rFonts w:ascii="Times New Roman" w:hAnsi="Times New Roman"/>
          <w:b/>
          <w:sz w:val="20"/>
          <w:szCs w:val="20"/>
          <w:lang w:val="ro-MO" w:eastAsia="ru-RU"/>
        </w:rPr>
      </w:pPr>
      <w:r w:rsidRPr="00BF4C65">
        <w:rPr>
          <w:rFonts w:ascii="Times New Roman" w:hAnsi="Times New Roman"/>
          <w:b/>
          <w:sz w:val="20"/>
          <w:szCs w:val="20"/>
          <w:lang w:val="ro-MO" w:eastAsia="ru-RU"/>
        </w:rPr>
        <w:t>la Hotărîrea C.N.P.F.</w:t>
      </w:r>
    </w:p>
    <w:p w:rsidR="00813E95" w:rsidRPr="00BF4C65" w:rsidRDefault="00813E95" w:rsidP="00813E95">
      <w:pPr>
        <w:pStyle w:val="a4"/>
        <w:ind w:left="7088"/>
        <w:rPr>
          <w:rFonts w:ascii="Times New Roman" w:hAnsi="Times New Roman"/>
          <w:b/>
          <w:sz w:val="20"/>
          <w:szCs w:val="20"/>
          <w:lang w:val="ro-MO" w:eastAsia="ru-RU"/>
        </w:rPr>
      </w:pPr>
      <w:r w:rsidRPr="00BF4C65">
        <w:rPr>
          <w:rFonts w:ascii="Times New Roman" w:hAnsi="Times New Roman"/>
          <w:b/>
          <w:sz w:val="20"/>
          <w:szCs w:val="20"/>
          <w:lang w:val="ro-MO" w:eastAsia="ru-RU"/>
        </w:rPr>
        <w:t>nr.26/10 din 13 iunie 2013</w:t>
      </w:r>
    </w:p>
    <w:p w:rsidR="00813E95" w:rsidRDefault="00813E95" w:rsidP="00813E95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</w:p>
    <w:p w:rsidR="00813E95" w:rsidRPr="007E6724" w:rsidRDefault="00813E95" w:rsidP="00813E95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Cota factorului de încărcare în prima de asigurare de bază aferentă asigurării obligatorii de răspundere civilă auto intern</w:t>
      </w:r>
      <w:r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ă</w:t>
      </w:r>
      <w:r w:rsidRPr="007E6724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ş</w:t>
      </w:r>
      <w:bookmarkStart w:id="0" w:name="_GoBack"/>
      <w:bookmarkEnd w:id="0"/>
      <w:r w:rsidRPr="007E6724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i extern</w:t>
      </w:r>
      <w:r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ă</w:t>
      </w:r>
    </w:p>
    <w:p w:rsidR="00813E95" w:rsidRPr="007E6724" w:rsidRDefault="00813E95" w:rsidP="00813E9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Cota factorului de încărcare în prima de asigurare de bază aferentă asigurării obligatorii de răspundere civilă auto interne</w:t>
      </w:r>
      <w:r w:rsidRPr="007E6724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 xml:space="preserve"> 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se stabileşte în mărime de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38% și include:</w:t>
      </w:r>
    </w:p>
    <w:p w:rsidR="00813E95" w:rsidRPr="007E6724" w:rsidRDefault="00813E95" w:rsidP="00813E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ocbody1"/>
          <w:sz w:val="28"/>
          <w:szCs w:val="28"/>
          <w:lang w:val="ro-RO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comisioanele şi alte plăţi brokerilor şi agenţilor de asigurare pentru intermedierea contractelor de asigurare, plăţile salariale, inclusiv contribuţii sociale şi medicale, aferente personalului propriu pentru încheierea contractelor de asigurare –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1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5%;</w:t>
      </w:r>
    </w:p>
    <w:p w:rsidR="00813E95" w:rsidRPr="007E6724" w:rsidRDefault="00813E95" w:rsidP="00813E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ocbody1"/>
          <w:sz w:val="28"/>
          <w:szCs w:val="28"/>
          <w:lang w:val="ro-RO"/>
        </w:rPr>
      </w:pPr>
      <w:r w:rsidRPr="007E6724">
        <w:rPr>
          <w:rStyle w:val="docbody1"/>
          <w:sz w:val="28"/>
          <w:szCs w:val="28"/>
          <w:lang w:val="ro-RO"/>
        </w:rPr>
        <w:t>cheltuielile asigurătorului,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altele decît cele prevăzute la lit.a) – 10%</w:t>
      </w:r>
      <w:r w:rsidRPr="007E6724">
        <w:rPr>
          <w:rStyle w:val="docbody1"/>
          <w:sz w:val="28"/>
          <w:szCs w:val="28"/>
          <w:lang w:val="ro-RO"/>
        </w:rPr>
        <w:t>;</w:t>
      </w:r>
    </w:p>
    <w:p w:rsidR="00813E95" w:rsidRPr="007E6724" w:rsidRDefault="00813E95" w:rsidP="00813E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ocbody1"/>
          <w:sz w:val="28"/>
          <w:szCs w:val="28"/>
          <w:lang w:val="ro-RO"/>
        </w:rPr>
      </w:pPr>
      <w:r w:rsidRPr="007E6724">
        <w:rPr>
          <w:rStyle w:val="docbody1"/>
          <w:sz w:val="28"/>
          <w:szCs w:val="28"/>
          <w:lang w:val="ro-RO"/>
        </w:rPr>
        <w:t>contribuţiile în Fondul de protecţie a victimelor străzii – 2%;</w:t>
      </w:r>
    </w:p>
    <w:p w:rsidR="00813E95" w:rsidRPr="007E6724" w:rsidRDefault="00813E95" w:rsidP="00813E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ocbody1"/>
          <w:sz w:val="28"/>
          <w:szCs w:val="28"/>
          <w:lang w:val="ro-RO"/>
        </w:rPr>
      </w:pPr>
      <w:r w:rsidRPr="007E6724">
        <w:rPr>
          <w:rStyle w:val="docbody1"/>
          <w:sz w:val="28"/>
          <w:szCs w:val="28"/>
          <w:lang w:val="ro-RO"/>
        </w:rPr>
        <w:t>contribuţiile în Fondul naţional de garanţie – 0,5%;</w:t>
      </w:r>
    </w:p>
    <w:p w:rsidR="00813E95" w:rsidRPr="007E6724" w:rsidRDefault="00813E95" w:rsidP="00813E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ocbody1"/>
          <w:sz w:val="28"/>
          <w:szCs w:val="28"/>
          <w:lang w:val="ro-RO"/>
        </w:rPr>
      </w:pPr>
      <w:r w:rsidRPr="007E6724">
        <w:rPr>
          <w:rStyle w:val="docbody1"/>
          <w:sz w:val="28"/>
          <w:szCs w:val="28"/>
          <w:lang w:val="ro-RO"/>
        </w:rPr>
        <w:t xml:space="preserve">plăţi regulatorii – 0,5%; </w:t>
      </w:r>
    </w:p>
    <w:p w:rsidR="00813E95" w:rsidRPr="007E6724" w:rsidRDefault="00813E95" w:rsidP="00813E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ocbody1"/>
          <w:sz w:val="28"/>
          <w:szCs w:val="28"/>
          <w:lang w:val="ro-RO"/>
        </w:rPr>
      </w:pPr>
      <w:r w:rsidRPr="007E6724">
        <w:rPr>
          <w:rStyle w:val="docbody1"/>
          <w:sz w:val="28"/>
          <w:szCs w:val="28"/>
          <w:lang w:val="ro-RO"/>
        </w:rPr>
        <w:t>marja de profit – 10%.</w:t>
      </w:r>
    </w:p>
    <w:p w:rsidR="00813E95" w:rsidRPr="007E6724" w:rsidRDefault="00813E95" w:rsidP="00813E95">
      <w:pPr>
        <w:tabs>
          <w:tab w:val="left" w:pos="993"/>
        </w:tabs>
        <w:spacing w:after="0" w:line="240" w:lineRule="auto"/>
        <w:ind w:left="567"/>
        <w:jc w:val="both"/>
        <w:rPr>
          <w:rStyle w:val="docbody1"/>
          <w:sz w:val="28"/>
          <w:szCs w:val="28"/>
          <w:lang w:val="ro-RO"/>
        </w:rPr>
      </w:pPr>
    </w:p>
    <w:p w:rsidR="00813E95" w:rsidRPr="007E6724" w:rsidRDefault="00813E95" w:rsidP="00813E9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Cota factorului de încărcare în prima de asigurare de bază aferentă asigurării obligatorii de răspundere civilă auto externe</w:t>
      </w:r>
      <w:r w:rsidRPr="007E6724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 xml:space="preserve"> 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se stabileşte în mărime de 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pînă la 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48% și include:</w:t>
      </w:r>
    </w:p>
    <w:p w:rsidR="00813E95" w:rsidRPr="007E6724" w:rsidRDefault="00813E95" w:rsidP="00813E9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ocbody1"/>
          <w:sz w:val="28"/>
          <w:szCs w:val="28"/>
          <w:lang w:val="ro-RO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comisioanele şi alte plăţi brokerilor şi agenţilor de asigurare pentru intermedierea contractelor de asigurare, plăţile salariale, inclusiv contribuţii sociale şi medicale, aferente personalului propriu pentru încheierea contractelor de asigurare – 12%;</w:t>
      </w:r>
    </w:p>
    <w:p w:rsidR="00813E95" w:rsidRPr="007E6724" w:rsidRDefault="00813E95" w:rsidP="00813E9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ocbody1"/>
          <w:sz w:val="28"/>
          <w:szCs w:val="28"/>
          <w:lang w:val="ro-RO"/>
        </w:rPr>
      </w:pPr>
      <w:r w:rsidRPr="007E6724">
        <w:rPr>
          <w:rStyle w:val="docbody1"/>
          <w:sz w:val="28"/>
          <w:szCs w:val="28"/>
          <w:lang w:val="ro-RO"/>
        </w:rPr>
        <w:t>cheltuielile asigurătorului,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altele decît cele prevăzute la lit.a) – 8%</w:t>
      </w:r>
      <w:r w:rsidRPr="007E6724">
        <w:rPr>
          <w:rStyle w:val="docbody1"/>
          <w:sz w:val="28"/>
          <w:szCs w:val="28"/>
          <w:lang w:val="ro-RO"/>
        </w:rPr>
        <w:t>;</w:t>
      </w:r>
    </w:p>
    <w:p w:rsidR="00813E95" w:rsidRPr="007E6724" w:rsidRDefault="00813E95" w:rsidP="00813E9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ocbody1"/>
          <w:sz w:val="28"/>
          <w:szCs w:val="28"/>
          <w:lang w:val="ro-RO"/>
        </w:rPr>
      </w:pPr>
      <w:r w:rsidRPr="007E6724">
        <w:rPr>
          <w:rStyle w:val="docbody1"/>
          <w:sz w:val="28"/>
          <w:szCs w:val="28"/>
          <w:lang w:val="ro-RO"/>
        </w:rPr>
        <w:t>cheltuieli de reasigurare –</w:t>
      </w:r>
      <w:r>
        <w:rPr>
          <w:rStyle w:val="docbody1"/>
          <w:sz w:val="28"/>
          <w:szCs w:val="28"/>
          <w:lang w:val="ro-RO"/>
        </w:rPr>
        <w:t xml:space="preserve"> pînă la</w:t>
      </w:r>
      <w:r w:rsidRPr="007E6724">
        <w:rPr>
          <w:rStyle w:val="docbody1"/>
          <w:sz w:val="28"/>
          <w:szCs w:val="28"/>
          <w:lang w:val="ro-RO"/>
        </w:rPr>
        <w:t xml:space="preserve"> 18%;</w:t>
      </w:r>
    </w:p>
    <w:p w:rsidR="00813E95" w:rsidRPr="007E6724" w:rsidRDefault="00813E95" w:rsidP="00813E9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ocbody1"/>
          <w:sz w:val="28"/>
          <w:szCs w:val="28"/>
          <w:lang w:val="ro-RO"/>
        </w:rPr>
      </w:pPr>
      <w:r w:rsidRPr="007E6724">
        <w:rPr>
          <w:rStyle w:val="docbody1"/>
          <w:sz w:val="28"/>
          <w:szCs w:val="28"/>
          <w:lang w:val="ro-RO"/>
        </w:rPr>
        <w:t xml:space="preserve">contribuţiile în Fondul de compensare – 2%; </w:t>
      </w:r>
    </w:p>
    <w:p w:rsidR="00813E95" w:rsidRPr="007E6724" w:rsidRDefault="00813E95" w:rsidP="00813E9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ocbody1"/>
          <w:sz w:val="28"/>
          <w:szCs w:val="28"/>
          <w:lang w:val="ro-RO"/>
        </w:rPr>
      </w:pPr>
      <w:r w:rsidRPr="007E6724">
        <w:rPr>
          <w:rStyle w:val="docbody1"/>
          <w:sz w:val="28"/>
          <w:szCs w:val="28"/>
          <w:lang w:val="ro-RO"/>
        </w:rPr>
        <w:t>contribuţiile în Fondul naţional de garanţie – 0,5%;</w:t>
      </w:r>
    </w:p>
    <w:p w:rsidR="00813E95" w:rsidRPr="007E6724" w:rsidRDefault="00813E95" w:rsidP="00813E9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ocbody1"/>
          <w:sz w:val="28"/>
          <w:szCs w:val="28"/>
          <w:lang w:val="ro-RO"/>
        </w:rPr>
      </w:pPr>
      <w:r w:rsidRPr="007E6724">
        <w:rPr>
          <w:rStyle w:val="docbody1"/>
          <w:sz w:val="28"/>
          <w:szCs w:val="28"/>
          <w:lang w:val="ro-RO"/>
        </w:rPr>
        <w:t>plăţi regulatorii – 0,5%;</w:t>
      </w:r>
    </w:p>
    <w:p w:rsidR="00813E95" w:rsidRPr="007E6724" w:rsidRDefault="00813E95" w:rsidP="00813E9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ocbody1"/>
          <w:sz w:val="28"/>
          <w:szCs w:val="28"/>
          <w:lang w:val="ro-RO"/>
        </w:rPr>
      </w:pPr>
      <w:r w:rsidRPr="007E6724">
        <w:rPr>
          <w:rStyle w:val="docbody1"/>
          <w:sz w:val="28"/>
          <w:szCs w:val="28"/>
          <w:lang w:val="ro-RO"/>
        </w:rPr>
        <w:t>marja de profit – 7%.</w:t>
      </w:r>
    </w:p>
    <w:p w:rsidR="007A3ED1" w:rsidRDefault="007A3ED1"/>
    <w:sectPr w:rsidR="007A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3BA"/>
    <w:multiLevelType w:val="hybridMultilevel"/>
    <w:tmpl w:val="38C43790"/>
    <w:lvl w:ilvl="0" w:tplc="1D7801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D38E0"/>
    <w:multiLevelType w:val="hybridMultilevel"/>
    <w:tmpl w:val="28DA8060"/>
    <w:lvl w:ilvl="0" w:tplc="71AE8DDE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8E5329"/>
    <w:multiLevelType w:val="hybridMultilevel"/>
    <w:tmpl w:val="0B7CE638"/>
    <w:lvl w:ilvl="0" w:tplc="3FC85DD4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A2"/>
    <w:rsid w:val="00395AA2"/>
    <w:rsid w:val="007A3ED1"/>
    <w:rsid w:val="0081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E95"/>
    <w:pPr>
      <w:ind w:left="720"/>
      <w:contextualSpacing/>
    </w:pPr>
  </w:style>
  <w:style w:type="paragraph" w:styleId="a4">
    <w:name w:val="No Spacing"/>
    <w:uiPriority w:val="1"/>
    <w:qFormat/>
    <w:rsid w:val="00813E9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docbody1">
    <w:name w:val="doc_body1"/>
    <w:basedOn w:val="a0"/>
    <w:rsid w:val="00813E95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E95"/>
    <w:pPr>
      <w:ind w:left="720"/>
      <w:contextualSpacing/>
    </w:pPr>
  </w:style>
  <w:style w:type="paragraph" w:styleId="a4">
    <w:name w:val="No Spacing"/>
    <w:uiPriority w:val="1"/>
    <w:qFormat/>
    <w:rsid w:val="00813E9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docbody1">
    <w:name w:val="doc_body1"/>
    <w:basedOn w:val="a0"/>
    <w:rsid w:val="00813E95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2013-08-09T09:27:00Z</dcterms:created>
  <dcterms:modified xsi:type="dcterms:W3CDTF">2013-08-09T09:27:00Z</dcterms:modified>
</cp:coreProperties>
</file>