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E" w:rsidRPr="00A6114F" w:rsidRDefault="006F19AE" w:rsidP="006F19A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Приложение №1</w:t>
      </w:r>
    </w:p>
    <w:p w:rsidR="006F19AE" w:rsidRPr="00A6114F" w:rsidRDefault="006F19AE" w:rsidP="006F19A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</w:p>
    <w:p w:rsidR="006F19AE" w:rsidRPr="00A6114F" w:rsidRDefault="006F19AE" w:rsidP="006F19AE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Краткая информация о районе </w:t>
      </w:r>
      <w:proofErr w:type="spellStart"/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Яловень</w:t>
      </w:r>
      <w:proofErr w:type="spellEnd"/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о 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соответствующ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ей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нормативн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ой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и законодательн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ой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баз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е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относящейся к 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ю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>ридическ</w:t>
      </w:r>
      <w:r>
        <w:rPr>
          <w:rFonts w:ascii="Times New Roman" w:hAnsi="Times New Roman"/>
          <w:b/>
          <w:sz w:val="24"/>
          <w:szCs w:val="24"/>
          <w:lang w:val="ru-MO"/>
        </w:rPr>
        <w:t>ой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>, организационн</w:t>
      </w:r>
      <w:r>
        <w:rPr>
          <w:rFonts w:ascii="Times New Roman" w:hAnsi="Times New Roman"/>
          <w:b/>
          <w:sz w:val="24"/>
          <w:szCs w:val="24"/>
          <w:lang w:val="ru-MO"/>
        </w:rPr>
        <w:t>ой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и финансов</w:t>
      </w:r>
      <w:r>
        <w:rPr>
          <w:rFonts w:ascii="Times New Roman" w:hAnsi="Times New Roman"/>
          <w:b/>
          <w:sz w:val="24"/>
          <w:szCs w:val="24"/>
          <w:lang w:val="ru-MO"/>
        </w:rPr>
        <w:t>ой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баз</w:t>
      </w:r>
      <w:r>
        <w:rPr>
          <w:rFonts w:ascii="Times New Roman" w:hAnsi="Times New Roman"/>
          <w:b/>
          <w:sz w:val="24"/>
          <w:szCs w:val="24"/>
          <w:lang w:val="ru-MO"/>
        </w:rPr>
        <w:t>е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формирования и использования бюджета района, а также</w:t>
      </w:r>
      <w:r>
        <w:rPr>
          <w:rFonts w:ascii="Times New Roman" w:hAnsi="Times New Roman"/>
          <w:b/>
          <w:sz w:val="24"/>
          <w:szCs w:val="24"/>
          <w:lang w:val="ru-MO"/>
        </w:rPr>
        <w:t xml:space="preserve"> о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ведени</w:t>
      </w:r>
      <w:r>
        <w:rPr>
          <w:rFonts w:ascii="Times New Roman" w:hAnsi="Times New Roman"/>
          <w:b/>
          <w:sz w:val="24"/>
          <w:szCs w:val="24"/>
          <w:lang w:val="ru-MO"/>
        </w:rPr>
        <w:t>и</w:t>
      </w: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Pr="00A6114F">
        <w:rPr>
          <w:rFonts w:ascii="Times New Roman" w:hAnsi="Times New Roman"/>
          <w:b/>
          <w:color w:val="000000"/>
          <w:sz w:val="24"/>
          <w:szCs w:val="24"/>
          <w:lang w:val="ru-MO"/>
        </w:rPr>
        <w:t>бухгалтерского учета</w:t>
      </w: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 в </w:t>
      </w:r>
      <w:proofErr w:type="spellStart"/>
      <w:r w:rsidRPr="00A6114F">
        <w:rPr>
          <w:rFonts w:ascii="Times New Roman" w:eastAsia="Times New Roman" w:hAnsi="Times New Roman"/>
          <w:b/>
          <w:color w:val="000000"/>
          <w:sz w:val="24"/>
          <w:szCs w:val="24"/>
          <w:lang w:val="ru-MO" w:eastAsia="ru-RU"/>
        </w:rPr>
        <w:t>аудитируемых</w:t>
      </w:r>
      <w:proofErr w:type="spellEnd"/>
      <w:r w:rsidRPr="00A6114F">
        <w:rPr>
          <w:rFonts w:ascii="Times New Roman" w:eastAsia="Times New Roman" w:hAnsi="Times New Roman"/>
          <w:b/>
          <w:color w:val="000000"/>
          <w:sz w:val="24"/>
          <w:szCs w:val="24"/>
          <w:lang w:val="ru-MO" w:eastAsia="ru-RU"/>
        </w:rPr>
        <w:t xml:space="preserve"> публичных органах), ход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MO" w:eastAsia="ru-RU"/>
        </w:rPr>
        <w:t>е</w:t>
      </w:r>
      <w:r w:rsidRPr="00A6114F">
        <w:rPr>
          <w:rFonts w:ascii="Times New Roman" w:eastAsia="Times New Roman" w:hAnsi="Times New Roman"/>
          <w:b/>
          <w:color w:val="000000"/>
          <w:sz w:val="24"/>
          <w:szCs w:val="24"/>
          <w:lang w:val="ru-MO" w:eastAsia="ru-RU"/>
        </w:rPr>
        <w:t xml:space="preserve"> </w:t>
      </w:r>
      <w:r w:rsidRPr="00A6114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b/>
          <w:color w:val="000000"/>
          <w:sz w:val="24"/>
          <w:szCs w:val="24"/>
          <w:lang w:val="ru-MO" w:eastAsia="ru-RU"/>
        </w:rPr>
        <w:t>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812"/>
      </w:tblGrid>
      <w:tr w:rsidR="006F19AE" w:rsidRPr="00A6114F" w:rsidTr="00AF4A07">
        <w:tc>
          <w:tcPr>
            <w:tcW w:w="1951" w:type="dxa"/>
          </w:tcPr>
          <w:p w:rsidR="006F19AE" w:rsidRPr="00A6114F" w:rsidRDefault="006F19AE" w:rsidP="00AF4A07">
            <w:pPr>
              <w:spacing w:after="0" w:line="240" w:lineRule="auto"/>
              <w:rPr>
                <w:rFonts w:ascii="Times New Roman" w:eastAsia="Times New Roman" w:hAnsi="Times New Roman"/>
                <w:i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i/>
                <w:lang w:val="ru-MO" w:eastAsia="ru-RU"/>
              </w:rPr>
              <w:t xml:space="preserve">Общая информация о районе </w:t>
            </w:r>
            <w:proofErr w:type="spellStart"/>
            <w:r w:rsidRPr="00A6114F">
              <w:rPr>
                <w:rFonts w:ascii="Times New Roman" w:eastAsia="Times New Roman" w:hAnsi="Times New Roman"/>
                <w:i/>
                <w:lang w:val="ru-MO" w:eastAsia="ru-RU"/>
              </w:rPr>
              <w:t>Яловень</w:t>
            </w:r>
            <w:proofErr w:type="spellEnd"/>
            <w:r w:rsidRPr="00A6114F">
              <w:rPr>
                <w:rFonts w:ascii="Times New Roman" w:eastAsia="Times New Roman" w:hAnsi="Times New Roman"/>
                <w:i/>
                <w:lang w:val="ru-MO" w:eastAsia="ru-RU"/>
              </w:rPr>
              <w:t xml:space="preserve"> </w:t>
            </w:r>
          </w:p>
        </w:tc>
        <w:tc>
          <w:tcPr>
            <w:tcW w:w="7938" w:type="dxa"/>
          </w:tcPr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Район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Яловень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является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 xml:space="preserve">административно-территориальной единицей,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расположенной в центральной зоне республики, и занимает площадь 783,48 км</w:t>
            </w:r>
            <w:proofErr w:type="gramStart"/>
            <w:r w:rsidRPr="005A540F">
              <w:rPr>
                <w:rFonts w:ascii="Times New Roman" w:eastAsia="Times New Roman" w:hAnsi="Times New Roman"/>
                <w:vertAlign w:val="superscript"/>
                <w:lang w:val="ru-MO" w:eastAsia="ru-RU"/>
              </w:rPr>
              <w:t>2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. 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Численность населения района составляет 99,4 тыс. жителей (в том числе: городское население – 15,5 тыс. жителей и сельское население – 83,8 тыс. жителей.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По состоянию на 31.12.2012 </w:t>
            </w:r>
            <w:r>
              <w:rPr>
                <w:rFonts w:ascii="Times New Roman" w:eastAsia="Times New Roman" w:hAnsi="Times New Roman"/>
                <w:lang w:val="ru-MO" w:eastAsia="ru-RU"/>
              </w:rPr>
              <w:t>в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районе </w:t>
            </w:r>
            <w:proofErr w:type="spellStart"/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>Яловень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был 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зарегистрирован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20821 </w:t>
            </w:r>
            <w:r w:rsidRPr="005A540F">
              <w:rPr>
                <w:rStyle w:val="hps"/>
                <w:rFonts w:ascii="Times New Roman" w:eastAsia="Times New Roman" w:hAnsi="Times New Roman"/>
                <w:bCs/>
                <w:noProof/>
                <w:lang w:val="ru-MO" w:eastAsia="ru-RU"/>
              </w:rPr>
              <w:t>экономически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й агент,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 xml:space="preserve">в том числе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17021 крестьянское хозяйство и 16 муниципальных предприятий.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Район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Яловень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является юридическим лицом публичного права и располагает в условиях закона имуществом, отличным от государственного имущества и других административно-территориальных единиц, а как административно-территориальная единица сформирована из 25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примэрий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>, которые включают 34 населенных пункта, из которых 1 – городской и 33 – сельских.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Административным центром является город </w:t>
            </w:r>
            <w:proofErr w:type="spellStart"/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>Яловень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, расположенный на расстоянии 14 км от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мун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.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Кишинэу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. </w:t>
            </w:r>
          </w:p>
          <w:p w:rsidR="006F19AE" w:rsidRPr="005A540F" w:rsidRDefault="006F19AE" w:rsidP="00AF4A07">
            <w:pPr>
              <w:tabs>
                <w:tab w:val="left" w:pos="56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В 2012 году 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из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бюджетов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 АТЕ были профинансированы 236 распорядителей кредитов (в 2011 году - 235),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 xml:space="preserve">в том числе: 103 учреждения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образования, 32 библиотеки, 24 дома культуры, 1 музей, 10 учреждений социального страхования и обеспечения, 66 других учреждений. 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На конец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2012 года численность работающих в областях,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 xml:space="preserve">финансируемых за счет бюджетов АТЕ, </w:t>
            </w:r>
            <w:r w:rsidRPr="005A540F">
              <w:rPr>
                <w:rFonts w:ascii="Times New Roman" w:eastAsia="Times New Roman" w:hAnsi="Times New Roman"/>
                <w:bCs/>
                <w:noProof/>
                <w:lang w:val="ru-MO" w:eastAsia="ru-RU"/>
              </w:rPr>
              <w:t xml:space="preserve">составила </w:t>
            </w:r>
            <w:r w:rsidRPr="005A540F">
              <w:rPr>
                <w:rFonts w:ascii="Times New Roman" w:hAnsi="Times New Roman"/>
                <w:color w:val="000000"/>
                <w:lang w:val="ru-MO"/>
              </w:rPr>
              <w:t xml:space="preserve">3386 единиц (в 2011 году -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</w:t>
            </w:r>
            <w:r w:rsidRPr="005A540F">
              <w:rPr>
                <w:rFonts w:ascii="Times New Roman" w:hAnsi="Times New Roman"/>
                <w:color w:val="000000"/>
                <w:lang w:val="ru-MO"/>
              </w:rPr>
              <w:t xml:space="preserve">3437),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 xml:space="preserve">в том числе в: исполнительных органах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– 231 единица; национальной обороне – 4 единицы, поддержании общественного порядка – 63 единицы;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 xml:space="preserve"> в дошкольных учреждениях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– 861 единица;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учебных заведениях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– 1677 единиц; культурных учреждениях – 213 единиц; социальном 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обеспечении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– 128 единиц; другой персонал – 209 единиц.</w:t>
            </w:r>
          </w:p>
          <w:p w:rsidR="006F19AE" w:rsidRPr="005A540F" w:rsidRDefault="006F19AE" w:rsidP="00AF4A0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lang w:val="ru-MO"/>
              </w:rPr>
            </w:pPr>
            <w:r w:rsidRPr="005A540F">
              <w:rPr>
                <w:rFonts w:ascii="Times New Roman" w:hAnsi="Times New Roman"/>
                <w:lang w:val="ru-MO"/>
              </w:rPr>
              <w:t xml:space="preserve">Согласно </w:t>
            </w:r>
            <w:r w:rsidRPr="005A540F">
              <w:rPr>
                <w:rFonts w:ascii="Times New Roman" w:hAnsi="Times New Roman"/>
                <w:bCs/>
                <w:lang w:val="ru-MO"/>
              </w:rPr>
              <w:t>положения</w:t>
            </w:r>
            <w:r w:rsidRPr="005A540F">
              <w:rPr>
                <w:rFonts w:ascii="Times New Roman" w:hAnsi="Times New Roman"/>
                <w:lang w:val="ru-MO"/>
              </w:rPr>
              <w:t>м законодательства, АТЕ получает самостоятельность в принятии решений, организационную, управленческую и финансовую автономию, имеет право на инициативу относительно администрирования местных публичных потребностей, осуществляя в условиях закона руководство в пределах администрируемой территории.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hAnsi="Times New Roman"/>
                <w:lang w:val="ru-MO"/>
              </w:rPr>
              <w:t xml:space="preserve">Исходя из областей деятельности ОМПУ, установленных Законом об административной децентрализации (№435-XVI от 28.12.2006), полномочия и ответственности ОМПУ делятся на два уровня: I уровень – полномочия публичных органов, созданных и действующих на территории города, коммуны или села в интересах и для решения проблем местного населения; II уровень – полномочия публичных органов, созданных и действующих на территории района в интересах и для решения проблем населения АТЕ. Аналогично и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ы АТЕ реструктуризированы в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ы АТЕ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I  и II уровня.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lang w:val="ru-MO" w:eastAsia="ru-RU"/>
              </w:rPr>
            </w:pPr>
            <w:r w:rsidRPr="005A540F">
              <w:rPr>
                <w:rFonts w:ascii="Times New Roman" w:hAnsi="Times New Roman"/>
                <w:lang w:val="ru-MO" w:eastAsia="ru-RU"/>
              </w:rPr>
              <w:t xml:space="preserve">В соответствии с </w:t>
            </w:r>
            <w:r w:rsidRPr="005A540F">
              <w:rPr>
                <w:rFonts w:ascii="Times New Roman" w:hAnsi="Times New Roman"/>
                <w:bCs/>
                <w:lang w:val="ru-MO" w:eastAsia="ru-RU"/>
              </w:rPr>
              <w:t>положения</w:t>
            </w:r>
            <w:r w:rsidRPr="005A540F">
              <w:rPr>
                <w:rFonts w:ascii="Times New Roman" w:hAnsi="Times New Roman"/>
                <w:lang w:val="ru-MO" w:eastAsia="ru-RU"/>
              </w:rPr>
              <w:t xml:space="preserve">ми </w:t>
            </w:r>
            <w:r w:rsidRPr="005A540F">
              <w:rPr>
                <w:rFonts w:ascii="Times New Roman" w:hAnsi="Times New Roman"/>
                <w:lang w:val="ru-MO"/>
              </w:rPr>
              <w:t xml:space="preserve">Закона об административной децентрализации АТЕ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I и II уровня имеют полную свободу действий по регламентированию и 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управлению любыми местными интересами, которые не исключены из их компетенции и не возложены на другой орган. Другие собственные полномочия ОМПУ могут быть возложены на них только законом.  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На основании </w:t>
            </w:r>
            <w:r w:rsidRPr="005A540F">
              <w:rPr>
                <w:rFonts w:ascii="Times New Roman" w:hAnsi="Times New Roman"/>
                <w:lang w:val="ru-MO"/>
              </w:rPr>
              <w:t xml:space="preserve">Закона об административной децентрализации, а также Закона о местном публичном управлении (№ 436-XVI от 28.12.2006) местные публичные органы пользуются финансовой автономией, принимают собственный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, который является независимым и отдельным от государственного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а,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являются юридическими лицами публичного права и располагают имуществом, отличным от государственного имущества и других АТЕ. 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Вместе с тем ОМПУ I и II уровня, а также центральные органы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lastRenderedPageBreak/>
              <w:t xml:space="preserve">могут кооперироваться в соответствии с законом для реализации ряда проектов или публичных услуг, которые требуют совместных усилий этих органов, деятельность по кооперированию должна быть зафиксирована в соглашениях, подписанных между сторонами, в строгом соответствии с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ными средствами и взятой на себя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ответственностью.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</w:t>
            </w:r>
            <w:proofErr w:type="gramEnd"/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Субъектами местной автоном</w:t>
            </w:r>
            <w:r>
              <w:rPr>
                <w:rFonts w:ascii="Times New Roman" w:eastAsia="Times New Roman" w:hAnsi="Times New Roman"/>
                <w:lang w:val="ru-MO" w:eastAsia="ru-RU"/>
              </w:rPr>
              <w:t>ии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, посредством которых ОМПУ реализуют местную автономию в селах (коммунах), городах (муниципиях) являются местные советы, как уполномоченные органы, и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примэрии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>, как исполнительные органы, а в районах являются районные советы в качестве уполномоченных органов и председатели районов как исполнительные органы.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lang w:val="ru-MO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Местные и районные советы,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примэрии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и председатели районов </w:t>
            </w:r>
            <w:r w:rsidRPr="005A540F">
              <w:rPr>
                <w:rFonts w:ascii="Times New Roman" w:eastAsia="Calibri" w:hAnsi="Times New Roman"/>
                <w:lang w:val="ru-MO" w:eastAsia="ru-RU"/>
              </w:rPr>
              <w:t xml:space="preserve">функционируют как автономные административные органы, решая публичные потребности в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селах (коммунах), городах (муниципиях) и районах в условиях закона. Отношения между центральными и местными публичными органами основываются на принципах автономии, законности, прозрачности и сотрудничества в решении совместных проблем. Между центральными и местными публичными органами, между публичными органами</w:t>
            </w:r>
            <w:r w:rsidRPr="005A540F">
              <w:rPr>
                <w:rFonts w:ascii="Times New Roman" w:eastAsia="Calibri" w:hAnsi="Times New Roman"/>
                <w:lang w:val="ru-MO" w:eastAsia="ru-RU"/>
              </w:rPr>
              <w:t xml:space="preserve"> </w:t>
            </w:r>
            <w:r w:rsidRPr="005A540F">
              <w:rPr>
                <w:rFonts w:ascii="Times New Roman" w:hAnsi="Times New Roman"/>
                <w:lang w:val="ru-MO"/>
              </w:rPr>
              <w:t>I и II уровня не существу</w:t>
            </w:r>
            <w:r>
              <w:rPr>
                <w:rFonts w:ascii="Times New Roman" w:hAnsi="Times New Roman"/>
                <w:lang w:val="ru-MO"/>
              </w:rPr>
              <w:t>е</w:t>
            </w:r>
            <w:r w:rsidRPr="005A540F">
              <w:rPr>
                <w:rFonts w:ascii="Times New Roman" w:hAnsi="Times New Roman"/>
                <w:lang w:val="ru-MO"/>
              </w:rPr>
              <w:t>т отношени</w:t>
            </w:r>
            <w:r>
              <w:rPr>
                <w:rFonts w:ascii="Times New Roman" w:hAnsi="Times New Roman"/>
                <w:lang w:val="ru-MO"/>
              </w:rPr>
              <w:t>й</w:t>
            </w:r>
            <w:r w:rsidRPr="005A540F">
              <w:rPr>
                <w:rFonts w:ascii="Times New Roman" w:hAnsi="Times New Roman"/>
                <w:lang w:val="ru-MO"/>
              </w:rPr>
              <w:t xml:space="preserve"> подчиненности, за исключением случаев, предусмотренных законом.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ru-MO" w:eastAsia="ru-RU"/>
              </w:rPr>
            </w:pPr>
            <w:r w:rsidRPr="005A540F">
              <w:rPr>
                <w:rFonts w:ascii="Times New Roman" w:hAnsi="Times New Roman"/>
                <w:lang w:val="ru-MO"/>
              </w:rPr>
              <w:t xml:space="preserve">В </w:t>
            </w:r>
            <w:r w:rsidRPr="005A540F">
              <w:rPr>
                <w:rFonts w:ascii="Times New Roman" w:hAnsi="Times New Roman"/>
                <w:lang w:val="ru-MO" w:eastAsia="ru-RU"/>
              </w:rPr>
              <w:t xml:space="preserve">соответствии с Законом о местных публичных финансах (№397-XV от 16.10.2003) </w:t>
            </w:r>
            <w:r w:rsidRPr="005A540F">
              <w:rPr>
                <w:rFonts w:ascii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hAnsi="Times New Roman"/>
                <w:lang w:val="ru-MO" w:eastAsia="ru-RU"/>
              </w:rPr>
              <w:t xml:space="preserve">ы АТЕ </w:t>
            </w:r>
            <w:r w:rsidRPr="005A540F">
              <w:rPr>
                <w:rFonts w:ascii="Times New Roman" w:hAnsi="Times New Roman"/>
                <w:lang w:val="ru-MO"/>
              </w:rPr>
              <w:t xml:space="preserve">I уровня являются местными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ами, которые представляют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ы сел </w:t>
            </w:r>
            <w:r>
              <w:rPr>
                <w:rFonts w:ascii="Times New Roman" w:eastAsia="Times New Roman" w:hAnsi="Times New Roman"/>
                <w:lang w:val="ru-MO" w:eastAsia="ru-RU"/>
              </w:rPr>
              <w:t>(коммун), городов (муниципиев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, за исключением муниципия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Кишинэу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), а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АТЕ </w:t>
            </w:r>
            <w:r w:rsidRPr="005A540F">
              <w:rPr>
                <w:rFonts w:ascii="Times New Roman" w:hAnsi="Times New Roman"/>
                <w:lang w:val="ru-MO"/>
              </w:rPr>
              <w:t xml:space="preserve">II уровня – районный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. Этим законом разграничены полномочия местных органов I уровня и II уровня, связанные с распределением доходов между </w:t>
            </w:r>
            <w:r w:rsidRPr="005A540F">
              <w:rPr>
                <w:rFonts w:ascii="Times New Roman" w:hAnsi="Times New Roman"/>
                <w:bCs/>
                <w:lang w:val="ru-MO"/>
              </w:rPr>
              <w:t>бюджет</w:t>
            </w:r>
            <w:r w:rsidRPr="005A540F">
              <w:rPr>
                <w:rFonts w:ascii="Times New Roman" w:hAnsi="Times New Roman"/>
                <w:lang w:val="ru-MO"/>
              </w:rPr>
              <w:t xml:space="preserve">ами АТЕ и осуществлением публичных </w:t>
            </w:r>
            <w:r w:rsidRPr="005A540F">
              <w:rPr>
                <w:rFonts w:ascii="Times New Roman" w:hAnsi="Times New Roman"/>
                <w:color w:val="000000"/>
                <w:lang w:val="ru-MO"/>
              </w:rPr>
              <w:t xml:space="preserve">расходов. В пределах законодательных положений ОМПУ АТЕ являются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ответственными за разработку и утверждение собственных бюджетов на основании законодательных положений и в  соответствии с единой бюджетной классификацией.</w:t>
            </w:r>
            <w:r w:rsidRPr="005A540F">
              <w:rPr>
                <w:rFonts w:ascii="Times New Roman" w:eastAsia="Times New Roman" w:hAnsi="Times New Roman"/>
                <w:bCs/>
                <w:i/>
                <w:color w:val="000000"/>
                <w:lang w:val="ru-MO" w:eastAsia="ru-RU"/>
              </w:rPr>
              <w:t xml:space="preserve"> 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Как</w:t>
            </w:r>
            <w:r w:rsidRPr="005A540F">
              <w:rPr>
                <w:rFonts w:ascii="Times New Roman" w:hAnsi="Times New Roman"/>
                <w:color w:val="000000"/>
                <w:lang w:val="ru-MO"/>
              </w:rPr>
              <w:t xml:space="preserve">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представление утвержденных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ов, так и отчеты об исполнении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ов АТЕ производятся каждым исполнительным органом в отдельности, одной из функций УФ в рамках РС является обобщение и представление данных (в целом по району) в Министерство финансов.  </w:t>
            </w:r>
          </w:p>
          <w:p w:rsidR="006F19AE" w:rsidRPr="005A540F" w:rsidRDefault="006F19AE" w:rsidP="00AF4A07">
            <w:pPr>
              <w:spacing w:after="120" w:line="240" w:lineRule="auto"/>
              <w:ind w:firstLine="459"/>
              <w:jc w:val="both"/>
              <w:rPr>
                <w:rFonts w:ascii="Times New Roman" w:hAnsi="Times New Roman"/>
                <w:color w:val="000000"/>
                <w:lang w:val="ru-MO"/>
              </w:rPr>
            </w:pPr>
          </w:p>
        </w:tc>
      </w:tr>
      <w:tr w:rsidR="006F19AE" w:rsidRPr="00A6114F" w:rsidTr="00AF4A07">
        <w:tc>
          <w:tcPr>
            <w:tcW w:w="1951" w:type="dxa"/>
          </w:tcPr>
          <w:p w:rsidR="006F19AE" w:rsidRPr="00A6114F" w:rsidRDefault="006F19AE" w:rsidP="00AF4A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Cs/>
                <w:i/>
                <w:lang w:val="ru-MO" w:eastAsia="ru-RU"/>
              </w:rPr>
              <w:lastRenderedPageBreak/>
              <w:t>Соответствующая нормативная и законодательная база</w:t>
            </w:r>
          </w:p>
          <w:p w:rsidR="006F19AE" w:rsidRPr="00A6114F" w:rsidRDefault="006F19AE" w:rsidP="00AF4A07">
            <w:pPr>
              <w:spacing w:after="0" w:line="240" w:lineRule="auto"/>
              <w:rPr>
                <w:rFonts w:ascii="Times New Roman" w:eastAsia="Times New Roman" w:hAnsi="Times New Roman"/>
                <w:lang w:val="ru-MO" w:eastAsia="ru-RU"/>
              </w:rPr>
            </w:pPr>
          </w:p>
        </w:tc>
        <w:tc>
          <w:tcPr>
            <w:tcW w:w="7938" w:type="dxa"/>
          </w:tcPr>
          <w:p w:rsidR="006F19AE" w:rsidRPr="005A540F" w:rsidRDefault="006F19AE" w:rsidP="00AF4A07">
            <w:p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i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>Юридическая, организационная и финансовая базы формирования и использования бюджета района регламентированы: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Законом №764-XV от 27.12.2001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„О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б административно-территориальном устройстве Республики Молдова”; 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Законом №435-XVI от 28.12.2006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„О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б административной децентрализации”; 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Законом №436-XVI от 28.12.2006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„</w:t>
            </w:r>
            <w:r w:rsidRPr="005A540F">
              <w:rPr>
                <w:rFonts w:ascii="Times New Roman" w:hAnsi="Times New Roman"/>
                <w:lang w:val="ru-MO"/>
              </w:rPr>
              <w:t>О</w:t>
            </w:r>
            <w:proofErr w:type="gramEnd"/>
            <w:r w:rsidRPr="005A540F">
              <w:rPr>
                <w:rFonts w:ascii="Times New Roman" w:hAnsi="Times New Roman"/>
                <w:lang w:val="ru-MO"/>
              </w:rPr>
              <w:t xml:space="preserve"> местном публичном управлении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”; 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Законом №397-XV от 16.10.2003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„О</w:t>
            </w:r>
            <w:proofErr w:type="gramEnd"/>
            <w:r w:rsidRPr="005A540F">
              <w:rPr>
                <w:rFonts w:ascii="Times New Roman" w:hAnsi="Times New Roman"/>
                <w:lang w:val="ru-MO" w:eastAsia="ru-RU"/>
              </w:rPr>
              <w:t xml:space="preserve"> местных публичных финансах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”; 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Законом №847-XIII от 24.05.1996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„О</w:t>
            </w:r>
            <w:proofErr w:type="gram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бюджетной системе и бюджетном процессе”.</w:t>
            </w:r>
          </w:p>
          <w:p w:rsidR="006F19AE" w:rsidRPr="005A540F" w:rsidRDefault="006F19AE" w:rsidP="00AF4A07">
            <w:pPr>
              <w:spacing w:after="0" w:line="240" w:lineRule="auto"/>
              <w:ind w:left="50" w:firstLine="409"/>
              <w:jc w:val="both"/>
              <w:rPr>
                <w:rFonts w:ascii="Times New Roman" w:eastAsia="Times New Roman" w:hAnsi="Times New Roman"/>
                <w:i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 xml:space="preserve">Ведение бухгалтерского учета в </w:t>
            </w:r>
            <w:proofErr w:type="spellStart"/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>аудитируемых</w:t>
            </w:r>
            <w:proofErr w:type="spellEnd"/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 xml:space="preserve"> публичных органах </w:t>
            </w:r>
            <w:proofErr w:type="spellStart"/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>регламентирова</w:t>
            </w:r>
            <w:r>
              <w:rPr>
                <w:rFonts w:ascii="Times New Roman" w:eastAsia="Times New Roman" w:hAnsi="Times New Roman"/>
                <w:i/>
                <w:lang w:val="ru-MO" w:eastAsia="ru-RU"/>
              </w:rPr>
              <w:t>н</w:t>
            </w:r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>но</w:t>
            </w:r>
            <w:proofErr w:type="spellEnd"/>
            <w:r w:rsidRPr="005A540F">
              <w:rPr>
                <w:rFonts w:ascii="Times New Roman" w:eastAsia="Times New Roman" w:hAnsi="Times New Roman"/>
                <w:i/>
                <w:lang w:val="ru-MO" w:eastAsia="ru-RU"/>
              </w:rPr>
              <w:t>: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hanging="16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Законом о 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>бухгалтерском учете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№113-XVI от 27.04.2007;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hanging="16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Инструкцией о бухгалтерском учете исполнения бюджета района, муниципия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Бэлць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, муниципия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Кишинэу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и центрального бюджета автономного территориального образования с особым правовым статусом в финансовых направлениях, утвержденной Приказом министра финансов №51 от 16.08.2004;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hanging="16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Инструкцией по бухгалтерскому учету в публичных учреждениях, утвержденной Приказом министра финансов №93 от 19.07.2010; </w:t>
            </w:r>
          </w:p>
          <w:p w:rsidR="006F19AE" w:rsidRPr="005A540F" w:rsidRDefault="006F19AE" w:rsidP="00AF4A07">
            <w:pPr>
              <w:numPr>
                <w:ilvl w:val="0"/>
                <w:numId w:val="1"/>
              </w:numPr>
              <w:spacing w:after="0" w:line="240" w:lineRule="auto"/>
              <w:ind w:left="50" w:hanging="16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Инструкцией о бухгалтерском учете в централизованных бухгалтериях 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примэрий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сел (коммун), городов, утвержденной Приказом министра финансов №94 от 19.07.2010, а также другими нормативными актами.</w:t>
            </w:r>
          </w:p>
          <w:p w:rsidR="006F19AE" w:rsidRPr="005A540F" w:rsidRDefault="006F19AE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</w:p>
        </w:tc>
      </w:tr>
      <w:tr w:rsidR="006F19AE" w:rsidRPr="00A6114F" w:rsidTr="00AF4A07">
        <w:tc>
          <w:tcPr>
            <w:tcW w:w="1951" w:type="dxa"/>
          </w:tcPr>
          <w:p w:rsidR="006F19AE" w:rsidRPr="00A6114F" w:rsidRDefault="006F19AE" w:rsidP="00AF4A07">
            <w:pPr>
              <w:spacing w:after="0" w:line="240" w:lineRule="auto"/>
              <w:rPr>
                <w:rFonts w:ascii="Times New Roman" w:eastAsia="Times New Roman" w:hAnsi="Times New Roman"/>
                <w:i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i/>
                <w:lang w:val="ru-MO" w:eastAsia="ru-RU"/>
              </w:rPr>
              <w:lastRenderedPageBreak/>
              <w:t>Проведение бюджетного процесса</w:t>
            </w:r>
          </w:p>
          <w:p w:rsidR="006F19AE" w:rsidRPr="00A6114F" w:rsidRDefault="006F19AE" w:rsidP="00AF4A07">
            <w:pPr>
              <w:spacing w:after="0" w:line="240" w:lineRule="auto"/>
              <w:rPr>
                <w:rFonts w:ascii="Times New Roman" w:eastAsia="Times New Roman" w:hAnsi="Times New Roman"/>
                <w:i/>
                <w:lang w:val="ru-MO" w:eastAsia="ru-RU"/>
              </w:rPr>
            </w:pPr>
          </w:p>
        </w:tc>
        <w:tc>
          <w:tcPr>
            <w:tcW w:w="7938" w:type="dxa"/>
          </w:tcPr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>
              <w:rPr>
                <w:rFonts w:ascii="Times New Roman" w:eastAsia="Times New Roman" w:hAnsi="Times New Roman"/>
                <w:lang w:val="ru-MO" w:eastAsia="ru-RU"/>
              </w:rPr>
              <w:t>О</w:t>
            </w:r>
            <w:proofErr w:type="spellStart"/>
            <w:r w:rsidRPr="00461237">
              <w:rPr>
                <w:rFonts w:ascii="Times New Roman" w:eastAsia="Times New Roman" w:hAnsi="Times New Roman"/>
                <w:lang w:val="ru-RU" w:eastAsia="ru-RU"/>
              </w:rPr>
              <w:t>существление</w:t>
            </w:r>
            <w:proofErr w:type="spellEnd"/>
            <w:r w:rsidRPr="00461237">
              <w:rPr>
                <w:rFonts w:ascii="Times New Roman" w:eastAsia="Times New Roman" w:hAnsi="Times New Roman"/>
                <w:lang w:val="ru-MO" w:eastAsia="ru-RU"/>
              </w:rPr>
              <w:t xml:space="preserve">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бюджетного процесса на местном уровне имеет место в контексте бюджетного процесса, реализованного на национальном уровне. ОМПУ, ответственные за разработку и утверждение местных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ов, делятся на две категории:</w:t>
            </w:r>
          </w:p>
          <w:p w:rsidR="006F19AE" w:rsidRPr="005A540F" w:rsidRDefault="006F19AE" w:rsidP="00AF4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I – представительские и уполномоченные органы (местные советы города, коммун, сел и района), которые рассматривают и утверждают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АТЕ;</w:t>
            </w:r>
          </w:p>
          <w:p w:rsidR="006F19AE" w:rsidRPr="005A540F" w:rsidRDefault="006F19AE" w:rsidP="00AF4A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II – исполнительные органы (</w:t>
            </w:r>
            <w:proofErr w:type="spellStart"/>
            <w:r w:rsidRPr="005A540F">
              <w:rPr>
                <w:rFonts w:ascii="Times New Roman" w:eastAsia="Times New Roman" w:hAnsi="Times New Roman"/>
                <w:lang w:val="ru-MO" w:eastAsia="ru-RU"/>
              </w:rPr>
              <w:t>примары</w:t>
            </w:r>
            <w:proofErr w:type="spellEnd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городов, сел, коммун и председатели района как главные распорядители/исполнители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а), которые обеспечивают разработку проектов местных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ов I и II уровня на основании установленных нормативов согласно Методическим нормам по разработке органами местного публичного 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управления проектов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ов АТЕ на 2010 год, разработанным Министерством финансов, и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положения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>м Закона №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397-XV от 16.10.2003.</w:t>
            </w:r>
            <w:proofErr w:type="gramEnd"/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После утверждения государственного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а местные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ы приводятся в соответствие с его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положения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ми. 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>В соответствии с законодательными положениями</w:t>
            </w:r>
            <w:r>
              <w:rPr>
                <w:rFonts w:ascii="Times New Roman" w:eastAsia="Times New Roman" w:hAnsi="Times New Roman"/>
                <w:lang w:val="ru-MO" w:eastAsia="ru-RU"/>
              </w:rPr>
              <w:t>,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между ОМПУ I и II уровня нет отношений подчиненности,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ы I и II уровня разрабатываются и исполняются независимо один от другого. </w:t>
            </w:r>
            <w:proofErr w:type="gramStart"/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Согласно законодательной базе, эти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ы имеют межбюджетные отношения на этапах разработки, утверждения и исполнения, данные отношения характеризуются путем разделения органами II уровня доходов посредством установления процентных нормативов взносов от общих государственных доходов, объема трансфертов для уравнивания финансового обеспечения местных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ов, размера трансфертов специального назначения для оплаты труда некоторы</w:t>
            </w:r>
            <w:r>
              <w:rPr>
                <w:rFonts w:ascii="Times New Roman" w:eastAsia="Times New Roman" w:hAnsi="Times New Roman"/>
                <w:lang w:val="ru-MO" w:eastAsia="ru-RU"/>
              </w:rPr>
              <w:t>м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категори</w:t>
            </w:r>
            <w:r>
              <w:rPr>
                <w:rFonts w:ascii="Times New Roman" w:eastAsia="Times New Roman" w:hAnsi="Times New Roman"/>
                <w:lang w:val="ru-MO" w:eastAsia="ru-RU"/>
              </w:rPr>
              <w:t>ям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работников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 xml:space="preserve">учебных заведений и учреждений культуры и др. 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 </w:t>
            </w:r>
            <w:proofErr w:type="gramEnd"/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Исполнение местных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ов осуществляется посредством казначейской системы Министерства финансов, отражая в соответствии с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ной классификацией на отдельных счетах: a) поступление доходов; b) осуществление </w:t>
            </w:r>
            <w:r w:rsidRPr="005A540F">
              <w:rPr>
                <w:rFonts w:ascii="Times New Roman" w:eastAsia="Times New Roman" w:hAnsi="Times New Roman"/>
                <w:color w:val="000000"/>
                <w:lang w:val="ru-MO" w:eastAsia="ru-RU"/>
              </w:rPr>
              <w:t xml:space="preserve">расходов в пределах утвержденных </w:t>
            </w:r>
            <w:r w:rsidRPr="005A540F">
              <w:rPr>
                <w:rFonts w:ascii="Times New Roman" w:eastAsia="Times New Roman" w:hAnsi="Times New Roman"/>
                <w:bCs/>
                <w:color w:val="000000"/>
                <w:lang w:val="ru-MO" w:eastAsia="ru-RU"/>
              </w:rPr>
              <w:t>ассигнований.</w:t>
            </w:r>
          </w:p>
          <w:p w:rsidR="006F19AE" w:rsidRPr="005A540F" w:rsidRDefault="006F19AE" w:rsidP="00AF4A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Бюджеты I уровня существующей системы не имеют установленных прямых отношений с государственным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ом, все отношения складываются посредством АТЕ II уровня как на этапах планирования и исполнения, так и составления отчетнос</w:t>
            </w:r>
            <w:r>
              <w:rPr>
                <w:rFonts w:ascii="Times New Roman" w:eastAsia="Times New Roman" w:hAnsi="Times New Roman"/>
                <w:lang w:val="ru-MO" w:eastAsia="ru-RU"/>
              </w:rPr>
              <w:t>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и, что реализуется путем представления УФ проектов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 xml:space="preserve">ов АТЕ I уровня и отчетов об исполнении </w:t>
            </w:r>
            <w:r w:rsidRPr="005A540F">
              <w:rPr>
                <w:rFonts w:ascii="Times New Roman" w:eastAsia="Times New Roman" w:hAnsi="Times New Roman"/>
                <w:bCs/>
                <w:lang w:val="ru-MO" w:eastAsia="ru-RU"/>
              </w:rPr>
              <w:t>бюджет</w:t>
            </w:r>
            <w:r w:rsidRPr="005A540F">
              <w:rPr>
                <w:rFonts w:ascii="Times New Roman" w:eastAsia="Times New Roman" w:hAnsi="Times New Roman"/>
                <w:lang w:val="ru-MO" w:eastAsia="ru-RU"/>
              </w:rPr>
              <w:t>а.</w:t>
            </w:r>
          </w:p>
          <w:p w:rsidR="006F19AE" w:rsidRPr="005A540F" w:rsidRDefault="006F19AE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MO" w:eastAsia="ru-RU"/>
              </w:rPr>
            </w:pPr>
          </w:p>
        </w:tc>
      </w:tr>
    </w:tbl>
    <w:p w:rsidR="006F19AE" w:rsidRPr="00A6114F" w:rsidRDefault="006F19AE" w:rsidP="006F19AE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u-MO" w:eastAsia="ru-RU"/>
        </w:rPr>
      </w:pPr>
    </w:p>
    <w:p w:rsidR="006F19AE" w:rsidRPr="00A6114F" w:rsidRDefault="006F19AE" w:rsidP="006F19A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ru-MO" w:eastAsia="ru-RU"/>
        </w:rPr>
      </w:pPr>
    </w:p>
    <w:p w:rsidR="009D5FA7" w:rsidRPr="006F19AE" w:rsidRDefault="009D5FA7">
      <w:pPr>
        <w:rPr>
          <w:lang w:val="ru-MO"/>
        </w:rPr>
      </w:pPr>
      <w:bookmarkStart w:id="0" w:name="_GoBack"/>
      <w:bookmarkEnd w:id="0"/>
    </w:p>
    <w:sectPr w:rsidR="009D5FA7" w:rsidRPr="006F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744"/>
    <w:multiLevelType w:val="hybridMultilevel"/>
    <w:tmpl w:val="C43CC362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66"/>
    <w:rsid w:val="00283666"/>
    <w:rsid w:val="006F19AE"/>
    <w:rsid w:val="009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AE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F19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AE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F19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2013-08-17T06:00:00Z</dcterms:created>
  <dcterms:modified xsi:type="dcterms:W3CDTF">2013-08-17T06:00:00Z</dcterms:modified>
</cp:coreProperties>
</file>