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F" w:rsidRPr="00B91A3F" w:rsidRDefault="00B91A3F" w:rsidP="00B91A3F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91A3F">
        <w:rPr>
          <w:rFonts w:eastAsia="Times New Roman"/>
          <w:kern w:val="1"/>
          <w:lang w:val="ro-RO" w:eastAsia="en-US"/>
        </w:rPr>
        <w:t>Anexa nr. 2</w:t>
      </w:r>
    </w:p>
    <w:p w:rsidR="00B91A3F" w:rsidRPr="00B91A3F" w:rsidRDefault="00B91A3F" w:rsidP="00B91A3F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91A3F">
        <w:rPr>
          <w:rFonts w:eastAsia="Times New Roman"/>
          <w:kern w:val="1"/>
          <w:lang w:val="ro-RO" w:eastAsia="en-US"/>
        </w:rPr>
        <w:t xml:space="preserve">la Regulamentul privind monitorizarea şi </w:t>
      </w:r>
    </w:p>
    <w:p w:rsidR="00B91A3F" w:rsidRPr="00B91A3F" w:rsidRDefault="00B91A3F" w:rsidP="00B91A3F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91A3F">
        <w:rPr>
          <w:rFonts w:eastAsia="Times New Roman"/>
          <w:kern w:val="1"/>
          <w:lang w:val="ro-RO" w:eastAsia="en-US"/>
        </w:rPr>
        <w:t xml:space="preserve">evidenţa sistematică a stării apelor </w:t>
      </w:r>
    </w:p>
    <w:p w:rsidR="00B91A3F" w:rsidRPr="00B91A3F" w:rsidRDefault="00B91A3F" w:rsidP="00B91A3F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91A3F">
        <w:rPr>
          <w:rFonts w:eastAsia="Times New Roman"/>
          <w:kern w:val="1"/>
          <w:lang w:val="ro-RO" w:eastAsia="en-US"/>
        </w:rPr>
        <w:t xml:space="preserve">de suprafaţă şi a apelor subterane 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center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 xml:space="preserve">MONITORIZAREA ŞI EVIDENŢA SISTEMATICĂ </w:t>
      </w:r>
    </w:p>
    <w:p w:rsidR="00B91A3F" w:rsidRPr="00B91A3F" w:rsidRDefault="00B91A3F" w:rsidP="00B91A3F">
      <w:pPr>
        <w:ind w:firstLine="720"/>
        <w:jc w:val="center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A STĂRII APELOR SUBTERANE</w:t>
      </w:r>
    </w:p>
    <w:p w:rsidR="00B91A3F" w:rsidRPr="00B91A3F" w:rsidRDefault="00B91A3F" w:rsidP="00B91A3F">
      <w:pPr>
        <w:ind w:firstLine="720"/>
        <w:jc w:val="center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right"/>
        <w:rPr>
          <w:rFonts w:eastAsia="Times New Roman"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Tabelul 1</w:t>
      </w:r>
      <w:r w:rsidRPr="00B91A3F">
        <w:rPr>
          <w:rFonts w:eastAsia="Times New Roman"/>
          <w:kern w:val="1"/>
          <w:lang w:val="ro-RO" w:eastAsia="en-US"/>
        </w:rPr>
        <w:t xml:space="preserve"> </w:t>
      </w:r>
    </w:p>
    <w:p w:rsidR="00B91A3F" w:rsidRPr="00B91A3F" w:rsidRDefault="00B91A3F" w:rsidP="00B91A3F">
      <w:pPr>
        <w:jc w:val="center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 xml:space="preserve">Elementele caracterizării recomandate spre examinare </w:t>
      </w:r>
    </w:p>
    <w:p w:rsidR="00B91A3F" w:rsidRPr="00B91A3F" w:rsidRDefault="00B91A3F" w:rsidP="00B91A3F">
      <w:pPr>
        <w:jc w:val="center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(Esenţial – E şi Dezirabil – D)</w:t>
      </w:r>
    </w:p>
    <w:p w:rsidR="00B91A3F" w:rsidRPr="00B91A3F" w:rsidRDefault="00B91A3F" w:rsidP="00B91A3F">
      <w:pPr>
        <w:jc w:val="center"/>
        <w:rPr>
          <w:rFonts w:eastAsia="Times New Roman"/>
          <w:b/>
          <w:kern w:val="1"/>
          <w:lang w:val="ro-RO" w:eastAsia="en-US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053"/>
        <w:gridCol w:w="1440"/>
        <w:gridCol w:w="1440"/>
      </w:tblGrid>
      <w:tr w:rsidR="00B91A3F" w:rsidRPr="00B91A3F" w:rsidTr="000B784A">
        <w:trPr>
          <w:cantSplit/>
        </w:trPr>
        <w:tc>
          <w:tcPr>
            <w:tcW w:w="6053" w:type="dxa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Elementul caracterizării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Punctele de monitorizare chimică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Punctele de control cantitativ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Acviferul monitorizat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 xml:space="preserve">E 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Amplasarea (grila de referinţă), denumirea punctului de control şi codului de identificare unic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 xml:space="preserve">Corpul de apă subterană în cadrul căruia punctul de control se află 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Scopul punctelor de monitorizare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Tipul punctului de control – sondă la întreprinderea agricolă, sondă industrială etc.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Adâncimea şi diametrul sondelor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Descrierea construcţiei pentru controlul cantităţii de apă – integritatea chituirii, panta solului în jurul găurii de sondă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Adîncimea secţiunilor protejate’deschise ale sondelor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Vulnerabilitatea sau indicele grosimii subsolului şi tipul punctului de control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Evaluarea vizuală a zonelor de realimentare (inclusiv folosinţa terenului şi presiunile, sursele potenţiale ale presiunilor punctiforme)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Detalii despre construcţie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Cantitatea extrasă sau deversarea totală (la izvoare)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Regimul de pompare (descrierea calitativă, de exemplu, intermitent, continuu, peste noapte etc.)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Scăderea nivelului (nivelul apei pompate)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Zona de contribuţie’zona de realimentare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 xml:space="preserve">Adîncimea pompei 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 xml:space="preserve">Nivelul apei statice  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Înălţimea cotei iniţiale şi descrierea cotei iniţiale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 xml:space="preserve">Deversarea/arteziană 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E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Jurnalul (geologic) al sondei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  <w:tr w:rsidR="00B91A3F" w:rsidRPr="00B91A3F" w:rsidTr="000B784A">
        <w:trPr>
          <w:cantSplit/>
        </w:trPr>
        <w:tc>
          <w:tcPr>
            <w:tcW w:w="6053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Proprietăţile acviferului (transmisibilitatea, conductivitatea hidraulică etc.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  <w:tc>
          <w:tcPr>
            <w:tcW w:w="1440" w:type="dxa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</w:t>
            </w:r>
          </w:p>
        </w:tc>
      </w:tr>
    </w:tbl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en-US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u-RU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right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lastRenderedPageBreak/>
        <w:t xml:space="preserve">Tabelul 2 </w:t>
      </w:r>
    </w:p>
    <w:p w:rsidR="00B91A3F" w:rsidRPr="00B91A3F" w:rsidRDefault="00B91A3F" w:rsidP="00B91A3F">
      <w:pPr>
        <w:jc w:val="center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Parametrii de monitorizare</w:t>
      </w:r>
    </w:p>
    <w:p w:rsidR="00B91A3F" w:rsidRPr="00B91A3F" w:rsidRDefault="00B91A3F" w:rsidP="00B91A3F">
      <w:pPr>
        <w:ind w:firstLine="720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Blocul 1. Parametrii de teren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053"/>
        <w:gridCol w:w="1167"/>
        <w:gridCol w:w="1975"/>
        <w:gridCol w:w="1103"/>
        <w:gridCol w:w="1440"/>
      </w:tblGrid>
      <w:tr w:rsidR="00B91A3F" w:rsidRPr="00B91A3F" w:rsidTr="000B784A">
        <w:trPr>
          <w:tblHeader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Parametrii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Numărul CAS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Metoda analitică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Unitatea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Minimum LOQ</w:t>
            </w: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Valoarea pH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Conductivitatea electrică (la 20°C)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µS’cm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Oxigen dizolvat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mg O</w:t>
            </w:r>
            <w:r w:rsidRPr="00B91A3F">
              <w:rPr>
                <w:rFonts w:eastAsia="Times New Roman"/>
                <w:kern w:val="1"/>
                <w:vertAlign w:val="subscript"/>
                <w:lang w:val="ro-RO" w:eastAsia="en-US"/>
              </w:rPr>
              <w:t>2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’l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  <w:proofErr w:type="spellStart"/>
            <w:r w:rsidRPr="00B91A3F">
              <w:rPr>
                <w:lang w:val="fr-FR"/>
              </w:rPr>
              <w:t>Distanţa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pînă</w:t>
            </w:r>
            <w:proofErr w:type="spellEnd"/>
            <w:r w:rsidRPr="00B91A3F">
              <w:rPr>
                <w:lang w:val="fr-FR"/>
              </w:rPr>
              <w:t xml:space="preserve"> la </w:t>
            </w:r>
            <w:proofErr w:type="spellStart"/>
            <w:r w:rsidRPr="00B91A3F">
              <w:rPr>
                <w:lang w:val="fr-FR"/>
              </w:rPr>
              <w:t>nivelul</w:t>
            </w:r>
            <w:proofErr w:type="spellEnd"/>
            <w:r w:rsidRPr="00B91A3F">
              <w:rPr>
                <w:lang w:val="fr-FR"/>
              </w:rPr>
              <w:t xml:space="preserve"> AS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es-ES"/>
              </w:rPr>
            </w:pPr>
            <w:r w:rsidRPr="00B91A3F">
              <w:rPr>
                <w:lang w:val="es-ES"/>
              </w:rPr>
              <w:t xml:space="preserve">rata </w:t>
            </w:r>
            <w:proofErr w:type="spellStart"/>
            <w:r w:rsidRPr="00B91A3F">
              <w:rPr>
                <w:lang w:val="es-ES"/>
              </w:rPr>
              <w:t>extragerii</w:t>
            </w:r>
            <w:proofErr w:type="spellEnd"/>
            <w:r w:rsidRPr="00B91A3F">
              <w:rPr>
                <w:lang w:val="es-ES"/>
              </w:rPr>
              <w:t xml:space="preserve"> </w:t>
            </w:r>
            <w:proofErr w:type="spellStart"/>
            <w:r w:rsidRPr="00B91A3F">
              <w:rPr>
                <w:lang w:val="es-ES"/>
              </w:rPr>
              <w:t>în</w:t>
            </w:r>
            <w:proofErr w:type="spellEnd"/>
            <w:r w:rsidRPr="00B91A3F">
              <w:rPr>
                <w:lang w:val="es-ES"/>
              </w:rPr>
              <w:t xml:space="preserve"> </w:t>
            </w:r>
            <w:proofErr w:type="spellStart"/>
            <w:r w:rsidRPr="00B91A3F">
              <w:rPr>
                <w:lang w:val="es-ES"/>
              </w:rPr>
              <w:t>timpul</w:t>
            </w:r>
            <w:proofErr w:type="spellEnd"/>
            <w:r w:rsidRPr="00B91A3F">
              <w:rPr>
                <w:lang w:val="es-ES"/>
              </w:rPr>
              <w:t xml:space="preserve"> </w:t>
            </w:r>
            <w:proofErr w:type="spellStart"/>
            <w:r w:rsidRPr="00B91A3F">
              <w:rPr>
                <w:lang w:val="es-ES"/>
              </w:rPr>
              <w:t>prelevării</w:t>
            </w:r>
            <w:proofErr w:type="spellEnd"/>
            <w:r w:rsidRPr="00B91A3F">
              <w:rPr>
                <w:lang w:val="es-ES"/>
              </w:rPr>
              <w:t xml:space="preserve"> de </w:t>
            </w:r>
            <w:proofErr w:type="spellStart"/>
            <w:r w:rsidRPr="00B91A3F">
              <w:rPr>
                <w:lang w:val="es-ES"/>
              </w:rPr>
              <w:t>probe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es-ES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es-E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es-ES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  <w:proofErr w:type="spellStart"/>
            <w:r w:rsidRPr="00B91A3F">
              <w:rPr>
                <w:lang w:val="fr-FR"/>
              </w:rPr>
              <w:t>Volumul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extragerii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în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timpul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prelevării</w:t>
            </w:r>
            <w:proofErr w:type="spellEnd"/>
            <w:r w:rsidRPr="00B91A3F">
              <w:rPr>
                <w:lang w:val="fr-FR"/>
              </w:rPr>
              <w:t xml:space="preserve"> de probe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  <w:proofErr w:type="spellStart"/>
            <w:r w:rsidRPr="00B91A3F">
              <w:rPr>
                <w:lang w:val="fr-FR"/>
              </w:rPr>
              <w:t>Deversarea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gramStart"/>
            <w:r w:rsidRPr="00B91A3F">
              <w:rPr>
                <w:lang w:val="fr-FR"/>
              </w:rPr>
              <w:t xml:space="preserve">la </w:t>
            </w:r>
            <w:proofErr w:type="spellStart"/>
            <w:r w:rsidRPr="00B91A3F">
              <w:rPr>
                <w:lang w:val="fr-FR"/>
              </w:rPr>
              <w:t>izvor</w:t>
            </w:r>
            <w:proofErr w:type="spellEnd"/>
            <w:proofErr w:type="gram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în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timpul</w:t>
            </w:r>
            <w:proofErr w:type="spellEnd"/>
            <w:r w:rsidRPr="00B91A3F">
              <w:rPr>
                <w:lang w:val="fr-FR"/>
              </w:rPr>
              <w:t xml:space="preserve"> </w:t>
            </w:r>
            <w:proofErr w:type="spellStart"/>
            <w:r w:rsidRPr="00B91A3F">
              <w:rPr>
                <w:lang w:val="fr-FR"/>
              </w:rPr>
              <w:t>prelevării</w:t>
            </w:r>
            <w:proofErr w:type="spellEnd"/>
            <w:r w:rsidRPr="00B91A3F">
              <w:rPr>
                <w:lang w:val="fr-FR"/>
              </w:rPr>
              <w:t xml:space="preserve"> de probe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rPr>
                <w:lang w:val="fr-FR"/>
              </w:rPr>
            </w:pPr>
          </w:p>
        </w:tc>
      </w:tr>
      <w:tr w:rsidR="00B91A3F" w:rsidRPr="00B91A3F" w:rsidTr="000B784A">
        <w:tc>
          <w:tcPr>
            <w:tcW w:w="40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A3F" w:rsidRPr="00B91A3F" w:rsidRDefault="00B91A3F" w:rsidP="000B784A">
            <w:proofErr w:type="spellStart"/>
            <w:r w:rsidRPr="00B91A3F">
              <w:t>Culoarea</w:t>
            </w:r>
            <w:proofErr w:type="spellEnd"/>
            <w:r w:rsidRPr="00B91A3F">
              <w:t xml:space="preserve">, </w:t>
            </w:r>
            <w:proofErr w:type="spellStart"/>
            <w:r w:rsidRPr="00B91A3F">
              <w:t>turbiditatea</w:t>
            </w:r>
            <w:proofErr w:type="spellEnd"/>
            <w:r w:rsidRPr="00B91A3F">
              <w:t xml:space="preserve">, </w:t>
            </w:r>
            <w:proofErr w:type="spellStart"/>
            <w:r w:rsidRPr="00B91A3F">
              <w:t>mirosul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A3F" w:rsidRPr="00B91A3F" w:rsidRDefault="00B91A3F" w:rsidP="000B784A"/>
        </w:tc>
      </w:tr>
      <w:tr w:rsidR="00B91A3F" w:rsidRPr="00B91A3F" w:rsidTr="000B784A">
        <w:tc>
          <w:tcPr>
            <w:tcW w:w="4053" w:type="dxa"/>
            <w:tcBorders>
              <w:top w:val="nil"/>
            </w:tcBorders>
            <w:shd w:val="clear" w:color="auto" w:fill="auto"/>
          </w:tcPr>
          <w:p w:rsidR="00B91A3F" w:rsidRPr="00B91A3F" w:rsidRDefault="00B91A3F" w:rsidP="000B784A">
            <w:proofErr w:type="spellStart"/>
            <w:r w:rsidRPr="00B91A3F">
              <w:t>temperatura</w:t>
            </w:r>
            <w:proofErr w:type="spellEnd"/>
          </w:p>
        </w:tc>
        <w:tc>
          <w:tcPr>
            <w:tcW w:w="1167" w:type="dxa"/>
            <w:tcBorders>
              <w:top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103" w:type="dxa"/>
            <w:tcBorders>
              <w:top w:val="nil"/>
            </w:tcBorders>
            <w:shd w:val="clear" w:color="auto" w:fill="auto"/>
          </w:tcPr>
          <w:p w:rsidR="00B91A3F" w:rsidRPr="00B91A3F" w:rsidRDefault="00B91A3F" w:rsidP="000B784A"/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B91A3F" w:rsidRPr="00B91A3F" w:rsidRDefault="00B91A3F" w:rsidP="000B784A"/>
        </w:tc>
      </w:tr>
    </w:tbl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Blocul 2. Parametrii chimici analitici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068"/>
        <w:gridCol w:w="1170"/>
        <w:gridCol w:w="1964"/>
        <w:gridCol w:w="1096"/>
        <w:gridCol w:w="1440"/>
      </w:tblGrid>
      <w:tr w:rsidR="00B91A3F" w:rsidRPr="00B91A3F" w:rsidTr="000B784A">
        <w:trPr>
          <w:tblHeader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Parametrii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Numărul CAS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Metoda analitică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Unitatea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Minimum LOQ</w:t>
            </w:r>
          </w:p>
        </w:tc>
      </w:tr>
      <w:tr w:rsidR="00B91A3F" w:rsidRPr="00B91A3F" w:rsidTr="000B784A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Amoniu (NH</w:t>
            </w:r>
            <w:r w:rsidRPr="00B91A3F">
              <w:rPr>
                <w:rFonts w:eastAsia="Times New Roman"/>
                <w:kern w:val="1"/>
                <w:vertAlign w:val="subscript"/>
                <w:lang w:val="ro-RO" w:eastAsia="en-US"/>
              </w:rPr>
              <w:t>4</w:t>
            </w:r>
            <w:r w:rsidRPr="00B91A3F">
              <w:rPr>
                <w:rFonts w:eastAsia="Times New Roman"/>
                <w:kern w:val="1"/>
                <w:vertAlign w:val="superscript"/>
                <w:lang w:val="ro-RO" w:eastAsia="en-US"/>
              </w:rPr>
              <w:t>+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Azot (NO</w:t>
            </w:r>
            <w:r w:rsidRPr="00B91A3F">
              <w:rPr>
                <w:rFonts w:eastAsia="Times New Roman"/>
                <w:kern w:val="1"/>
                <w:vertAlign w:val="subscript"/>
                <w:lang w:val="ro-RO" w:eastAsia="en-US"/>
              </w:rPr>
              <w:t>3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-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Nitrit (NO</w:t>
            </w:r>
            <w:r w:rsidRPr="00B91A3F">
              <w:rPr>
                <w:rFonts w:eastAsia="Times New Roman"/>
                <w:kern w:val="1"/>
                <w:vertAlign w:val="subscript"/>
                <w:lang w:val="ro-RO" w:eastAsia="en-US"/>
              </w:rPr>
              <w:t>2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-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Clorură (Cl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-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);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Sulfat (SO</w:t>
            </w:r>
            <w:r w:rsidRPr="00B91A3F">
              <w:rPr>
                <w:rFonts w:eastAsia="Times New Roman"/>
                <w:kern w:val="24"/>
                <w:vertAlign w:val="subscript"/>
                <w:lang w:val="ro-RO" w:eastAsia="en-US"/>
              </w:rPr>
              <w:t>4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2-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Duritatea totală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Duritatea carbonatului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Calciu (Ca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2+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Magneziu (Mg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2+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Sodiu (Na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+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Potasiu (K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+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Ortofosfat (PO</w:t>
            </w:r>
            <w:r w:rsidRPr="00B91A3F">
              <w:rPr>
                <w:rFonts w:eastAsia="Times New Roman"/>
                <w:kern w:val="24"/>
                <w:vertAlign w:val="subscript"/>
                <w:lang w:val="ro-RO" w:eastAsia="en-US"/>
              </w:rPr>
              <w:t>4</w:t>
            </w:r>
            <w:r w:rsidRPr="00B91A3F">
              <w:rPr>
                <w:rFonts w:eastAsia="Times New Roman"/>
                <w:kern w:val="24"/>
                <w:vertAlign w:val="superscript"/>
                <w:lang w:val="ro-RO" w:eastAsia="en-US"/>
              </w:rPr>
              <w:t>3-</w:t>
            </w:r>
            <w:r w:rsidRPr="00B91A3F">
              <w:rPr>
                <w:rFonts w:eastAsia="Times New Roman"/>
                <w:kern w:val="1"/>
                <w:lang w:val="ro-RO" w:eastAsia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Bor (B)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Fluor (F)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  <w:tr w:rsidR="00B91A3F" w:rsidRPr="00B91A3F" w:rsidTr="000B784A">
        <w:trPr>
          <w:trHeight w:val="29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Seleniu (Se)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color w:val="CC00CC"/>
                <w:kern w:val="1"/>
                <w:lang w:val="ro-RO" w:eastAsia="en-US"/>
              </w:rPr>
            </w:pPr>
          </w:p>
        </w:tc>
      </w:tr>
    </w:tbl>
    <w:p w:rsidR="00B91A3F" w:rsidRPr="00B91A3F" w:rsidRDefault="00B91A3F" w:rsidP="00B91A3F"/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u-RU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u-RU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lastRenderedPageBreak/>
        <w:t>Blocul 3: Metale dizolvate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72"/>
        <w:gridCol w:w="1203"/>
        <w:gridCol w:w="2033"/>
        <w:gridCol w:w="1135"/>
        <w:gridCol w:w="1482"/>
      </w:tblGrid>
      <w:tr w:rsidR="00B91A3F" w:rsidRPr="00B91A3F" w:rsidTr="000B784A">
        <w:trPr>
          <w:tblHeader/>
        </w:trPr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Parametrii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Numărul CAS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Calibri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Metoda analitică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Calibri"/>
                <w:b/>
                <w:kern w:val="1"/>
                <w:lang w:val="ro-RO" w:eastAsia="en-US"/>
              </w:rPr>
              <w:t>Unitatea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Minimum LOQ</w:t>
            </w: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Fier (Fe)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Mangan (Mn)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Crom (Cr)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Cupru (Cu)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Nichel (Ni)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Arsenic (As)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Cadmiu (Cd)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Plumb (Pb)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Mercur (Hg)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Stronţiu (Sr)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b/>
                <w:kern w:val="1"/>
                <w:lang w:val="ro-RO" w:eastAsia="en-US"/>
              </w:rPr>
            </w:pPr>
          </w:p>
        </w:tc>
      </w:tr>
    </w:tbl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Blocul 4: Hidrocarburi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1205"/>
        <w:gridCol w:w="2035"/>
        <w:gridCol w:w="1129"/>
        <w:gridCol w:w="1480"/>
      </w:tblGrid>
      <w:tr w:rsidR="00B91A3F" w:rsidRPr="00B91A3F" w:rsidTr="000B784A">
        <w:trPr>
          <w:tblHeader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Parametrii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Numărul CAS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Metoda analitică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Unitatea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Minimum LOQ</w:t>
            </w:r>
          </w:p>
        </w:tc>
      </w:tr>
      <w:tr w:rsidR="00B91A3F" w:rsidRPr="00B91A3F" w:rsidTr="000B784A"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Tricloroeten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de-AT"/>
              </w:rPr>
              <w:t>Tetracloroetene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Benzen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</w:tbl>
    <w:p w:rsidR="00B91A3F" w:rsidRPr="00B91A3F" w:rsidRDefault="00B91A3F" w:rsidP="00B91A3F">
      <w:pPr>
        <w:ind w:firstLine="720"/>
        <w:jc w:val="both"/>
        <w:rPr>
          <w:rFonts w:eastAsia="Times New Roman"/>
          <w:kern w:val="1"/>
          <w:lang w:val="ro-RO" w:eastAsia="de-AT"/>
        </w:rPr>
      </w:pP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  <w:r w:rsidRPr="00B91A3F">
        <w:rPr>
          <w:rFonts w:eastAsia="Times New Roman"/>
          <w:b/>
          <w:kern w:val="1"/>
          <w:lang w:val="ro-RO" w:eastAsia="en-US"/>
        </w:rPr>
        <w:t>Blocul 5: Pesticide</w:t>
      </w:r>
    </w:p>
    <w:p w:rsidR="00B91A3F" w:rsidRPr="00B91A3F" w:rsidRDefault="00B91A3F" w:rsidP="00B91A3F">
      <w:pPr>
        <w:ind w:firstLine="720"/>
        <w:jc w:val="both"/>
        <w:rPr>
          <w:rFonts w:eastAsia="Times New Roman"/>
          <w:b/>
          <w:kern w:val="1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1205"/>
        <w:gridCol w:w="2035"/>
        <w:gridCol w:w="1129"/>
        <w:gridCol w:w="1480"/>
      </w:tblGrid>
      <w:tr w:rsidR="00B91A3F" w:rsidRPr="00B91A3F" w:rsidTr="000B784A">
        <w:tc>
          <w:tcPr>
            <w:tcW w:w="2083" w:type="pct"/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Parametrii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Numărul CAS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Metoda analitică (de exemplu, standard)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Unitatea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B91A3F" w:rsidRPr="00B91A3F" w:rsidRDefault="00B91A3F" w:rsidP="000B784A">
            <w:pPr>
              <w:jc w:val="center"/>
              <w:rPr>
                <w:rFonts w:eastAsia="Times New Roman"/>
                <w:b/>
                <w:kern w:val="1"/>
                <w:lang w:val="ro-RO" w:eastAsia="en-US"/>
              </w:rPr>
            </w:pPr>
            <w:r w:rsidRPr="00B91A3F">
              <w:rPr>
                <w:rFonts w:eastAsia="Times New Roman"/>
                <w:b/>
                <w:kern w:val="1"/>
                <w:lang w:val="ro-RO" w:eastAsia="en-US"/>
              </w:rPr>
              <w:t>Minimum LOQ</w:t>
            </w:r>
          </w:p>
        </w:tc>
      </w:tr>
      <w:tr w:rsidR="00B91A3F" w:rsidRPr="00B91A3F" w:rsidTr="000B784A">
        <w:tc>
          <w:tcPr>
            <w:tcW w:w="208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  <w:r w:rsidRPr="00B91A3F">
              <w:rPr>
                <w:rFonts w:eastAsia="Times New Roman"/>
                <w:kern w:val="1"/>
                <w:lang w:val="ro-RO" w:eastAsia="en-US"/>
              </w:rPr>
              <w:t>Atrazin</w:t>
            </w:r>
          </w:p>
        </w:tc>
        <w:tc>
          <w:tcPr>
            <w:tcW w:w="601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601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  <w:tr w:rsidR="00B91A3F" w:rsidRPr="00B91A3F" w:rsidTr="000B784A">
        <w:tc>
          <w:tcPr>
            <w:tcW w:w="208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601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1015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563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  <w:tc>
          <w:tcPr>
            <w:tcW w:w="739" w:type="pct"/>
            <w:shd w:val="clear" w:color="auto" w:fill="auto"/>
          </w:tcPr>
          <w:p w:rsidR="00B91A3F" w:rsidRPr="00B91A3F" w:rsidRDefault="00B91A3F" w:rsidP="000B784A">
            <w:pPr>
              <w:jc w:val="both"/>
              <w:rPr>
                <w:rFonts w:eastAsia="Times New Roman"/>
                <w:kern w:val="1"/>
                <w:lang w:val="ro-RO" w:eastAsia="en-US"/>
              </w:rPr>
            </w:pPr>
          </w:p>
        </w:tc>
      </w:tr>
    </w:tbl>
    <w:p w:rsidR="00B91A3F" w:rsidRPr="00B91A3F" w:rsidRDefault="00B91A3F" w:rsidP="00B91A3F">
      <w:pPr>
        <w:ind w:firstLine="720"/>
        <w:jc w:val="both"/>
        <w:rPr>
          <w:lang w:val="ro-RO"/>
        </w:rPr>
      </w:pPr>
    </w:p>
    <w:p w:rsidR="00331580" w:rsidRPr="00B91A3F" w:rsidRDefault="00331580"/>
    <w:sectPr w:rsidR="00331580" w:rsidRPr="00B91A3F" w:rsidSect="004246C7">
      <w:headerReference w:type="default" r:id="rId4"/>
      <w:footerReference w:type="default" r:id="rId5"/>
      <w:footerReference w:type="first" r:id="rId6"/>
      <w:pgSz w:w="11907" w:h="16840" w:code="9"/>
      <w:pgMar w:top="567" w:right="96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0" w:rsidRPr="00672279" w:rsidRDefault="00B91A3F">
    <w:pPr>
      <w:pStyle w:val="Footer"/>
      <w:rPr>
        <w:sz w:val="16"/>
        <w:szCs w:val="16"/>
      </w:rPr>
    </w:pPr>
    <w:r w:rsidRPr="00672279">
      <w:rPr>
        <w:sz w:val="16"/>
        <w:szCs w:val="16"/>
      </w:rPr>
      <w:fldChar w:fldCharType="begin"/>
    </w:r>
    <w:r w:rsidRPr="00672279">
      <w:rPr>
        <w:sz w:val="16"/>
        <w:szCs w:val="16"/>
      </w:rPr>
      <w:instrText xml:space="preserve"> FILENAME \p </w:instrText>
    </w:r>
    <w:r w:rsidRPr="00672279">
      <w:rPr>
        <w:sz w:val="16"/>
        <w:szCs w:val="16"/>
      </w:rPr>
      <w:fldChar w:fldCharType="separate"/>
    </w:r>
    <w:r>
      <w:rPr>
        <w:noProof/>
        <w:sz w:val="16"/>
        <w:szCs w:val="16"/>
      </w:rPr>
      <w:t>X:\Tatiana\Doc_2013\Hotariri\Monitor_ape-subterane.doc</w:t>
    </w:r>
    <w:r w:rsidRPr="00672279">
      <w:rPr>
        <w:sz w:val="16"/>
        <w:szCs w:val="16"/>
      </w:rPr>
      <w:fldChar w:fldCharType="end"/>
    </w:r>
    <w:r w:rsidRPr="00672279">
      <w:rPr>
        <w:sz w:val="16"/>
        <w:szCs w:val="16"/>
      </w:rPr>
      <w:fldChar w:fldCharType="begin"/>
    </w:r>
    <w:r w:rsidRPr="00672279">
      <w:rPr>
        <w:sz w:val="16"/>
        <w:szCs w:val="16"/>
      </w:rPr>
      <w:instrText xml:space="preserve"> DATE \@ "dd/MM/yyyy" </w:instrText>
    </w:r>
    <w:r w:rsidRPr="00672279">
      <w:rPr>
        <w:sz w:val="16"/>
        <w:szCs w:val="16"/>
      </w:rPr>
      <w:fldChar w:fldCharType="separate"/>
    </w:r>
    <w:r>
      <w:rPr>
        <w:noProof/>
        <w:sz w:val="16"/>
        <w:szCs w:val="16"/>
      </w:rPr>
      <w:t>19/12/2013</w:t>
    </w:r>
    <w:r w:rsidRPr="0067227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C1" w:rsidRPr="00672279" w:rsidRDefault="00B91A3F" w:rsidP="008F7AC1">
    <w:pPr>
      <w:pStyle w:val="Footer"/>
      <w:rPr>
        <w:sz w:val="16"/>
        <w:szCs w:val="16"/>
      </w:rPr>
    </w:pPr>
    <w:r w:rsidRPr="00672279">
      <w:rPr>
        <w:sz w:val="16"/>
        <w:szCs w:val="16"/>
      </w:rPr>
      <w:fldChar w:fldCharType="begin"/>
    </w:r>
    <w:r w:rsidRPr="00672279">
      <w:rPr>
        <w:sz w:val="16"/>
        <w:szCs w:val="16"/>
      </w:rPr>
      <w:instrText xml:space="preserve"> FILENAME \p </w:instrText>
    </w:r>
    <w:r w:rsidRPr="00672279">
      <w:rPr>
        <w:sz w:val="16"/>
        <w:szCs w:val="16"/>
      </w:rPr>
      <w:fldChar w:fldCharType="separate"/>
    </w:r>
    <w:r>
      <w:rPr>
        <w:noProof/>
        <w:sz w:val="16"/>
        <w:szCs w:val="16"/>
      </w:rPr>
      <w:t>X:\Tatiana\Doc_</w:t>
    </w:r>
    <w:r>
      <w:rPr>
        <w:noProof/>
        <w:sz w:val="16"/>
        <w:szCs w:val="16"/>
      </w:rPr>
      <w:t>2013\Hotariri\Monitor_ape-subterane.doc</w:t>
    </w:r>
    <w:r w:rsidRPr="00672279">
      <w:rPr>
        <w:sz w:val="16"/>
        <w:szCs w:val="16"/>
      </w:rPr>
      <w:fldChar w:fldCharType="end"/>
    </w:r>
    <w:r w:rsidRPr="00672279">
      <w:rPr>
        <w:sz w:val="16"/>
        <w:szCs w:val="16"/>
      </w:rPr>
      <w:fldChar w:fldCharType="begin"/>
    </w:r>
    <w:r w:rsidRPr="00672279">
      <w:rPr>
        <w:sz w:val="16"/>
        <w:szCs w:val="16"/>
      </w:rPr>
      <w:instrText xml:space="preserve"> DATE \@ "dd/MM/yyyy" </w:instrText>
    </w:r>
    <w:r w:rsidRPr="00672279">
      <w:rPr>
        <w:sz w:val="16"/>
        <w:szCs w:val="16"/>
      </w:rPr>
      <w:fldChar w:fldCharType="separate"/>
    </w:r>
    <w:r>
      <w:rPr>
        <w:noProof/>
        <w:sz w:val="16"/>
        <w:szCs w:val="16"/>
      </w:rPr>
      <w:t>19/12/2013</w:t>
    </w:r>
    <w:r w:rsidRPr="00672279">
      <w:rPr>
        <w:sz w:val="16"/>
        <w:szCs w:val="16"/>
      </w:rPr>
      <w:fldChar w:fldCharType="end"/>
    </w:r>
  </w:p>
  <w:p w:rsidR="008F7AC1" w:rsidRDefault="00B91A3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C1" w:rsidRDefault="00B91A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B91A3F">
      <w:rPr>
        <w:noProof/>
        <w:lang w:val="ru-RU"/>
      </w:rPr>
      <w:t>2</w:t>
    </w:r>
    <w:r>
      <w:fldChar w:fldCharType="end"/>
    </w:r>
  </w:p>
  <w:p w:rsidR="008F7AC1" w:rsidRDefault="00B91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3F"/>
    <w:rsid w:val="00331580"/>
    <w:rsid w:val="00B9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3F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B91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3F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3F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2013-12-19T08:03:00Z</dcterms:created>
  <dcterms:modified xsi:type="dcterms:W3CDTF">2013-12-19T08:03:00Z</dcterms:modified>
</cp:coreProperties>
</file>