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36" w:rsidRPr="00E36BA0" w:rsidRDefault="00F00136" w:rsidP="00F00136">
      <w:pPr>
        <w:pStyle w:val="Heading1"/>
        <w:jc w:val="right"/>
        <w:rPr>
          <w:b w:val="0"/>
          <w:i/>
          <w:sz w:val="24"/>
        </w:rPr>
      </w:pPr>
      <w:r w:rsidRPr="00E36BA0">
        <w:rPr>
          <w:b w:val="0"/>
          <w:i/>
          <w:sz w:val="24"/>
        </w:rPr>
        <w:t>Anexa 3</w:t>
      </w:r>
    </w:p>
    <w:p w:rsidR="00F00136" w:rsidRPr="00E36BA0" w:rsidRDefault="00F00136" w:rsidP="00F00136">
      <w:pPr>
        <w:jc w:val="center"/>
        <w:rPr>
          <w:b/>
          <w:i/>
          <w:sz w:val="24"/>
        </w:rPr>
      </w:pPr>
      <w:r w:rsidRPr="00E36BA0">
        <w:rPr>
          <w:b/>
          <w:i/>
          <w:sz w:val="28"/>
          <w:szCs w:val="28"/>
          <w:lang w:val="it-IT"/>
        </w:rPr>
        <w:t>Lista abrevierelor</w:t>
      </w:r>
      <w:r w:rsidRPr="00E36BA0">
        <w:rPr>
          <w:b/>
          <w:i/>
          <w:sz w:val="24"/>
        </w:rPr>
        <w:t xml:space="preserve"> </w:t>
      </w:r>
    </w:p>
    <w:p w:rsidR="00F00136" w:rsidRPr="00E36BA0" w:rsidRDefault="00F00136" w:rsidP="00F00136">
      <w:pPr>
        <w:jc w:val="center"/>
        <w:rPr>
          <w:b/>
          <w:i/>
          <w:sz w:val="24"/>
        </w:rPr>
      </w:pPr>
    </w:p>
    <w:tbl>
      <w:tblPr>
        <w:tblW w:w="9747" w:type="dxa"/>
        <w:jc w:val="center"/>
        <w:tblLayout w:type="fixed"/>
        <w:tblCellMar>
          <w:top w:w="170" w:type="dxa"/>
        </w:tblCellMar>
        <w:tblLook w:val="0000"/>
      </w:tblPr>
      <w:tblGrid>
        <w:gridCol w:w="2050"/>
        <w:gridCol w:w="7697"/>
      </w:tblGrid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  <w:lang w:val="en-US"/>
              </w:rPr>
              <w:t>BBDR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jc w:val="both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Aplicaţii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radio de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bandă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largă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ajutor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caz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dezastru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 xml:space="preserve">CMAR 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 xml:space="preserve">Conferinţa Mondială Administrativă Radio 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CEPT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Conferin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a European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 xml:space="preserve">ă 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a Administra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iilor de Po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ş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t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ă ş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i Telecomunica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 xml:space="preserve">ii 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 xml:space="preserve">CMR 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Conferinţa Mondială Radiocomunicaţii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DEC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Decizie ERC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DECT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AE4EEE">
              <w:rPr>
                <w:i/>
                <w:sz w:val="24"/>
                <w:szCs w:val="24"/>
                <w:lang w:val="it-IT"/>
              </w:rPr>
              <w:t>Sistem digital european de  telecomunicaţii prin telefon fără cordon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 xml:space="preserve">DVB-T 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Televiziune digital</w:t>
            </w:r>
            <w:r w:rsidRPr="00E36BA0">
              <w:rPr>
                <w:i/>
                <w:color w:val="000000"/>
                <w:sz w:val="24"/>
                <w:szCs w:val="24"/>
              </w:rPr>
              <w:t xml:space="preserve">ă 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terestr</w:t>
            </w:r>
            <w:r w:rsidRPr="00E36BA0">
              <w:rPr>
                <w:i/>
                <w:color w:val="000000"/>
                <w:sz w:val="24"/>
                <w:szCs w:val="24"/>
              </w:rPr>
              <w:t>ă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ECC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Comitetul de comunica</w:t>
            </w:r>
            <w:r w:rsidRPr="00E36BA0">
              <w:rPr>
                <w:i/>
                <w:color w:val="000000"/>
                <w:sz w:val="24"/>
                <w:szCs w:val="24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ii electronice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ERC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Comitetul european de radiocomunica</w:t>
            </w:r>
            <w:r w:rsidRPr="00E36BA0">
              <w:rPr>
                <w:i/>
                <w:color w:val="000000"/>
                <w:sz w:val="24"/>
                <w:szCs w:val="24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 xml:space="preserve">ii 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GMDSS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Sistem</w:t>
            </w:r>
            <w:proofErr w:type="spellEnd"/>
            <w:r w:rsidRPr="00E36BA0">
              <w:rPr>
                <w:i/>
                <w:sz w:val="24"/>
                <w:szCs w:val="24"/>
                <w:lang w:val="en-US"/>
              </w:rPr>
              <w:t xml:space="preserve"> Global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Maritim</w:t>
            </w:r>
            <w:proofErr w:type="spellEnd"/>
            <w:r w:rsidRPr="00E36BA0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Dezastru</w:t>
            </w:r>
            <w:proofErr w:type="spellEnd"/>
            <w:r w:rsidRPr="00E36BA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E36BA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Securitate</w:t>
            </w:r>
            <w:proofErr w:type="spellEnd"/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 xml:space="preserve">IMT 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 xml:space="preserve">Telecomunicaţii internaţionale mobile 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ISM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Aplica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 xml:space="preserve">ii industriale, 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ş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tin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 xml:space="preserve">ifice 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ş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 xml:space="preserve">i medicale 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MMDS, MVDS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jc w:val="both"/>
              <w:rPr>
                <w:i/>
                <w:sz w:val="24"/>
                <w:szCs w:val="24"/>
                <w:lang w:val="it-IT"/>
              </w:rPr>
            </w:pPr>
            <w:r w:rsidRPr="00AE4EEE">
              <w:rPr>
                <w:i/>
                <w:sz w:val="24"/>
                <w:szCs w:val="24"/>
                <w:lang w:val="it-IT"/>
              </w:rPr>
              <w:t>Sisteme de distribuire a semnalelor video prin intermediul microundelor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MRE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Mijloace radioelectronice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5313E7" w:rsidRDefault="00F00136" w:rsidP="00103A66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PAL</w:t>
            </w:r>
          </w:p>
        </w:tc>
        <w:tc>
          <w:tcPr>
            <w:tcW w:w="7697" w:type="dxa"/>
          </w:tcPr>
          <w:p w:rsidR="00F00136" w:rsidRPr="005D5466" w:rsidRDefault="00F00136" w:rsidP="00103A66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</w:t>
            </w:r>
            <w:r w:rsidRPr="005D5466">
              <w:rPr>
                <w:i/>
                <w:sz w:val="24"/>
                <w:szCs w:val="24"/>
                <w:lang w:val="en-US"/>
              </w:rPr>
              <w:t>istem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codare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semnalelor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televiziune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color</w:t>
            </w:r>
            <w:r>
              <w:rPr>
                <w:i/>
                <w:sz w:val="24"/>
                <w:szCs w:val="24"/>
                <w:lang w:val="en-US"/>
              </w:rPr>
              <w:t>ă</w:t>
            </w:r>
            <w:proofErr w:type="spellEnd"/>
            <w:proofErr w:type="gramStart"/>
            <w:r w:rsidRPr="005D5466">
              <w:rPr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ce</w:t>
            </w:r>
            <w:proofErr w:type="spellEnd"/>
            <w:proofErr w:type="gramEnd"/>
            <w:r w:rsidRPr="005D546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utilizeaza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principiul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transmiterii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faza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schimbata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de la o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linie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alta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componentei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D5466">
              <w:rPr>
                <w:i/>
                <w:sz w:val="24"/>
                <w:szCs w:val="24"/>
                <w:lang w:val="en-US"/>
              </w:rPr>
              <w:t>crominanta</w:t>
            </w:r>
            <w:proofErr w:type="spellEnd"/>
            <w:r w:rsidRPr="005D5466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PMR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Radiocomunicaţii mobile personale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  <w:lang w:val="en-US"/>
              </w:rPr>
            </w:pPr>
            <w:r w:rsidRPr="00E36BA0">
              <w:rPr>
                <w:i/>
                <w:sz w:val="24"/>
                <w:szCs w:val="24"/>
                <w:lang w:val="en-US"/>
              </w:rPr>
              <w:t>PAMR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  <w:lang w:val="fr-FR"/>
              </w:rPr>
            </w:pP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Radiocomunicaţii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mobile </w:t>
            </w:r>
            <w:proofErr w:type="gramStart"/>
            <w:r w:rsidRPr="00E36BA0">
              <w:rPr>
                <w:i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acces</w:t>
            </w:r>
            <w:proofErr w:type="spellEnd"/>
            <w:proofErr w:type="gramEnd"/>
            <w:r w:rsidRPr="00E36BA0">
              <w:rPr>
                <w:i/>
                <w:sz w:val="24"/>
                <w:szCs w:val="24"/>
                <w:lang w:val="fr-FR"/>
              </w:rPr>
              <w:t xml:space="preserve"> public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  <w:lang w:val="en-US"/>
              </w:rPr>
              <w:t>PPDR</w:t>
            </w:r>
          </w:p>
        </w:tc>
        <w:tc>
          <w:tcPr>
            <w:tcW w:w="7697" w:type="dxa"/>
          </w:tcPr>
          <w:p w:rsidR="00F00136" w:rsidRPr="00BE0E16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fr-FR"/>
              </w:rPr>
            </w:pP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Protecţie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civilă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ajutor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caz</w:t>
            </w:r>
            <w:proofErr w:type="spellEnd"/>
            <w:r w:rsidRPr="00E36BA0">
              <w:rPr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6BA0">
              <w:rPr>
                <w:i/>
                <w:sz w:val="24"/>
                <w:szCs w:val="24"/>
                <w:lang w:val="fr-FR"/>
              </w:rPr>
              <w:t>dezastru</w:t>
            </w:r>
            <w:proofErr w:type="spellEnd"/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RR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Regulamentul radiocomunica</w:t>
            </w:r>
            <w:r w:rsidRPr="00E36BA0">
              <w:rPr>
                <w:i/>
                <w:color w:val="000000"/>
                <w:sz w:val="24"/>
                <w:szCs w:val="24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iilor UIT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S – PCS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>Sistem de comunica</w:t>
            </w:r>
            <w:r w:rsidRPr="00E36BA0">
              <w:rPr>
                <w:i/>
                <w:color w:val="000000"/>
                <w:sz w:val="24"/>
                <w:szCs w:val="24"/>
                <w:lang w:val="it-IT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it-IT"/>
              </w:rPr>
              <w:t xml:space="preserve">ii personale prin satelit 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SECAM</w:t>
            </w:r>
          </w:p>
        </w:tc>
        <w:tc>
          <w:tcPr>
            <w:tcW w:w="7697" w:type="dxa"/>
          </w:tcPr>
          <w:p w:rsidR="00F00136" w:rsidRPr="00680465" w:rsidRDefault="00F00136" w:rsidP="00103A66">
            <w:pPr>
              <w:ind w:right="-1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Sistem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6BA0">
              <w:rPr>
                <w:i/>
                <w:sz w:val="24"/>
                <w:szCs w:val="24"/>
                <w:lang w:val="en-US"/>
              </w:rPr>
              <w:t>de</w:t>
            </w:r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televiziune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465">
              <w:rPr>
                <w:i/>
                <w:sz w:val="24"/>
                <w:szCs w:val="24"/>
                <w:lang w:val="en-US"/>
              </w:rPr>
              <w:t>î</w:t>
            </w:r>
            <w:r w:rsidRPr="00E36BA0">
              <w:rPr>
                <w:i/>
                <w:sz w:val="24"/>
                <w:szCs w:val="24"/>
                <w:lang w:val="en-US"/>
              </w:rPr>
              <w:t>n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culori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6BA0">
              <w:rPr>
                <w:i/>
                <w:sz w:val="24"/>
                <w:szCs w:val="24"/>
                <w:lang w:val="en-US"/>
              </w:rPr>
              <w:t>cu</w:t>
            </w:r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perindarea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semnalelor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r</w:t>
            </w:r>
            <w:r w:rsidRPr="00680465">
              <w:rPr>
                <w:i/>
                <w:sz w:val="24"/>
                <w:szCs w:val="24"/>
                <w:lang w:val="en-US"/>
              </w:rPr>
              <w:t>î</w:t>
            </w:r>
            <w:r w:rsidRPr="00E36BA0">
              <w:rPr>
                <w:i/>
                <w:sz w:val="24"/>
                <w:szCs w:val="24"/>
                <w:lang w:val="en-US"/>
              </w:rPr>
              <w:t>nduri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465">
              <w:rPr>
                <w:i/>
                <w:sz w:val="24"/>
                <w:szCs w:val="24"/>
                <w:lang w:val="en-US"/>
              </w:rPr>
              <w:t>ş</w:t>
            </w:r>
            <w:r w:rsidRPr="00E36BA0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transmiterea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semnalelor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6BA0">
              <w:rPr>
                <w:i/>
                <w:sz w:val="24"/>
                <w:szCs w:val="24"/>
                <w:lang w:val="en-US"/>
              </w:rPr>
              <w:t>cu</w:t>
            </w:r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diferen</w:t>
            </w:r>
            <w:r w:rsidRPr="00680465">
              <w:rPr>
                <w:i/>
                <w:sz w:val="24"/>
                <w:szCs w:val="24"/>
                <w:lang w:val="en-US"/>
              </w:rPr>
              <w:t>ţă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6BA0">
              <w:rPr>
                <w:i/>
                <w:sz w:val="24"/>
                <w:szCs w:val="24"/>
                <w:lang w:val="en-US"/>
              </w:rPr>
              <w:t>de</w:t>
            </w:r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culori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subpurt</w:t>
            </w:r>
            <w:r w:rsidRPr="00680465">
              <w:rPr>
                <w:i/>
                <w:sz w:val="24"/>
                <w:szCs w:val="24"/>
                <w:lang w:val="en-US"/>
              </w:rPr>
              <w:t>ă</w:t>
            </w:r>
            <w:r w:rsidRPr="00E36BA0">
              <w:rPr>
                <w:i/>
                <w:sz w:val="24"/>
                <w:szCs w:val="24"/>
                <w:lang w:val="en-US"/>
              </w:rPr>
              <w:t>toare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metoda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modula</w:t>
            </w:r>
            <w:r w:rsidRPr="00680465">
              <w:rPr>
                <w:i/>
                <w:sz w:val="24"/>
                <w:szCs w:val="24"/>
                <w:lang w:val="en-US"/>
              </w:rPr>
              <w:t>ţ</w:t>
            </w:r>
            <w:r w:rsidRPr="00E36BA0">
              <w:rPr>
                <w:i/>
                <w:sz w:val="24"/>
                <w:szCs w:val="24"/>
                <w:lang w:val="en-US"/>
              </w:rPr>
              <w:t>iei</w:t>
            </w:r>
            <w:proofErr w:type="spellEnd"/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36BA0">
              <w:rPr>
                <w:i/>
                <w:sz w:val="24"/>
                <w:szCs w:val="24"/>
                <w:lang w:val="en-US"/>
              </w:rPr>
              <w:t>de</w:t>
            </w:r>
            <w:r w:rsidRPr="0068046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BA0">
              <w:rPr>
                <w:i/>
                <w:sz w:val="24"/>
                <w:szCs w:val="24"/>
                <w:lang w:val="en-US"/>
              </w:rPr>
              <w:t>frecven</w:t>
            </w:r>
            <w:r w:rsidRPr="00680465">
              <w:rPr>
                <w:i/>
                <w:sz w:val="24"/>
                <w:szCs w:val="24"/>
                <w:lang w:val="en-US"/>
              </w:rPr>
              <w:t>ţă</w:t>
            </w:r>
            <w:proofErr w:type="spellEnd"/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T-DAB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Radiodifuziune sonora digital</w:t>
            </w:r>
            <w:r w:rsidRPr="00E36BA0">
              <w:rPr>
                <w:i/>
                <w:color w:val="000000"/>
                <w:sz w:val="24"/>
                <w:szCs w:val="24"/>
              </w:rPr>
              <w:t xml:space="preserve">ă 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terestr</w:t>
            </w:r>
            <w:r w:rsidRPr="00E36BA0">
              <w:rPr>
                <w:i/>
                <w:color w:val="000000"/>
                <w:sz w:val="24"/>
                <w:szCs w:val="24"/>
              </w:rPr>
              <w:t>ă</w:t>
            </w:r>
          </w:p>
        </w:tc>
      </w:tr>
      <w:tr w:rsidR="00F00136" w:rsidRPr="00E36BA0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 xml:space="preserve">UIT 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  <w:lang w:val="en-US"/>
              </w:rPr>
            </w:pP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Uniunea interna</w:t>
            </w:r>
            <w:r w:rsidRPr="00E36BA0">
              <w:rPr>
                <w:i/>
                <w:color w:val="000000"/>
                <w:sz w:val="24"/>
                <w:szCs w:val="24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ional</w:t>
            </w:r>
            <w:r w:rsidRPr="00E36BA0">
              <w:rPr>
                <w:i/>
                <w:color w:val="000000"/>
                <w:sz w:val="24"/>
                <w:szCs w:val="24"/>
              </w:rPr>
              <w:t xml:space="preserve">ă 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telecomunica</w:t>
            </w:r>
            <w:r w:rsidRPr="00E36BA0">
              <w:rPr>
                <w:i/>
                <w:color w:val="000000"/>
                <w:sz w:val="24"/>
                <w:szCs w:val="24"/>
              </w:rPr>
              <w:t>ţ</w:t>
            </w:r>
            <w:r w:rsidRPr="00E36BA0">
              <w:rPr>
                <w:rFonts w:ascii="EHKNGE+TimesNewRoman" w:hAnsi="EHKNGE+TimesNewRoman" w:cs="EHKNGE+TimesNewRoman"/>
                <w:i/>
                <w:color w:val="000000"/>
                <w:sz w:val="24"/>
                <w:szCs w:val="24"/>
              </w:rPr>
              <w:t>ii</w:t>
            </w:r>
          </w:p>
        </w:tc>
      </w:tr>
      <w:tr w:rsidR="00F00136" w:rsidRPr="008A3C94" w:rsidTr="00103A66">
        <w:trPr>
          <w:trHeight w:val="113"/>
          <w:jc w:val="center"/>
        </w:trPr>
        <w:tc>
          <w:tcPr>
            <w:tcW w:w="2050" w:type="dxa"/>
          </w:tcPr>
          <w:p w:rsidR="00F00136" w:rsidRPr="00E36BA0" w:rsidRDefault="00F00136" w:rsidP="00103A66">
            <w:pPr>
              <w:rPr>
                <w:i/>
                <w:sz w:val="24"/>
                <w:szCs w:val="24"/>
              </w:rPr>
            </w:pPr>
            <w:r w:rsidRPr="00E36BA0">
              <w:rPr>
                <w:i/>
                <w:sz w:val="24"/>
                <w:szCs w:val="24"/>
              </w:rPr>
              <w:t>UMTS</w:t>
            </w:r>
          </w:p>
        </w:tc>
        <w:tc>
          <w:tcPr>
            <w:tcW w:w="7697" w:type="dxa"/>
          </w:tcPr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AE4EEE">
              <w:rPr>
                <w:i/>
                <w:sz w:val="24"/>
                <w:szCs w:val="24"/>
                <w:lang w:val="it-IT"/>
              </w:rPr>
              <w:t>Sistem uni</w:t>
            </w:r>
            <w:r>
              <w:rPr>
                <w:i/>
                <w:sz w:val="24"/>
                <w:szCs w:val="24"/>
                <w:lang w:val="it-IT"/>
              </w:rPr>
              <w:t>versal de telecomunicaţii mobile</w:t>
            </w:r>
          </w:p>
          <w:p w:rsidR="00F00136" w:rsidRPr="00E36BA0" w:rsidRDefault="00F00136" w:rsidP="00103A66">
            <w:pPr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</w:tbl>
    <w:p w:rsidR="00AA5177" w:rsidRPr="00F00136" w:rsidRDefault="00AA5177">
      <w:pPr>
        <w:rPr>
          <w:lang w:val="en-US"/>
        </w:rPr>
      </w:pPr>
    </w:p>
    <w:sectPr w:rsidR="00AA5177" w:rsidRPr="00F00136" w:rsidSect="00A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HKNG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36"/>
    <w:rsid w:val="00AA5177"/>
    <w:rsid w:val="00F0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01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2013-12-10T06:43:00Z</dcterms:created>
  <dcterms:modified xsi:type="dcterms:W3CDTF">2013-12-10T06:43:00Z</dcterms:modified>
</cp:coreProperties>
</file>