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D" w:rsidRPr="00685E21" w:rsidRDefault="00147E3D" w:rsidP="00147E3D">
      <w:pPr>
        <w:pStyle w:val="rg"/>
        <w:tabs>
          <w:tab w:val="left" w:pos="558"/>
        </w:tabs>
        <w:ind w:left="2832" w:firstLine="709"/>
        <w:rPr>
          <w:rFonts w:eastAsia="Times New Roman"/>
        </w:rPr>
      </w:pPr>
      <w:r w:rsidRPr="00685E21">
        <w:rPr>
          <w:rFonts w:eastAsia="Times New Roman"/>
        </w:rPr>
        <w:t>Anexa nr.1</w:t>
      </w:r>
      <w:r w:rsidRPr="00685E21">
        <w:rPr>
          <w:rFonts w:eastAsia="Times New Roman"/>
          <w:vertAlign w:val="superscript"/>
        </w:rPr>
        <w:t>1</w:t>
      </w:r>
      <w:r w:rsidRPr="00685E21">
        <w:rPr>
          <w:rFonts w:eastAsia="Times New Roman"/>
        </w:rPr>
        <w:t xml:space="preserve"> </w:t>
      </w:r>
    </w:p>
    <w:p w:rsidR="00147E3D" w:rsidRPr="00685E21" w:rsidRDefault="00147E3D" w:rsidP="00147E3D">
      <w:pPr>
        <w:pStyle w:val="rg"/>
        <w:ind w:left="2832" w:firstLine="709"/>
        <w:rPr>
          <w:rFonts w:eastAsia="Times New Roman"/>
        </w:rPr>
      </w:pPr>
      <w:r w:rsidRPr="00685E21">
        <w:rPr>
          <w:rFonts w:eastAsia="Times New Roman"/>
        </w:rPr>
        <w:t xml:space="preserve">la Regulamentul cu privire la acordarea indemnizaţiilor </w:t>
      </w:r>
    </w:p>
    <w:p w:rsidR="00147E3D" w:rsidRPr="00685E21" w:rsidRDefault="00147E3D" w:rsidP="00147E3D">
      <w:pPr>
        <w:pStyle w:val="rg"/>
        <w:ind w:left="2832" w:firstLine="709"/>
        <w:rPr>
          <w:rFonts w:eastAsia="Times New Roman"/>
        </w:rPr>
      </w:pPr>
      <w:r w:rsidRPr="00685E21">
        <w:rPr>
          <w:rFonts w:eastAsia="Times New Roman"/>
        </w:rPr>
        <w:t xml:space="preserve">unice pentru construcţia unei case individuale ori </w:t>
      </w:r>
    </w:p>
    <w:p w:rsidR="00147E3D" w:rsidRPr="00685E21" w:rsidRDefault="00147E3D" w:rsidP="00147E3D">
      <w:pPr>
        <w:pStyle w:val="rg"/>
        <w:ind w:left="3540" w:firstLine="1"/>
        <w:rPr>
          <w:rFonts w:eastAsia="Times New Roman"/>
        </w:rPr>
      </w:pPr>
      <w:r w:rsidRPr="00685E21">
        <w:rPr>
          <w:rFonts w:eastAsia="Times New Roman"/>
        </w:rPr>
        <w:t xml:space="preserve">unei locuinţe cooperatiste, sau procurarea spaţiului locativ sau </w:t>
      </w:r>
      <w:r w:rsidRPr="00685E21">
        <w:rPr>
          <w:rFonts w:eastAsia="Times New Roman"/>
          <w:shd w:val="clear" w:color="auto" w:fill="FFFFFF"/>
        </w:rPr>
        <w:t>restaurarea</w:t>
      </w:r>
      <w:r w:rsidRPr="00685E21">
        <w:rPr>
          <w:rFonts w:eastAsia="Times New Roman"/>
        </w:rPr>
        <w:t xml:space="preserve"> caselor vechi unor categorii de cetăţeni  </w:t>
      </w:r>
    </w:p>
    <w:p w:rsidR="00147E3D" w:rsidRPr="00685E21" w:rsidRDefault="00147E3D" w:rsidP="00147E3D">
      <w:pPr>
        <w:pStyle w:val="NormalWeb"/>
        <w:ind w:firstLine="709"/>
      </w:pPr>
      <w:r w:rsidRPr="00685E21">
        <w:t xml:space="preserve">  </w:t>
      </w:r>
    </w:p>
    <w:p w:rsidR="00147E3D" w:rsidRPr="00C06C0E" w:rsidRDefault="00147E3D" w:rsidP="00147E3D">
      <w:pPr>
        <w:pStyle w:val="cb"/>
        <w:rPr>
          <w:rFonts w:eastAsia="Times New Roman"/>
        </w:rPr>
      </w:pPr>
      <w:r w:rsidRPr="00C06C0E">
        <w:rPr>
          <w:rFonts w:eastAsia="Times New Roman"/>
        </w:rPr>
        <w:t>LISTA</w:t>
      </w:r>
    </w:p>
    <w:p w:rsidR="00147E3D" w:rsidRPr="00C06C0E" w:rsidRDefault="00147E3D" w:rsidP="00147E3D">
      <w:pPr>
        <w:pStyle w:val="cb"/>
        <w:rPr>
          <w:rFonts w:eastAsia="Times New Roman"/>
        </w:rPr>
      </w:pPr>
      <w:r w:rsidRPr="00C06C0E">
        <w:rPr>
          <w:rFonts w:eastAsia="Times New Roman"/>
        </w:rPr>
        <w:t>cetăţenilor cărora li se stabilesc indemnizaţii unice pentru construcţia</w:t>
      </w:r>
    </w:p>
    <w:p w:rsidR="00147E3D" w:rsidRPr="00C06C0E" w:rsidRDefault="00147E3D" w:rsidP="00147E3D">
      <w:pPr>
        <w:pStyle w:val="cb"/>
        <w:rPr>
          <w:rFonts w:eastAsia="Times New Roman"/>
        </w:rPr>
      </w:pPr>
      <w:r w:rsidRPr="00C06C0E">
        <w:rPr>
          <w:rFonts w:eastAsia="Times New Roman"/>
        </w:rPr>
        <w:t xml:space="preserve">unei case individuale ori unei locuinţe cooperatiste sau </w:t>
      </w:r>
      <w:r>
        <w:rPr>
          <w:rFonts w:eastAsia="Times New Roman"/>
        </w:rPr>
        <w:t xml:space="preserve">pentru </w:t>
      </w:r>
      <w:r w:rsidRPr="00C06C0E">
        <w:rPr>
          <w:rFonts w:eastAsia="Times New Roman"/>
        </w:rPr>
        <w:t>procurarea</w:t>
      </w:r>
    </w:p>
    <w:p w:rsidR="00147E3D" w:rsidRDefault="00147E3D" w:rsidP="00147E3D">
      <w:pPr>
        <w:pStyle w:val="cb"/>
        <w:rPr>
          <w:rFonts w:eastAsia="Times New Roman"/>
        </w:rPr>
      </w:pPr>
      <w:r w:rsidRPr="00C06C0E">
        <w:rPr>
          <w:rFonts w:eastAsia="Times New Roman"/>
        </w:rPr>
        <w:t xml:space="preserve">spaţiului locativ, sau </w:t>
      </w:r>
      <w:r>
        <w:rPr>
          <w:rFonts w:eastAsia="Times New Roman"/>
        </w:rPr>
        <w:t xml:space="preserve">pentru </w:t>
      </w:r>
      <w:r w:rsidRPr="00C06C0E">
        <w:rPr>
          <w:rFonts w:eastAsia="Times New Roman"/>
          <w:shd w:val="clear" w:color="auto" w:fill="FFFFFF"/>
        </w:rPr>
        <w:t>restaurarea</w:t>
      </w:r>
      <w:r w:rsidRPr="00C06C0E">
        <w:rPr>
          <w:rFonts w:eastAsia="Times New Roman"/>
        </w:rPr>
        <w:t xml:space="preserve"> caselor vechi, care nu deţin scrisori </w:t>
      </w:r>
    </w:p>
    <w:p w:rsidR="00147E3D" w:rsidRPr="00C06C0E" w:rsidRDefault="00147E3D" w:rsidP="00147E3D">
      <w:pPr>
        <w:pStyle w:val="cb"/>
        <w:rPr>
          <w:rFonts w:eastAsia="Times New Roman"/>
        </w:rPr>
      </w:pPr>
      <w:r w:rsidRPr="00C06C0E">
        <w:rPr>
          <w:rFonts w:eastAsia="Times New Roman"/>
        </w:rPr>
        <w:t>de garanţie eliberate de autorităţile administraţiei publice locale</w:t>
      </w:r>
    </w:p>
    <w:p w:rsidR="00147E3D" w:rsidRPr="00685E21" w:rsidRDefault="00147E3D" w:rsidP="00147E3D">
      <w:pPr>
        <w:pStyle w:val="cb"/>
        <w:tabs>
          <w:tab w:val="left" w:pos="1397"/>
        </w:tabs>
        <w:ind w:firstLine="709"/>
        <w:rPr>
          <w:rFonts w:eastAsia="Times New Roman"/>
          <w:b w:val="0"/>
        </w:rPr>
      </w:pPr>
      <w:r w:rsidRPr="00233C43">
        <w:rPr>
          <w:rFonts w:eastAsia="Times New Roman"/>
        </w:rPr>
        <w:t xml:space="preserve">pe </w:t>
      </w:r>
      <w:r w:rsidRPr="00685E21">
        <w:rPr>
          <w:rFonts w:eastAsia="Times New Roman"/>
          <w:b w:val="0"/>
        </w:rPr>
        <w:t>_____________________________________</w:t>
      </w:r>
    </w:p>
    <w:p w:rsidR="00147E3D" w:rsidRPr="00685E21" w:rsidRDefault="00147E3D" w:rsidP="00147E3D">
      <w:pPr>
        <w:pStyle w:val="cn"/>
        <w:ind w:firstLine="709"/>
        <w:rPr>
          <w:rFonts w:eastAsia="Times New Roman"/>
        </w:rPr>
      </w:pPr>
      <w:r w:rsidRPr="00685E21">
        <w:rPr>
          <w:rFonts w:eastAsia="Times New Roman"/>
          <w:vertAlign w:val="subscript"/>
        </w:rPr>
        <w:t>(unitatea administrativ-teritorială)</w:t>
      </w:r>
    </w:p>
    <w:p w:rsidR="00147E3D" w:rsidRPr="008955A9" w:rsidRDefault="00147E3D" w:rsidP="00147E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53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903"/>
        <w:gridCol w:w="1104"/>
        <w:gridCol w:w="1138"/>
        <w:gridCol w:w="1138"/>
        <w:gridCol w:w="1556"/>
        <w:gridCol w:w="918"/>
        <w:gridCol w:w="1136"/>
        <w:gridCol w:w="1138"/>
        <w:gridCol w:w="756"/>
      </w:tblGrid>
      <w:tr w:rsidR="00147E3D" w:rsidTr="00411E50">
        <w:tc>
          <w:tcPr>
            <w:tcW w:w="364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Nr.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d/o</w:t>
            </w:r>
          </w:p>
        </w:tc>
        <w:tc>
          <w:tcPr>
            <w:tcW w:w="428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Numele, prenu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mele</w:t>
            </w:r>
          </w:p>
        </w:tc>
        <w:tc>
          <w:tcPr>
            <w:tcW w:w="523" w:type="pct"/>
          </w:tcPr>
          <w:p w:rsidR="00147E3D" w:rsidRDefault="00147E3D" w:rsidP="00411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sz w:val="18"/>
                <w:szCs w:val="18"/>
              </w:rPr>
              <w:t>Codul de identita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sz w:val="18"/>
                <w:szCs w:val="18"/>
              </w:rPr>
              <w:t>te 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FC5AF2">
              <w:rPr>
                <w:rFonts w:ascii="Times New Roman" w:hAnsi="Times New Roman"/>
                <w:b/>
                <w:sz w:val="18"/>
                <w:szCs w:val="18"/>
              </w:rPr>
              <w:t xml:space="preserve"> beneficia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sz w:val="18"/>
                <w:szCs w:val="18"/>
              </w:rPr>
              <w:t>rului (IDNP)</w:t>
            </w:r>
          </w:p>
        </w:tc>
        <w:tc>
          <w:tcPr>
            <w:tcW w:w="539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Domiciliul</w:t>
            </w:r>
          </w:p>
        </w:tc>
        <w:tc>
          <w:tcPr>
            <w:tcW w:w="539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Categoria persoane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lor</w:t>
            </w:r>
          </w:p>
        </w:tc>
        <w:tc>
          <w:tcPr>
            <w:tcW w:w="737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Suma indemnizaţiei unice solicitate de către beneficiar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(mii lei)</w:t>
            </w:r>
          </w:p>
        </w:tc>
        <w:tc>
          <w:tcPr>
            <w:tcW w:w="435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Destina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ţia indem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nizaţiei unice</w:t>
            </w:r>
          </w:p>
        </w:tc>
        <w:tc>
          <w:tcPr>
            <w:tcW w:w="538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Numărul şi data deciziei Comisiei speciale</w:t>
            </w:r>
          </w:p>
        </w:tc>
        <w:tc>
          <w:tcPr>
            <w:tcW w:w="539" w:type="pct"/>
          </w:tcPr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Suma indemniza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ţiei unice stabilită spre achitare</w:t>
            </w:r>
          </w:p>
        </w:tc>
        <w:tc>
          <w:tcPr>
            <w:tcW w:w="359" w:type="pct"/>
          </w:tcPr>
          <w:p w:rsidR="00147E3D" w:rsidRDefault="00147E3D" w:rsidP="00411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Men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147E3D" w:rsidRPr="00FC5AF2" w:rsidRDefault="00147E3D" w:rsidP="00411E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AF2">
              <w:rPr>
                <w:rFonts w:ascii="Times New Roman" w:hAnsi="Times New Roman"/>
                <w:b/>
                <w:bCs/>
                <w:sz w:val="18"/>
                <w:szCs w:val="18"/>
              </w:rPr>
              <w:t>ţiun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</w:tr>
      <w:tr w:rsidR="00147E3D" w:rsidTr="00411E50">
        <w:tc>
          <w:tcPr>
            <w:tcW w:w="364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2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23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737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35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359" w:type="pct"/>
          </w:tcPr>
          <w:p w:rsidR="00147E3D" w:rsidRDefault="00147E3D" w:rsidP="00411E50">
            <w:pPr>
              <w:spacing w:after="0" w:line="240" w:lineRule="auto"/>
            </w:pPr>
          </w:p>
        </w:tc>
      </w:tr>
      <w:tr w:rsidR="00147E3D" w:rsidTr="00411E50">
        <w:tc>
          <w:tcPr>
            <w:tcW w:w="364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2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23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737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35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359" w:type="pct"/>
          </w:tcPr>
          <w:p w:rsidR="00147E3D" w:rsidRDefault="00147E3D" w:rsidP="00411E50">
            <w:pPr>
              <w:spacing w:after="0" w:line="240" w:lineRule="auto"/>
            </w:pPr>
          </w:p>
        </w:tc>
      </w:tr>
      <w:tr w:rsidR="00147E3D" w:rsidTr="00411E50">
        <w:tc>
          <w:tcPr>
            <w:tcW w:w="364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2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23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737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35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359" w:type="pct"/>
          </w:tcPr>
          <w:p w:rsidR="00147E3D" w:rsidRDefault="00147E3D" w:rsidP="00411E50">
            <w:pPr>
              <w:spacing w:after="0" w:line="240" w:lineRule="auto"/>
            </w:pPr>
          </w:p>
        </w:tc>
      </w:tr>
      <w:tr w:rsidR="00147E3D" w:rsidTr="00411E50">
        <w:tc>
          <w:tcPr>
            <w:tcW w:w="364" w:type="pct"/>
          </w:tcPr>
          <w:p w:rsidR="00147E3D" w:rsidRPr="00233C43" w:rsidRDefault="00147E3D" w:rsidP="00411E50">
            <w:pPr>
              <w:spacing w:after="0" w:line="240" w:lineRule="auto"/>
              <w:rPr>
                <w:b/>
              </w:rPr>
            </w:pPr>
            <w:r w:rsidRPr="00233C43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42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23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737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435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8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539" w:type="pct"/>
          </w:tcPr>
          <w:p w:rsidR="00147E3D" w:rsidRDefault="00147E3D" w:rsidP="00411E50">
            <w:pPr>
              <w:spacing w:after="0" w:line="240" w:lineRule="auto"/>
            </w:pPr>
          </w:p>
        </w:tc>
        <w:tc>
          <w:tcPr>
            <w:tcW w:w="359" w:type="pct"/>
          </w:tcPr>
          <w:p w:rsidR="00147E3D" w:rsidRDefault="00147E3D" w:rsidP="00411E50">
            <w:pPr>
              <w:spacing w:after="0" w:line="240" w:lineRule="auto"/>
            </w:pPr>
          </w:p>
        </w:tc>
      </w:tr>
    </w:tbl>
    <w:p w:rsidR="00147E3D" w:rsidRDefault="00147E3D" w:rsidP="00147E3D"/>
    <w:p w:rsidR="00147E3D" w:rsidRPr="008955A9" w:rsidRDefault="00147E3D" w:rsidP="00147E3D">
      <w:pPr>
        <w:pStyle w:val="NormalWeb"/>
        <w:ind w:firstLine="709"/>
        <w:rPr>
          <w:sz w:val="28"/>
          <w:szCs w:val="28"/>
        </w:rPr>
      </w:pPr>
    </w:p>
    <w:p w:rsidR="00147E3D" w:rsidRPr="008955A9" w:rsidRDefault="00147E3D" w:rsidP="00147E3D">
      <w:pPr>
        <w:pStyle w:val="NormalWeb"/>
        <w:ind w:firstLine="0"/>
        <w:rPr>
          <w:sz w:val="28"/>
          <w:szCs w:val="28"/>
        </w:rPr>
      </w:pPr>
      <w:r w:rsidRPr="00233C43">
        <w:t>Preşedintele Comisiei</w:t>
      </w:r>
      <w:r w:rsidRPr="008955A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147E3D" w:rsidRDefault="00147E3D" w:rsidP="00147E3D">
      <w:pPr>
        <w:pStyle w:val="NormalWeb"/>
        <w:ind w:firstLine="0"/>
      </w:pPr>
    </w:p>
    <w:p w:rsidR="00147E3D" w:rsidRPr="008955A9" w:rsidRDefault="00147E3D" w:rsidP="00147E3D">
      <w:pPr>
        <w:pStyle w:val="NormalWeb"/>
        <w:ind w:firstLine="0"/>
        <w:rPr>
          <w:sz w:val="28"/>
          <w:szCs w:val="28"/>
        </w:rPr>
      </w:pPr>
      <w:r w:rsidRPr="00233C43">
        <w:t>Şeful Direcţiei finanţe</w:t>
      </w:r>
      <w:r w:rsidRPr="00233C43">
        <w:rPr>
          <w:rFonts w:eastAsia="Times New Roman"/>
        </w:rPr>
        <w:t xml:space="preserve"> </w:t>
      </w:r>
      <w:r w:rsidRPr="00233C43">
        <w:t>(secretarul Comisiei)</w:t>
      </w:r>
      <w:r w:rsidRPr="008955A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 w:rsidRPr="008955A9">
        <w:rPr>
          <w:sz w:val="28"/>
          <w:szCs w:val="28"/>
        </w:rPr>
        <w:t>.</w:t>
      </w:r>
    </w:p>
    <w:p w:rsidR="00147E3D" w:rsidRDefault="00147E3D" w:rsidP="00147E3D">
      <w:pPr>
        <w:pStyle w:val="NormalWeb"/>
        <w:ind w:firstLine="709"/>
        <w:rPr>
          <w:sz w:val="28"/>
          <w:szCs w:val="28"/>
        </w:rPr>
      </w:pPr>
    </w:p>
    <w:p w:rsidR="00391EC8" w:rsidRDefault="00391EC8"/>
    <w:sectPr w:rsidR="00391EC8" w:rsidSect="00147E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E3D"/>
    <w:rsid w:val="00147E3D"/>
    <w:rsid w:val="00391EC8"/>
    <w:rsid w:val="0040412A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3D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E3D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147E3D"/>
    <w:pPr>
      <w:ind w:left="720"/>
    </w:pPr>
  </w:style>
  <w:style w:type="paragraph" w:customStyle="1" w:styleId="cn">
    <w:name w:val="cn"/>
    <w:basedOn w:val="Normal"/>
    <w:rsid w:val="00147E3D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147E3D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147E3D"/>
    <w:pPr>
      <w:spacing w:after="0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harChar">
    <w:name w:val="Знак Знак Char Char Знак"/>
    <w:basedOn w:val="Normal"/>
    <w:rsid w:val="00147E3D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2013-12-20T10:38:00Z</dcterms:created>
  <dcterms:modified xsi:type="dcterms:W3CDTF">2013-12-26T10:09:00Z</dcterms:modified>
</cp:coreProperties>
</file>