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898"/>
        <w:gridCol w:w="4278"/>
      </w:tblGrid>
      <w:tr w:rsidR="00E617F4" w:rsidRPr="00E617F4" w:rsidTr="00D02A40">
        <w:tc>
          <w:tcPr>
            <w:tcW w:w="9747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shd w:val="clear" w:color="auto" w:fill="auto"/>
          </w:tcPr>
          <w:p w:rsidR="00E617F4" w:rsidRPr="00E617F4" w:rsidRDefault="00E617F4" w:rsidP="00E6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</w:t>
            </w:r>
            <w:proofErr w:type="spellEnd"/>
          </w:p>
        </w:tc>
      </w:tr>
      <w:tr w:rsidR="00E617F4" w:rsidRPr="00E617F4" w:rsidTr="00D02A40">
        <w:tc>
          <w:tcPr>
            <w:tcW w:w="9747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shd w:val="clear" w:color="auto" w:fill="auto"/>
          </w:tcPr>
          <w:p w:rsidR="00E617F4" w:rsidRPr="00E617F4" w:rsidRDefault="00E617F4" w:rsidP="00E6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E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Национальной</w:t>
            </w:r>
            <w:proofErr w:type="spellEnd"/>
            <w:r w:rsidRPr="00E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программе</w:t>
            </w:r>
            <w:proofErr w:type="spellEnd"/>
            <w:r w:rsidRPr="00E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17F4" w:rsidRPr="00E617F4" w:rsidTr="00D02A40">
        <w:tc>
          <w:tcPr>
            <w:tcW w:w="9747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shd w:val="clear" w:color="auto" w:fill="auto"/>
          </w:tcPr>
          <w:p w:rsidR="00E617F4" w:rsidRPr="00E617F4" w:rsidRDefault="00E617F4" w:rsidP="00E6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E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профилактике</w:t>
            </w:r>
            <w:proofErr w:type="spellEnd"/>
            <w:r w:rsidRPr="00E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контролю</w:t>
            </w:r>
            <w:proofErr w:type="spellEnd"/>
          </w:p>
        </w:tc>
      </w:tr>
      <w:tr w:rsidR="00E617F4" w:rsidRPr="00E617F4" w:rsidTr="00D02A40">
        <w:tc>
          <w:tcPr>
            <w:tcW w:w="9747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shd w:val="clear" w:color="auto" w:fill="auto"/>
          </w:tcPr>
          <w:p w:rsidR="00E617F4" w:rsidRPr="00E617F4" w:rsidRDefault="00E617F4" w:rsidP="00E6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сердечно-сосудистых</w:t>
            </w:r>
            <w:proofErr w:type="spellEnd"/>
            <w:r w:rsidRPr="00E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заболеваний</w:t>
            </w:r>
            <w:proofErr w:type="spellEnd"/>
            <w:r w:rsidRPr="00E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17F4" w:rsidRPr="00E617F4" w:rsidTr="00D02A40">
        <w:tc>
          <w:tcPr>
            <w:tcW w:w="9747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shd w:val="clear" w:color="auto" w:fill="auto"/>
          </w:tcPr>
          <w:p w:rsidR="00E617F4" w:rsidRPr="00E617F4" w:rsidRDefault="00E617F4" w:rsidP="00E6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E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2014-2020 </w:t>
            </w:r>
            <w:proofErr w:type="spellStart"/>
            <w:r w:rsidRPr="00E6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  <w:proofErr w:type="spellEnd"/>
          </w:p>
        </w:tc>
      </w:tr>
    </w:tbl>
    <w:p w:rsidR="00E617F4" w:rsidRPr="00E617F4" w:rsidRDefault="00E617F4" w:rsidP="00E617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17F4" w:rsidRPr="00E617F4" w:rsidRDefault="00E617F4" w:rsidP="00E617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17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БЮДЖЕТ </w:t>
      </w:r>
    </w:p>
    <w:p w:rsidR="00E617F4" w:rsidRPr="00E617F4" w:rsidRDefault="00E617F4" w:rsidP="00E617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E617F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Национальной программы по профилактике и контролю сердечно-сосудистых заболеваний </w:t>
      </w:r>
    </w:p>
    <w:p w:rsidR="00E617F4" w:rsidRPr="00E617F4" w:rsidRDefault="00E617F4" w:rsidP="00E617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proofErr w:type="gramStart"/>
      <w:r w:rsidRPr="00E617F4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proofErr w:type="spellEnd"/>
      <w:proofErr w:type="gramEnd"/>
      <w:r w:rsidRPr="00E617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2014-2020 </w:t>
      </w:r>
      <w:proofErr w:type="spellStart"/>
      <w:r w:rsidRPr="00E617F4">
        <w:rPr>
          <w:rFonts w:ascii="Times New Roman" w:eastAsia="Times New Roman" w:hAnsi="Times New Roman"/>
          <w:b/>
          <w:sz w:val="24"/>
          <w:szCs w:val="24"/>
          <w:lang w:eastAsia="ru-RU"/>
        </w:rPr>
        <w:t>годы</w:t>
      </w:r>
      <w:proofErr w:type="spellEnd"/>
      <w:r w:rsidRPr="00E617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proofErr w:type="spellStart"/>
      <w:r w:rsidRPr="00E617F4">
        <w:rPr>
          <w:rFonts w:ascii="Times New Roman" w:eastAsia="Times New Roman" w:hAnsi="Times New Roman"/>
          <w:b/>
          <w:sz w:val="24"/>
          <w:szCs w:val="24"/>
          <w:lang w:eastAsia="ru-RU"/>
        </w:rPr>
        <w:t>тыс</w:t>
      </w:r>
      <w:proofErr w:type="spellEnd"/>
      <w:r w:rsidRPr="00E617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proofErr w:type="spellStart"/>
      <w:r w:rsidRPr="00E617F4">
        <w:rPr>
          <w:rFonts w:ascii="Times New Roman" w:eastAsia="Times New Roman" w:hAnsi="Times New Roman"/>
          <w:b/>
          <w:sz w:val="24"/>
          <w:szCs w:val="24"/>
          <w:lang w:eastAsia="ru-RU"/>
        </w:rPr>
        <w:t>леев</w:t>
      </w:r>
      <w:proofErr w:type="spellEnd"/>
      <w:r w:rsidRPr="00E617F4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E617F4" w:rsidRDefault="00E617F4" w:rsidP="00E617F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593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709"/>
        <w:gridCol w:w="709"/>
        <w:gridCol w:w="709"/>
        <w:gridCol w:w="850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567"/>
      </w:tblGrid>
      <w:tr w:rsidR="00E617F4" w:rsidRPr="00E617F4" w:rsidTr="00E617F4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tabs>
                <w:tab w:val="left" w:pos="145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  <w:p w:rsidR="00E617F4" w:rsidRPr="00E24A87" w:rsidRDefault="00E617F4" w:rsidP="00D02A40">
            <w:pPr>
              <w:tabs>
                <w:tab w:val="left" w:pos="145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tabs>
                <w:tab w:val="left" w:pos="145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Стратегия</w:t>
            </w:r>
            <w:proofErr w:type="spellEnd"/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мероприятия</w:t>
            </w:r>
            <w:proofErr w:type="spellEnd"/>
          </w:p>
        </w:tc>
        <w:tc>
          <w:tcPr>
            <w:tcW w:w="7088" w:type="dxa"/>
            <w:gridSpan w:val="9"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Годы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Общий</w:t>
            </w:r>
            <w:proofErr w:type="spellEnd"/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</w:t>
            </w:r>
            <w:proofErr w:type="spellEnd"/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  <w:hideMark/>
          </w:tcPr>
          <w:p w:rsidR="00E617F4" w:rsidRPr="00E617F4" w:rsidRDefault="00E617F4" w:rsidP="00D02A40">
            <w:pPr>
              <w:tabs>
                <w:tab w:val="left" w:pos="1202"/>
                <w:tab w:val="left" w:pos="145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Финансирование из фондов обязательного медицинского страхования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vAlign w:val="center"/>
            <w:hideMark/>
          </w:tcPr>
          <w:p w:rsidR="00E617F4" w:rsidRPr="00E617F4" w:rsidRDefault="00E617F4" w:rsidP="00D02A40">
            <w:pPr>
              <w:tabs>
                <w:tab w:val="left" w:pos="145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Проекты и гранты, которые могут быть представлены для финансирования</w:t>
            </w:r>
          </w:p>
        </w:tc>
      </w:tr>
      <w:tr w:rsidR="00E617F4" w:rsidRPr="00E24A87" w:rsidTr="00E617F4">
        <w:trPr>
          <w:trHeight w:val="19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tabs>
                <w:tab w:val="left" w:pos="1202"/>
                <w:tab w:val="left" w:pos="145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tabs>
                <w:tab w:val="left" w:pos="145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Всего</w:t>
            </w:r>
            <w:proofErr w:type="spellEnd"/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</w:t>
            </w:r>
            <w:proofErr w:type="spellEnd"/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2014-2016 </w:t>
            </w:r>
            <w:proofErr w:type="spellStart"/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годы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tabs>
                <w:tab w:val="left" w:pos="145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617F4" w:rsidRPr="00E24A87" w:rsidRDefault="00E617F4" w:rsidP="00D02A40">
            <w:pPr>
              <w:tabs>
                <w:tab w:val="left" w:pos="145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Всего</w:t>
            </w:r>
            <w:proofErr w:type="spellEnd"/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</w:t>
            </w:r>
            <w:proofErr w:type="spellEnd"/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2017-2020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годы</w:t>
            </w:r>
            <w:proofErr w:type="spellEnd"/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Всего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том</w:t>
            </w:r>
            <w:proofErr w:type="spellEnd"/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числе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Всего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том</w:t>
            </w:r>
            <w:proofErr w:type="spellEnd"/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числе</w:t>
            </w:r>
            <w:proofErr w:type="spellEnd"/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617F4" w:rsidRPr="00E24A87" w:rsidRDefault="00E617F4" w:rsidP="00E617F4">
            <w:pPr>
              <w:spacing w:after="0" w:line="240" w:lineRule="auto"/>
              <w:ind w:hanging="25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</w:t>
            </w: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2014-2016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годы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2017-2020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годы</w:t>
            </w:r>
            <w:proofErr w:type="spellEnd"/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2014-2016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годы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2017-2020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годы</w:t>
            </w:r>
            <w:proofErr w:type="spellEnd"/>
          </w:p>
        </w:tc>
      </w:tr>
    </w:tbl>
    <w:p w:rsidR="00E617F4" w:rsidRPr="009E1AE9" w:rsidRDefault="00E617F4" w:rsidP="00E617F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593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709"/>
        <w:gridCol w:w="709"/>
        <w:gridCol w:w="709"/>
        <w:gridCol w:w="850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142"/>
        <w:gridCol w:w="425"/>
      </w:tblGrid>
      <w:tr w:rsidR="00E617F4" w:rsidRPr="00E24A87" w:rsidTr="00E617F4">
        <w:trPr>
          <w:trHeight w:val="20"/>
          <w:tblHeader/>
        </w:trPr>
        <w:tc>
          <w:tcPr>
            <w:tcW w:w="567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18</w:t>
            </w:r>
          </w:p>
        </w:tc>
      </w:tr>
      <w:tr w:rsidR="00E617F4" w:rsidRPr="00E617F4" w:rsidTr="00E617F4">
        <w:trPr>
          <w:gridAfter w:val="1"/>
          <w:wAfter w:w="425" w:type="dxa"/>
          <w:trHeight w:val="20"/>
        </w:trPr>
        <w:tc>
          <w:tcPr>
            <w:tcW w:w="15168" w:type="dxa"/>
            <w:gridSpan w:val="18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1. Снижение риска появления сердечно-сосудистых заболеваний и повышение уровня их раннего выявления</w:t>
            </w: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Повышение общего уровня знаний населения о факторах риска и методах профилактики сердечно-сосудистых заболеваний на 20% до 2020 года </w:t>
            </w:r>
          </w:p>
        </w:tc>
        <w:tc>
          <w:tcPr>
            <w:tcW w:w="709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1.1.1. Изучение степени информированности о факторе риска сердечно-сосудистых заболеваний в репрезентативных группах, отобранных из рядов населения, у лиц с первичным обнаружением сердечно-сосудистых заболеваний в текущем году, а также группами медицинских работников территориальных учреждений первичной медицинской помощи 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39.3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39.3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39.3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117.9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39.3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39.3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39.3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39.3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157.2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275.1</w:t>
            </w:r>
          </w:p>
        </w:tc>
        <w:tc>
          <w:tcPr>
            <w:tcW w:w="851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275.1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117.9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157.2</w:t>
            </w: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1.1.2. </w:t>
            </w:r>
            <w:proofErr w:type="spellStart"/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Разраб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информационных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материалов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519.0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532.0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1 051.0</w:t>
            </w:r>
          </w:p>
        </w:tc>
        <w:tc>
          <w:tcPr>
            <w:tcW w:w="851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1 051.0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519.0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532.0</w:t>
            </w: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1.1.3. Проведение мероприятий в рамках акций «Всемирный день сердца»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27.7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27.7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27.7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83.1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27.7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27.7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27.7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27.7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110.8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193.9</w:t>
            </w:r>
          </w:p>
        </w:tc>
        <w:tc>
          <w:tcPr>
            <w:tcW w:w="851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193.9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83.1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110.8</w:t>
            </w: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E617F4" w:rsidRPr="00E617F4" w:rsidRDefault="00E617F4" w:rsidP="00D02A4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617F4">
              <w:rPr>
                <w:rFonts w:ascii="Times New Roman" w:hAnsi="Times New Roman"/>
                <w:sz w:val="16"/>
                <w:szCs w:val="16"/>
                <w:lang w:val="ru-RU"/>
              </w:rPr>
              <w:t>Повышение уровня знаний медицинского персонала в области первичной профилактики, ранней диагностики и клиники сердечно-сосудистых заболеваний, существенно воздействующих на продолжительность жизни взрослых и детей, на 80%.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2087.0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2087.0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2087.0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62611.0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2087.0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2087.0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2087.0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2087.0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8348.0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14609.0</w:t>
            </w:r>
          </w:p>
        </w:tc>
        <w:tc>
          <w:tcPr>
            <w:tcW w:w="851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14609.0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62611.0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83488.0</w:t>
            </w:r>
          </w:p>
        </w:tc>
      </w:tr>
      <w:tr w:rsidR="00E617F4" w:rsidRPr="00E617F4" w:rsidTr="00E617F4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E617F4" w:rsidRPr="00E617F4" w:rsidRDefault="00E617F4" w:rsidP="00D02A4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617F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Внедрение единой модели оценки индивидуального сердечно-сосудистого риска путем применения диаграммы риска </w:t>
            </w:r>
            <w:proofErr w:type="spellStart"/>
            <w:r w:rsidRPr="00E24A87">
              <w:rPr>
                <w:rFonts w:ascii="Times New Roman" w:hAnsi="Times New Roman"/>
                <w:sz w:val="16"/>
                <w:szCs w:val="16"/>
              </w:rPr>
              <w:t>HeartScore</w:t>
            </w:r>
            <w:proofErr w:type="spellEnd"/>
            <w:r w:rsidRPr="00E617F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для европейских стран с высоким сердечно-сосудистым риском от 80 до 100% лиц, зарегистрированных в списках семейных врачей</w:t>
            </w:r>
          </w:p>
        </w:tc>
        <w:tc>
          <w:tcPr>
            <w:tcW w:w="709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E617F4" w:rsidRPr="00E617F4" w:rsidRDefault="00E617F4" w:rsidP="00D02A4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617F4">
              <w:rPr>
                <w:rFonts w:ascii="Times New Roman" w:hAnsi="Times New Roman"/>
                <w:sz w:val="16"/>
                <w:szCs w:val="16"/>
                <w:lang w:val="ru-RU"/>
              </w:rPr>
              <w:t>1.3.1. Соблюдение институционального плана по скринингу отобранной части населения  (≥ 40 лет), разработанного в соответствии со стратегией, утвержденной Министерством здравоохранения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13054,30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13054,30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13054,30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39162,9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13054,30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13054,30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13054,30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13054,30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52217,2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91380,1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41400.0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17.700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23700.0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49980,1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21462,9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28517,2</w:t>
            </w:r>
          </w:p>
        </w:tc>
      </w:tr>
      <w:tr w:rsidR="00E617F4" w:rsidRPr="00E617F4" w:rsidTr="00E617F4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  <w:t>В том числе из ФОМС</w:t>
            </w:r>
          </w:p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  <w:t>5900.0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  <w:t>В том числе из ФОМС</w:t>
            </w:r>
          </w:p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  <w:t>5900.0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  <w:t>В том числе из ФОМС</w:t>
            </w:r>
          </w:p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  <w:t>5900.0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  <w:t>В том числе из ФОМС</w:t>
            </w:r>
          </w:p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  <w:t>5900.0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  <w:t>В том числе из ФОМС</w:t>
            </w:r>
          </w:p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  <w:t>5900.0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  <w:t>В том числе из ФОМС</w:t>
            </w:r>
          </w:p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  <w:t>5900.0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  <w:t>В том числе из ФОМС</w:t>
            </w:r>
          </w:p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  <w:t>5900.0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  <w:t>В том числе из ФОМС</w:t>
            </w:r>
          </w:p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  <w:t>5900.0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  <w:t>В том числе из ФОМС</w:t>
            </w:r>
          </w:p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  <w:t>5900.0</w:t>
            </w:r>
          </w:p>
        </w:tc>
        <w:tc>
          <w:tcPr>
            <w:tcW w:w="850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</w:pP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1.3.2. Определение заболеваемости и распространенности восьми сердечно-сосудистых факторов риска на уровне населения двух возрастных категорий:</w:t>
            </w:r>
          </w:p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1) 3-18 </w:t>
            </w:r>
            <w:proofErr w:type="spellStart"/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лет</w:t>
            </w:r>
            <w:proofErr w:type="spellEnd"/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; 2) 19-65 </w:t>
            </w:r>
            <w:proofErr w:type="spellStart"/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лет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28 608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28 608.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28 608.0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85 824.0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28 608.0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28 608.0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26 675.0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26 675.0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110 566.0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196 390.0</w:t>
            </w:r>
          </w:p>
        </w:tc>
        <w:tc>
          <w:tcPr>
            <w:tcW w:w="851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196 390.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85 824.0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110 566.0</w:t>
            </w: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617F4" w:rsidRPr="00E617F4" w:rsidRDefault="00E617F4" w:rsidP="00D02A4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617F4">
              <w:rPr>
                <w:rFonts w:ascii="Times New Roman" w:hAnsi="Times New Roman"/>
                <w:sz w:val="16"/>
                <w:szCs w:val="16"/>
                <w:lang w:val="ru-RU"/>
              </w:rPr>
              <w:t>1.3.3. Увеличение уровня обнаружения повышенного давления у взрослых до 30% и измерения артериального давления у всех детей, начиная с 3-х лет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0123DE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123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46 698.7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0123DE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123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46 698.7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0123DE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123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46 698.7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0123DE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0123D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140096,4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0123DE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123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75 923.3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0123DE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123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75 923.3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0123DE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123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75 923.3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0123DE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123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75 923.3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0123DE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0123D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303693.2</w:t>
            </w:r>
          </w:p>
        </w:tc>
        <w:tc>
          <w:tcPr>
            <w:tcW w:w="850" w:type="dxa"/>
            <w:shd w:val="clear" w:color="auto" w:fill="auto"/>
          </w:tcPr>
          <w:p w:rsidR="00E617F4" w:rsidRPr="000123DE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0123D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443789,6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0123DE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123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443789,6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0123DE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123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140096,4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0123DE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123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140096,4</w:t>
            </w:r>
          </w:p>
        </w:tc>
        <w:tc>
          <w:tcPr>
            <w:tcW w:w="850" w:type="dxa"/>
            <w:shd w:val="clear" w:color="auto" w:fill="auto"/>
          </w:tcPr>
          <w:p w:rsidR="00E617F4" w:rsidRPr="000123DE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7F4" w:rsidRPr="000123DE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617F4" w:rsidRPr="000123DE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1.3.4. Постепенное повышение уровня компенсации стоимости лекарств для постоянного и непрерывного лечения артериальной гипертензии</w:t>
            </w:r>
          </w:p>
        </w:tc>
        <w:tc>
          <w:tcPr>
            <w:tcW w:w="709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203 038.2</w:t>
            </w:r>
          </w:p>
        </w:tc>
        <w:tc>
          <w:tcPr>
            <w:tcW w:w="709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203 038.2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204 838,2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610 914.6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268 208,1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268 208,1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268 208,1 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268 208,1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1 072832,4</w:t>
            </w:r>
          </w:p>
        </w:tc>
        <w:tc>
          <w:tcPr>
            <w:tcW w:w="850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168947,0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176 056.9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75450.0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100606.9</w:t>
            </w:r>
          </w:p>
        </w:tc>
        <w:tc>
          <w:tcPr>
            <w:tcW w:w="850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1 505897</w:t>
            </w:r>
          </w:p>
        </w:tc>
        <w:tc>
          <w:tcPr>
            <w:tcW w:w="709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533664,6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972232,4</w:t>
            </w:r>
          </w:p>
        </w:tc>
      </w:tr>
      <w:tr w:rsidR="00E617F4" w:rsidRPr="00E617F4" w:rsidTr="00E617F4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  <w:t>В том числе из ФОМС 25150,0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  <w:t>В том числе из ФОМС 25150,0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  <w:t>В том числе из ФОМС 25150,0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  <w:t xml:space="preserve">В том числе из ФОМС </w:t>
            </w:r>
          </w:p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b/>
                <w:sz w:val="12"/>
                <w:szCs w:val="12"/>
                <w:lang w:val="ru-RU" w:eastAsia="ru-RU"/>
              </w:rPr>
              <w:t>75450.0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  <w:t>В том числе из ФОМС 25150,0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  <w:t xml:space="preserve">В том числе из ФОМС </w:t>
            </w:r>
          </w:p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  <w:t>25150,0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  <w:t xml:space="preserve">В том числе из ФОМС </w:t>
            </w:r>
          </w:p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  <w:t>25150,0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  <w:t xml:space="preserve">В том числе из ФОМС </w:t>
            </w:r>
          </w:p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  <w:t>25150,0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  <w:t xml:space="preserve">В том числе из ФОМС </w:t>
            </w:r>
          </w:p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b/>
                <w:sz w:val="12"/>
                <w:szCs w:val="12"/>
                <w:lang w:val="ru-RU" w:eastAsia="ru-RU"/>
              </w:rPr>
              <w:t>100600,0</w:t>
            </w:r>
          </w:p>
        </w:tc>
        <w:tc>
          <w:tcPr>
            <w:tcW w:w="850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ru-RU" w:eastAsia="ru-RU"/>
              </w:rPr>
            </w:pP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1.3.5. Увеличение уровня выявления дислипидемии у взрослых и детей до 15% от численности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12970,0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12970,0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12970,0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38910,0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18 158,0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18 158,0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18 158,0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18 158,0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72632,0</w:t>
            </w:r>
          </w:p>
        </w:tc>
        <w:tc>
          <w:tcPr>
            <w:tcW w:w="850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111542,0</w:t>
            </w:r>
          </w:p>
        </w:tc>
        <w:tc>
          <w:tcPr>
            <w:tcW w:w="851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111542,0</w:t>
            </w:r>
          </w:p>
        </w:tc>
        <w:tc>
          <w:tcPr>
            <w:tcW w:w="850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38910,0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72632,0</w:t>
            </w:r>
          </w:p>
        </w:tc>
        <w:tc>
          <w:tcPr>
            <w:tcW w:w="850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1.3.6. Компенсация стоимости лекарств для постоянного и непрерывного лечения дислипидемий (статинов) в средних дозах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81 842,0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81 842,0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81 842,0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  <w:t>245 526,0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136 403,3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136 403,3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136 403,3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136 403,3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  <w:t>545 613,2</w:t>
            </w:r>
          </w:p>
        </w:tc>
        <w:tc>
          <w:tcPr>
            <w:tcW w:w="850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  <w:t>791 139,2</w:t>
            </w:r>
          </w:p>
        </w:tc>
        <w:tc>
          <w:tcPr>
            <w:tcW w:w="851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  <w:t>791 139,2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245526,0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  <w:t>545613,2</w:t>
            </w: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Увеличение уровня выявления доклинических атеросклероти-ческих изменений центральных и периферических артерий у взрослых с высоким и очень высоким сердечно-сосудистым риском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1 800.0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3 600.0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1 800.0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1 800.0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2 200.0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2 200.0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8 000.0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11 600.0</w:t>
            </w:r>
          </w:p>
        </w:tc>
        <w:tc>
          <w:tcPr>
            <w:tcW w:w="851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11  600.0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3 600.0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8 000.0</w:t>
            </w:r>
          </w:p>
        </w:tc>
      </w:tr>
      <w:tr w:rsidR="00E617F4" w:rsidRPr="00E617F4" w:rsidTr="00E617F4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Повышение уровня раннего выявления врожденных пороков сердца </w:t>
            </w:r>
          </w:p>
        </w:tc>
        <w:tc>
          <w:tcPr>
            <w:tcW w:w="709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1.5.1. Обеспечение необходимых ресурсов и возможностей для диагностики и проведения эхокардиографии плода при сроке беременности от 18 до 20 недель и медико-генетического обследования беременных женщин из группы риска в соответствии с национальными программами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2 736.0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3 648.0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6 384.0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6 384.0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2 736.0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3 648.0</w:t>
            </w:r>
          </w:p>
        </w:tc>
        <w:tc>
          <w:tcPr>
            <w:tcW w:w="850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1.5.2. Обеспечение необходимых ресурсов и возможностей для проведения эхокардиографии с целью раннего выявления врожденных пороков сердца у новорожденных и младенцев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2 516.0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2 516.0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2 516.0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7 548.0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2 516.0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2 516.0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2 516.0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2 516.0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10 064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17 612.0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17 612.0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7 548.0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10 064</w:t>
            </w:r>
          </w:p>
        </w:tc>
        <w:tc>
          <w:tcPr>
            <w:tcW w:w="850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1.5.3. Проведение скрининговой эхографии у всех детей &lt;3 лет, описание эхографии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3 768.6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3 768.6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3 768.6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11 305.8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3 768.6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3 768.6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3 768.6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3 768.6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15 074.4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26 380.2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26 380.2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11 305.8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15 074.4</w:t>
            </w:r>
          </w:p>
        </w:tc>
        <w:tc>
          <w:tcPr>
            <w:tcW w:w="850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1.5.4. Измерение артериального давления у всех детей старше трех лет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2 511.4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2 511.4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2 511.4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7 534.2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2 511.4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2 511.4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2 511.4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2 511.4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10 045.6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17 579.8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17 579.8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7 534.2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10 045.6</w:t>
            </w:r>
          </w:p>
        </w:tc>
        <w:tc>
          <w:tcPr>
            <w:tcW w:w="850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617F4" w:rsidRPr="00D250BB" w:rsidTr="00E617F4">
        <w:trPr>
          <w:trHeight w:val="20"/>
        </w:trPr>
        <w:tc>
          <w:tcPr>
            <w:tcW w:w="567" w:type="dxa"/>
            <w:shd w:val="clear" w:color="auto" w:fill="auto"/>
          </w:tcPr>
          <w:p w:rsidR="00E617F4" w:rsidRPr="00D250BB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617F4" w:rsidRPr="00D250BB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50B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D250BB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  <w:r w:rsidRPr="00D250BB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  <w:t>399 046,3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D250BB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  <w:r w:rsidRPr="00D250BB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  <w:t>399 246,3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D250BB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  <w:r w:rsidRPr="00D250BB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  <w:t>400 046,3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D250BB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  <w:r w:rsidRPr="00D250BB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  <w:t>1 198 338,9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D250BB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  <w:r w:rsidRPr="00D250BB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  <w:t>554 150,0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D250BB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  <w:r w:rsidRPr="00D250BB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  <w:t>554 150,0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D250BB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  <w:r w:rsidRPr="00D250BB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  <w:t>552 617,0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D250BB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  <w:r w:rsidRPr="00D250BB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  <w:t>552 617,0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D250BB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  <w:r w:rsidRPr="00D250BB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  <w:t>2 213 534,0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D250BB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  <w:r w:rsidRPr="00D250BB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  <w:t>3 411 872,9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D250BB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  <w:r w:rsidRPr="00D250BB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  <w:t>840 737,6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D250BB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  <w:r w:rsidRPr="00D250BB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  <w:t>301 280,4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D250BB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  <w:r w:rsidRPr="00D250BB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  <w:t>539 457,2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D250BB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  <w:r w:rsidRPr="00D250BB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  <w:t>2 571 135,3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D250BB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  <w:r w:rsidRPr="00D250BB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  <w:t>897 058,5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  <w:r w:rsidRPr="00D250BB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  <w:t>1 674 076,8</w:t>
            </w:r>
          </w:p>
          <w:p w:rsid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  <w:p w:rsidR="00E617F4" w:rsidRPr="00D250BB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E617F4" w:rsidRPr="00E617F4" w:rsidTr="00E617F4">
        <w:trPr>
          <w:gridAfter w:val="1"/>
          <w:wAfter w:w="425" w:type="dxa"/>
          <w:trHeight w:val="20"/>
        </w:trPr>
        <w:tc>
          <w:tcPr>
            <w:tcW w:w="15168" w:type="dxa"/>
            <w:gridSpan w:val="18"/>
            <w:shd w:val="clear" w:color="auto" w:fill="auto"/>
            <w:hideMark/>
          </w:tcPr>
          <w:p w:rsidR="00E617F4" w:rsidRPr="00E24A87" w:rsidRDefault="00E617F4" w:rsidP="00D02A4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2. Модернизация специализированны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х методов диагностики и лечения</w:t>
            </w:r>
          </w:p>
        </w:tc>
      </w:tr>
      <w:tr w:rsidR="00E617F4" w:rsidRPr="00E617F4" w:rsidTr="00E617F4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410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Увеличение уровня выживаемости пациентов с </w:t>
            </w: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lastRenderedPageBreak/>
              <w:t>распространенными сердечно-сосудистыми заболеваниями на 30%  путем внедрения объективных методов диагностики и лечения сердечно-сосудистых заболеваний по жизненным показаниям</w:t>
            </w:r>
          </w:p>
        </w:tc>
        <w:tc>
          <w:tcPr>
            <w:tcW w:w="709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2.1.1. Специализированная диагностика и постоянное амбулаторное лечение с использованием частично компенсированных лекарств для ишемической кардиопатии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633 819.3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633 819.3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633 819.3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1 901 457.9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633 819.3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633 819.3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633 819.3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633 819.3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2 535 277.2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4 436 735.1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176 056.9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75 450.0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100 606.9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4 260 678.2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1826004.9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2434673.3</w:t>
            </w: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2.1.2. Специализированная диагностика и стоимость лечения в стационаре в срочных случаях повышенного давления и осложнений повышенного артериального давления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142 843,8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142 843,8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142 843,8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428 531,4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142 843,8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142 843,8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142 843,8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142 843,8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571 375,2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999 906,6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999 906,6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428 531,4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571 375,2</w:t>
            </w:r>
          </w:p>
        </w:tc>
        <w:tc>
          <w:tcPr>
            <w:tcW w:w="850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2.1.3. Специализированная диагностика, амбулаторное и стационарное лечение и реабилитация детей с сердечно-сосудистыми заболеваниями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25 841.0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25 841.0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25 841.0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77 523.0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25 841.0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25 841.0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25 841.0</w:t>
            </w:r>
          </w:p>
        </w:tc>
        <w:tc>
          <w:tcPr>
            <w:tcW w:w="850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25 841.0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103 364.0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180 887.0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161 106.8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69045.9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92060.9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19 780.2</w:t>
            </w:r>
          </w:p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Санаторная</w:t>
            </w:r>
            <w:proofErr w:type="spellEnd"/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реабилита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</w:t>
            </w: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ция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8477.1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11303.1</w:t>
            </w: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2.1.4. Специализированная диагностика стационарное и амбулаторное лечение с непрерывным применением частично компенсированных лекарств для сердечной недостаточности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139 497,1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139 497,1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139 497,1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418 491,3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139 497,1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139 497,1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139 497,1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139 497,1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557 988,4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976 479,7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173 716,9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74 450,1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99 266,8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802 762,8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344 041,2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458 751,6</w:t>
            </w: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2.1.5. Специализированная диагностика и непрерывное лечение хронических заболеваний периферических артерий и хронической венозной недостаточности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85 732.4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85 732.4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85 732.4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257 197.2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85 732.4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85 732.4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85 732.4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85 732.4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342 929.6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600 126.8</w:t>
            </w:r>
          </w:p>
        </w:tc>
        <w:tc>
          <w:tcPr>
            <w:tcW w:w="851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600 126.8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257 197.2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342 929.6</w:t>
            </w: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41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Открытие и оснащение отделений/подразделений интенсивной коронарной терапии во вновь созданных региональных больницах 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Диагностика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медикаментозное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лечение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стационаре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острого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инфаркта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миокарда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9 253.7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9 253.7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9 253.7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27761.1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9 253.7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9 253.7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9 253.7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9 253.7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37 014.8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64 775.9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64 775.9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27 761.1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37 014.8</w:t>
            </w:r>
          </w:p>
        </w:tc>
        <w:tc>
          <w:tcPr>
            <w:tcW w:w="850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Создание центра по контролю </w:t>
            </w: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lastRenderedPageBreak/>
              <w:t>за оральными антикоагулянтами на уровне республиканской системы здравоохранения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2 214,7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2 214,7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2 214,7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6644.1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2 214,7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2 214,7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2 214,7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2 214,7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8 858.8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15 625,2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15 625,2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6 766,4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8 858.8</w:t>
            </w:r>
          </w:p>
        </w:tc>
        <w:tc>
          <w:tcPr>
            <w:tcW w:w="850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2.</w:t>
            </w: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Развитие критериев достижений и контроля за качеством диагностики и лечения сердечно-сосудистых заболеваний.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инновационных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е-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кардиологической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помощи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851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200.0</w:t>
            </w:r>
          </w:p>
        </w:tc>
      </w:tr>
      <w:tr w:rsidR="00E617F4" w:rsidRPr="00E617F4" w:rsidTr="00E617F4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Расширение частно</w:t>
            </w:r>
            <w:r>
              <w:rPr>
                <w:rFonts w:ascii="Times New Roman" w:eastAsia="Times New Roman" w:hAnsi="Times New Roman"/>
                <w:sz w:val="16"/>
                <w:szCs w:val="16"/>
                <w:lang w:val="ro-RO" w:eastAsia="ru-RU"/>
              </w:rPr>
              <w:t>-</w:t>
            </w: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государственного партнерства в оказании специализированной кардиологической медицинской помощи</w:t>
            </w:r>
          </w:p>
        </w:tc>
        <w:tc>
          <w:tcPr>
            <w:tcW w:w="709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Закупка медицинского диагностического оборудования из средств фонда по развитию и модернизации 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9 000.0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12 000.0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21 000.0</w:t>
            </w:r>
          </w:p>
        </w:tc>
        <w:tc>
          <w:tcPr>
            <w:tcW w:w="851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21 000.0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9 000.0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12 000.0</w:t>
            </w: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397 675,0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397 552,7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397 552,7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1 192 780,4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397 552,7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397 552,7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397 552,7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397 552,7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1 590 210,8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2 782 991,2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1 746 710,2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748 660,1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998 050,1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1 036 281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444 120,3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592 160,7</w:t>
            </w:r>
          </w:p>
        </w:tc>
      </w:tr>
      <w:tr w:rsidR="00E617F4" w:rsidRPr="00E617F4" w:rsidTr="00E617F4">
        <w:trPr>
          <w:gridAfter w:val="1"/>
          <w:wAfter w:w="425" w:type="dxa"/>
          <w:trHeight w:val="20"/>
        </w:trPr>
        <w:tc>
          <w:tcPr>
            <w:tcW w:w="15168" w:type="dxa"/>
            <w:gridSpan w:val="18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617F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3</w:t>
            </w:r>
            <w:r w:rsidRPr="00E617F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r w:rsidRPr="00E617F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Развитие интервенционной кардиологии в области сосудов и клапанных пороков как составляющей части высокоспециализированной медицинской помощи</w:t>
            </w: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410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Повышение качества неотложной медицинской помощи путем внедрения современных методов диагностики и минимального инвазивного лечения при сосудистой патологии и при врожденных и приобретенных пороках сердца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34 790,2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34 790,2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34 790,2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104 370.6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34 790,2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34 790,2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34 790,2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34 790,2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139 160.8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243 531.4</w:t>
            </w:r>
          </w:p>
        </w:tc>
        <w:tc>
          <w:tcPr>
            <w:tcW w:w="851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243 531.4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104 370.6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139 160.8</w:t>
            </w: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2410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Разработка и реализация подпрограммы по трансдермальной ангиопластике при остром инфаркте миокарда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5 173,6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5 173,6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5 173,6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15 520.8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5 173,6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5 173,6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5 173,6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5 173,6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20 694.4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36 215.2</w:t>
            </w:r>
          </w:p>
        </w:tc>
        <w:tc>
          <w:tcPr>
            <w:tcW w:w="851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36 215.2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15 520.8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20 694.4</w:t>
            </w: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39 963.8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39 963.8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39 963.8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119 891.4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39 963.8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39 963.8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39 963.8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39 963.8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159 855.2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279 746.6</w:t>
            </w:r>
          </w:p>
        </w:tc>
        <w:tc>
          <w:tcPr>
            <w:tcW w:w="851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279 746.6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119 891.4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159 855.2</w:t>
            </w:r>
          </w:p>
          <w:p w:rsid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  <w:p w:rsid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  <w:p w:rsid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</w:tr>
      <w:tr w:rsidR="00E617F4" w:rsidRPr="00E617F4" w:rsidTr="00E617F4">
        <w:trPr>
          <w:gridAfter w:val="1"/>
          <w:wAfter w:w="425" w:type="dxa"/>
          <w:trHeight w:val="20"/>
        </w:trPr>
        <w:tc>
          <w:tcPr>
            <w:tcW w:w="15168" w:type="dxa"/>
            <w:gridSpan w:val="18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4. Оптимизация диагностики и лечения нарушений сердечного ритма</w:t>
            </w: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410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Внедрение передовых диагностических технологий  электрофизиологической диагностики на республиканском уровне </w:t>
            </w: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lastRenderedPageBreak/>
              <w:t>кардиологического медицинского обслуживания и при имплантации кардиоэлектростимуляторов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15 347,5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3 547,5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3 547,5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22 442.5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3 547,5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3 547,5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3 547,5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3 547,5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14 190.0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36 632.5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24 832.5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10642.5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14190.0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11 800.0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11 800.0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4.2.</w:t>
            </w:r>
          </w:p>
        </w:tc>
        <w:tc>
          <w:tcPr>
            <w:tcW w:w="2410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Ежегодное приобретение 500 имилантируемых устройств для электрофизиологического лечения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14 763,8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14 763,8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14 763,8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44 291.4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14 763,8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14 763,8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14 763,8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14 763,8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59 055.2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103 346.6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103 346.6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44 291.4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59 055.2</w:t>
            </w:r>
          </w:p>
        </w:tc>
        <w:tc>
          <w:tcPr>
            <w:tcW w:w="850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30 111.3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18 311.3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18 311.3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66 733.9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18 311.3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18 311.3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18 311.3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18 311.3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73 245.2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139 979.1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128179.1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54933.9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73245.2</w:t>
            </w:r>
          </w:p>
        </w:tc>
        <w:tc>
          <w:tcPr>
            <w:tcW w:w="850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E617F4" w:rsidRPr="00E617F4" w:rsidTr="00E617F4">
        <w:trPr>
          <w:gridAfter w:val="1"/>
          <w:wAfter w:w="425" w:type="dxa"/>
          <w:trHeight w:val="20"/>
        </w:trPr>
        <w:tc>
          <w:tcPr>
            <w:tcW w:w="15168" w:type="dxa"/>
            <w:gridSpan w:val="18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617F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5. </w:t>
            </w:r>
            <w:r w:rsidRPr="00E617F4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Укрепление и развитие службы сердечно-сосудистой хирургии для оказания специализированной помощи детям и взрослым</w:t>
            </w:r>
          </w:p>
        </w:tc>
      </w:tr>
      <w:tr w:rsidR="00E617F4" w:rsidRPr="00E24A87" w:rsidTr="00E617F4">
        <w:trPr>
          <w:gridAfter w:val="1"/>
          <w:wAfter w:w="425" w:type="dxa"/>
          <w:trHeight w:val="20"/>
        </w:trPr>
        <w:tc>
          <w:tcPr>
            <w:tcW w:w="567" w:type="dxa"/>
            <w:shd w:val="clear" w:color="auto" w:fill="auto"/>
          </w:tcPr>
          <w:p w:rsidR="00E617F4" w:rsidRPr="00E617F4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4601" w:type="dxa"/>
            <w:gridSpan w:val="17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Взрослая</w:t>
            </w:r>
            <w:proofErr w:type="spellEnd"/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сердечно-сосудистая</w:t>
            </w:r>
            <w:proofErr w:type="spellEnd"/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хирургия</w:t>
            </w:r>
            <w:proofErr w:type="spellEnd"/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:</w:t>
            </w: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410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Укрепление материально-технической базы службы кардиохирургии в целях проведения хирургических вмешательств с экстракорпоральным кровообращением у взрослых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22 852.0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27 204.8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38 864.0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88 920.8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38 864.0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38 864.0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38 864.0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38 864.0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155 456.0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244 376.8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244 376.8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88 920.8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155 456.0</w:t>
            </w:r>
          </w:p>
        </w:tc>
        <w:tc>
          <w:tcPr>
            <w:tcW w:w="850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2410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Расширение возможностей хирургических вмешательств, а также доступа пациентов к операциям без экстракорпорального кровообращения у взрослых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1 293.2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1 810.6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2 069.2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5 173.0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2 069.2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2 069.2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2 069.2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2 069.2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8 276.8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13 449.8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13 449.8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5 173.0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8 276.8</w:t>
            </w:r>
          </w:p>
        </w:tc>
        <w:tc>
          <w:tcPr>
            <w:tcW w:w="850" w:type="dxa"/>
            <w:shd w:val="clear" w:color="auto" w:fill="auto"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24 145.2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29 015.4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40 933.2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94 093.8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40 933.2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40 933.2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40 933.2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40 933.2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163 732.8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257 826.6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257 826.6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94 093.8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163 732.8</w:t>
            </w:r>
          </w:p>
        </w:tc>
        <w:tc>
          <w:tcPr>
            <w:tcW w:w="850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E617F4" w:rsidRPr="00E617F4" w:rsidTr="00E617F4">
        <w:trPr>
          <w:gridAfter w:val="1"/>
          <w:wAfter w:w="425" w:type="dxa"/>
          <w:trHeight w:val="20"/>
        </w:trPr>
        <w:tc>
          <w:tcPr>
            <w:tcW w:w="567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01" w:type="dxa"/>
            <w:gridSpan w:val="17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Сердечно-сосудистая хирургия для детей:</w:t>
            </w: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2410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Укрепление материально-технической базы службы кардиохирургии в целях проведения хирургических вмешательств с экстракорпоральным кровообращением у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14 707.9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16 713.5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23 398.9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54 820.3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23 398.9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23 398.9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23 398.9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23 398.9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93 595.6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148 415.9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148 415.9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54 820.3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93 595.6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14 707.9</w:t>
            </w:r>
          </w:p>
        </w:tc>
        <w:tc>
          <w:tcPr>
            <w:tcW w:w="709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2410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Усовершенствование лечебного процесса путем внедрения кардиохирургических технологий, исключающих экстракорпоральное кровообращение у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1 256.7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1 396.4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1 396.4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4 049.5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1 396.4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1 396.4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1 396.4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1 396.4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5 585.6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9 635.1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9 635.1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4 049.5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5 585.6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1 256.7</w:t>
            </w:r>
          </w:p>
        </w:tc>
        <w:tc>
          <w:tcPr>
            <w:tcW w:w="709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15 964.6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18 109.9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24 795.3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58 869.8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24 795.3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24 795.3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24 795.3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24 795.3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99 181.2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158 051.0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158 051.0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58 869.8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99 181.2</w:t>
            </w:r>
          </w:p>
        </w:tc>
        <w:tc>
          <w:tcPr>
            <w:tcW w:w="850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40 109.8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47 125.3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65 728.5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152 963.6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65 728.5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65 728.5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65 728.5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65 728.5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262 914.0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415 877.6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415 877.6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152 963.6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262 914.0</w:t>
            </w:r>
          </w:p>
        </w:tc>
        <w:tc>
          <w:tcPr>
            <w:tcW w:w="850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E617F4" w:rsidRPr="00E617F4" w:rsidTr="00E617F4">
        <w:trPr>
          <w:gridAfter w:val="1"/>
          <w:wAfter w:w="425" w:type="dxa"/>
          <w:trHeight w:val="20"/>
        </w:trPr>
        <w:tc>
          <w:tcPr>
            <w:tcW w:w="15168" w:type="dxa"/>
            <w:gridSpan w:val="18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617F4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 xml:space="preserve">6. </w:t>
            </w:r>
            <w:r w:rsidRPr="00E617F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Создание службы сердечно-сосудистой реабилитации на уровне больничного, амбулаторного и домашнего лечения, вторичной, третичной профилактики и паллиативной помощи</w:t>
            </w: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Сокращение заболеваемости и уровня инвалидизации больных с сердечно-сосудистыми заболеваниями на 10% путем усовершенствования больничной, амбулаторной и </w:t>
            </w: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lastRenderedPageBreak/>
              <w:t>домашней системы сердечно-сосудистой реабилитации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47 386.9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47 135.3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46 883.6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141 405.8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46 632.0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46 380.3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46 128.7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46 000.2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185 141.2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326 547.0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325 003.5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140 744.3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184 259.2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1 543.5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661.5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882.0</w:t>
            </w: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6.2.</w:t>
            </w:r>
          </w:p>
        </w:tc>
        <w:tc>
          <w:tcPr>
            <w:tcW w:w="2410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Развитие служб сердечно-сосудистой реабилитации и вторичной профилактики путем внедрения методов дистанционного телемониторинга с использованием мобильных устройств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776.8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1022.4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1278.0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3 077.2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1533.6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1789.3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2044.8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2300.4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7 668.1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10 745.3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10 745.3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3 077.2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7 668.1</w:t>
            </w:r>
          </w:p>
        </w:tc>
        <w:tc>
          <w:tcPr>
            <w:tcW w:w="850" w:type="dxa"/>
            <w:shd w:val="clear" w:color="auto" w:fill="auto"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Повышение уровня согласия пациентов на комбинированное лечение для вторичной и третичной сердечно-сосудистой профилактики до 50%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9 939,9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9 939,9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9 939,9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29 819.7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9 939,9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9 939,9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9 939,9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9 939,9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39 759.6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69 579.3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69 579.3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29 819.7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39 759.6</w:t>
            </w:r>
          </w:p>
        </w:tc>
        <w:tc>
          <w:tcPr>
            <w:tcW w:w="850" w:type="dxa"/>
            <w:shd w:val="clear" w:color="auto" w:fill="auto"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2410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Развитие услуг по  паллиативному уходу для 10% пациентов с тяжелой формой сердечной недостаточности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9 600,0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9 600,0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9 600,0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28 800.0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9 600,0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9 600,0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9 600,0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9 600,0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38 400.0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67 200.0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67 200.0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28 800.0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38 400.0</w:t>
            </w:r>
          </w:p>
        </w:tc>
        <w:tc>
          <w:tcPr>
            <w:tcW w:w="850" w:type="dxa"/>
            <w:shd w:val="clear" w:color="auto" w:fill="auto"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\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67 697.6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67 701.5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203 102.7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67 705.5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67 709.5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67 713.4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67 840.5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270 968.9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474 071.6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472 528.1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202 441,2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270 086,9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1 543.5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661.5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882.0</w:t>
            </w:r>
          </w:p>
        </w:tc>
      </w:tr>
      <w:tr w:rsidR="00E617F4" w:rsidRPr="00E617F4" w:rsidTr="00E617F4">
        <w:trPr>
          <w:gridAfter w:val="1"/>
          <w:wAfter w:w="425" w:type="dxa"/>
          <w:trHeight w:val="20"/>
        </w:trPr>
        <w:tc>
          <w:tcPr>
            <w:tcW w:w="15168" w:type="dxa"/>
            <w:gridSpan w:val="18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617F4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7. Оптимизация программ постуниверситетского образования, подготовка кадров и определение приоритетных направлений научных исследований в области кардиологии</w:t>
            </w: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2410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Переоценка программ по обучению в области кардиологии в соответствии с обновленными международными руководствами и протоколами диагностики и лечения 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150.0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200.0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350.0</w:t>
            </w:r>
          </w:p>
        </w:tc>
        <w:tc>
          <w:tcPr>
            <w:tcW w:w="851" w:type="dxa"/>
            <w:shd w:val="clear" w:color="auto" w:fill="auto"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350.0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150.0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200.0</w:t>
            </w: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2410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Дальнейшее согласование постуниверситетских программ по подготовке специалистов-кардиологов, кардиохирургов, специалистов в области интервенционной кардиологии, электрофизиологии сердца, функциональной кардиологии, профилактической кардиологии реабилитологов в соответствии с рекомендациями Программы Европейского общества кардиологов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420.0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560.0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980.0</w:t>
            </w:r>
          </w:p>
        </w:tc>
        <w:tc>
          <w:tcPr>
            <w:tcW w:w="851" w:type="dxa"/>
            <w:shd w:val="clear" w:color="auto" w:fill="auto"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980.0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420.0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560.0</w:t>
            </w: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2410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Подготовка семейных врачей, врачей-специалистов и специалистов со средним медицинским образованием в соответствии с содержанием модулей е-Здоровье и </w:t>
            </w: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lastRenderedPageBreak/>
              <w:t>телемониторинг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130.0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130.0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130.0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390.0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130.0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130.0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130.0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130.0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520.0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910.0</w:t>
            </w:r>
          </w:p>
        </w:tc>
        <w:tc>
          <w:tcPr>
            <w:tcW w:w="851" w:type="dxa"/>
            <w:shd w:val="clear" w:color="auto" w:fill="auto"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910.0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390.0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520.0</w:t>
            </w: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7.4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Разработка постуниверситетской специализированной программы по подготовке кадров в системе паллиативного ухода, рассчитанной на 80 теоретических часов и 6 недель ротации в системе паллиативной помощи. Отбор и обучение специализированных групп для оказания услуг по паллиативному уходу в рамках вновь созданных служб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480.0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640.0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1 120.0</w:t>
            </w:r>
          </w:p>
        </w:tc>
        <w:tc>
          <w:tcPr>
            <w:tcW w:w="851" w:type="dxa"/>
            <w:shd w:val="clear" w:color="auto" w:fill="auto"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1 120.0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480.0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640.0</w:t>
            </w: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Разработка, приоритизация и внедрение плана фундаментальных и прикладных исследований, направленных на снижение заболеваемости, уровня инвалидизации и смертности по причине сердечно-сосудистых заболеваний в Республике Молдова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45.0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60.0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105.0</w:t>
            </w:r>
          </w:p>
        </w:tc>
        <w:tc>
          <w:tcPr>
            <w:tcW w:w="851" w:type="dxa"/>
            <w:shd w:val="clear" w:color="auto" w:fill="auto"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105.0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45.0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60.0</w:t>
            </w: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E617F4" w:rsidRPr="00E617F4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E617F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Разработка и определение приоритетов исследовательского типового плана «Реестр» распространенных сердечно-сосудистых заболеваний, основанного на внедрении информационной системы кардиологической службы для детей и взрослых и сердечно-сосудистой хирургии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30.0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40.0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70.0</w:t>
            </w:r>
          </w:p>
        </w:tc>
        <w:tc>
          <w:tcPr>
            <w:tcW w:w="851" w:type="dxa"/>
            <w:shd w:val="clear" w:color="auto" w:fill="auto"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70.0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30.0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40.0</w:t>
            </w: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505.0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505.0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505.0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1 515.0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505.0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505.0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505.0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505.0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2 020.0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3 535.0</w:t>
            </w:r>
          </w:p>
        </w:tc>
        <w:tc>
          <w:tcPr>
            <w:tcW w:w="851" w:type="dxa"/>
            <w:shd w:val="clear" w:color="auto" w:fill="auto"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3 535.0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1 515.0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617F4" w:rsidRPr="003B1A0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B1A0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2 020.0</w:t>
            </w:r>
          </w:p>
        </w:tc>
      </w:tr>
      <w:tr w:rsidR="00E617F4" w:rsidRPr="00E24A87" w:rsidTr="00E617F4">
        <w:trPr>
          <w:trHeight w:val="20"/>
        </w:trPr>
        <w:tc>
          <w:tcPr>
            <w:tcW w:w="567" w:type="dxa"/>
            <w:shd w:val="clear" w:color="auto" w:fill="auto"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ОБЩИИ ИТОГ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975 114,8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970 402,0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989 809,1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2 935 325,9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1 143 916,8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1 143 920,8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1 142 391,7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1 142 518,8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4 572 748,1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7 508 074,0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3 604 032,6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1 460 279,2</w:t>
            </w:r>
          </w:p>
        </w:tc>
        <w:tc>
          <w:tcPr>
            <w:tcW w:w="851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2 143 753,4</w:t>
            </w:r>
          </w:p>
        </w:tc>
        <w:tc>
          <w:tcPr>
            <w:tcW w:w="850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3 904 041,4</w:t>
            </w:r>
          </w:p>
        </w:tc>
        <w:tc>
          <w:tcPr>
            <w:tcW w:w="709" w:type="dxa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>1 475 046,7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617F4" w:rsidRPr="00E24A87" w:rsidRDefault="00E617F4" w:rsidP="00D0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24A87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2 428 994,7</w:t>
            </w:r>
          </w:p>
        </w:tc>
      </w:tr>
    </w:tbl>
    <w:p w:rsidR="00E617F4" w:rsidRPr="006C6DFC" w:rsidRDefault="00E617F4" w:rsidP="00E617F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E617F4" w:rsidRDefault="00E617F4"/>
    <w:p w:rsidR="00A67AC8" w:rsidRDefault="00A67AC8"/>
    <w:sectPr w:rsidR="00A67AC8" w:rsidSect="00E617F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$Pragmatica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DC2"/>
    <w:multiLevelType w:val="hybridMultilevel"/>
    <w:tmpl w:val="DD940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184F"/>
    <w:multiLevelType w:val="hybridMultilevel"/>
    <w:tmpl w:val="A8184A5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525BE"/>
    <w:multiLevelType w:val="hybridMultilevel"/>
    <w:tmpl w:val="55C84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400E7"/>
    <w:multiLevelType w:val="multilevel"/>
    <w:tmpl w:val="940AB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3513D"/>
    <w:multiLevelType w:val="hybridMultilevel"/>
    <w:tmpl w:val="76E6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028D0"/>
    <w:multiLevelType w:val="hybridMultilevel"/>
    <w:tmpl w:val="FB6AB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B2CBB"/>
    <w:multiLevelType w:val="hybridMultilevel"/>
    <w:tmpl w:val="6C020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E0099"/>
    <w:multiLevelType w:val="hybridMultilevel"/>
    <w:tmpl w:val="4E9AE422"/>
    <w:lvl w:ilvl="0" w:tplc="76F27CEE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62D61"/>
    <w:multiLevelType w:val="hybridMultilevel"/>
    <w:tmpl w:val="F44A6814"/>
    <w:lvl w:ilvl="0" w:tplc="4C1076D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F3182"/>
    <w:multiLevelType w:val="hybridMultilevel"/>
    <w:tmpl w:val="D0C848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77628"/>
    <w:multiLevelType w:val="hybridMultilevel"/>
    <w:tmpl w:val="C1623D6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F4259"/>
    <w:multiLevelType w:val="hybridMultilevel"/>
    <w:tmpl w:val="C11E420A"/>
    <w:lvl w:ilvl="0" w:tplc="9BD48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D61F0"/>
    <w:multiLevelType w:val="hybridMultilevel"/>
    <w:tmpl w:val="DB5605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44E67"/>
    <w:multiLevelType w:val="hybridMultilevel"/>
    <w:tmpl w:val="893EA5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725299"/>
    <w:multiLevelType w:val="hybridMultilevel"/>
    <w:tmpl w:val="EB5E0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A4F52"/>
    <w:multiLevelType w:val="hybridMultilevel"/>
    <w:tmpl w:val="AA645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16C3C"/>
    <w:multiLevelType w:val="hybridMultilevel"/>
    <w:tmpl w:val="10700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F2210"/>
    <w:multiLevelType w:val="hybridMultilevel"/>
    <w:tmpl w:val="10C832CE"/>
    <w:lvl w:ilvl="0" w:tplc="6EE6098A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8C688F"/>
    <w:multiLevelType w:val="hybridMultilevel"/>
    <w:tmpl w:val="02641A20"/>
    <w:lvl w:ilvl="0" w:tplc="90C201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560F5"/>
    <w:multiLevelType w:val="hybridMultilevel"/>
    <w:tmpl w:val="30023B42"/>
    <w:lvl w:ilvl="0" w:tplc="161CB1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A10BB"/>
    <w:multiLevelType w:val="hybridMultilevel"/>
    <w:tmpl w:val="DD86F8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A640D"/>
    <w:multiLevelType w:val="hybridMultilevel"/>
    <w:tmpl w:val="3B22E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B7E84"/>
    <w:multiLevelType w:val="hybridMultilevel"/>
    <w:tmpl w:val="47DC1896"/>
    <w:lvl w:ilvl="0" w:tplc="A9524B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831BFF"/>
    <w:multiLevelType w:val="hybridMultilevel"/>
    <w:tmpl w:val="F54639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A5461"/>
    <w:multiLevelType w:val="hybridMultilevel"/>
    <w:tmpl w:val="C02C1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014C4"/>
    <w:multiLevelType w:val="hybridMultilevel"/>
    <w:tmpl w:val="4798F860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636AA6"/>
    <w:multiLevelType w:val="hybridMultilevel"/>
    <w:tmpl w:val="69E625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14E82"/>
    <w:multiLevelType w:val="hybridMultilevel"/>
    <w:tmpl w:val="29506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7079F"/>
    <w:multiLevelType w:val="hybridMultilevel"/>
    <w:tmpl w:val="0090F196"/>
    <w:lvl w:ilvl="0" w:tplc="2F0415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2636184"/>
    <w:multiLevelType w:val="hybridMultilevel"/>
    <w:tmpl w:val="13BEE3F4"/>
    <w:lvl w:ilvl="0" w:tplc="C3EE292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23C11"/>
    <w:multiLevelType w:val="hybridMultilevel"/>
    <w:tmpl w:val="FF0AE5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24A61"/>
    <w:multiLevelType w:val="hybridMultilevel"/>
    <w:tmpl w:val="538A60C2"/>
    <w:lvl w:ilvl="0" w:tplc="2ADA3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F04B0"/>
    <w:multiLevelType w:val="hybridMultilevel"/>
    <w:tmpl w:val="0BDEB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528FC"/>
    <w:multiLevelType w:val="hybridMultilevel"/>
    <w:tmpl w:val="EBD62BB8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5D524E2E"/>
    <w:multiLevelType w:val="hybridMultilevel"/>
    <w:tmpl w:val="01903D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F59B9"/>
    <w:multiLevelType w:val="hybridMultilevel"/>
    <w:tmpl w:val="0AA49A72"/>
    <w:lvl w:ilvl="0" w:tplc="3C7A914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CB05C6"/>
    <w:multiLevelType w:val="hybridMultilevel"/>
    <w:tmpl w:val="F5623A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482900"/>
    <w:multiLevelType w:val="hybridMultilevel"/>
    <w:tmpl w:val="8F9836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54F6D"/>
    <w:multiLevelType w:val="hybridMultilevel"/>
    <w:tmpl w:val="843423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8B5370"/>
    <w:multiLevelType w:val="hybridMultilevel"/>
    <w:tmpl w:val="78FA9D64"/>
    <w:lvl w:ilvl="0" w:tplc="A56ED4B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E0197D"/>
    <w:multiLevelType w:val="hybridMultilevel"/>
    <w:tmpl w:val="223E2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940C1"/>
    <w:multiLevelType w:val="hybridMultilevel"/>
    <w:tmpl w:val="CA140A5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742623A0"/>
    <w:multiLevelType w:val="hybridMultilevel"/>
    <w:tmpl w:val="E780BE8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74CA27E2"/>
    <w:multiLevelType w:val="hybridMultilevel"/>
    <w:tmpl w:val="AEEAE586"/>
    <w:lvl w:ilvl="0" w:tplc="9EB2A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CA456F"/>
    <w:multiLevelType w:val="hybridMultilevel"/>
    <w:tmpl w:val="A8F67136"/>
    <w:lvl w:ilvl="0" w:tplc="4F085A0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FC6F29"/>
    <w:multiLevelType w:val="hybridMultilevel"/>
    <w:tmpl w:val="A8D2F0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46109"/>
    <w:multiLevelType w:val="hybridMultilevel"/>
    <w:tmpl w:val="E952B1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13"/>
  </w:num>
  <w:num w:numId="5">
    <w:abstractNumId w:val="7"/>
  </w:num>
  <w:num w:numId="6">
    <w:abstractNumId w:val="18"/>
  </w:num>
  <w:num w:numId="7">
    <w:abstractNumId w:val="19"/>
  </w:num>
  <w:num w:numId="8">
    <w:abstractNumId w:val="45"/>
  </w:num>
  <w:num w:numId="9">
    <w:abstractNumId w:val="36"/>
  </w:num>
  <w:num w:numId="10">
    <w:abstractNumId w:val="24"/>
  </w:num>
  <w:num w:numId="11">
    <w:abstractNumId w:val="42"/>
  </w:num>
  <w:num w:numId="12">
    <w:abstractNumId w:val="41"/>
  </w:num>
  <w:num w:numId="13">
    <w:abstractNumId w:val="38"/>
  </w:num>
  <w:num w:numId="14">
    <w:abstractNumId w:val="15"/>
  </w:num>
  <w:num w:numId="15">
    <w:abstractNumId w:val="46"/>
  </w:num>
  <w:num w:numId="16">
    <w:abstractNumId w:val="32"/>
  </w:num>
  <w:num w:numId="17">
    <w:abstractNumId w:val="6"/>
  </w:num>
  <w:num w:numId="18">
    <w:abstractNumId w:val="39"/>
  </w:num>
  <w:num w:numId="19">
    <w:abstractNumId w:val="2"/>
  </w:num>
  <w:num w:numId="20">
    <w:abstractNumId w:val="12"/>
  </w:num>
  <w:num w:numId="21">
    <w:abstractNumId w:val="21"/>
  </w:num>
  <w:num w:numId="22">
    <w:abstractNumId w:val="40"/>
  </w:num>
  <w:num w:numId="23">
    <w:abstractNumId w:val="30"/>
  </w:num>
  <w:num w:numId="24">
    <w:abstractNumId w:val="31"/>
  </w:num>
  <w:num w:numId="25">
    <w:abstractNumId w:val="27"/>
  </w:num>
  <w:num w:numId="26">
    <w:abstractNumId w:val="22"/>
  </w:num>
  <w:num w:numId="27">
    <w:abstractNumId w:val="29"/>
  </w:num>
  <w:num w:numId="28">
    <w:abstractNumId w:val="43"/>
  </w:num>
  <w:num w:numId="29">
    <w:abstractNumId w:val="28"/>
  </w:num>
  <w:num w:numId="30">
    <w:abstractNumId w:val="34"/>
  </w:num>
  <w:num w:numId="31">
    <w:abstractNumId w:val="0"/>
  </w:num>
  <w:num w:numId="32">
    <w:abstractNumId w:val="33"/>
  </w:num>
  <w:num w:numId="33">
    <w:abstractNumId w:val="44"/>
  </w:num>
  <w:num w:numId="34">
    <w:abstractNumId w:val="4"/>
  </w:num>
  <w:num w:numId="35">
    <w:abstractNumId w:val="1"/>
  </w:num>
  <w:num w:numId="36">
    <w:abstractNumId w:val="5"/>
  </w:num>
  <w:num w:numId="37">
    <w:abstractNumId w:val="25"/>
  </w:num>
  <w:num w:numId="38">
    <w:abstractNumId w:val="17"/>
  </w:num>
  <w:num w:numId="39">
    <w:abstractNumId w:val="23"/>
  </w:num>
  <w:num w:numId="40">
    <w:abstractNumId w:val="37"/>
  </w:num>
  <w:num w:numId="41">
    <w:abstractNumId w:val="35"/>
  </w:num>
  <w:num w:numId="42">
    <w:abstractNumId w:val="3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26"/>
  </w:num>
  <w:num w:numId="46">
    <w:abstractNumId w:val="16"/>
  </w:num>
  <w:num w:numId="47">
    <w:abstractNumId w:val="9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617F4"/>
    <w:rsid w:val="00A67AC8"/>
    <w:rsid w:val="00E6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1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u-RU"/>
    </w:rPr>
  </w:style>
  <w:style w:type="paragraph" w:styleId="Heading2">
    <w:name w:val="heading 2"/>
    <w:basedOn w:val="Normal"/>
    <w:next w:val="Normal"/>
    <w:link w:val="Heading2Char"/>
    <w:qFormat/>
    <w:rsid w:val="00E617F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u w:val="single"/>
      <w:lang w:val="ro-RO" w:eastAsia="ru-RU"/>
    </w:rPr>
  </w:style>
  <w:style w:type="paragraph" w:styleId="Heading3">
    <w:name w:val="heading 3"/>
    <w:basedOn w:val="Normal"/>
    <w:link w:val="Heading3Char"/>
    <w:qFormat/>
    <w:rsid w:val="00E61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E617F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o-RO" w:eastAsia="ru-RU"/>
    </w:rPr>
  </w:style>
  <w:style w:type="paragraph" w:styleId="Heading5">
    <w:name w:val="heading 5"/>
    <w:basedOn w:val="Normal"/>
    <w:next w:val="Normal"/>
    <w:link w:val="Heading5Char"/>
    <w:qFormat/>
    <w:rsid w:val="00E617F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 w:eastAsia="ru-RU"/>
    </w:rPr>
  </w:style>
  <w:style w:type="paragraph" w:styleId="Heading6">
    <w:name w:val="heading 6"/>
    <w:basedOn w:val="Normal"/>
    <w:next w:val="Normal"/>
    <w:link w:val="Heading6Char"/>
    <w:qFormat/>
    <w:rsid w:val="00E617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17F4"/>
    <w:rPr>
      <w:rFonts w:ascii="Arial" w:eastAsia="Times New Roman" w:hAnsi="Arial" w:cs="Arial"/>
      <w:b/>
      <w:bCs/>
      <w:kern w:val="32"/>
      <w:sz w:val="32"/>
      <w:szCs w:val="32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E617F4"/>
    <w:rPr>
      <w:rFonts w:ascii="Arial" w:eastAsia="Times New Roman" w:hAnsi="Arial" w:cs="Times New Roman"/>
      <w:b/>
      <w:sz w:val="24"/>
      <w:szCs w:val="20"/>
      <w:u w:val="single"/>
      <w:lang w:val="ro-RO" w:eastAsia="ru-RU"/>
    </w:rPr>
  </w:style>
  <w:style w:type="character" w:customStyle="1" w:styleId="Heading3Char">
    <w:name w:val="Heading 3 Char"/>
    <w:basedOn w:val="DefaultParagraphFont"/>
    <w:link w:val="Heading3"/>
    <w:rsid w:val="00E617F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E617F4"/>
    <w:rPr>
      <w:rFonts w:ascii="Times New Roman" w:eastAsia="Times New Roman" w:hAnsi="Times New Roman" w:cs="Times New Roman"/>
      <w:b/>
      <w:bCs/>
      <w:sz w:val="28"/>
      <w:szCs w:val="28"/>
      <w:lang w:val="ro-RO" w:eastAsia="ru-RU"/>
    </w:rPr>
  </w:style>
  <w:style w:type="character" w:customStyle="1" w:styleId="Heading5Char">
    <w:name w:val="Heading 5 Char"/>
    <w:basedOn w:val="DefaultParagraphFont"/>
    <w:link w:val="Heading5"/>
    <w:rsid w:val="00E617F4"/>
    <w:rPr>
      <w:rFonts w:ascii="Times New Roman" w:eastAsia="Times New Roman" w:hAnsi="Times New Roman" w:cs="Times New Roman"/>
      <w:b/>
      <w:bCs/>
      <w:i/>
      <w:iCs/>
      <w:sz w:val="26"/>
      <w:szCs w:val="26"/>
      <w:lang w:val="ro-RO" w:eastAsia="ru-RU"/>
    </w:rPr>
  </w:style>
  <w:style w:type="character" w:customStyle="1" w:styleId="Heading6Char">
    <w:name w:val="Heading 6 Char"/>
    <w:basedOn w:val="DefaultParagraphFont"/>
    <w:link w:val="Heading6"/>
    <w:rsid w:val="00E617F4"/>
    <w:rPr>
      <w:rFonts w:ascii="Times New Roman" w:eastAsia="Times New Roman" w:hAnsi="Times New Roman" w:cs="Times New Roman"/>
      <w:b/>
      <w:bCs/>
      <w:lang w:val="ro-RO" w:eastAsia="ru-RU"/>
    </w:rPr>
  </w:style>
  <w:style w:type="character" w:styleId="Emphasis">
    <w:name w:val="Emphasis"/>
    <w:uiPriority w:val="20"/>
    <w:qFormat/>
    <w:rsid w:val="00E617F4"/>
    <w:rPr>
      <w:i/>
      <w:iCs/>
    </w:rPr>
  </w:style>
  <w:style w:type="paragraph" w:styleId="ListParagraph">
    <w:name w:val="List Paragraph"/>
    <w:basedOn w:val="Normal"/>
    <w:uiPriority w:val="34"/>
    <w:qFormat/>
    <w:rsid w:val="00E617F4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DefaultParagraphFont"/>
    <w:rsid w:val="00E617F4"/>
  </w:style>
  <w:style w:type="character" w:customStyle="1" w:styleId="orfo-misgrammed">
    <w:name w:val="orfo-misgrammed"/>
    <w:basedOn w:val="DefaultParagraphFont"/>
    <w:rsid w:val="00E617F4"/>
  </w:style>
  <w:style w:type="character" w:customStyle="1" w:styleId="hps">
    <w:name w:val="hps"/>
    <w:rsid w:val="00E617F4"/>
  </w:style>
  <w:style w:type="character" w:customStyle="1" w:styleId="shorttext">
    <w:name w:val="short_text"/>
    <w:rsid w:val="00E617F4"/>
  </w:style>
  <w:style w:type="numbering" w:customStyle="1" w:styleId="1">
    <w:name w:val="Нет списка1"/>
    <w:next w:val="NoList"/>
    <w:uiPriority w:val="99"/>
    <w:semiHidden/>
    <w:unhideWhenUsed/>
    <w:rsid w:val="00E617F4"/>
  </w:style>
  <w:style w:type="paragraph" w:styleId="Title">
    <w:name w:val="Title"/>
    <w:basedOn w:val="Normal"/>
    <w:link w:val="TitleChar1"/>
    <w:qFormat/>
    <w:rsid w:val="00E617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TitleChar">
    <w:name w:val="Title Char"/>
    <w:basedOn w:val="DefaultParagraphFont"/>
    <w:link w:val="Title"/>
    <w:rsid w:val="00E61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link w:val="Title"/>
    <w:rsid w:val="00E617F4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Subtitle">
    <w:name w:val="Subtitle"/>
    <w:basedOn w:val="Normal"/>
    <w:link w:val="SubtitleChar"/>
    <w:qFormat/>
    <w:rsid w:val="00E617F4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ro-RO" w:eastAsia="ru-RU"/>
    </w:rPr>
  </w:style>
  <w:style w:type="character" w:customStyle="1" w:styleId="SubtitleChar">
    <w:name w:val="Subtitle Char"/>
    <w:basedOn w:val="DefaultParagraphFont"/>
    <w:link w:val="Subtitle"/>
    <w:rsid w:val="00E617F4"/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BodyText">
    <w:name w:val="Body Text"/>
    <w:basedOn w:val="Normal"/>
    <w:link w:val="BodyTextChar"/>
    <w:rsid w:val="00E617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ro-RO" w:eastAsia="ru-RU"/>
    </w:rPr>
  </w:style>
  <w:style w:type="character" w:customStyle="1" w:styleId="BodyTextChar">
    <w:name w:val="Body Text Char"/>
    <w:basedOn w:val="DefaultParagraphFont"/>
    <w:link w:val="BodyText"/>
    <w:rsid w:val="00E617F4"/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Footer">
    <w:name w:val="footer"/>
    <w:basedOn w:val="Normal"/>
    <w:link w:val="FooterChar"/>
    <w:uiPriority w:val="99"/>
    <w:rsid w:val="00E617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E617F4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styleId="PageNumber">
    <w:name w:val="page number"/>
    <w:rsid w:val="00E617F4"/>
  </w:style>
  <w:style w:type="paragraph" w:styleId="Header">
    <w:name w:val="header"/>
    <w:basedOn w:val="Normal"/>
    <w:link w:val="HeaderChar"/>
    <w:rsid w:val="00E617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HeaderChar">
    <w:name w:val="Header Char"/>
    <w:basedOn w:val="DefaultParagraphFont"/>
    <w:link w:val="Header"/>
    <w:rsid w:val="00E617F4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Strong">
    <w:name w:val="Strong"/>
    <w:qFormat/>
    <w:rsid w:val="00E617F4"/>
    <w:rPr>
      <w:b/>
      <w:bCs/>
    </w:rPr>
  </w:style>
  <w:style w:type="paragraph" w:customStyle="1" w:styleId="cn">
    <w:name w:val="cn"/>
    <w:basedOn w:val="Normal"/>
    <w:rsid w:val="00E617F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tt">
    <w:name w:val="tt"/>
    <w:basedOn w:val="Normal"/>
    <w:rsid w:val="00E617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docblue1">
    <w:name w:val="doc_blue1"/>
    <w:rsid w:val="00E617F4"/>
    <w:rPr>
      <w:color w:val="0000FF"/>
    </w:rPr>
  </w:style>
  <w:style w:type="character" w:customStyle="1" w:styleId="apple-style-span">
    <w:name w:val="apple-style-span"/>
    <w:rsid w:val="00E617F4"/>
  </w:style>
  <w:style w:type="paragraph" w:customStyle="1" w:styleId="ListParagraph1">
    <w:name w:val="List Paragraph1"/>
    <w:basedOn w:val="Normal"/>
    <w:uiPriority w:val="34"/>
    <w:qFormat/>
    <w:rsid w:val="00E617F4"/>
    <w:pPr>
      <w:ind w:left="720"/>
      <w:contextualSpacing/>
    </w:pPr>
    <w:rPr>
      <w:rFonts w:ascii="Calibri" w:eastAsia="Calibri" w:hAnsi="Calibri" w:cs="Times New Roman"/>
      <w:lang w:val="ro-RO"/>
    </w:rPr>
  </w:style>
  <w:style w:type="paragraph" w:styleId="BalloonText">
    <w:name w:val="Balloon Text"/>
    <w:basedOn w:val="Normal"/>
    <w:link w:val="BalloonTextChar"/>
    <w:semiHidden/>
    <w:rsid w:val="00E617F4"/>
    <w:pPr>
      <w:spacing w:after="0" w:line="240" w:lineRule="auto"/>
    </w:pPr>
    <w:rPr>
      <w:rFonts w:ascii="Tahoma" w:eastAsia="Times New Roman" w:hAnsi="Tahoma" w:cs="Tahoma"/>
      <w:sz w:val="16"/>
      <w:szCs w:val="16"/>
      <w:lang w:val="ro-RO"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E617F4"/>
    <w:rPr>
      <w:rFonts w:ascii="Tahoma" w:eastAsia="Times New Roman" w:hAnsi="Tahoma" w:cs="Tahoma"/>
      <w:sz w:val="16"/>
      <w:szCs w:val="16"/>
      <w:lang w:val="ro-RO" w:eastAsia="ru-RU"/>
    </w:rPr>
  </w:style>
  <w:style w:type="paragraph" w:customStyle="1" w:styleId="10">
    <w:name w:val="заголовок 1"/>
    <w:basedOn w:val="Normal"/>
    <w:next w:val="Normal"/>
    <w:rsid w:val="00E617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paragraph" w:customStyle="1" w:styleId="PRAG14">
    <w:name w:val="PRAG_14"/>
    <w:basedOn w:val="Normal"/>
    <w:rsid w:val="00E617F4"/>
    <w:pPr>
      <w:spacing w:after="0" w:line="240" w:lineRule="auto"/>
      <w:jc w:val="both"/>
    </w:pPr>
    <w:rPr>
      <w:rFonts w:ascii="$Pragmatica" w:eastAsia="Times New Roman" w:hAnsi="$Pragmatica" w:cs="Times New Roman"/>
      <w:sz w:val="28"/>
      <w:szCs w:val="20"/>
      <w:lang w:eastAsia="ru-RU"/>
    </w:rPr>
  </w:style>
  <w:style w:type="table" w:styleId="TableGrid">
    <w:name w:val="Table Grid"/>
    <w:basedOn w:val="TableNormal"/>
    <w:rsid w:val="00E61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 Знак Знак3"/>
    <w:rsid w:val="00E617F4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customStyle="1" w:styleId="cp">
    <w:name w:val="cp"/>
    <w:basedOn w:val="Normal"/>
    <w:rsid w:val="00E617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styleId="CommentReference">
    <w:name w:val="annotation reference"/>
    <w:rsid w:val="00E617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1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rsid w:val="00E617F4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E61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17F4"/>
    <w:rPr>
      <w:b/>
      <w:bCs/>
    </w:rPr>
  </w:style>
  <w:style w:type="character" w:customStyle="1" w:styleId="atn">
    <w:name w:val="atn"/>
    <w:rsid w:val="00E617F4"/>
  </w:style>
  <w:style w:type="character" w:customStyle="1" w:styleId="longtext">
    <w:name w:val="long_text"/>
    <w:rsid w:val="00E617F4"/>
  </w:style>
  <w:style w:type="numbering" w:customStyle="1" w:styleId="2">
    <w:name w:val="Нет списка2"/>
    <w:next w:val="NoList"/>
    <w:uiPriority w:val="99"/>
    <w:semiHidden/>
    <w:unhideWhenUsed/>
    <w:rsid w:val="00E617F4"/>
  </w:style>
  <w:style w:type="numbering" w:customStyle="1" w:styleId="FrListare1">
    <w:name w:val="Fără Listare1"/>
    <w:next w:val="NoList"/>
    <w:uiPriority w:val="99"/>
    <w:semiHidden/>
    <w:unhideWhenUsed/>
    <w:rsid w:val="00E617F4"/>
  </w:style>
  <w:style w:type="character" w:customStyle="1" w:styleId="30">
    <w:name w:val="Знак Знак3"/>
    <w:rsid w:val="00E617F4"/>
    <w:rPr>
      <w:rFonts w:ascii="Times New Roman" w:eastAsia="Times New Roman" w:hAnsi="Times New Roman" w:cs="Times New Roman" w:hint="default"/>
      <w:sz w:val="28"/>
      <w:szCs w:val="20"/>
      <w:lang w:val="ro-RO" w:eastAsia="ru-RU"/>
    </w:rPr>
  </w:style>
  <w:style w:type="table" w:customStyle="1" w:styleId="11">
    <w:name w:val="Сетка таблицы1"/>
    <w:basedOn w:val="TableNormal"/>
    <w:next w:val="TableGrid"/>
    <w:rsid w:val="00E61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2412</Words>
  <Characters>13750</Characters>
  <Application>Microsoft Office Word</Application>
  <DocSecurity>0</DocSecurity>
  <Lines>114</Lines>
  <Paragraphs>32</Paragraphs>
  <ScaleCrop>false</ScaleCrop>
  <Company/>
  <LinksUpToDate>false</LinksUpToDate>
  <CharactersWithSpaces>16130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2014-05-07T07:56:00Z</dcterms:created>
  <dcterms:modified xsi:type="dcterms:W3CDTF">2014-05-07T07:58:00Z</dcterms:modified>
</cp:coreProperties>
</file>