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BF" w:rsidRPr="00096661" w:rsidRDefault="00A069BF" w:rsidP="00A069BF">
      <w:pPr>
        <w:ind w:left="10065"/>
        <w:jc w:val="right"/>
        <w:outlineLvl w:val="0"/>
        <w:rPr>
          <w:sz w:val="26"/>
          <w:szCs w:val="26"/>
        </w:rPr>
      </w:pPr>
      <w:r>
        <w:rPr>
          <w:sz w:val="26"/>
          <w:szCs w:val="26"/>
        </w:rPr>
        <w:t xml:space="preserve">                         </w:t>
      </w:r>
      <w:r w:rsidRPr="00096661">
        <w:rPr>
          <w:sz w:val="26"/>
          <w:szCs w:val="26"/>
        </w:rPr>
        <w:t>Aprobat</w:t>
      </w:r>
    </w:p>
    <w:p w:rsidR="00A069BF" w:rsidRDefault="00A069BF" w:rsidP="00A069BF">
      <w:pPr>
        <w:ind w:left="10065"/>
        <w:jc w:val="right"/>
        <w:rPr>
          <w:sz w:val="26"/>
          <w:szCs w:val="26"/>
        </w:rPr>
      </w:pPr>
      <w:r>
        <w:rPr>
          <w:sz w:val="26"/>
          <w:szCs w:val="26"/>
        </w:rPr>
        <w:t xml:space="preserve">    </w:t>
      </w:r>
      <w:r w:rsidRPr="00096661">
        <w:rPr>
          <w:sz w:val="26"/>
          <w:szCs w:val="26"/>
        </w:rPr>
        <w:t>prin Dispoziţia Guvernului nr.</w:t>
      </w:r>
      <w:r>
        <w:rPr>
          <w:sz w:val="26"/>
          <w:szCs w:val="26"/>
        </w:rPr>
        <w:t>39-d</w:t>
      </w:r>
    </w:p>
    <w:p w:rsidR="00A069BF" w:rsidRPr="00096661" w:rsidRDefault="00A069BF" w:rsidP="00A069BF">
      <w:pPr>
        <w:ind w:left="10065"/>
        <w:jc w:val="right"/>
        <w:rPr>
          <w:sz w:val="26"/>
          <w:szCs w:val="26"/>
        </w:rPr>
      </w:pPr>
      <w:r>
        <w:rPr>
          <w:sz w:val="26"/>
          <w:szCs w:val="26"/>
        </w:rPr>
        <w:t>din 29 aprilie 2014</w:t>
      </w:r>
    </w:p>
    <w:p w:rsidR="00A069BF" w:rsidRDefault="00A069BF" w:rsidP="00A069BF">
      <w:pPr>
        <w:jc w:val="center"/>
        <w:outlineLvl w:val="0"/>
        <w:rPr>
          <w:b/>
          <w:sz w:val="28"/>
          <w:szCs w:val="28"/>
        </w:rPr>
      </w:pPr>
    </w:p>
    <w:p w:rsidR="00A069BF" w:rsidRPr="0069785C" w:rsidRDefault="00A069BF" w:rsidP="00A069BF">
      <w:pPr>
        <w:jc w:val="center"/>
        <w:outlineLvl w:val="0"/>
        <w:rPr>
          <w:b/>
          <w:sz w:val="28"/>
          <w:szCs w:val="28"/>
        </w:rPr>
      </w:pPr>
      <w:r w:rsidRPr="0069785C">
        <w:rPr>
          <w:b/>
          <w:sz w:val="28"/>
          <w:szCs w:val="28"/>
        </w:rPr>
        <w:t>PLANUL DE ACŢIUNI</w:t>
      </w:r>
    </w:p>
    <w:p w:rsidR="00A069BF" w:rsidRPr="0069785C" w:rsidRDefault="00A069BF" w:rsidP="00A069BF">
      <w:pPr>
        <w:jc w:val="center"/>
        <w:rPr>
          <w:b/>
          <w:sz w:val="28"/>
          <w:szCs w:val="28"/>
        </w:rPr>
      </w:pPr>
      <w:r w:rsidRPr="0069785C">
        <w:rPr>
          <w:b/>
          <w:sz w:val="28"/>
          <w:szCs w:val="28"/>
        </w:rPr>
        <w:t xml:space="preserve">pentru dezvoltarea social-economică a unor localităţi din raioanele Dubăsari, </w:t>
      </w:r>
    </w:p>
    <w:p w:rsidR="00A069BF" w:rsidRPr="0069785C" w:rsidRDefault="00A069BF" w:rsidP="00A069BF">
      <w:pPr>
        <w:jc w:val="center"/>
        <w:rPr>
          <w:b/>
          <w:sz w:val="28"/>
          <w:szCs w:val="28"/>
        </w:rPr>
      </w:pPr>
      <w:r w:rsidRPr="0069785C">
        <w:rPr>
          <w:b/>
          <w:sz w:val="28"/>
          <w:szCs w:val="28"/>
        </w:rPr>
        <w:t>Căuşeni şi Anenii Noi, amplasate în Zona de securitate, pe an</w:t>
      </w:r>
      <w:r>
        <w:rPr>
          <w:b/>
          <w:sz w:val="28"/>
          <w:szCs w:val="28"/>
        </w:rPr>
        <w:t>ul</w:t>
      </w:r>
      <w:r w:rsidRPr="0069785C">
        <w:rPr>
          <w:b/>
          <w:sz w:val="28"/>
          <w:szCs w:val="28"/>
        </w:rPr>
        <w:t xml:space="preserve"> 2014</w:t>
      </w:r>
    </w:p>
    <w:p w:rsidR="00A069BF" w:rsidRPr="0069785C" w:rsidRDefault="00A069BF" w:rsidP="00A069BF">
      <w:pPr>
        <w:jc w:val="center"/>
        <w:rPr>
          <w:b/>
          <w:sz w:val="28"/>
          <w:szCs w:val="28"/>
        </w:rPr>
      </w:pPr>
    </w:p>
    <w:tbl>
      <w:tblPr>
        <w:tblW w:w="146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8314"/>
        <w:gridCol w:w="3402"/>
        <w:gridCol w:w="2284"/>
      </w:tblGrid>
      <w:tr w:rsidR="00A069BF" w:rsidRPr="0069785C" w:rsidTr="00CC3BD7">
        <w:tblPrEx>
          <w:tblCellMar>
            <w:top w:w="0" w:type="dxa"/>
            <w:bottom w:w="0" w:type="dxa"/>
          </w:tblCellMar>
        </w:tblPrEx>
        <w:trPr>
          <w:trHeight w:val="510"/>
        </w:trPr>
        <w:tc>
          <w:tcPr>
            <w:tcW w:w="600" w:type="dxa"/>
          </w:tcPr>
          <w:p w:rsidR="00A069BF" w:rsidRPr="0069785C" w:rsidRDefault="00A069BF" w:rsidP="00CC3BD7">
            <w:pPr>
              <w:jc w:val="center"/>
              <w:rPr>
                <w:b/>
                <w:sz w:val="26"/>
                <w:szCs w:val="26"/>
              </w:rPr>
            </w:pPr>
            <w:r w:rsidRPr="0069785C">
              <w:rPr>
                <w:b/>
                <w:sz w:val="26"/>
                <w:szCs w:val="26"/>
              </w:rPr>
              <w:t>Nr.</w:t>
            </w:r>
          </w:p>
          <w:p w:rsidR="00A069BF" w:rsidRPr="0069785C" w:rsidRDefault="00A069BF" w:rsidP="00CC3BD7">
            <w:pPr>
              <w:jc w:val="center"/>
              <w:rPr>
                <w:b/>
                <w:sz w:val="26"/>
                <w:szCs w:val="26"/>
              </w:rPr>
            </w:pPr>
            <w:r w:rsidRPr="0069785C">
              <w:rPr>
                <w:b/>
                <w:sz w:val="26"/>
                <w:szCs w:val="26"/>
              </w:rPr>
              <w:t>d/o</w:t>
            </w:r>
          </w:p>
        </w:tc>
        <w:tc>
          <w:tcPr>
            <w:tcW w:w="8314" w:type="dxa"/>
          </w:tcPr>
          <w:p w:rsidR="00A069BF" w:rsidRPr="0069785C" w:rsidRDefault="00A069BF" w:rsidP="00CC3BD7">
            <w:pPr>
              <w:jc w:val="center"/>
              <w:rPr>
                <w:b/>
                <w:sz w:val="26"/>
                <w:szCs w:val="26"/>
              </w:rPr>
            </w:pPr>
            <w:r w:rsidRPr="0069785C">
              <w:rPr>
                <w:b/>
                <w:sz w:val="26"/>
                <w:szCs w:val="26"/>
              </w:rPr>
              <w:t>Acţiunile</w:t>
            </w:r>
          </w:p>
        </w:tc>
        <w:tc>
          <w:tcPr>
            <w:tcW w:w="3402" w:type="dxa"/>
          </w:tcPr>
          <w:p w:rsidR="00A069BF" w:rsidRPr="0069785C" w:rsidRDefault="00A069BF" w:rsidP="00CC3BD7">
            <w:pPr>
              <w:jc w:val="center"/>
              <w:rPr>
                <w:b/>
                <w:sz w:val="26"/>
                <w:szCs w:val="26"/>
              </w:rPr>
            </w:pPr>
            <w:r w:rsidRPr="0069785C">
              <w:rPr>
                <w:b/>
                <w:sz w:val="26"/>
                <w:szCs w:val="26"/>
              </w:rPr>
              <w:t>Autoritatea responsabilă</w:t>
            </w:r>
          </w:p>
        </w:tc>
        <w:tc>
          <w:tcPr>
            <w:tcW w:w="2284" w:type="dxa"/>
          </w:tcPr>
          <w:p w:rsidR="00A069BF" w:rsidRPr="0069785C" w:rsidRDefault="00A069BF" w:rsidP="00CC3BD7">
            <w:pPr>
              <w:jc w:val="center"/>
              <w:rPr>
                <w:b/>
                <w:sz w:val="26"/>
                <w:szCs w:val="26"/>
              </w:rPr>
            </w:pPr>
            <w:r w:rsidRPr="0069785C">
              <w:rPr>
                <w:b/>
                <w:sz w:val="26"/>
                <w:szCs w:val="26"/>
              </w:rPr>
              <w:t>Termenul de realizare</w:t>
            </w:r>
          </w:p>
        </w:tc>
      </w:tr>
    </w:tbl>
    <w:p w:rsidR="00A069BF" w:rsidRPr="0069785C" w:rsidRDefault="00A069BF" w:rsidP="00A069BF">
      <w:pPr>
        <w:rPr>
          <w:sz w:val="2"/>
          <w:szCs w:val="2"/>
        </w:rPr>
      </w:pPr>
    </w:p>
    <w:tbl>
      <w:tblPr>
        <w:tblW w:w="146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8314"/>
        <w:gridCol w:w="3402"/>
        <w:gridCol w:w="2284"/>
      </w:tblGrid>
      <w:tr w:rsidR="00A069BF" w:rsidRPr="0069785C" w:rsidTr="00CC3BD7">
        <w:tblPrEx>
          <w:tblCellMar>
            <w:top w:w="0" w:type="dxa"/>
            <w:bottom w:w="0" w:type="dxa"/>
          </w:tblCellMar>
        </w:tblPrEx>
        <w:trPr>
          <w:trHeight w:val="304"/>
          <w:tblHeader/>
        </w:trPr>
        <w:tc>
          <w:tcPr>
            <w:tcW w:w="600" w:type="dxa"/>
          </w:tcPr>
          <w:p w:rsidR="00A069BF" w:rsidRPr="0069785C" w:rsidRDefault="00A069BF" w:rsidP="00CC3BD7">
            <w:pPr>
              <w:jc w:val="center"/>
              <w:rPr>
                <w:b/>
                <w:sz w:val="26"/>
                <w:szCs w:val="26"/>
              </w:rPr>
            </w:pPr>
            <w:r w:rsidRPr="0069785C">
              <w:rPr>
                <w:b/>
                <w:sz w:val="26"/>
                <w:szCs w:val="26"/>
              </w:rPr>
              <w:t>1</w:t>
            </w:r>
          </w:p>
        </w:tc>
        <w:tc>
          <w:tcPr>
            <w:tcW w:w="8314" w:type="dxa"/>
          </w:tcPr>
          <w:p w:rsidR="00A069BF" w:rsidRPr="0069785C" w:rsidRDefault="00A069BF" w:rsidP="00CC3BD7">
            <w:pPr>
              <w:jc w:val="center"/>
              <w:rPr>
                <w:b/>
                <w:sz w:val="26"/>
                <w:szCs w:val="26"/>
              </w:rPr>
            </w:pPr>
            <w:r w:rsidRPr="0069785C">
              <w:rPr>
                <w:b/>
                <w:sz w:val="26"/>
                <w:szCs w:val="26"/>
              </w:rPr>
              <w:t>2</w:t>
            </w:r>
          </w:p>
        </w:tc>
        <w:tc>
          <w:tcPr>
            <w:tcW w:w="3402" w:type="dxa"/>
          </w:tcPr>
          <w:p w:rsidR="00A069BF" w:rsidRPr="0069785C" w:rsidRDefault="00A069BF" w:rsidP="00CC3BD7">
            <w:pPr>
              <w:jc w:val="center"/>
              <w:rPr>
                <w:b/>
                <w:sz w:val="26"/>
                <w:szCs w:val="26"/>
              </w:rPr>
            </w:pPr>
            <w:r w:rsidRPr="0069785C">
              <w:rPr>
                <w:b/>
                <w:sz w:val="26"/>
                <w:szCs w:val="26"/>
              </w:rPr>
              <w:t>3</w:t>
            </w:r>
          </w:p>
        </w:tc>
        <w:tc>
          <w:tcPr>
            <w:tcW w:w="2284" w:type="dxa"/>
          </w:tcPr>
          <w:p w:rsidR="00A069BF" w:rsidRPr="0069785C" w:rsidRDefault="00A069BF" w:rsidP="00CC3BD7">
            <w:pPr>
              <w:jc w:val="center"/>
              <w:rPr>
                <w:b/>
                <w:sz w:val="26"/>
                <w:szCs w:val="26"/>
              </w:rPr>
            </w:pPr>
            <w:r w:rsidRPr="0069785C">
              <w:rPr>
                <w:b/>
                <w:sz w:val="26"/>
                <w:szCs w:val="26"/>
              </w:rPr>
              <w:t>4</w:t>
            </w:r>
          </w:p>
        </w:tc>
      </w:tr>
      <w:tr w:rsidR="00A069BF" w:rsidRPr="0069785C" w:rsidTr="00CC3BD7">
        <w:tblPrEx>
          <w:tblCellMar>
            <w:top w:w="0" w:type="dxa"/>
            <w:bottom w:w="0" w:type="dxa"/>
          </w:tblCellMar>
        </w:tblPrEx>
        <w:trPr>
          <w:trHeight w:val="379"/>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Elaborarea proiectului de lege pentru modificarea şi completarea Legii nr.1591-XV din 26 decembrie 2002 privind protecţia socială suplimentară a unor beneficiari de pensii, stabilite în sistemul public de asigurări sociale</w:t>
            </w:r>
          </w:p>
          <w:p w:rsidR="00A069BF" w:rsidRPr="0069785C" w:rsidRDefault="00A069BF" w:rsidP="00CC3BD7">
            <w:pPr>
              <w:jc w:val="both"/>
            </w:pPr>
          </w:p>
        </w:tc>
        <w:tc>
          <w:tcPr>
            <w:tcW w:w="3402" w:type="dxa"/>
          </w:tcPr>
          <w:p w:rsidR="00A069BF" w:rsidRPr="0069785C" w:rsidRDefault="00A069BF" w:rsidP="00CC3BD7">
            <w:pPr>
              <w:jc w:val="center"/>
            </w:pPr>
            <w:r w:rsidRPr="0069785C">
              <w:t>Ministerul Muncii, Protecţiei Sociale şi Familiei</w:t>
            </w:r>
          </w:p>
        </w:tc>
        <w:tc>
          <w:tcPr>
            <w:tcW w:w="2284" w:type="dxa"/>
          </w:tcPr>
          <w:p w:rsidR="00A069BF" w:rsidRPr="0069785C" w:rsidRDefault="00A069BF" w:rsidP="00CC3BD7">
            <w:pPr>
              <w:jc w:val="center"/>
            </w:pPr>
            <w:r>
              <w:t>Semestrul I</w:t>
            </w:r>
          </w:p>
          <w:p w:rsidR="00A069BF" w:rsidRPr="0069785C" w:rsidRDefault="00A069BF" w:rsidP="00CC3BD7">
            <w:pPr>
              <w:jc w:val="center"/>
            </w:pP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Elaborarea proiectului de modificare şi completare a Hotărîrii Guvernului nr. 1167 din 16 octombrie 2008 „Pentru aprobarea Regulamentului cu privire la modul de stabilire şi plată a ajutorului social” în partea ce ţine de excluderea venitului din activitatea agricolă (în cazul lipsei de acces la aceste terenuri) la determinarea şi calcularea venitului global mediu lunar al familiei</w:t>
            </w:r>
          </w:p>
          <w:p w:rsidR="00A069BF" w:rsidRPr="0069785C" w:rsidRDefault="00A069BF" w:rsidP="00CC3BD7">
            <w:pPr>
              <w:jc w:val="both"/>
            </w:pPr>
          </w:p>
        </w:tc>
        <w:tc>
          <w:tcPr>
            <w:tcW w:w="3402" w:type="dxa"/>
          </w:tcPr>
          <w:p w:rsidR="00A069BF" w:rsidRPr="0069785C" w:rsidRDefault="00A069BF" w:rsidP="00CC3BD7">
            <w:pPr>
              <w:jc w:val="center"/>
            </w:pPr>
            <w:r w:rsidRPr="0069785C">
              <w:t>Ministerul Muncii, Protecţiei Sociale şi Familiei</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Elaborarea propunerilor privind trecerea Gimnaziului „Anatol Codru” din comuna Molovata Nouă, a Liceului Teoretic „Vlad Ioviţă” din comuna Cocieri şi a Liceului Teoretic din comuna Doroţcaia, raionul Dubăsari, în subordinea Ministerului Educaţiei pentru a acorda cadrelor didactice </w:t>
            </w:r>
            <w:r>
              <w:t xml:space="preserve">din </w:t>
            </w:r>
            <w:r w:rsidRPr="0069785C">
              <w:t xml:space="preserve">aceste instituţii suplimente la salariu şi </w:t>
            </w:r>
            <w:r>
              <w:t xml:space="preserve">pentru </w:t>
            </w:r>
            <w:r w:rsidRPr="0069785C">
              <w:t xml:space="preserve">a crea condiţii </w:t>
            </w:r>
            <w:r>
              <w:t>adecvate</w:t>
            </w:r>
            <w:r w:rsidRPr="0069785C">
              <w:t xml:space="preserve"> de activitate</w:t>
            </w:r>
          </w:p>
          <w:p w:rsidR="00A069BF" w:rsidRPr="0069785C" w:rsidRDefault="00A069BF" w:rsidP="00CC3BD7">
            <w:pPr>
              <w:jc w:val="both"/>
            </w:pPr>
          </w:p>
        </w:tc>
        <w:tc>
          <w:tcPr>
            <w:tcW w:w="3402" w:type="dxa"/>
          </w:tcPr>
          <w:p w:rsidR="00A069BF" w:rsidRPr="0069785C" w:rsidRDefault="00A069BF" w:rsidP="00CC3BD7">
            <w:pPr>
              <w:jc w:val="center"/>
            </w:pPr>
            <w:r w:rsidRPr="0069785C">
              <w:t>Ministerul Muncii, Protecţiei Sociale şi Familiei;</w:t>
            </w:r>
          </w:p>
          <w:p w:rsidR="00A069BF" w:rsidRPr="0069785C" w:rsidRDefault="00A069BF" w:rsidP="00CC3BD7">
            <w:pPr>
              <w:jc w:val="center"/>
            </w:pPr>
            <w:r w:rsidRPr="0069785C">
              <w:t>Ministerul Educaţiei</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Default="00A069BF" w:rsidP="00CC3BD7">
            <w:pPr>
              <w:jc w:val="both"/>
            </w:pPr>
            <w:r w:rsidRPr="0069785C">
              <w:t xml:space="preserve">Revizuirea cadrului normativ în vederea scutirii proprietarilor de terenuri agricole situate după traseul Rîbniţa-Tiraspol de plata primelor de asigurare obligatorie de asistenţă medicală </w:t>
            </w:r>
          </w:p>
          <w:p w:rsidR="00A069BF" w:rsidRDefault="00A069BF" w:rsidP="00CC3BD7">
            <w:pPr>
              <w:jc w:val="both"/>
            </w:pPr>
          </w:p>
          <w:p w:rsidR="00A069BF" w:rsidRDefault="00A069BF" w:rsidP="00CC3BD7">
            <w:pPr>
              <w:jc w:val="both"/>
            </w:pPr>
          </w:p>
          <w:p w:rsidR="00A069BF" w:rsidRPr="0069785C" w:rsidRDefault="00A069BF" w:rsidP="00CC3BD7">
            <w:pPr>
              <w:jc w:val="both"/>
            </w:pPr>
          </w:p>
        </w:tc>
        <w:tc>
          <w:tcPr>
            <w:tcW w:w="3402" w:type="dxa"/>
          </w:tcPr>
          <w:p w:rsidR="00A069BF" w:rsidRPr="0069785C" w:rsidRDefault="00A069BF" w:rsidP="00CC3BD7">
            <w:pPr>
              <w:jc w:val="center"/>
            </w:pPr>
            <w:r w:rsidRPr="0069785C">
              <w:t>Compania Naţională de Asigurări în Medicină</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Modificarea şi completarea Hotărîrii Guvernului nr. 567 din 21 mai 2007 „Pentru aprobarea Regulamentului privind modul de compensare a veniturilor bugetelor locale, bugetului asigurărilor sociale de stat şi fondurilor asigurării obligatorii de asistenţă medicală, ratate în legătură cu scutirea deţinătorilor de terenuri agricole situate după traseul Rîbniţa-Tiraspol de plata impozitului funciar, plata contribuţiilor de asigurări sociale de stat obligatorii şi plata primelor de asigurare obligatorie de asistenţă medicală”, precum şi a actelor normative conexe acesteia </w:t>
            </w:r>
          </w:p>
          <w:p w:rsidR="00A069BF" w:rsidRPr="0069785C" w:rsidRDefault="00A069BF" w:rsidP="00CC3BD7">
            <w:pPr>
              <w:jc w:val="both"/>
            </w:pPr>
          </w:p>
        </w:tc>
        <w:tc>
          <w:tcPr>
            <w:tcW w:w="3402" w:type="dxa"/>
          </w:tcPr>
          <w:p w:rsidR="00A069BF" w:rsidRPr="0069785C" w:rsidRDefault="00A069BF" w:rsidP="00CC3BD7">
            <w:pPr>
              <w:jc w:val="center"/>
            </w:pPr>
            <w:r w:rsidRPr="0069785C">
              <w:t>Ministerul Muncii, Protecţiei Sociale şi Familiei;</w:t>
            </w:r>
          </w:p>
          <w:p w:rsidR="00A069BF" w:rsidRPr="0069785C" w:rsidRDefault="00A069BF" w:rsidP="00CC3BD7">
            <w:pPr>
              <w:jc w:val="center"/>
            </w:pPr>
            <w:r w:rsidRPr="0069785C">
              <w:t>Ministerul Economiei;</w:t>
            </w:r>
          </w:p>
          <w:p w:rsidR="00A069BF" w:rsidRPr="0069785C" w:rsidRDefault="00A069BF" w:rsidP="00CC3BD7">
            <w:pPr>
              <w:jc w:val="center"/>
            </w:pPr>
            <w:r w:rsidRPr="0069785C">
              <w:t>Ministerul Finanţelor;</w:t>
            </w:r>
          </w:p>
          <w:p w:rsidR="00A069BF" w:rsidRPr="0069785C" w:rsidRDefault="00A069BF" w:rsidP="00CC3BD7">
            <w:pPr>
              <w:jc w:val="center"/>
            </w:pPr>
            <w:r w:rsidRPr="0069785C">
              <w:t>Compania Naţională de Asigurări în Medicină;</w:t>
            </w:r>
          </w:p>
          <w:p w:rsidR="00A069BF" w:rsidRPr="0069785C" w:rsidRDefault="00A069BF" w:rsidP="00CC3BD7">
            <w:pPr>
              <w:jc w:val="center"/>
            </w:pPr>
            <w:r w:rsidRPr="0069785C">
              <w:t>Casa Naţională de Asigurări Sociale;</w:t>
            </w:r>
          </w:p>
          <w:p w:rsidR="00A069BF" w:rsidRPr="0069785C" w:rsidRDefault="00A069BF" w:rsidP="00CC3BD7">
            <w:pPr>
              <w:jc w:val="center"/>
            </w:pPr>
            <w:r w:rsidRPr="0069785C">
              <w:t>Agenţia Relaţii Funciare şi Cadastru</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Elaborarea proiectului de hotărîre de Guvern </w:t>
            </w:r>
            <w:r>
              <w:t>p</w:t>
            </w:r>
            <w:r w:rsidRPr="0069785C">
              <w:t xml:space="preserve">entru </w:t>
            </w:r>
            <w:r>
              <w:t xml:space="preserve">aprobarea proiectului de lege privind </w:t>
            </w:r>
            <w:r w:rsidRPr="0069785C">
              <w:t>completarea articolului 4 din Legea nr. l585-X</w:t>
            </w:r>
            <w:r>
              <w:t>III</w:t>
            </w:r>
            <w:r w:rsidRPr="0069785C">
              <w:t xml:space="preserve"> din 27 februarie 1998 cu privire la asigurarea obligatorie de asistenţă medicală, care să prevadă includerea persoanelor participante la acţiunile de luptă pentru apărarea integrităţii teritoriale şi independenţei Republicii Moldova în categoria de persoane neangajate pentru care primele de asigurare se achită din contul bugetului de stat</w:t>
            </w:r>
          </w:p>
          <w:p w:rsidR="00A069BF" w:rsidRPr="0069785C" w:rsidRDefault="00A069BF" w:rsidP="00CC3BD7">
            <w:pPr>
              <w:jc w:val="both"/>
            </w:pPr>
          </w:p>
        </w:tc>
        <w:tc>
          <w:tcPr>
            <w:tcW w:w="3402" w:type="dxa"/>
          </w:tcPr>
          <w:p w:rsidR="00A069BF" w:rsidRPr="0069785C" w:rsidRDefault="00A069BF" w:rsidP="00CC3BD7">
            <w:pPr>
              <w:jc w:val="center"/>
            </w:pPr>
            <w:r w:rsidRPr="0069785C">
              <w:t>Ministerul Sănătăţii;</w:t>
            </w:r>
          </w:p>
          <w:p w:rsidR="00A069BF" w:rsidRPr="0069785C" w:rsidRDefault="00A069BF" w:rsidP="00CC3BD7">
            <w:pPr>
              <w:jc w:val="center"/>
            </w:pPr>
            <w:r w:rsidRPr="0069785C">
              <w:t>Ministerul Finanţelor</w:t>
            </w:r>
          </w:p>
        </w:tc>
        <w:tc>
          <w:tcPr>
            <w:tcW w:w="2284" w:type="dxa"/>
          </w:tcPr>
          <w:p w:rsidR="00A069BF" w:rsidRPr="0069785C" w:rsidRDefault="00A069BF" w:rsidP="00CC3BD7">
            <w:pPr>
              <w:jc w:val="center"/>
            </w:pPr>
            <w:r w:rsidRPr="0069785C">
              <w:t>Etapa de avizare</w:t>
            </w:r>
          </w:p>
          <w:p w:rsidR="00A069BF" w:rsidRPr="0069785C" w:rsidRDefault="00A069BF" w:rsidP="00CC3BD7">
            <w:pPr>
              <w:jc w:val="center"/>
            </w:pP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Elaborarea mecanismului de liber trafic la punctele de trecere pentru transportul sanitar specializat al Serviciului de urgenţă</w:t>
            </w:r>
          </w:p>
        </w:tc>
        <w:tc>
          <w:tcPr>
            <w:tcW w:w="3402" w:type="dxa"/>
          </w:tcPr>
          <w:p w:rsidR="00A069BF" w:rsidRPr="0069785C" w:rsidRDefault="00A069BF" w:rsidP="00CC3BD7">
            <w:pPr>
              <w:jc w:val="center"/>
            </w:pPr>
            <w:r w:rsidRPr="0069785C">
              <w:t>Ministerul Sănătăţii;</w:t>
            </w:r>
          </w:p>
          <w:p w:rsidR="00A069BF" w:rsidRPr="0069785C" w:rsidRDefault="00A069BF" w:rsidP="00CC3BD7">
            <w:pPr>
              <w:jc w:val="center"/>
            </w:pPr>
            <w:r w:rsidRPr="0069785C">
              <w:t>Serviciul Vamal;</w:t>
            </w:r>
          </w:p>
          <w:p w:rsidR="00A069BF" w:rsidRPr="0069785C" w:rsidRDefault="00A069BF" w:rsidP="00CC3BD7">
            <w:pPr>
              <w:jc w:val="center"/>
            </w:pPr>
            <w:r w:rsidRPr="0069785C">
              <w:t>Comisia Unificată de Control</w:t>
            </w:r>
          </w:p>
          <w:p w:rsidR="00A069BF" w:rsidRPr="0069785C" w:rsidRDefault="00A069BF" w:rsidP="00CC3BD7">
            <w:pPr>
              <w:jc w:val="center"/>
            </w:pP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Examinarea posibilităţii de finanţare a proiectului privind achiziţionarea instalaţiei de radiologie pentru dotarea Centrului de Sănătate Dubăsari din sursele fondului de dezvoltare şi modernizare a prestatorilor publici de servicii medicale</w:t>
            </w:r>
            <w:r>
              <w:t xml:space="preserve"> sau ale fondului </w:t>
            </w:r>
            <w:r w:rsidRPr="0069785C">
              <w:t xml:space="preserve">asigurării obligatorii de asistenţă medicală. </w:t>
            </w:r>
          </w:p>
          <w:p w:rsidR="00A069BF" w:rsidRPr="0069785C" w:rsidRDefault="00A069BF" w:rsidP="00CC3BD7">
            <w:pPr>
              <w:jc w:val="both"/>
            </w:pPr>
            <w:r w:rsidRPr="0069785C">
              <w:t xml:space="preserve">Eventual, cofinanţarea proiectului prin intermediul Programului activităţilor de reintegrare a ţării. </w:t>
            </w:r>
          </w:p>
          <w:p w:rsidR="00A069BF" w:rsidRDefault="00A069BF" w:rsidP="00CC3BD7">
            <w:pPr>
              <w:jc w:val="both"/>
              <w:rPr>
                <w:i/>
              </w:rPr>
            </w:pPr>
            <w:r w:rsidRPr="0069785C">
              <w:rPr>
                <w:i/>
              </w:rPr>
              <w:t>Alternativa cost-eficienţă: organizarea examinării persoanelor din grupele de risc prin intermediul serviciului de radiografie mobilă prestat de Institutul de Ftiziopulmonologie ,,Chiril Draganiuc” din oraşul Chişinău</w:t>
            </w:r>
          </w:p>
          <w:p w:rsidR="00A069BF" w:rsidRDefault="00A069BF" w:rsidP="00CC3BD7">
            <w:pPr>
              <w:jc w:val="both"/>
              <w:rPr>
                <w:i/>
              </w:rPr>
            </w:pPr>
          </w:p>
          <w:p w:rsidR="00A069BF" w:rsidRPr="0069785C" w:rsidRDefault="00A069BF" w:rsidP="00CC3BD7">
            <w:pPr>
              <w:jc w:val="both"/>
              <w:rPr>
                <w:i/>
              </w:rPr>
            </w:pPr>
          </w:p>
        </w:tc>
        <w:tc>
          <w:tcPr>
            <w:tcW w:w="3402" w:type="dxa"/>
          </w:tcPr>
          <w:p w:rsidR="00A069BF" w:rsidRPr="0069785C" w:rsidRDefault="00A069BF" w:rsidP="00CC3BD7">
            <w:pPr>
              <w:jc w:val="center"/>
            </w:pPr>
            <w:r w:rsidRPr="0069785C">
              <w:t>Ministerul Sănătăţii;</w:t>
            </w:r>
          </w:p>
          <w:p w:rsidR="00A069BF" w:rsidRPr="0069785C" w:rsidRDefault="00A069BF" w:rsidP="00CC3BD7">
            <w:pPr>
              <w:jc w:val="center"/>
            </w:pPr>
            <w:r w:rsidRPr="0069785C">
              <w:t>Compania Naţionala de Asigurări în Medicină;</w:t>
            </w:r>
          </w:p>
          <w:p w:rsidR="00A069BF" w:rsidRPr="0069785C" w:rsidRDefault="00A069BF" w:rsidP="00CC3BD7">
            <w:pPr>
              <w:jc w:val="center"/>
            </w:pPr>
            <w:r w:rsidRPr="0069785C">
              <w:t>Cancelaria de Stat</w:t>
            </w:r>
          </w:p>
          <w:p w:rsidR="00A069BF" w:rsidRPr="0069785C" w:rsidRDefault="00A069BF" w:rsidP="00CC3BD7">
            <w:pPr>
              <w:jc w:val="center"/>
            </w:pPr>
            <w:r w:rsidRPr="0069785C">
              <w:t>(Biroul pentru reintegrare)</w:t>
            </w:r>
          </w:p>
          <w:p w:rsidR="00A069BF" w:rsidRPr="0069785C" w:rsidRDefault="00A069BF" w:rsidP="00CC3BD7">
            <w:pPr>
              <w:jc w:val="center"/>
            </w:pPr>
          </w:p>
          <w:p w:rsidR="00A069BF" w:rsidRPr="0069785C" w:rsidRDefault="00A069BF" w:rsidP="00CC3BD7">
            <w:pPr>
              <w:jc w:val="center"/>
            </w:pPr>
          </w:p>
          <w:p w:rsidR="00A069BF" w:rsidRPr="0069785C" w:rsidRDefault="00A069BF" w:rsidP="00CC3BD7">
            <w:pPr>
              <w:jc w:val="center"/>
            </w:pPr>
          </w:p>
          <w:p w:rsidR="00A069BF" w:rsidRPr="0069785C" w:rsidRDefault="00A069BF" w:rsidP="00CC3BD7">
            <w:pPr>
              <w:jc w:val="center"/>
            </w:pPr>
          </w:p>
          <w:p w:rsidR="00A069BF" w:rsidRPr="0069785C" w:rsidRDefault="00A069BF" w:rsidP="00CC3BD7">
            <w:pPr>
              <w:jc w:val="center"/>
            </w:pP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Informarea populaţiei privind accesul la servicii de consiliere şi furnizare </w:t>
            </w:r>
            <w:r>
              <w:t>a</w:t>
            </w:r>
            <w:r w:rsidRPr="0069785C">
              <w:t xml:space="preserve"> informaţii</w:t>
            </w:r>
            <w:r>
              <w:t>lor</w:t>
            </w:r>
            <w:r w:rsidRPr="0069785C">
              <w:t xml:space="preserve"> în domeniul asigurării obligatorii de asistenţă medicală, inclusiv înaintarea de reclamaţii la adresa prestatorilor de servicii medicale prin accesarea gratuită a serviciului „Linia Verde” al Companiei Naţionale de Asigurări în Medicină</w:t>
            </w:r>
          </w:p>
        </w:tc>
        <w:tc>
          <w:tcPr>
            <w:tcW w:w="3402" w:type="dxa"/>
          </w:tcPr>
          <w:p w:rsidR="00A069BF" w:rsidRPr="0069785C" w:rsidRDefault="00A069BF" w:rsidP="00CC3BD7">
            <w:pPr>
              <w:jc w:val="center"/>
            </w:pPr>
            <w:r w:rsidRPr="0069785C">
              <w:t xml:space="preserve">Ministerul Sănătăţii </w:t>
            </w:r>
          </w:p>
          <w:p w:rsidR="00A069BF" w:rsidRPr="0069785C" w:rsidRDefault="00A069BF" w:rsidP="00CC3BD7">
            <w:pPr>
              <w:jc w:val="center"/>
            </w:pPr>
            <w:r w:rsidRPr="0069785C">
              <w:t>(Centrul de Sănătate Dubăsari);</w:t>
            </w:r>
          </w:p>
          <w:p w:rsidR="00A069BF" w:rsidRPr="0069785C" w:rsidRDefault="00A069BF" w:rsidP="00CC3BD7">
            <w:pPr>
              <w:jc w:val="center"/>
            </w:pPr>
            <w:r w:rsidRPr="0069785C">
              <w:t>Agenţia teritorială a Companiei Naţionale de Asigurări în Medicină</w:t>
            </w:r>
          </w:p>
          <w:p w:rsidR="00A069BF" w:rsidRPr="0069785C" w:rsidRDefault="00A069BF" w:rsidP="00CC3BD7">
            <w:pPr>
              <w:jc w:val="center"/>
            </w:pPr>
          </w:p>
        </w:tc>
        <w:tc>
          <w:tcPr>
            <w:tcW w:w="2284" w:type="dxa"/>
          </w:tcPr>
          <w:p w:rsidR="00A069BF" w:rsidRPr="0069785C" w:rsidRDefault="00A069BF" w:rsidP="00CC3BD7">
            <w:pPr>
              <w:jc w:val="center"/>
            </w:pPr>
            <w:r w:rsidRPr="0069785C">
              <w:t>Permanent</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Asigurarea accesului populaţiei din localităţile amplasate în Zona de securitate la serviciile specializate de ambulator şi staţionar ale Spitalului raional Criuleni, Spitalului Clinic al Ministerului Sănătăţii, precum şi ale instituţiilor medico-sanitare publice de nivel republican, în conformitate cu cerinţele Ministerului Sănătăţii şi a</w:t>
            </w:r>
            <w:r>
              <w:t>le</w:t>
            </w:r>
            <w:r w:rsidRPr="0069785C">
              <w:t xml:space="preserve"> Companiei Naţionale de Asigurări în Medicină </w:t>
            </w:r>
          </w:p>
        </w:tc>
        <w:tc>
          <w:tcPr>
            <w:tcW w:w="3402" w:type="dxa"/>
          </w:tcPr>
          <w:p w:rsidR="00A069BF" w:rsidRPr="0069785C" w:rsidRDefault="00A069BF" w:rsidP="00CC3BD7">
            <w:pPr>
              <w:jc w:val="center"/>
            </w:pPr>
            <w:r w:rsidRPr="0069785C">
              <w:t>Ministerul Sănătăţii</w:t>
            </w:r>
          </w:p>
          <w:p w:rsidR="00A069BF" w:rsidRPr="0069785C" w:rsidRDefault="00A069BF" w:rsidP="00CC3BD7">
            <w:pPr>
              <w:jc w:val="center"/>
            </w:pPr>
            <w:r>
              <w:t>(</w:t>
            </w:r>
            <w:r w:rsidRPr="0069785C">
              <w:t>Centrul de Sănătate Dubăsari</w:t>
            </w:r>
            <w:r>
              <w:t>)</w:t>
            </w:r>
            <w:r w:rsidRPr="0069785C">
              <w:t>;</w:t>
            </w:r>
          </w:p>
          <w:p w:rsidR="00A069BF" w:rsidRPr="0069785C" w:rsidRDefault="00A069BF" w:rsidP="00CC3BD7">
            <w:pPr>
              <w:jc w:val="center"/>
            </w:pPr>
            <w:r w:rsidRPr="0069785C">
              <w:t>Spitalul Raional Criuleni;</w:t>
            </w:r>
          </w:p>
          <w:p w:rsidR="00A069BF" w:rsidRPr="0069785C" w:rsidRDefault="00A069BF" w:rsidP="00CC3BD7">
            <w:pPr>
              <w:jc w:val="center"/>
            </w:pPr>
            <w:r w:rsidRPr="0069785C">
              <w:t>Spitalul Clinic al</w:t>
            </w:r>
          </w:p>
          <w:p w:rsidR="00A069BF" w:rsidRPr="0069785C" w:rsidRDefault="00A069BF" w:rsidP="00CC3BD7">
            <w:pPr>
              <w:jc w:val="center"/>
            </w:pPr>
            <w:r w:rsidRPr="0069785C">
              <w:t>Ministerul Sănătăţii;</w:t>
            </w:r>
          </w:p>
          <w:p w:rsidR="00A069BF" w:rsidRPr="0069785C" w:rsidRDefault="00A069BF" w:rsidP="00CC3BD7">
            <w:pPr>
              <w:jc w:val="center"/>
            </w:pPr>
            <w:r w:rsidRPr="0069785C">
              <w:t>instituţiile medico-sanitare publice de nivel republican</w:t>
            </w:r>
          </w:p>
          <w:p w:rsidR="00A069BF" w:rsidRPr="0069785C" w:rsidRDefault="00A069BF" w:rsidP="00CC3BD7">
            <w:pPr>
              <w:jc w:val="center"/>
            </w:pPr>
          </w:p>
        </w:tc>
        <w:tc>
          <w:tcPr>
            <w:tcW w:w="2284" w:type="dxa"/>
          </w:tcPr>
          <w:p w:rsidR="00A069BF" w:rsidRPr="0069785C" w:rsidRDefault="00A069BF" w:rsidP="00CC3BD7">
            <w:pPr>
              <w:jc w:val="center"/>
            </w:pPr>
            <w:r w:rsidRPr="0069785C">
              <w:t>Permanent</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Examinarea posibilităţii de fortificare a bazei tehnico-materiale a Oficiului Medicilor de Familie Molovata Nouă din sursele fondului de dezvoltare şi modernizare a prestatorilor publici de servicii medicale</w:t>
            </w:r>
            <w:r>
              <w:t xml:space="preserve"> sau </w:t>
            </w:r>
            <w:r w:rsidRPr="0069785C">
              <w:t>al</w:t>
            </w:r>
            <w:r>
              <w:t xml:space="preserve">e fondului </w:t>
            </w:r>
            <w:r w:rsidRPr="0069785C">
              <w:t>asigurării obligatorii de asistenţă medicală</w:t>
            </w:r>
          </w:p>
          <w:p w:rsidR="00A069BF" w:rsidRPr="0069785C" w:rsidRDefault="00A069BF" w:rsidP="00CC3BD7">
            <w:pPr>
              <w:jc w:val="both"/>
            </w:pPr>
          </w:p>
        </w:tc>
        <w:tc>
          <w:tcPr>
            <w:tcW w:w="3402" w:type="dxa"/>
          </w:tcPr>
          <w:p w:rsidR="00A069BF" w:rsidRDefault="00A069BF" w:rsidP="00CC3BD7">
            <w:pPr>
              <w:jc w:val="center"/>
            </w:pPr>
            <w:r w:rsidRPr="0069785C">
              <w:t xml:space="preserve">Ministerul Sănătăţii </w:t>
            </w:r>
          </w:p>
          <w:p w:rsidR="00A069BF" w:rsidRPr="0069785C" w:rsidRDefault="00A069BF" w:rsidP="00CC3BD7">
            <w:pPr>
              <w:jc w:val="center"/>
            </w:pPr>
            <w:r>
              <w:t>(</w:t>
            </w:r>
            <w:r w:rsidRPr="0069785C">
              <w:t>Centrul de Sănătate Dubăsari</w:t>
            </w:r>
            <w:r>
              <w:t>)</w:t>
            </w:r>
            <w:r w:rsidRPr="0069785C">
              <w:t>;</w:t>
            </w:r>
          </w:p>
          <w:p w:rsidR="00A069BF" w:rsidRPr="0069785C" w:rsidRDefault="00A069BF" w:rsidP="00CC3BD7">
            <w:pPr>
              <w:jc w:val="center"/>
            </w:pPr>
            <w:r w:rsidRPr="0069785C">
              <w:t>Compania Naţională de Asigurări în Medicină</w:t>
            </w:r>
          </w:p>
        </w:tc>
        <w:tc>
          <w:tcPr>
            <w:tcW w:w="2284" w:type="dxa"/>
          </w:tcPr>
          <w:p w:rsidR="00A069BF" w:rsidRPr="0069785C" w:rsidRDefault="00A069BF" w:rsidP="00CC3BD7">
            <w:pPr>
              <w:jc w:val="center"/>
            </w:pPr>
            <w:r w:rsidRPr="0069785C">
              <w:t>Semestrul 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Crearea unei comisii privind inspecţia terenurilor amplasate după traseul Rîbniţa-Tiraspol la care nu au acces fermierii care au efectuat lucrări în sezonul agricol 2013-2014, în vederea estimării cheltuielilor aferente procesului de prelucrare a acestora şi identificării resurselor bugetare necesare pentru achitarea compensaţiilor persoanelor fizice şi juridice care au efectuat lucrări agricole în sezonul agricol 2013-2014 </w:t>
            </w:r>
          </w:p>
        </w:tc>
        <w:tc>
          <w:tcPr>
            <w:tcW w:w="3402" w:type="dxa"/>
          </w:tcPr>
          <w:p w:rsidR="00A069BF" w:rsidRPr="0069785C" w:rsidRDefault="00A069BF" w:rsidP="00CC3BD7">
            <w:pPr>
              <w:jc w:val="center"/>
            </w:pPr>
            <w:r w:rsidRPr="0069785C">
              <w:t>Ministerul Agriculturii şi Industriei Alimentare î</w:t>
            </w:r>
            <w:r>
              <w:t xml:space="preserve">mpreună </w:t>
            </w:r>
            <w:r w:rsidRPr="0069785C">
              <w:t>cu Consiliul raional Dubăsari</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Încurajarea investiţiilor în domeniul agricol (zootehnic) şi turistic în localităţile din raionul Dubăsari, precum şi organizarea unor întîlniri cu antreprenorii şi persoanele interesate de finanţarea proiectelor respective din fondul de subvenţionare a producătorilor agricoli şi </w:t>
            </w:r>
            <w:r>
              <w:t xml:space="preserve">din fondul de </w:t>
            </w:r>
            <w:r w:rsidRPr="0069785C">
              <w:t>dezvoltare</w:t>
            </w:r>
            <w:r>
              <w:t xml:space="preserve"> </w:t>
            </w:r>
            <w:r w:rsidRPr="0069785C">
              <w:t>a turismului</w:t>
            </w:r>
          </w:p>
        </w:tc>
        <w:tc>
          <w:tcPr>
            <w:tcW w:w="3402" w:type="dxa"/>
          </w:tcPr>
          <w:p w:rsidR="00A069BF" w:rsidRPr="0069785C" w:rsidRDefault="00A069BF" w:rsidP="00CC3BD7">
            <w:pPr>
              <w:jc w:val="center"/>
            </w:pPr>
            <w:r w:rsidRPr="0069785C">
              <w:t>Ministerul Agriculturii şi Industriei Alimentare;</w:t>
            </w:r>
          </w:p>
          <w:p w:rsidR="00A069BF" w:rsidRPr="0069785C" w:rsidRDefault="00A069BF" w:rsidP="00CC3BD7">
            <w:pPr>
              <w:jc w:val="center"/>
            </w:pPr>
            <w:r w:rsidRPr="0069785C">
              <w:t>Agenţia de Intervenţie şi Plăţi</w:t>
            </w:r>
          </w:p>
          <w:p w:rsidR="00A069BF" w:rsidRPr="0069785C" w:rsidRDefault="00A069BF" w:rsidP="00CC3BD7">
            <w:pPr>
              <w:jc w:val="center"/>
            </w:pPr>
            <w:r w:rsidRPr="0069785C">
              <w:t xml:space="preserve"> în Agricultură;</w:t>
            </w:r>
          </w:p>
          <w:p w:rsidR="00A069BF" w:rsidRDefault="00A069BF" w:rsidP="00CC3BD7">
            <w:pPr>
              <w:jc w:val="center"/>
            </w:pPr>
            <w:r w:rsidRPr="0069785C">
              <w:t>Agenţia Turismului</w:t>
            </w:r>
          </w:p>
          <w:p w:rsidR="00A069BF" w:rsidRDefault="00A069BF" w:rsidP="00CC3BD7">
            <w:pPr>
              <w:jc w:val="center"/>
            </w:pPr>
          </w:p>
          <w:p w:rsidR="00A069BF" w:rsidRPr="0069785C" w:rsidRDefault="00A069BF" w:rsidP="00CC3BD7">
            <w:pPr>
              <w:jc w:val="center"/>
            </w:pP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Acordarea unor facilităţi producători</w:t>
            </w:r>
            <w:r>
              <w:t>lor</w:t>
            </w:r>
            <w:r w:rsidRPr="0069785C">
              <w:t xml:space="preserve"> privaţi din regiune la obţinerea certificatului de calitate a materialului săditor</w:t>
            </w:r>
            <w:r>
              <w:t>,</w:t>
            </w:r>
            <w:r w:rsidRPr="0069785C">
              <w:t xml:space="preserve"> în conformitate cu prevederile Hotărîrii Guvernului nr. 713 din 12 septembrie 2013 </w:t>
            </w:r>
            <w:r>
              <w:t>„P</w:t>
            </w:r>
            <w:r w:rsidRPr="0069785C">
              <w:t>entru aprobarea Cerinţelor privind producerea şi comercializarea seminţelor de legume, răsadurilor şi a materialului săditor legumicol</w:t>
            </w:r>
            <w:r>
              <w:t>”</w:t>
            </w:r>
          </w:p>
        </w:tc>
        <w:tc>
          <w:tcPr>
            <w:tcW w:w="3402" w:type="dxa"/>
          </w:tcPr>
          <w:p w:rsidR="00A069BF" w:rsidRPr="0069785C" w:rsidRDefault="00A069BF" w:rsidP="00CC3BD7">
            <w:pPr>
              <w:jc w:val="center"/>
            </w:pPr>
            <w:r w:rsidRPr="0069785C">
              <w:t>Ministerul Agriculturii şi Industriei Alimentare</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Elaborarea propunerilor de modificare a actelor legislative şi a normativelor privind achiziţiile publice, astfel încît să fie posibilă achiziţia de produse alimentare pentru instituţiile bugetare (şcoli, grădiniţe, spitale) de la producătorii locali din localităţile Cocieri şi Molovata Nouă din raionul Dubăsari</w:t>
            </w:r>
          </w:p>
        </w:tc>
        <w:tc>
          <w:tcPr>
            <w:tcW w:w="3402" w:type="dxa"/>
          </w:tcPr>
          <w:p w:rsidR="00A069BF" w:rsidRPr="0069785C" w:rsidRDefault="00A069BF" w:rsidP="00CC3BD7">
            <w:pPr>
              <w:jc w:val="center"/>
            </w:pPr>
            <w:r w:rsidRPr="0069785C">
              <w:t>Ministerul Finanţelor;</w:t>
            </w:r>
          </w:p>
          <w:p w:rsidR="00A069BF" w:rsidRPr="0069785C" w:rsidRDefault="00A069BF" w:rsidP="00CC3BD7">
            <w:pPr>
              <w:jc w:val="center"/>
            </w:pPr>
            <w:r w:rsidRPr="0069785C">
              <w:t>Ministerul Agriculturii şi Industriei Alimentare;</w:t>
            </w:r>
          </w:p>
          <w:p w:rsidR="00A069BF" w:rsidRPr="0069785C" w:rsidRDefault="00A069BF" w:rsidP="00CC3BD7">
            <w:pPr>
              <w:jc w:val="center"/>
            </w:pPr>
            <w:r w:rsidRPr="0069785C">
              <w:t>Agenţia Achiziţii Publice</w:t>
            </w:r>
          </w:p>
        </w:tc>
        <w:tc>
          <w:tcPr>
            <w:tcW w:w="2284" w:type="dxa"/>
          </w:tcPr>
          <w:p w:rsidR="00A069BF" w:rsidRPr="0069785C" w:rsidRDefault="00A069BF" w:rsidP="00CC3BD7">
            <w:pPr>
              <w:jc w:val="center"/>
            </w:pPr>
            <w:r w:rsidRPr="0069785C">
              <w:t>Trimestrul III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Examinarea şi prezentarea soluţiilor pe marginea litigiului </w:t>
            </w:r>
            <w:r>
              <w:t>di</w:t>
            </w:r>
            <w:r w:rsidRPr="0069785C">
              <w:t>ntre Institutul de Tehnică Agricolă „Mecagro” şi SRL ,,Victoria” din comuna Cocieri, raionul Dubăsari</w:t>
            </w:r>
          </w:p>
          <w:p w:rsidR="00A069BF" w:rsidRPr="0069785C" w:rsidRDefault="00A069BF" w:rsidP="00CC3BD7">
            <w:pPr>
              <w:jc w:val="both"/>
            </w:pPr>
          </w:p>
        </w:tc>
        <w:tc>
          <w:tcPr>
            <w:tcW w:w="3402" w:type="dxa"/>
          </w:tcPr>
          <w:p w:rsidR="00A069BF" w:rsidRPr="0069785C" w:rsidRDefault="00A069BF" w:rsidP="00CC3BD7">
            <w:pPr>
              <w:jc w:val="center"/>
            </w:pPr>
            <w:r w:rsidRPr="0069785C">
              <w:t>Ministerul Agriculturii şi Industriei Alimentare</w:t>
            </w:r>
          </w:p>
        </w:tc>
        <w:tc>
          <w:tcPr>
            <w:tcW w:w="2284" w:type="dxa"/>
          </w:tcPr>
          <w:p w:rsidR="00A069BF" w:rsidRPr="0069785C" w:rsidRDefault="00A069BF" w:rsidP="00CC3BD7">
            <w:pPr>
              <w:jc w:val="center"/>
            </w:pPr>
            <w:r w:rsidRPr="0069785C">
              <w:t>Semestrul 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Soluţionarea problemelor de alimentare gratuită a elevilor claselor V-XII din instituţiile preuniversitare ale localităţilor Cocieri şi Molovata Nouă (raionul Dubăsari), Varniţa (raionul Anenii Noi) şi Copanca (raionul Căuşeni)</w:t>
            </w:r>
          </w:p>
          <w:p w:rsidR="00A069BF" w:rsidRPr="0069785C" w:rsidRDefault="00A069BF" w:rsidP="00CC3BD7">
            <w:pPr>
              <w:jc w:val="both"/>
            </w:pPr>
          </w:p>
        </w:tc>
        <w:tc>
          <w:tcPr>
            <w:tcW w:w="3402" w:type="dxa"/>
          </w:tcPr>
          <w:p w:rsidR="00A069BF" w:rsidRPr="0069785C" w:rsidRDefault="00A069BF" w:rsidP="00CC3BD7">
            <w:pPr>
              <w:jc w:val="center"/>
            </w:pPr>
            <w:r w:rsidRPr="0069785C">
              <w:t>Ministerul Educaţiei;</w:t>
            </w:r>
          </w:p>
          <w:p w:rsidR="00A069BF" w:rsidRPr="0069785C" w:rsidRDefault="00A069BF" w:rsidP="00CC3BD7">
            <w:pPr>
              <w:jc w:val="center"/>
            </w:pPr>
            <w:r w:rsidRPr="0069785C">
              <w:t>Ministerul Finanţelor</w:t>
            </w:r>
          </w:p>
        </w:tc>
        <w:tc>
          <w:tcPr>
            <w:tcW w:w="2284" w:type="dxa"/>
          </w:tcPr>
          <w:p w:rsidR="00A069BF" w:rsidRPr="0069785C" w:rsidRDefault="00A069BF" w:rsidP="00CC3BD7">
            <w:pPr>
              <w:jc w:val="center"/>
            </w:pPr>
            <w:r w:rsidRPr="0069785C">
              <w:t>Trimestrul III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Identificarea necesităţilor prioritare ale instituţiilor educaţionale din localităţile amplasate în stînga rîului Nistru şi includerea acestora în programele de asistenţă externă </w:t>
            </w:r>
            <w:r>
              <w:t xml:space="preserve">în curs de derulare </w:t>
            </w:r>
            <w:r w:rsidRPr="0069785C">
              <w:t>şi/sau în proces de planificare</w:t>
            </w:r>
          </w:p>
          <w:p w:rsidR="00A069BF" w:rsidRPr="0069785C" w:rsidRDefault="00A069BF" w:rsidP="00CC3BD7">
            <w:pPr>
              <w:jc w:val="both"/>
            </w:pPr>
          </w:p>
        </w:tc>
        <w:tc>
          <w:tcPr>
            <w:tcW w:w="3402" w:type="dxa"/>
          </w:tcPr>
          <w:p w:rsidR="00A069BF" w:rsidRPr="0069785C" w:rsidRDefault="00A069BF" w:rsidP="00CC3BD7">
            <w:pPr>
              <w:jc w:val="center"/>
            </w:pPr>
            <w:r w:rsidRPr="0069785C">
              <w:t>Ministerul Educaţiei</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Identificarea mijloacelor băneşti necesare pentru procurarea unui glis</w:t>
            </w:r>
            <w:r>
              <w:t>o</w:t>
            </w:r>
            <w:r w:rsidRPr="0069785C">
              <w:t>r destinat să  faciliteze circulaţia pe rîul Nistru a locuitorilor din Molovata Nouă şi  Cocieri, raionul Dubăsari</w:t>
            </w:r>
            <w:r>
              <w:t>,</w:t>
            </w:r>
            <w:r w:rsidRPr="0069785C">
              <w:t xml:space="preserve"> în perioada rece a anului</w:t>
            </w:r>
          </w:p>
        </w:tc>
        <w:tc>
          <w:tcPr>
            <w:tcW w:w="3402" w:type="dxa"/>
          </w:tcPr>
          <w:p w:rsidR="00A069BF" w:rsidRPr="0069785C" w:rsidRDefault="00A069BF" w:rsidP="00CC3BD7">
            <w:pPr>
              <w:jc w:val="center"/>
            </w:pPr>
            <w:r w:rsidRPr="0069785C">
              <w:t>Ministerul Transporturilor şi Infrastructurii Drumurilor;</w:t>
            </w:r>
          </w:p>
          <w:p w:rsidR="00A069BF" w:rsidRPr="0069785C" w:rsidRDefault="00A069BF" w:rsidP="00CC3BD7">
            <w:pPr>
              <w:jc w:val="center"/>
            </w:pPr>
            <w:r w:rsidRPr="0069785C">
              <w:t>Ministerul Afacerilor Interne;</w:t>
            </w:r>
          </w:p>
          <w:p w:rsidR="00A069BF" w:rsidRPr="0069785C" w:rsidRDefault="00A069BF" w:rsidP="00CC3BD7">
            <w:pPr>
              <w:jc w:val="center"/>
            </w:pPr>
            <w:r w:rsidRPr="0069785C">
              <w:t>Cancelaria de Stat</w:t>
            </w:r>
          </w:p>
          <w:p w:rsidR="00A069BF" w:rsidRPr="0069785C" w:rsidRDefault="00A069BF" w:rsidP="00CC3BD7">
            <w:pPr>
              <w:jc w:val="center"/>
            </w:pPr>
            <w:r w:rsidRPr="0069785C">
              <w:t>(Biroul pentru reintegrare)</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 xml:space="preserve">Stabilirea </w:t>
            </w:r>
            <w:r>
              <w:t xml:space="preserve">de către </w:t>
            </w:r>
            <w:r w:rsidRPr="0069785C">
              <w:t>ÎS ,,Bacul Molovata”</w:t>
            </w:r>
            <w:r>
              <w:t xml:space="preserve"> a </w:t>
            </w:r>
            <w:r w:rsidRPr="0069785C">
              <w:t xml:space="preserve">unui orar de circulaţie adaptat la cerinţele călătorilor         </w:t>
            </w:r>
          </w:p>
        </w:tc>
        <w:tc>
          <w:tcPr>
            <w:tcW w:w="3402" w:type="dxa"/>
          </w:tcPr>
          <w:p w:rsidR="00A069BF" w:rsidRPr="0069785C" w:rsidRDefault="00A069BF" w:rsidP="00CC3BD7">
            <w:pPr>
              <w:jc w:val="center"/>
            </w:pPr>
            <w:r w:rsidRPr="0069785C">
              <w:t>Ministerul Transporturilor şi Infrastructurii Drumurilor</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Identificarea porţiunilor de drum din localităţile Cocieri, Molovata Nouă, Doroţcaia, Coşniţa, Pîrîta (raionul Dubăsari), Copanca (raionul Căuşeni) şi Varniţa  (raionul Anenii Noi), care necesită a fi reparate. Lucrările vor fi executate din contul mijloacelor disponibile ale fondului rutier pe parcursul an</w:t>
            </w:r>
            <w:r>
              <w:t>ilor</w:t>
            </w:r>
            <w:r w:rsidRPr="0069785C">
              <w:t xml:space="preserve"> 2014-2015</w:t>
            </w:r>
          </w:p>
        </w:tc>
        <w:tc>
          <w:tcPr>
            <w:tcW w:w="3402" w:type="dxa"/>
          </w:tcPr>
          <w:p w:rsidR="00A069BF" w:rsidRPr="0069785C" w:rsidRDefault="00A069BF" w:rsidP="00CC3BD7">
            <w:pPr>
              <w:jc w:val="center"/>
            </w:pPr>
            <w:r w:rsidRPr="0069785C">
              <w:t>Ministerul Transporturilor şi Infrastructurii Drumurilor</w:t>
            </w:r>
          </w:p>
          <w:p w:rsidR="00A069BF" w:rsidRPr="0069785C" w:rsidRDefault="00A069BF" w:rsidP="00CC3BD7">
            <w:pPr>
              <w:jc w:val="center"/>
            </w:pP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Efectuarea unor vizite periodice de lucru în raionul Dubăsari pentru identificarea şi soluţionarea problemelor cu care se confruntă locuitorii la trecerea prin posturile vamale interne</w:t>
            </w:r>
          </w:p>
          <w:p w:rsidR="00A069BF" w:rsidRPr="0069785C" w:rsidRDefault="00A069BF" w:rsidP="00CC3BD7">
            <w:pPr>
              <w:jc w:val="both"/>
            </w:pPr>
          </w:p>
        </w:tc>
        <w:tc>
          <w:tcPr>
            <w:tcW w:w="3402" w:type="dxa"/>
          </w:tcPr>
          <w:p w:rsidR="00A069BF" w:rsidRPr="0069785C" w:rsidRDefault="00A069BF" w:rsidP="00CC3BD7">
            <w:pPr>
              <w:jc w:val="center"/>
            </w:pPr>
            <w:r w:rsidRPr="0069785C">
              <w:t>Serviciul Vamal;</w:t>
            </w:r>
          </w:p>
          <w:p w:rsidR="00A069BF" w:rsidRPr="0069785C" w:rsidRDefault="00A069BF" w:rsidP="00CC3BD7">
            <w:pPr>
              <w:jc w:val="center"/>
            </w:pPr>
            <w:r w:rsidRPr="0069785C">
              <w:t>Ministerul Afacerilor Interne</w:t>
            </w:r>
          </w:p>
        </w:tc>
        <w:tc>
          <w:tcPr>
            <w:tcW w:w="2284" w:type="dxa"/>
          </w:tcPr>
          <w:p w:rsidR="00A069BF" w:rsidRPr="0069785C" w:rsidRDefault="00A069BF" w:rsidP="00CC3BD7">
            <w:pPr>
              <w:jc w:val="center"/>
            </w:pPr>
            <w:r w:rsidRPr="0069785C">
              <w:t>Semestrul  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Identificarea mijloacelor financiare pentru reconstrucţia unui sector de apeduct şi construcţia unui sistem de canalizare şi epurare în localitatea Doroţcaia</w:t>
            </w:r>
          </w:p>
          <w:p w:rsidR="00A069BF" w:rsidRPr="0069785C" w:rsidRDefault="00A069BF" w:rsidP="00CC3BD7">
            <w:pPr>
              <w:jc w:val="both"/>
              <w:rPr>
                <w:sz w:val="20"/>
                <w:szCs w:val="20"/>
              </w:rPr>
            </w:pPr>
          </w:p>
        </w:tc>
        <w:tc>
          <w:tcPr>
            <w:tcW w:w="3402" w:type="dxa"/>
          </w:tcPr>
          <w:p w:rsidR="00A069BF" w:rsidRPr="0069785C" w:rsidRDefault="00A069BF" w:rsidP="00CC3BD7">
            <w:pPr>
              <w:jc w:val="center"/>
            </w:pPr>
            <w:r w:rsidRPr="0069785C">
              <w:t>Ministerul Mediului;</w:t>
            </w:r>
          </w:p>
          <w:p w:rsidR="00A069BF" w:rsidRPr="0069785C" w:rsidRDefault="00A069BF" w:rsidP="00CC3BD7">
            <w:pPr>
              <w:jc w:val="center"/>
            </w:pPr>
            <w:r w:rsidRPr="0069785C">
              <w:t>Fondul Ecologic Naţional</w:t>
            </w:r>
          </w:p>
        </w:tc>
        <w:tc>
          <w:tcPr>
            <w:tcW w:w="2284" w:type="dxa"/>
          </w:tcPr>
          <w:p w:rsidR="00A069BF" w:rsidRPr="0069785C" w:rsidRDefault="00A069BF" w:rsidP="00CC3BD7">
            <w:pPr>
              <w:jc w:val="center"/>
            </w:pPr>
            <w:r w:rsidRPr="0069785C">
              <w:t>Semestrul 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Elaborarea unui studiu de fezabilitate pentru consolidarea şi întărirea ulterioară a digului de protecţie din satul Pîrîta</w:t>
            </w:r>
          </w:p>
          <w:p w:rsidR="00A069BF" w:rsidRPr="0069785C" w:rsidRDefault="00A069BF" w:rsidP="00CC3BD7">
            <w:pPr>
              <w:jc w:val="both"/>
              <w:rPr>
                <w:sz w:val="20"/>
                <w:szCs w:val="20"/>
              </w:rPr>
            </w:pPr>
          </w:p>
        </w:tc>
        <w:tc>
          <w:tcPr>
            <w:tcW w:w="3402" w:type="dxa"/>
          </w:tcPr>
          <w:p w:rsidR="00A069BF" w:rsidRPr="0069785C" w:rsidRDefault="00A069BF" w:rsidP="00CC3BD7">
            <w:pPr>
              <w:jc w:val="center"/>
            </w:pPr>
            <w:r w:rsidRPr="0069785C">
              <w:t>Ministerul Mediului;</w:t>
            </w:r>
          </w:p>
          <w:p w:rsidR="00A069BF" w:rsidRPr="0069785C" w:rsidRDefault="00A069BF" w:rsidP="00CC3BD7">
            <w:pPr>
              <w:jc w:val="center"/>
            </w:pPr>
            <w:r w:rsidRPr="0069785C">
              <w:t>Fondul Ecologic Naţional</w:t>
            </w:r>
          </w:p>
        </w:tc>
        <w:tc>
          <w:tcPr>
            <w:tcW w:w="2284" w:type="dxa"/>
          </w:tcPr>
          <w:p w:rsidR="00A069BF" w:rsidRPr="0069785C" w:rsidRDefault="00A069BF" w:rsidP="00CC3BD7">
            <w:pPr>
              <w:jc w:val="center"/>
            </w:pPr>
            <w:r w:rsidRPr="0069785C">
              <w:t>Semestrul 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Finalizarea reconstrucţiei sediului Unităţii de pompieri şi salvatori din comuna Cocieri, procurarea echipamentelor pentru sectoarele de poliţie şi instruirea personalului în vederea eficientizării proces</w:t>
            </w:r>
            <w:r>
              <w:t>elor</w:t>
            </w:r>
            <w:r w:rsidRPr="0069785C">
              <w:t xml:space="preserve"> de menţinere a ordinii publice, </w:t>
            </w:r>
            <w:r>
              <w:t xml:space="preserve">de </w:t>
            </w:r>
            <w:r w:rsidRPr="0069785C">
              <w:t>prevenire şi combatere a criminalităţii</w:t>
            </w:r>
          </w:p>
          <w:p w:rsidR="00A069BF" w:rsidRPr="0069785C" w:rsidRDefault="00A069BF" w:rsidP="00CC3BD7">
            <w:pPr>
              <w:jc w:val="both"/>
              <w:rPr>
                <w:sz w:val="20"/>
                <w:szCs w:val="20"/>
              </w:rPr>
            </w:pPr>
          </w:p>
        </w:tc>
        <w:tc>
          <w:tcPr>
            <w:tcW w:w="3402" w:type="dxa"/>
          </w:tcPr>
          <w:p w:rsidR="00A069BF" w:rsidRPr="0069785C" w:rsidRDefault="00A069BF" w:rsidP="00CC3BD7">
            <w:pPr>
              <w:jc w:val="center"/>
            </w:pPr>
            <w:r w:rsidRPr="0069785C">
              <w:t>Ministerul Afacerilor Interne</w:t>
            </w:r>
          </w:p>
        </w:tc>
        <w:tc>
          <w:tcPr>
            <w:tcW w:w="2284" w:type="dxa"/>
          </w:tcPr>
          <w:p w:rsidR="00A069BF" w:rsidRPr="0069785C" w:rsidRDefault="00A069BF" w:rsidP="00CC3BD7">
            <w:pPr>
              <w:jc w:val="center"/>
            </w:pPr>
            <w:r w:rsidRPr="0069785C">
              <w:t>Semestrul II</w:t>
            </w:r>
          </w:p>
        </w:tc>
      </w:tr>
      <w:tr w:rsidR="00A069BF" w:rsidRPr="0069785C"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Soluţionarea problemei privind eliberarea actelor de identitate cu stabilirea domiciliu</w:t>
            </w:r>
            <w:r>
              <w:t>lui</w:t>
            </w:r>
            <w:r w:rsidRPr="0069785C">
              <w:t>/reşedinţ</w:t>
            </w:r>
            <w:r>
              <w:t>ei</w:t>
            </w:r>
            <w:r w:rsidRPr="0069785C">
              <w:t xml:space="preserve"> la Centrul republican de reabilitare a invalizilor, veteranilor muncii şi războiului din comuna Cocieri, pentru beneficiarii centrului</w:t>
            </w:r>
          </w:p>
          <w:p w:rsidR="00A069BF" w:rsidRPr="0069785C" w:rsidRDefault="00A069BF" w:rsidP="00CC3BD7">
            <w:pPr>
              <w:jc w:val="both"/>
              <w:rPr>
                <w:sz w:val="20"/>
                <w:szCs w:val="20"/>
              </w:rPr>
            </w:pPr>
          </w:p>
        </w:tc>
        <w:tc>
          <w:tcPr>
            <w:tcW w:w="3402" w:type="dxa"/>
          </w:tcPr>
          <w:p w:rsidR="00A069BF" w:rsidRPr="0069785C" w:rsidRDefault="00A069BF" w:rsidP="00CC3BD7">
            <w:pPr>
              <w:jc w:val="center"/>
            </w:pPr>
            <w:r w:rsidRPr="0069785C">
              <w:t>Ministerul Tehnologiei Informaţiei şi Comunicaţiilor</w:t>
            </w:r>
          </w:p>
        </w:tc>
        <w:tc>
          <w:tcPr>
            <w:tcW w:w="2284" w:type="dxa"/>
          </w:tcPr>
          <w:p w:rsidR="00A069BF" w:rsidRPr="0069785C" w:rsidRDefault="00A069BF" w:rsidP="00CC3BD7">
            <w:pPr>
              <w:jc w:val="center"/>
            </w:pPr>
            <w:r w:rsidRPr="0069785C">
              <w:t>Semestrul II</w:t>
            </w:r>
          </w:p>
        </w:tc>
      </w:tr>
      <w:tr w:rsidR="00A069BF" w:rsidRPr="00E47065" w:rsidTr="00CC3BD7">
        <w:tblPrEx>
          <w:tblCellMar>
            <w:top w:w="0" w:type="dxa"/>
            <w:bottom w:w="0" w:type="dxa"/>
          </w:tblCellMar>
        </w:tblPrEx>
        <w:trPr>
          <w:trHeight w:val="347"/>
        </w:trPr>
        <w:tc>
          <w:tcPr>
            <w:tcW w:w="600" w:type="dxa"/>
          </w:tcPr>
          <w:p w:rsidR="00A069BF" w:rsidRPr="0069785C" w:rsidRDefault="00A069BF" w:rsidP="00A069BF">
            <w:pPr>
              <w:numPr>
                <w:ilvl w:val="0"/>
                <w:numId w:val="1"/>
              </w:numPr>
              <w:tabs>
                <w:tab w:val="clear" w:pos="460"/>
                <w:tab w:val="num" w:pos="292"/>
              </w:tabs>
              <w:jc w:val="center"/>
            </w:pPr>
          </w:p>
        </w:tc>
        <w:tc>
          <w:tcPr>
            <w:tcW w:w="8314" w:type="dxa"/>
          </w:tcPr>
          <w:p w:rsidR="00A069BF" w:rsidRPr="0069785C" w:rsidRDefault="00A069BF" w:rsidP="00CC3BD7">
            <w:pPr>
              <w:jc w:val="both"/>
            </w:pPr>
            <w:r w:rsidRPr="0069785C">
              <w:t>Identificarea soluţiilor privind reducerea taxelor pentru serviciile prestate de oficiile cadastrale teritoriale ale R</w:t>
            </w:r>
            <w:r>
              <w:t xml:space="preserve">epublicii </w:t>
            </w:r>
            <w:r w:rsidRPr="0069785C">
              <w:t>M</w:t>
            </w:r>
            <w:r>
              <w:t>oldova</w:t>
            </w:r>
            <w:r w:rsidRPr="0069785C">
              <w:t xml:space="preserve"> la înregistrarea/confirmarea dreptului de proprietate </w:t>
            </w:r>
          </w:p>
        </w:tc>
        <w:tc>
          <w:tcPr>
            <w:tcW w:w="3402" w:type="dxa"/>
          </w:tcPr>
          <w:p w:rsidR="00A069BF" w:rsidRPr="0069785C" w:rsidRDefault="00A069BF" w:rsidP="00CC3BD7">
            <w:pPr>
              <w:jc w:val="center"/>
            </w:pPr>
            <w:r w:rsidRPr="0069785C">
              <w:t>Agenţia Relaţii Funciare şi Cadastru</w:t>
            </w:r>
          </w:p>
        </w:tc>
        <w:tc>
          <w:tcPr>
            <w:tcW w:w="2284" w:type="dxa"/>
          </w:tcPr>
          <w:p w:rsidR="00A069BF" w:rsidRPr="00E47065" w:rsidRDefault="00A069BF" w:rsidP="00CC3BD7">
            <w:pPr>
              <w:jc w:val="center"/>
            </w:pPr>
            <w:r w:rsidRPr="0069785C">
              <w:t>Semestrul I</w:t>
            </w:r>
          </w:p>
        </w:tc>
      </w:tr>
    </w:tbl>
    <w:p w:rsidR="00A069BF" w:rsidRPr="00096661" w:rsidRDefault="00A069BF" w:rsidP="00A069BF">
      <w:pPr>
        <w:jc w:val="both"/>
        <w:rPr>
          <w:b/>
          <w:sz w:val="28"/>
          <w:szCs w:val="28"/>
        </w:rPr>
      </w:pPr>
    </w:p>
    <w:p w:rsidR="00D84A41" w:rsidRDefault="00D84A41"/>
    <w:sectPr w:rsidR="00D84A41" w:rsidSect="00F26559">
      <w:headerReference w:type="default" r:id="rId5"/>
      <w:footerReference w:type="default" r:id="rId6"/>
      <w:pgSz w:w="16838" w:h="11906" w:orient="landscape" w:code="9"/>
      <w:pgMar w:top="851" w:right="1134" w:bottom="1258"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7E" w:rsidRPr="00ED2B54" w:rsidRDefault="00A069BF" w:rsidP="00ED2B54">
    <w:pPr>
      <w:pStyle w:val="Footer"/>
      <w:rPr>
        <w:sz w:val="16"/>
        <w:szCs w:val="16"/>
      </w:rPr>
    </w:pPr>
    <w:r w:rsidRPr="00ED2B54">
      <w:rPr>
        <w:sz w:val="16"/>
        <w:szCs w:val="16"/>
      </w:rPr>
      <w:fldChar w:fldCharType="begin"/>
    </w:r>
    <w:r w:rsidRPr="00ED2B54">
      <w:rPr>
        <w:sz w:val="16"/>
        <w:szCs w:val="16"/>
      </w:rPr>
      <w:instrText xml:space="preserve"> FILENAME  \p  \* MERGEFORMAT </w:instrText>
    </w:r>
    <w:r w:rsidRPr="00ED2B54">
      <w:rPr>
        <w:sz w:val="16"/>
        <w:szCs w:val="16"/>
      </w:rPr>
      <w:fldChar w:fldCharType="separate"/>
    </w:r>
    <w:r>
      <w:rPr>
        <w:noProof/>
        <w:sz w:val="16"/>
        <w:szCs w:val="16"/>
      </w:rPr>
      <w:t>Y:\Tatiana\Doc_2014\Anexe\Plan_2014-2015.doc</w:t>
    </w:r>
    <w:r w:rsidRPr="00ED2B54">
      <w:rPr>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7E" w:rsidRDefault="00A069BF" w:rsidP="00F26559">
    <w:pPr>
      <w:pStyle w:val="Header"/>
      <w:jc w:val="center"/>
    </w:pPr>
    <w:r>
      <w:fldChar w:fldCharType="begin"/>
    </w:r>
    <w:r>
      <w:instrText xml:space="preserve"> PAGE   \* MERGEFORMAT </w:instrText>
    </w:r>
    <w:r>
      <w:fldChar w:fldCharType="separate"/>
    </w:r>
    <w:r>
      <w:rPr>
        <w:noProof/>
      </w:rPr>
      <w:t>2</w:t>
    </w:r>
    <w:r>
      <w:rPr>
        <w:noProof/>
      </w:rPr>
      <w:fldChar w:fldCharType="end"/>
    </w:r>
  </w:p>
  <w:p w:rsidR="00D10B7E" w:rsidRDefault="00A06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D14"/>
    <w:multiLevelType w:val="hybridMultilevel"/>
    <w:tmpl w:val="7E96C3F0"/>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9BF"/>
    <w:rsid w:val="00A069BF"/>
    <w:rsid w:val="00D84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F"/>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9BF"/>
    <w:pPr>
      <w:tabs>
        <w:tab w:val="center" w:pos="4844"/>
        <w:tab w:val="right" w:pos="9689"/>
      </w:tabs>
    </w:pPr>
  </w:style>
  <w:style w:type="character" w:customStyle="1" w:styleId="HeaderChar">
    <w:name w:val="Header Char"/>
    <w:basedOn w:val="DefaultParagraphFont"/>
    <w:link w:val="Header"/>
    <w:uiPriority w:val="99"/>
    <w:rsid w:val="00A069BF"/>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rsid w:val="00A069BF"/>
    <w:pPr>
      <w:tabs>
        <w:tab w:val="center" w:pos="4844"/>
        <w:tab w:val="right" w:pos="9689"/>
      </w:tabs>
    </w:pPr>
  </w:style>
  <w:style w:type="character" w:customStyle="1" w:styleId="FooterChar">
    <w:name w:val="Footer Char"/>
    <w:basedOn w:val="DefaultParagraphFont"/>
    <w:link w:val="Footer"/>
    <w:uiPriority w:val="99"/>
    <w:rsid w:val="00A069BF"/>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2014-05-12T13:26:00Z</dcterms:created>
  <dcterms:modified xsi:type="dcterms:W3CDTF">2014-05-12T13:26:00Z</dcterms:modified>
</cp:coreProperties>
</file>