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0" w:rsidRPr="00D243F0" w:rsidRDefault="00D243F0" w:rsidP="00D243F0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D243F0">
        <w:rPr>
          <w:rFonts w:ascii="Times New Roman" w:hAnsi="Times New Roman" w:cs="Times New Roman"/>
          <w:b/>
          <w:lang w:val="ru-RU"/>
        </w:rPr>
        <w:t>Приложение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</w:p>
    <w:p w:rsidR="00D243F0" w:rsidRPr="00D243F0" w:rsidRDefault="00D243F0" w:rsidP="00D243F0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D243F0">
        <w:rPr>
          <w:rFonts w:ascii="Times New Roman" w:hAnsi="Times New Roman" w:cs="Times New Roman"/>
          <w:b/>
          <w:lang w:val="ru-RU"/>
        </w:rPr>
        <w:t>к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  <w:r w:rsidRPr="00D243F0">
        <w:rPr>
          <w:rFonts w:ascii="Times New Roman" w:hAnsi="Times New Roman" w:cs="Times New Roman"/>
          <w:b/>
          <w:lang w:val="ru-RU"/>
        </w:rPr>
        <w:t>Приказу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  <w:r w:rsidRPr="00D243F0">
        <w:rPr>
          <w:rFonts w:ascii="Times New Roman" w:hAnsi="Times New Roman" w:cs="Times New Roman"/>
          <w:b/>
          <w:lang w:val="ru-RU"/>
        </w:rPr>
        <w:t>министра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</w:p>
    <w:p w:rsidR="00D243F0" w:rsidRPr="00D243F0" w:rsidRDefault="00D243F0" w:rsidP="00D243F0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D243F0">
        <w:rPr>
          <w:rFonts w:ascii="Times New Roman" w:hAnsi="Times New Roman" w:cs="Times New Roman"/>
          <w:b/>
          <w:lang w:val="ru-RU"/>
        </w:rPr>
        <w:t>регионального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  <w:r w:rsidRPr="00D243F0">
        <w:rPr>
          <w:rFonts w:ascii="Times New Roman" w:hAnsi="Times New Roman" w:cs="Times New Roman"/>
          <w:b/>
          <w:lang w:val="ru-RU"/>
        </w:rPr>
        <w:t xml:space="preserve">развития 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</w:p>
    <w:p w:rsidR="00D243F0" w:rsidRPr="00D243F0" w:rsidRDefault="00D243F0" w:rsidP="00D243F0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D243F0">
        <w:rPr>
          <w:rFonts w:ascii="Times New Roman" w:hAnsi="Times New Roman" w:cs="Times New Roman"/>
          <w:b/>
          <w:lang w:val="ru-RU"/>
        </w:rPr>
        <w:t>и строительства</w:t>
      </w:r>
    </w:p>
    <w:p w:rsidR="00D243F0" w:rsidRPr="00D243F0" w:rsidRDefault="00D243F0" w:rsidP="00D243F0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D243F0">
        <w:rPr>
          <w:rFonts w:ascii="Times New Roman" w:hAnsi="Times New Roman" w:cs="Times New Roman"/>
          <w:b/>
          <w:lang w:val="ru-RU"/>
        </w:rPr>
        <w:t xml:space="preserve">№ </w:t>
      </w:r>
      <w:r w:rsidRPr="00D243F0">
        <w:rPr>
          <w:rFonts w:ascii="Times New Roman" w:hAnsi="Times New Roman" w:cs="Times New Roman"/>
          <w:b/>
          <w:lang w:val="ro-RO"/>
        </w:rPr>
        <w:t>55</w:t>
      </w:r>
      <w:r w:rsidRPr="00D243F0">
        <w:rPr>
          <w:rFonts w:ascii="Times New Roman" w:hAnsi="Times New Roman" w:cs="Times New Roman"/>
          <w:b/>
          <w:lang w:val="ru-RU"/>
        </w:rPr>
        <w:t xml:space="preserve"> </w:t>
      </w:r>
      <w:r w:rsidRPr="00D243F0">
        <w:rPr>
          <w:rFonts w:ascii="Times New Roman" w:hAnsi="Times New Roman" w:cs="Times New Roman"/>
          <w:lang w:val="ru-RU"/>
        </w:rPr>
        <w:t xml:space="preserve"> </w:t>
      </w:r>
      <w:r w:rsidRPr="00D243F0">
        <w:rPr>
          <w:rFonts w:ascii="Times New Roman" w:hAnsi="Times New Roman" w:cs="Times New Roman"/>
          <w:b/>
          <w:lang w:val="ru-RU"/>
        </w:rPr>
        <w:t>от</w:t>
      </w:r>
      <w:r w:rsidRPr="00D243F0">
        <w:rPr>
          <w:rFonts w:ascii="Times New Roman" w:hAnsi="Times New Roman" w:cs="Times New Roman"/>
          <w:b/>
          <w:lang w:val="ro-RO"/>
        </w:rPr>
        <w:t xml:space="preserve"> </w:t>
      </w:r>
      <w:r w:rsidRPr="00D243F0">
        <w:rPr>
          <w:rFonts w:ascii="Times New Roman" w:hAnsi="Times New Roman" w:cs="Times New Roman"/>
          <w:b/>
          <w:lang w:val="ru-RU"/>
        </w:rPr>
        <w:t xml:space="preserve"> </w:t>
      </w:r>
      <w:r w:rsidRPr="00D243F0">
        <w:rPr>
          <w:rFonts w:ascii="Times New Roman" w:hAnsi="Times New Roman" w:cs="Times New Roman"/>
          <w:b/>
          <w:lang w:val="ro-RO"/>
        </w:rPr>
        <w:t>24.04.2014</w:t>
      </w:r>
      <w:r w:rsidRPr="00D243F0">
        <w:rPr>
          <w:rFonts w:ascii="Times New Roman" w:hAnsi="Times New Roman" w:cs="Times New Roman"/>
          <w:b/>
          <w:lang w:val="ru-RU"/>
        </w:rPr>
        <w:t xml:space="preserve"> г. </w:t>
      </w:r>
    </w:p>
    <w:p w:rsidR="00D243F0" w:rsidRPr="00D243F0" w:rsidRDefault="00D243F0" w:rsidP="00D243F0">
      <w:pPr>
        <w:spacing w:after="0"/>
        <w:rPr>
          <w:rFonts w:ascii="Times New Roman" w:hAnsi="Times New Roman" w:cs="Times New Roman"/>
          <w:b/>
          <w:lang w:val="ro-RO"/>
        </w:rPr>
      </w:pPr>
    </w:p>
    <w:p w:rsidR="00D243F0" w:rsidRPr="00D243F0" w:rsidRDefault="00D243F0" w:rsidP="00D243F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D243F0">
        <w:rPr>
          <w:rFonts w:ascii="Times New Roman" w:hAnsi="Times New Roman" w:cs="Times New Roman"/>
          <w:b/>
          <w:lang w:val="ru-RU"/>
        </w:rPr>
        <w:t>ДОПОЛНЕНИЯ</w:t>
      </w:r>
    </w:p>
    <w:p w:rsidR="00D243F0" w:rsidRPr="00D243F0" w:rsidRDefault="00D243F0" w:rsidP="00D243F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D243F0">
        <w:rPr>
          <w:rFonts w:ascii="Times New Roman" w:hAnsi="Times New Roman" w:cs="Times New Roman"/>
          <w:b/>
          <w:lang w:val="ru-RU"/>
        </w:rPr>
        <w:t>к перечню взаимосвязанных стандартов к техническому регламенту на строительную продукцию</w:t>
      </w:r>
    </w:p>
    <w:p w:rsidR="00D243F0" w:rsidRPr="00D243F0" w:rsidRDefault="00D243F0" w:rsidP="00D243F0">
      <w:pPr>
        <w:spacing w:after="0"/>
        <w:ind w:firstLine="709"/>
        <w:jc w:val="both"/>
        <w:rPr>
          <w:rFonts w:ascii="Times New Roman" w:hAnsi="Times New Roman" w:cs="Times New Roman"/>
          <w:iCs/>
          <w:lang w:val="ro-M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6521"/>
      </w:tblGrid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243F0">
              <w:rPr>
                <w:rFonts w:ascii="Times New Roman" w:eastAsia="Calibri" w:hAnsi="Times New Roman" w:cs="Times New Roman"/>
                <w:b/>
                <w:lang w:val="ro-MO"/>
              </w:rPr>
              <w:t xml:space="preserve">  </w:t>
            </w:r>
          </w:p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b/>
              </w:rPr>
            </w:pPr>
            <w:r w:rsidRPr="00D243F0">
              <w:rPr>
                <w:rFonts w:ascii="Times New Roman" w:eastAsia="Calibri" w:hAnsi="Times New Roman" w:cs="Times New Roman"/>
                <w:b/>
                <w:lang w:val="ro-MO"/>
              </w:rPr>
              <w:t xml:space="preserve">  </w:t>
            </w:r>
            <w:r w:rsidRPr="00D243F0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3F0">
              <w:rPr>
                <w:rFonts w:ascii="Times New Roman" w:eastAsia="Calibri" w:hAnsi="Times New Roman" w:cs="Times New Roman"/>
                <w:b/>
              </w:rPr>
              <w:t>Обозначение</w:t>
            </w:r>
            <w:proofErr w:type="spellEnd"/>
            <w:r w:rsidRPr="00D243F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243F0" w:rsidRPr="00D243F0" w:rsidRDefault="00D243F0" w:rsidP="00DC42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3F0">
              <w:rPr>
                <w:rFonts w:ascii="Times New Roman" w:eastAsia="Calibri" w:hAnsi="Times New Roman" w:cs="Times New Roman"/>
                <w:b/>
              </w:rPr>
              <w:t>стандарта</w:t>
            </w:r>
            <w:proofErr w:type="spellEnd"/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3F0">
              <w:rPr>
                <w:rFonts w:ascii="Times New Roman" w:eastAsia="Calibri" w:hAnsi="Times New Roman" w:cs="Times New Roman"/>
                <w:b/>
              </w:rPr>
              <w:t>Наименование</w:t>
            </w:r>
            <w:proofErr w:type="spellEnd"/>
            <w:r w:rsidRPr="00D243F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243F0">
              <w:rPr>
                <w:rFonts w:ascii="Times New Roman" w:eastAsia="Calibri" w:hAnsi="Times New Roman" w:cs="Times New Roman"/>
                <w:b/>
              </w:rPr>
              <w:t>стандарта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 300:2011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Stîlpi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din beton armat pentru reazemele, suporturile electrice şi de telecomunicaţii, de pichet, însemnarea reţelelor de cablu.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 301:2011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Elemente pentru împrejmuiri din beton armat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302:2011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Calcar pentru industria sticlei, cimentului şi metalurgică.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310:2013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Piatră şi piatră spartă de ghips şi ghips anhidrit.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SMV 309:2013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Panouri metalice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tristrat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cu termoizolant.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14353+A1:2010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Profiluri metalice şi profile caracteristice pentru utilizare la plăcile de gips-carton. Definiţii, caracteristici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14566+A1:2010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Prinderi mecanice pentru sisteme de plăci de gips-carton.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494+A3:2010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Plăci profilate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fibrociment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accesorii. Specificaţie de produs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520+A1:2010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de gips-carton. Definiţii, specificaţii şi metode de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450-1+A1:2010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Cenuşă zburătoare pentru beton. Partea 1: Definiţii, condiţii şi criterii de conformitate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459-1:2013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Var pentru construcţii. Partea 1: Definiţii, caracteristici şi criterii de conformitate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492:2010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Plăci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fibrociment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tip ardezie şi accesorii. Specificaţie de produs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lastRenderedPageBreak/>
              <w:t>13.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495-5:2011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hidroizolante. Determinarea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pliabilităţii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la temperatură scăzută. Partea 5: Foi hidroizolante de material plastic şi de cauciuc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506:2011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pentru învelitori de acoperiş din foi metalice. Specificaţie pentru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tablă de cupru sau zinc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508-1:2011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pentru învelitori de acoperiş din foi metalice. Specificaţie pentru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tablă de oţel, aluminiu sau oţel inoxidabil. Partea 1: Oţel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508-2:2011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pentru învelitori de acoperiş din foi metalice. Specificaţie pentru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tablă de oţel, aluminiu sau oţel inoxidabil. Partea 2: Aluminiu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508-3:2011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pentru învelitori de acoperiş din foi metalice. Specificaţie pentru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tablă de oţel, aluminiu sau oţel inoxidabil. Partea 3: Oţel inoxidabil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 xml:space="preserve">18. 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516:2010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Accesorii prefabricate pentru învelitori de acoperiş. Instalaţii pentru acces pe acoperiş. Pasarele,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podine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trepte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517:2010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Accesorii prefabricate pentru învelitoare de acoperiş. Cârlige de siguranţă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 xml:space="preserve">20. 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539-1:2011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Ţigle de argilă arsă pentru acoperiri discontinue. Determinarea caracteristicilor fizice. Partea 1: Încercarea impermeabilităţii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21.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539-2:2011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Ţigle de argilă arsă pentru acoperiri discontinue. Determinarea caracteristicilor fizice. Partea 2: Încercarea rezistenţei la îngheţ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22.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544:2010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Şindrile bituminoase cu armături minerale şi/sau sintetice. Specificaţie de produs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23.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607:2011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Jgheaburi de streaşină şi racorduri din PVC-U. Definiţii, cerinţe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24.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612:2011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Jgheaburi de streaşină cu pereţi frontali rigidizaţi cu bordaj şi burlane pentru apa pluvială cu îmbinări petrecute, realizate din foi metalice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 xml:space="preserve">25. 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679:2011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Determinarea rezistenţei la compresiune a betonului celular autoclavizat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26.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680:2011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Determinarea contracţiei la uscare a betonului celular autoclavizat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772-9:2011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elementelor pentru zidărie. Partea 9: Determinarea volumului şi procentului de goluri şi a volumului net absolut al elementelor de silico-calcar pentru zidărie, prin umplere cu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nisip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845-3+A1:2010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Specificaţie a componentelor auxiliare pentru zidărie. Partea 3: Plase de oţel pentru armarea îmbinărilor orizontale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845-1+A1:2010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Specificaţie a componentelor auxiliare pentru zidărie. Partea 1: Agrafe, bride de fixare, etriere suport şi console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845-2:2010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Specificaţie a componentelor auxiliare pentru zidărie. Partea 2: Buiandrugi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934-2:2010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Aditivi pentru beton, mortar şi pastă. Partea 2: Aditivi pentru beton. Definiţii, condiţii, conformitate, marcare şi etichetare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934-3:2010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Aditivi pentru beton, mortar şi pastă. Partea 3: Aditivi pentru mortar de zidărie. Definiţii, condiţii, conformitate, marcare şi etichetare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934-4:2010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Aditivi pentru beton, mortar şi pastă. Partea 4: Aditivi pentru paste pentru cabluri pretensionate. Definiţii, condiţii, conformitate, marcare şi etichetare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934-5:2010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Aditivi pentru beton, mortar şi pastă. Partea 5: Aditivi pentru beton aplicat prin pulverizare. Definiţii, condiţii, conformitate, marcare şi etichetare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934-6:2011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Aditivi pentru beton, mortar şi pastă. Partea 6: Eşantionare, control şi evaluarea conformităţii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1: Determinarea distribuţiei granulometrice (analiză prin cernere)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2: Eşantionare globală a mortarelor şi pregătire mortare de încercat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3: Determinarea consistenţei mortarului proaspăt (cu masa de împrăştiere)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6: Determinarea densităţii aparente a mortarului proaspăt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7: Determinarea conţinutului de aer din mortarul proaspăt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mortarelor pentru zidărie. Partea 9: Determinarea duratei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lucrabilitate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timpului de corecţie a mortarului proaspăt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42.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10: Determinarea densităţii aparente a mortarului întărit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11: Determinarea rezistenţei la încovoiere a mortarului întărit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mortarelor pentru zidărie. Partea 12: Determinarea aderenţei mortarelor pentru tencuire şi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gletuire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întărite pe suporturi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mortarelor pentru zidărie. Partea 17: Determinarea conţinutului de clorură solubilă din mortarele proaspete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1015-19:2010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mortarelor pentru zidărie. Partea 19: Determinarea permeabilităţii la vaporii de apă a mortarelor pentru tencuire şi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gletuire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1052-3:2011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zidăriei. Partea 3: Determinarea rezistenţei iniţiale la forfecare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1052-5:2011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pentru zidărie. Partea 5: Determinarea rezistenţei la rupere a îmbinării prin metoda momentului de încovoiere aplicat în capătul peretelui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1107-2:2011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stabilităţii dimensionale. Partea 2: Foi hidroizolante de material plastic şi de cauciuc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1297:2011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Foi hidroizolante bituminoase, de material plastic şi de cauciuc pentru acoperiş. Metodă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îmbătrînire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artificială prin expunere pe durată lungă la combinaţia de radiaţii UV, temperatură ridicată şi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Cîrlige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pentru jgheaburi de streaşină. Cerinţe şi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piatră naturală. Placaje pentru pereţi. Condiţii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şi sisteme pentru protecţia şi repararea structurilor de beton. Definiţii, condiţii, control de calitate şi evaluarea conformităţii. Partea 2: Sisteme de protecţie de suprafaţă pentru beton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iCs/>
                <w:lang w:val="ro-MO"/>
              </w:rPr>
              <w:t>54.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şi sisteme pentru protecţia şi repararea structurilor de beton. Definiţii, condiţii, controlul calităţii şi evaluarea conformităţii. Partea 3: Reparaţie structurală şi nestructurală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şi sisteme pentru protecţia şi repararea structurilor de beton. Definiţii, condiţii, control de calitate şi evaluarea conformităţii. Partea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4: Lipire structurală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56.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şi sisteme pentru protecţia şi repararea structurilor de beton. Definiţii, condiţii, controlul calităţii şi evaluarea conformităţii. Partea 5: Produse de injecţie în beton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şi sisteme pentru protecţia şi repararea structurilor de beton. Definiţii, condiţii, control de calitate şi evaluarea conformităţii. Partea 6: Ancorarea armăturii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58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1504-7:2010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şi sisteme pentru protecţia şi repararea structurilor de beton. Definiţii, condiţii, control de calitate şi evaluarea conformităţii. Partea 7: Protecţia armăturii împotriva coroziunii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59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1548:2011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de material plastic şi de cauciuc pentru hidroizolarea acoperişului. Metoda pentru expunere la bitum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1806:2010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Coşuri de fum. Blocuri canal (olane) de argilă arsă/ceramice pentru coşuri de fum cu perete simplu.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1844:2011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rezistenţei la ozon. Foi hidroizolante de material plastic şi cauciuc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1848-1:2011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lungimii, lăţimii şi liniarităţii. Partea 1: Foi hidroizolante bituminoase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1848-2:2011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lungimii, lăţimii, perpendicularităţii şi planităţii. Partea 2: Foi hidroizolante de material plastic şi de cauciuc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1849-1:2011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grosimii şi masei specifice. Partea 1: Foi hidroizolante bituminoase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1850-2:2011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defectelor de aspect. Partea 2: Foi hidroizolante de material plastic şi de cauciuc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1873:2010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Accesorii prefabricate pentru acoperiş. Luminatoare de plafon de material plastic. Specificaţie de produs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1928:2011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Foi hidroizolante bituminoase, de material plastic şi de cauciuc pentru acoperiş. Determinarea etanşeităţii la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68.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1931:2011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Foi hidroizolante bituminoase, de material plastic şi de cauciuc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pentru acoperiş. Determinarea proprietăţilor de transmisie a vaporilor de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69.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1934:2011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clădirilor. Determinarea rezistenţei termice prin metoda cutiei calde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termofluxmetru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Zidărie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1946-1:2011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produselor şi componentelor de construcţie. Criterii specifice pentru evaluarea laboratoarelor care efectuează măsurarea proprietăţilor de transmisie termică. Partea 1: Criterii comune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1946-2:2011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produselor şi componentelor de construcţie. Criterii specifice pentru evaluarea laboratoarelor care efectuează măsurarea proprietăţilor de transmisie termică. Partea 2: Măsurări prin metoda plăcii calde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gardate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1946-3:2011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produselor şi componentelor de construcţie. Criterii specifice pentru evaluarea laboratoarelor care efectuează măsurarea proprietăţilor de transmisie termică. Partea 3: Măsurări prin metoda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termofluxmetru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1946-4:2011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produselor şi componentelor de construcţie. Criterii specifice pentru evaluarea laboratoarelor care efectuează măsurarea proprietăţilor de transmisie termică. Partea 4: Măsurări prin metode cu cutie caldă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1946-5:2011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produselor şi componentelor de construcţie. Criterii specifice pentru evaluarea laboratoarelor care efectuează măsurarea proprietăţilor de transmisie termică. Partea 5: Măsurări prin metode de încercare a conductelor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12004:2010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Adezivi pentru plăci ceramice. Cerinţe, evaluarea conformităţii, clasificare şi notare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12057:2010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piatră naturală. Plăci modulare. Condiţii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12058:2010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piatră naturală. Plăci pentru pardoseli şi scări. Condiţii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12059:2011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piatră naturală. Piatră de prelucrat la dimensiuni (piatră de talie). Condiţii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79.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12150-2:2010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Sticlă pentru construcţii. Geam de securitate de sticlă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silico-calcosodică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securizat termic. Partea 2: Evaluarea conformităţii/Standard de produs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12152:2011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Faţade cortină. Permeabilitate la aer. Cerinţe de performanţă şi clasificare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12153:2011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Faţade cortină. Permeabilitate la aer. Metodă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82.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12154:2011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Faţade cortină. Etanşeitate la apă. Cerinţe de performanţă şi clasificare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12155:2011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Faţade cortină. Determinarea etanşeităţii la apă. Încercare de laborator la presiune statică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12326-1:2010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ardezie şi piatră pentru învelitori şi placări discontinue. Partea 1: Specificaţie de produs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12372:2011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încercare a pietrei naturale. Determinarea rezistenţei la flexiune sub sarcină concentrată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3: Rezistenţa la compresiune a epruvetelor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4: Rezistenţa la compresiune. Caracteristicile maşinilor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5: Rezistenţa la încovoiere a epruvetelor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89.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7: Densitatea betonului întărit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12859:2013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de ipsos.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12878:2010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Pigmenţi pentru colorarea materialelor de construcţie pe bază de ciment şi/sau var. Specificaţii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13043:2010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Agregate pentru amestecuri bituminoase şi pentru finisarea suprafeţelor, utilizate la construcţia şoselelor, a aeroporturilor şi a altor zone cu trafic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13084-5:2010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Coşuri independente. Partea 5: Materiale pentru canale interioare de argilă arsă. Specificaţie de produs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13241-1+ A1:2013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Uşi pentru uz industrial, comercial şi pentru garaje. Standard de produs. Partea 1: Produse fără caracteristici de rezistenţă la foc sau protecţie la fum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13279-1:2010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Ipsos şi tencuieli pe bază de ipsos. Partea 1: Definiţii şi condiţii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13361:2010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Caracteristici impuse pentru utilizarea la construcţia de rezervoare şi baraje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13362:2010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Caracteristici impuse pentru utilizarea în construcţia de canale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98.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13454-2+A1:2011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Lianţi, lianţi compoziţi şi amestecuri preparate în fabrică pentru şape de pardoseală pe bază de sulfat de calciu. Partea 2: Metode de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99.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13454-1:2010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Lianţi, lianţi compoziţi şi amestecuri preparate în fabrică pentru şape pe bază de sulfat de calciu. Partea 1: Definiţii şi specificaţii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13491:2010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Caracteristici impuse pentru utilizarea ca bariere hidraulice în construcţia de tunele şi de structuri subterane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13492:2010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Caracteristici impuse pentru utilizarea la construcţia de depozite de deşeuri lichide, staţii de transfer sau lucrări secundare de stocare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13493:2010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Caracteristici impuse pentru utilizarea în construcţia de depozite de deşeuri solide şi amplasamente de depozitare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13658-1:2010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Plase şi profiluri metalice. Definiţii, specificaţii şi metode de încercare. Partea 1: Tencuieli interioare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13658-2:2010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Plase şi profiluri metalice. Definiţii, specificaţii şi metode de încercări. Partea 2: Tencuieli exterioare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13748-1:2010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de mozaic. Partea 1: Plăci de mozaic pentru utilizări la interior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13748-2:2010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de mozaic. Partea 2: Plăci de mozaic pentru utilizări la exterior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13808:2010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Cadrul specificaţiilor pentru emulsiile cationice de bitum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13813:2010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Materiale pentru şape şi pardoseli. Materiale pentru şape. Caracteristici şi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109.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13815:2010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de ipsos cu fibre. Definiţii, condiţii şi metode de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13830:2010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Faţade cortină. Standard de produs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13915:2010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Panouri prefabricate din plăci de gips-carton cu miez celular de carton. Definiţii, condiţii şi metode de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13950:2010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Panouri compozite din plăci de gips-carton pentru izolare termică/acustică. Definiţii, condiţii şi metode de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13956:2010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hidroizolante de material plastic şi cauciuc pentru acoperiş.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13963:2010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Materiale de rostuire pentru îmbinarea panourilor de gips-carton.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115.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13964:2010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Plafoane suspendate.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13967:2010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de material plastic şi de cauciuc de etanşare împotriva umezelii, inclusiv foi de material plastic şi de cauciuc pentru etanşarea cuvelajelor.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13969:2010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bituminoase de etanşare împotriva umezelii, inclusiv foi bituminoase pentru etanşarea cuvelajelor.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13970:2010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bituminoase utilizate ca straturi pentru controlul vaporilor.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119.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13984:2010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de material plastic şi de cauciuc utilizate ca straturi pentru controlul vaporilor.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14016-1:2010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Lianţi pentru şape pe bază de magnezită. Magnezită caustică şi clorură de magneziu. Partea 1: Definiţii,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14063-1:2010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termoizolante destinate utilizării la clădiri. Izolaţie termică formată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in-situ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 bază de agregate uşoare de argilă expandată (LWA). Partea 1: Specificaţie de produse în vrac înainte de instalare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14188-3:2010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pentru colmatarea rosturilor. Partea 3: Specificaţii pentru produse prefabricate de colmatare a rosturilor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14190:2010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realizate prin prelucrarea secundară a plăcilor de gips-carton.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14195:2010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Componentele structurii metalice pentru sisteme de plăci de gips-carton.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14209:2010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Cornişe din plăci de gips-carton preformate.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14246:2010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Elemente de ipsos pentru plafoane suspendate.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14250:2010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Structuri de lemn. Cerinţe pentru produse referitoare la elemente de structură prefabricate, asamblate cu elemente de fixare cu placă metalică ambutisată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14316-1:2010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termoizolante destinate utilizării la clădiri. Izolaţie termică formată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in-situ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 bază de produse de perlit expandat (EP). Partea 1: Specificaţie de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liate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în vrac înainte de instalare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129.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14317-1:2010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termoizolante destinate utilizării la clădiri. Izolaţie termică formată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in-situ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 bază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vermiculit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exfoliat (EV). Partea 1: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Specificaţie de produse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liate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în vrac înainte de instalare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130.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14374:2010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Structuri de lemn. LVL (Lemn stratificat).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14411:2010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şi dale ceramice. Definiţii, clasificare, caracteristici şi marcare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14496:2010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Adezivi pe bază de ipsos pentru panouri compozite din plăci de gips-carton pentru izolare termică/acustică. Definiţii,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14509:2010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Panouri sandviş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, izolante, cu ambele feţe de tablă metalică. Produse fabricate industrial. Specificaţii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14545:2010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Structuri de lemn. Piese de fixare.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14592:2010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Structuri de lemn. Elemente de fixare.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14617-4:2011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Piatră aglomerată. Metode de încercare. Partea 4: Determinarea rezistenţei la abraziune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14617-5:2011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Piatră aglomerată. Metode de încercare. Partea 5: Determinarea rezistenţei la îngheţ şi dezgheţ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14617-6:2011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Piatră aglomerată. Metode de încercare. Partea 6: Determinarea rezistenţei la şoc termic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139.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14617-9:2011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Piatră aglomerată. Metode de încercare. Partea 9: Determinarea rezistenţei la impact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14617-10:2011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Piatră aglomerată. Metode de încercare. Partea 10: Determinarea rezistenţei chimice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14716:2010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Plafoane tensionate. Condiţii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14782:2010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Placă metalică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autoportantă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pentru învelitoare de acoperiş, placări la exterior şi căptuşiri la interior. Specificaţie de produs şi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14783:2010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şi benzi metalice sprijinite complet pentru acoperiri, placări la interior şi la exterior. Specificaţie de produs şi cerinţe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14889-1:2010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Fibre pentru beton. Partea 1: Fibre de oţel. Definiţii, specificaţii şi conformitate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14889-2:2010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Fibre pentru beton. Partea 2: Fibre de polimer. Definiţii, specificaţii şi conformitate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14909:2013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hidroizolante de material plastic şi cauciuc de etanşare la umiditate.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147.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14963:2010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Învelitori de acoperiş. Luminatoare continue de material plastic cu sau fără montanţi. Clasificare, cerinţe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148.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14964:2010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Substraturi rigide pentru învelitoare de acoperiş cu montare discontinuă.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149.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14967:2010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bituminoase de etanşare la umiditate.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15167-1:2010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Zgură granulată de furnal măcinată pentru utilizare în beton, mortar şi pastă. Partea 1: Definiţii, specificaţii şi criterii de conformitate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15283-1+A1:2010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Plăci de ipsos armate cu fibre. Definiţii, condiţii şi metode de încercare. Partea 1: Plăci de ipsos armate cu ţesătură sau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împîslitură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15283-2+A1:2010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Plăci de ipsos armate cu fibre. Definiţii, condiţii şi metode de încercare. Partea 2: Plăci de ipsos cu fibre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6946:2011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Părţi şi elemente de construcţie. Rezistenţă termică şi coeficient de transmisie termică. Metodă de calcul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8339:2011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proprietăţilor de tracţiune (Alungire la rupere)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8340:2011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proprietăţilor de tracţiune la menţinerea deformării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9046:2011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Produse pentru etanşarea rosturilor. Determinarea proprietăţilor de adezivitate/coeziune ale chiturilor la temperatură constantă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157.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10563:2011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variaţiilor de masă şi volum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158.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10590:2011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proprietăţilor de deformare ale chiturilor sub tracţiune menţinută după imersie în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159.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10591:2011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proprietăţilor de adeziune/coeziune ale chiturilor după imersie în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11432:2011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Construcţii imobiliare. Chituri. Determinarea rezistenţei la compresiune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13707+A2:2010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Foi bituminoase armate pentru hidroizolarea acoperişului. Definiţii şi caracteristici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196-3+A1:2011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încercări ale cimenturilor. Partea 3: Determinarea timpului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de priză şi a stabilităţii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163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1: Determinarea rezistenţelor mecanice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2: Analiza chimică a cimenturilor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196-5:2011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încercări ale cimenturilor. Partea 5: Încercarea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puzzolanicitate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cimentului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puzzolanic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6: Determinarea fineţii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7: Metode de prelevare şi pregătire a probelor de ciment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8: Căldura de hidratare. Metoda prin dizolvare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169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încercări ale cimenturilor. Partea 9: Căldura de hidratare. Metoda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semiadiabatică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196-10:2011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10: Determinarea conţinutului de crom (VI) solubil în apă din ciment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413-2:2011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Ciment pentru zidărie. Partea 2: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450-2:2011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Cenuşă zburătoare pentru beton. Partea 2: Evaluarea conformităţii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932-3:2013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Încercări pentru determinarea caracteristicilor generale ale agregatelor. Partea 3: Procedură şi terminologie pentru descriere petrografică simplificată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933-1+A1:2011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Încercări pentru determinarea caracteristicilor geometrice ale agregatelor. Partea 1: Determinarea granulozităţii. Analiza granulometrică prin cernere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933-8:2011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Încercări pentru determinarea caracteristicilor geometrice ale agregatelor. Partea 8: Evaluarea părţilor fine. Determinarea echivalentului de nisip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1097-6:2013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Încercări pentru determinarea caracteristicilor mecanice şi fizice ale agregatelor. Partea 6: Determinarea masei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volumice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reale şi a coeficientului de absorbţie a apei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1097-2:2011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Încercări pentru determinarea caracteristicilor mecanice şi fizice ale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agregatelor. Partea 2: Metode pentru determinarea rezistenţei la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sfărîmare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178.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1097-3:2011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Încercări pentru determinarea caracteristicilor mecanice şi fizice ale agregatelor. Partea 3: Metode pentru determinarea masei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volumice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în vrac şi a porozităţii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intergranulare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179.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1097-5:2011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Încercări pentru determinarea caracteristicilor mecanice şi fizice ale agregatelor. Partea 5: Determinarea conţinutului de apă prin uscare în etuvă ventilată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1367-2:2011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Încercări pentru determinarea caracteristicilor termice şi de alterabilitate ale agregatelor. Partea 2: Încercarea cu sulfat de magneziu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proaspăt. Partea 1: Eşantionare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proaspăt. Partea 2: Încercarea de tasare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3: Încercare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Vebe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proaspăt. Partea 4: Grad de compactare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5: Încercare cu masa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răspîndire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proaspăt. Partea 6: Densitate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12350-7:2011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proaspăt. Partea 7: Conţinut de aer. Metode prin presiune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12350-8:2011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8: Beton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autocompactant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Tasare. Încercarea la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răspîndire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189.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12350-9:2011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9: Beton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autocompactant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Metoda de determinare a timpului de curgere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pîlnia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V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12350-10:2011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10: Beton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autocompactant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Metoda de determinare a capacităţii de curgere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utilizînd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cutia în L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12350-11:2011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11: Beton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autocompactant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Metoda de determinare a rezistenţei la segregare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utilizînd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site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EN 12350-12:2011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proaspăt. Partea 12: Beton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autocompactant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Metoda de determinare a capacităţii de curgere cu inelul J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2: Pregătirea şi păstrarea epruvetelor pentru încercări de rezistenţă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Încercare pe beton întărit. Partea 3: Rezistenţa la compresiune a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epruvetelor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195.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12390-5:2011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 întărit. Partea 5: Rezistenţa la încovoiere a epruvetelor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12591:2010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Bitumuri şi lianţi bituminoşi. Condiţii tehnice pentru bitumuri rutiere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13043:2010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Agregate pentru amestecuri bituminoase şi pentru finisarea suprafeţelor, utilizate la construcţia şoselelor, a aeroporturilor şi a altor zone cu trafic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vată minerală (MW).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199.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13163:2010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polistiren expandat (EPS).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iCs/>
                <w:lang w:val="ro-MO"/>
              </w:rPr>
              <w:t>200.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13164:2010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spumă de polistiren extrudat (XPS).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13165:2010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spumă rigidă de poliuretan (PUR).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13166:2010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spumă fenolică (PF).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13167:2010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sticlă celulară (CG).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13168:2010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vată de lemn (WW).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13169:2010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perlit expandat (EPB).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13170:2010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plută expandată (ICB).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13171:2010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clădiri. Produse fabricate din fibre de lemn (WF).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13859-1:2010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Definiţii şi caracteristici ale substraturilor ale substraturilor. Partea 1: Substraturi pentru învelitori de acoperiş discontinue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209.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13859-2:2010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Definiţii şi caracteristici ale substraturilor. Partea 2: Substraturi pentru pereţi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210.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 EN 15322:2010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Bitum şi lianţi bituminoşi. Condiţii tehnice cadru pentru lianţi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bituminoţi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fluidificaţi şi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fluxaţi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SMV ISO 1920-3:2011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Încercare pe beton. Partea 3: Pregătirea şi conservarea epruvetelor pentru încercări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1848-1:2011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hidroizolante. Determinarea lungimii, lăţimii şi liniarităţii. Partea 1: Foi hidroizolante bituminoase pentru acoperiş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CEN/TR 196-4:2011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ale cimenturilor. Partea 4: Determinarea cantitativă a componentelor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772-2:2011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elementelor pentru zidărie. Partea 2: Determinarea procentuală a ariei golurilor din blocurile de beton (prin amprentă pe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hîrtie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)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1013-2:2011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Plăci profilate transparente de material plastic pentru învelitoare de acoperiş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monostrat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Partea 2: Cerinţe specifice şi metode de încercare pentru plăci de răşină poliesterică armată cu fibre de sticlă (PAS)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1123-3:2011</w:t>
            </w:r>
          </w:p>
          <w:p w:rsidR="00D243F0" w:rsidRPr="00D243F0" w:rsidRDefault="00D243F0" w:rsidP="00DC42BC">
            <w:pPr>
              <w:pStyle w:val="Heading3"/>
              <w:rPr>
                <w:b/>
                <w:bCs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Tuburi şi racorduri de tub sudate longitudinal de oţel galvanizat la cald, cu mufă şi capăt drept pentru reţele de canalizare. Partea 3: Dimensiuni şi cerinţe speciale pentru instalaţii de evacuare sub vid şi pentru instalaţii de evacuare din construcţii navale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1124-4:2011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Tuburi şi racorduri de tub sudate longitudinal de oţel inoxidabil, cu mufă şi capăt drept pentru reţele de canalizare. Partea 4: Componente ale instalaţiilor de evacuare sub vid şi gravitaţionale, instalate pe nave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1121:2011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Uşi. Comportare între două climate diferite. Metodă de încercare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219.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1123-2+A1:2011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Tuburi şi racorduri de tub pentru reţele de canalizare de oţel galvanizat la cald, sudate longitudinal, cu mufă şi capăt drept. Partea 2: Dimensiuni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1303:2011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5" w:history="1">
              <w:r w:rsidRPr="00D243F0">
                <w:rPr>
                  <w:rFonts w:ascii="Times New Roman" w:hAnsi="Times New Roman" w:cs="Times New Roman"/>
                  <w:lang w:val="ro-MO"/>
                </w:rPr>
                <w:t>Feronerie pentru clădiri. Cilindri pentru broaşte. Cerinţe şi metode de încercare</w:t>
              </w:r>
            </w:hyperlink>
            <w:r w:rsidRPr="00D243F0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Ventilarea în clădiri. Canale de aer de tablă şi piese de racordare cu secţiune rectangulară. Dimensiuni ” 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222.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1506:2011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Ventilarea în clădiri. Canale de aer de tablă şi piese de racordare cu secţiune circulară. Dimensiuni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1507:2011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Ventilarea în clădiri. Canale de aer rectangulare de tablă. Cerinţe de rezistenţă şi etanşeitate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1522:2011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Ferestre, uşi, obloane şi jaluzele. Rezistenţă la atacul cu glonţ. Condiţii şi clasificare 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1523:2011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Ferestre, uşi, obloane şi jaluzele. Rezistenţă la glonţ. Metodă de încercare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1603+AC:2011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termoizolante destinate utilizării la clădiri. Determinarea stabilităţii dimensionale în condiţii normale şi constante de laborator (23 grade C / 50% umiditate relativă)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1604+AC:2011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destinate utilizării la clădiri. Determinarea stabilităţii dimensionale în condiţii specificate de temperatură şi umiditate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1605+AC:2011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destinate utilizării la clădiri. Determinarea deformaţiei în condiţii specificate de încărcare la compresiune şi de temperatură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229.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1606+AC:2011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termoizolante destinate utilizării la clădiri. Determinarea fluajului din compresiune 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1609+AC:2011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destinate utilizării la clădiri. Determinarea absorbţiei apei de scurtă durată prin imersie parţială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1670:2011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Feronerie pentru clădiri. Rezistenţă la coroziune. Condiţii şi metode de încercare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1825-2:2011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Separatoare de grăsimi. Partea 2: Alegerea dimensiunilor nominale, montare, operare şi întreţinere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ISO 7162:2011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Standarde de performanţă în clădiri. Conţinutul şi modul de prezentare al standardelor pentru evaluarea performanţelor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8990:2011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Izolaţie termică. Determinarea proprietăţilor de transmisie termică în regim staţionar. Cutia caldă calibrată şi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gardată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9229:2011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Izolaţie termică. Vocabular  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236.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9311-3:2011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 pentru sisteme de ţevi din material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thermoplastic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Partea 3: Metoda de încercare pentru determinarea rezistenţei la presiune internă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9346:2011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clădirilor şi materialelor de construcţii. Mărimi fizice pentru transferul de masă. Vocabular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10211:2011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Punţi termice în clădiri. Fluxuri termice şi temperaturi superficiale. Calcule detaliate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239.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10318:2011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Termeni şi definiţii 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10319:2011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Incercarea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la tracţiune a benzilor late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10321:2011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Încercarea la tracţiune a îmbinărilor/cusăturilor prin metoda benzii late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10456:2011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Materiale şi produse pentru construcţii. Proprietăţi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Valori tabelare de proiectare şi proceduri pentru determinarea valorilor termice declarate şi de proiectare </w:t>
            </w: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10722:2011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Mod de încercare pentru evaluarea deteriorării mecanice sub încărcări repetate. Deteriorare determinată de materiale granulare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11432:2011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Construcţii imobiliare. Chituri. Determinarea rezistenţei la compresiune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12046-1:2011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Forţe de manevrare. Metodă de încercare. Partea 1: Ferestre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12114:2011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clădirilor. Permeabilitatea la aer a părţilor şi elementelor de clădire. Metoda de încercare în laborator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12179:2011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Faţade cortină. Rezistenţă la încărcarea dată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Metodă de încercare </w:t>
            </w:r>
            <w:r w:rsidRPr="00D243F0">
              <w:rPr>
                <w:rFonts w:ascii="Times New Roman" w:hAnsi="Times New Roman" w:cs="Times New Roman"/>
                <w:i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248.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ISO 12236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6" w:history="1">
              <w:proofErr w:type="spellStart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Geosintetice</w:t>
              </w:r>
              <w:proofErr w:type="spellEnd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. Încercarea de perforare statică  (încercarea CBR)</w:t>
              </w:r>
            </w:hyperlink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249.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ISO 12241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hyperlink r:id="rId7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Izolarea termică a instalaţiilor pentru construcţii şi a instalaţiilor industriale. Reguli de calcul</w:t>
              </w:r>
            </w:hyperlink>
            <w:r w:rsidRPr="00D243F0">
              <w:rPr>
                <w:rFonts w:ascii="Times New Roman" w:hAnsi="Times New Roman" w:cs="Times New Roman"/>
                <w:bCs/>
                <w:i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12310-2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8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 xml:space="preserve">Foi flexibile hidroizolante. Determinarea rezistenţei la </w:t>
              </w:r>
              <w:proofErr w:type="spellStart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sfîşiere</w:t>
              </w:r>
              <w:proofErr w:type="spellEnd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. Partea 2: Foi hidroizolante de material plastic şi de cauciuc pentru acoperiş</w:t>
              </w:r>
            </w:hyperlink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12316-2:2011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9" w:history="1">
              <w:r w:rsidRPr="00D243F0">
                <w:rPr>
                  <w:rFonts w:ascii="Times New Roman" w:hAnsi="Times New Roman" w:cs="Times New Roman"/>
                  <w:lang w:val="ro-MO"/>
                </w:rPr>
                <w:t xml:space="preserve">Foi flexibile hidroizolante. Determinarea rezistenţei la jupuire a îmbinărilor. Partea 2: Foi hidroizolante de material plastic şi de cauciuc pentru acoperiş </w:t>
              </w:r>
            </w:hyperlink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12390-8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0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 xml:space="preserve">Încercare pe beton întărit. Partea 8: </w:t>
              </w:r>
              <w:proofErr w:type="spellStart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Adîncimea</w:t>
              </w:r>
              <w:proofErr w:type="spellEnd"/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 xml:space="preserve"> de pătrundere a apei sub presiune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12390-2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color w:val="F79646"/>
                <w:lang w:val="ro-MO"/>
              </w:rPr>
            </w:pPr>
            <w:hyperlink r:id="rId11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Încercare pe beton întărit. Partea 2: Pregătirea şi păstrarea epruvetelor pentru încercări de rezistenţă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12390-1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2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Încercare pe beton întărit. Partea 1: Formă, dimensiuni şi alte condiţii pentru epruvete şi tipare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12407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hyperlink r:id="rId13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Metode de încercare a pietrei naturale. Examinare petrografică</w:t>
              </w:r>
            </w:hyperlink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12412-4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4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Performanţa termică a ferestrelor, uşilor şi obloanelor. Determinarea coeficientului de transmisie termică prin metoda cutiei calde. Partea 4: Cutii ale obloanelor rulante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12412-2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5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Performanţa termică a ferestrelor, uşilor şi obloanelor. Determinarea coeficientului de transmisie termică prin metoda cutiei calde. Partea 2: Rame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12430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hyperlink r:id="rId16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Produse termoizolante destinate utilizării la clădiri. Determinarea comportării sub încărcare punctuală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259.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12440:2011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7" w:history="1">
              <w:r w:rsidRPr="00D243F0">
                <w:rPr>
                  <w:rFonts w:ascii="Times New Roman" w:hAnsi="Times New Roman" w:cs="Times New Roman"/>
                  <w:lang w:val="ro-MO"/>
                </w:rPr>
                <w:t>Piatră naturală. Criterii de denumire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12504-2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8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Încercări pe beton în structuri. Partea 2: Încercări nedistructive. Determinarea indicelui de recul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12504-1:2011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19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>Încercări pe beton în structuri. Partea 1: Carote. Prelevare, examinare şi încercări la compresiune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ISO 12567-2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hyperlink r:id="rId20" w:history="1"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t xml:space="preserve">Performanţa termică a ferestrelor şi uşilor. Determinarea coeficientului de transfer termic prin metoda cutiei calde. Partea 2: Ferestre de </w:t>
              </w:r>
              <w:r w:rsidRPr="00D243F0">
                <w:rPr>
                  <w:rFonts w:ascii="Times New Roman" w:hAnsi="Times New Roman" w:cs="Times New Roman"/>
                  <w:bCs/>
                  <w:lang w:val="ro-MO"/>
                </w:rPr>
                <w:lastRenderedPageBreak/>
                <w:t>acoperiş şi alte ferestre în relief</w:t>
              </w:r>
            </w:hyperlink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263.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12569:2011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clădirilor. Determinarea schimbului de aer în clădiri. Metoda diluării gazului trasor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12571:2011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materialelor şi produselor pentru construcţii. Determinarea caracteristicilor de sorbţie higroscopică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12589:2011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Ventilarea în clădiri. Unităţi terminale. Încercări aerodinamice şi evaluarea performanţelor pentru elementele de introducere a aerului în încăpere, cu debit constant şi variabil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12599:2011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Ventilarea în clădiri. Proceduri de încercare şi metode de măsurare pentru recepţia instalaţiilor de ventilare şi de condiţionare a aerului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12664:2011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materialelor şi a produselor pentru clădiri. Determinarea rezistenţei termice prin metoda plăcii calde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gardate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prin metoda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termofluxmetru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Produse uscate şi umede cu rezistenţă termică medie şi mică 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12667:2011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materialelor şi produselor de construcţie. Determinarea rezistenţei termice prin metoda plăcii calde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gardate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prin metoda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termofluxmetru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Produse cu rezistenţă termică mare şi medie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269.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12691:2011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hidroizolante. Foi hidroizolante bituminoase de material plastic şi de cauciuc pentru hidroizolarea acoperişului. Determinarea rezistenţei la impact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12730:2011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hidroizolante. Foi hidroizolante bituminoase, de material plastic şi de cauciuc pentru acoperiş. Determinarea rezistenţei la sarcină statică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12828:2011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Sisteme de încălzire a clădirilor. Proiectarea sistemelor de încălzire cu apă caldă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12831:2011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Instalaţii de încălzire în clădiri. Metodă de calcul al sarcinii termice de calcul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12865:2011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componentelor şi a elementelor de clădire. Determinarea rezistenţei sistemelor de pereţi exteriori la ploaie în rafale cu presiunea pulsatorie a aerului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12939:2011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materialelor şi produselor de construcţie. Determinarea rezistenţei termice cu ajutorul metodei plăcii calde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gardate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a metodei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termofluxmetrice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Produse groase cu rezistenţă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termică mare şi medie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275.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12957-2:2011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Determinarea caracteristicilor de frecare. Partea 2: Încercarea pe plan înclinat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12975-2:2011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Instalaţii termice solare şi componente ale acestora. Captatoare solare. Partea 2: Metode de încercare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12976-2:2011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Instalaţii termice solare şi componentele acestora. Instalaţii prefabricate. Partea 2: Metode de încercare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12977-3:2011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Instalaţii termice solare şi componentele acestora. Instalaţii realizate pe şantier. Partea 3: Metode de încercare a performanţelor dispozitivelor de acumulare din instalaţiile solare de încălzire a apei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279.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13009:2011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materialelor şi produselor pentru construcţii. Determinarea coeficientului de expansiune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higrică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13032-3:2011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Lumină şi iluminat. Măsurarea şi prezentarea rezultatelor fotometrice ale lămpilor şi aparatelor de iluminat. Partea 3: Prezentarea rezultatelor pentru iluminatul de siguranţă al locurilor de muncă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13030:2011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Ventilarea în clădiri. Guri de aer. Încercare pentru stabilirea performanţelor gurilor de aer exterioare supuse la ploi simulate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13032-2:2011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Lumină şi iluminat. Măsurarea şi prezentarea caracteristicilor fotometrice ale lămpilor şi aparatelor de iluminat. Partea 2: Prezentarea datelor pentru locuri de muncă interioare şi exterioare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13032-1:2011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Lumină şi iluminat. Măsurarea şi prezentarea rezultatelor fotometrice ale lămpilor şi aparatelor de iluminat. Partea 1: Măsurarea şi prezentarea datelor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13053:2011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Ventilarea în clădiri. Camere de tratare a aerului. Clasificarea şi performanţele camerelor, ale elementelor componente şi ale secţiunilor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13084-4:2011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Coşuri independente. Partea 4: Pereţi interiori din cărămizi de argilă arsă. Proiectare şi execuţie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286.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13126-17:2011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Feronerie pentru clădiri. Cerinţe şi metode de încercare pentru feronerii de ferestre şi uşi pentru balcon. Partea 17: Feronerii pentru ferestre şi uşi pentru balcon oscilo-basculante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13126-16:2011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Feronerie pentru clădiri. Cerinţe şi metode de încercare pentru feronerii de ferestre şi uşi pentru balcon. Partea 16: Feronerii pentru ferestre şi uşi pentru balcon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culisant-basculante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13126-15:2011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Feronerie pentru clădiri. Cerinţe şi metode de încercare pentru feronerii de ferestre şi uşi pentru balcon. Partea 15: Rulmenţi pentru ferestre şi uşi pentru balcon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culisante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orizontal şi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pliant-culisante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289.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13126-8:2011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Feronerie pentru clădiri. Cerinţe şi metode de încercare pentru feronerii de ferestre şi uşi pentru balcon. Partea 8: Feronerie oscilo-basculantă, basculant-oscilantă şi pivotantă 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13126-7:2011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Feronerie pentru clădiri. Cerinţe şi metode de încercare pentru feronerii de ferestre şi uşi pentru balcon. Partea 7: Zăvoare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13123-2:2011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Ferestre, uşi şi elemente de închidere. Rezistenţă la explozie. Condiţii şi clasificare. Partea 2: Încercare în aer liber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13123-1:2011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Ferestre, uşi şi obloane. Rezistenţă la explozie. Condiţii şi clasificare. Partea 1: Tub cu efect de suflu (tub şoc)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13126-1:2011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Feronerie pentru clădiri. Cerinţe şi metode de încercare pentru feronerii de ferestre şi uşi pentru balcon. Partea 1: Cerinţe comune pentru toate tipurile de feronerie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13161:2011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pietrei naturale. Determinarea rezistenţei la flexiune sub moment constant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13286-53:2011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de agregate tratate şi netratate cu lianţi hidraulici. Partea 53: Metoda de confecţionare prin compresiune axială a epruvetelor din amestecuri tratate cu lianţi hidraulici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13286-52::2011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de agregate tratate şi netratate cu lianţi hidraulici. Partea 52: Metoda de confecţionare prin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vibrocompresiune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epruvetelor din agregate tratate cu lianţi hidraulici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13286-51:2011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de agregate tratate şi netratate cu lianţi hidraulici. Partea 51: Metoda de confecţionare prin compactare cu ciocan vibrator a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epruvetelor din agregate tratate cu lianţi hidraulici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298.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13286-50:2011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Amestecuri de agregate tratate şi netratate cu lianţi hidraulici. Partea 50: Metoda de confecţionare prin compactare cu un aparat Proctor sau o masă vibratoare a epruvetelor din agregate tratate cu lianţi hidraulici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299.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13286-48:2011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de agregate netratate şi tratate cu lianţi hidraulici. Partea 48 : Metodă de încercare pentru determinarea gradului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răspîndire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13375:2011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Hidroizolarea podurilor şi a altor suprafeţe de beton circulate de vehicule. Pregătirea epruvetelor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13426-2:2011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Geotextile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şi produse înrudite. Rezistenţa îmbinărilor structurale interne. Partea 2: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Geocompozite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13428:2011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Determinarea eficacităţii protecţiei unui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la deteriorarea prin impact 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13433:2011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Încercarea de perforare dinamică (încercare prin căderea unui con)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13535:2011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Metodă de încercare pentru conţinutul de aer din betonul proaspăt prin metoda volumetrică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13536:2011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Evaluarea agresivităţii apei, solului şi gazelor asupra betonului. Prelevarea şi analizarea eşantioanelor de apă şi sol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13577:2011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Atac chimic asupra betonului. Determinarea conţinutului de dioxid de carbon agresiv din apă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13653:2011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Hidroizolarea podurilor şi a altor suprafeţe de beton circulate de vehicule. Determinarea rezistenţei la forfecare 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13755:2011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pietrei naturale. Determinarea absorbţiei de apă la presiune atmosferică 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309.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13786:2011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elementelor de construcţie. Caracteristici termice dinamice. Metode de calcul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310.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13789:2011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clădirilor. Coeficienţi de transfer termic prin transmisie şi prin ventilare. Metodă de calcul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311.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13790:2011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energetică a clădirilor. Calculul necesarului de energie pentru încălzirea şi răcirea spaţiilor  </w:t>
            </w:r>
            <w:r w:rsidRPr="00D243F0">
              <w:rPr>
                <w:rFonts w:ascii="Times New Roman" w:hAnsi="Times New Roman" w:cs="Times New Roman"/>
                <w:bCs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312.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13791:2011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Evaluarea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in-situ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rezistenţei la compresiune a betonului din structuri şi din elemente prefabricate  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313.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13791:2011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clădirilor. Calculul temperaturii interioare a unei încăperi fără climatizare în timpul verii. Criterii generale şi proceduri de validare </w:t>
            </w: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13792:2011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clădirilor. Calculul temperaturii interioare a unei încăperi fără climatizare în timpul verii. Metode de calcul simplificate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ISO 13793:2011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Performanţa termică a clădirilor. Proiectarea din punct de vedere termic a fundaţiilor pentru evitarea umflării din cauza îngheţului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color w:val="F79646"/>
                <w:lang w:val="ro-MO"/>
              </w:rPr>
            </w:pPr>
            <w:r w:rsidRPr="00D243F0">
              <w:rPr>
                <w:rFonts w:ascii="Times New Roman" w:hAnsi="Times New Roman" w:cs="Times New Roman"/>
                <w:color w:val="F79646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13872:2011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mortarelor de finisare şi/sau de nivelare. Determinarea concentraţiei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13892-7:2011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materialelor pentru şape. Partea 7: Determinarea rezistenţei la uzură cu rola pivotantă a materialului de şape cu îmbrăcăminte de pardoseală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13892-5:2011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materialelor pentru şape. Partea 5: Determinarea rezistenţei la uzură cu rola pivotantă a materialului de şape pentru stratul de uzură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319.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13897:2011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Foi hidroizolante bituminoase, de material plastic şi de cauciuc pentru acoperiş. Determinarea etanşeităţii la apă după întindere la temperatură scăzută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320.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13914-2:2011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Proiectarea, prepararea şi aplicarea tencuielilor interioare şi exterioare. Partea 2: Prevederi de proiectare şi principii de bază pentru tencuiala interioară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321.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13914-1:2011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Proiectare, preparare şi aplicarea tencuielilor interioare şi exterioare. Partea 1: Tencuieli exterioare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322.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13947:2011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termică a faţadelor cortină. Calculul coeficientului de transfer termic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323.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13948:2011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Foi de material plastic şi de cauciuc pentru hidroizolarea acoperişului. Determinarea rezistenţei la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pătrunderea rădăcinilor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324.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14016-2:2011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Lianţi pentru şape pe bază de magnezită. Magnezită caustică şi clorură de magneziu. Partea 2: Metode de încercare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14146:2011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pietrei naturale. Determinarea modulului de elasticitate dinamic (prin măsurarea frecvenţei de rezonanţă fundamentală)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14150:2011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. Determinarea permeabilităţii la lichide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14158:2011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pietrei naturale. Determinarea energiei la rupere prin şoc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14187-9:2011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Masticuri pentru colmatarea rosturilor aplicate la rece. Metode de încercare. Partea 9: Încercarea funcţionalităţii masticurilor pentru colmatare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329.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14199:2011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Execuţia lucrărilor geotehnice speciale.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Micropiloţi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14205:2011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pietrei naturale. Determinarea durităţii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Knoop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14227-14:2011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tratate cu lianţi hidraulici. Specificaţii. Partea 14: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tratat cu cenuşă volantă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14227-13:2011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tratate cu lianţi hidraulici. Specificaţii. Partea 13: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tratat cu liant hidraulic rutier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14227-12:2011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tratate cu lianţi hidraulici. Specificaţii. Partea 12: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tratat cu zgură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14227-11:2011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tratate cu lianţi hidraulici. Specificaţii. Partea 11: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tratat cu var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14227-10:2011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Amestecuri tratate cu lianţi hidraulici. Specificaţii. Partea 10: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tratat cu ciment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14223:2011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Hidroizolaţii pentru poduri de beton şi alte suprafeţe de beton circulate de vehicule. Determinarea absorbţiei de apă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14240:2011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Ventilare în clădiri. Plafoane răcite. Încercări şi evaluare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338.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14255-4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Măsurarea şi evaluarea expunerii persoanelor la radiaţii optice incoerente. Partea 4: Terminologie şi mărimi utilizate pentru măsurarea expunerii la radiaţie ultravioletă, vizibilă şi infraroşu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339.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14255-1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Măsurarea şi evaluarea expunerii persoanelor la radiaţia optică necoerentă. Partea 1: Radiaţie ultravioletă emisă de surse artificiale la locul de muncă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14259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 pentru îmbrăcăminte de pardoseală. Cerinţe pentru performanţă mecanică şi electrică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14277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Ventilarea în clădiri. Guri de aer. Metodă de măsurare a debitului de aer cu senzori etalonaţi în interiorul sau în imediata apropiere a gurilor de aer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14336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Instalaţii de încălzire în clădiri. Montarea şi punerea în funcţiune a instalaţiilor de încălzire cu apă caldă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14337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Instalaţii de încălzire ale clădirilor. Proiectare şi execuţie a instalaţiilor cu încălzire electrică directă a încăperilor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14437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Determinarea rezistenţei la ridicare a ţiglelor de argilă arsă sau de beton montate pe acoperiş. Metodă de încercare a sistemului de acoperiş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14475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Execuţia lucrărilor geotehnice speciale. Umpluturi armate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14500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Storuri şi obloane. Confort termic şi luminos. Metode de încercare şi de calcul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14501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Storuri şi obloane. Confort termic şi luminos. Caracteristici de performanţă şi clasificare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14574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Determinarea rezistenţei la perforarea cu piramida 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geosinteticelor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aşezate pe un suport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349.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14575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Bariere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Metodă selectivă de încercare pentru determinarea rezistenţei la oxidare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14576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Metodă de încercare pentru determinarea rezistenţei barierelor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geosintetice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polimerice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la fisurare din condiţii de mediu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351.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14600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Seturi de uşi şi ferestre mobile, rezistente la foc şi/sau etanşe la fum. Cerinţe şi clasificare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14617-8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Piatră aglomerată. Metode de încercare. Partea 8: Determinarea rezistenţei la fixare (gaura de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agrafare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)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14617-2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Piatră aglomerată. Metode de încercare. Partea 2: Determinarea rezistenţei la flexiune (tracţiune)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14629:2011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şi sisteme pentru protecţia şi repararea structurilor din beton. Metode de încercare. Determinarea conţinutului de cloruri din betonul întărit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14630:2011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şi sisteme pentru protecţia şi repararea structurilor de beton. Metode de încercări. Determinarea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adîncimii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de carbonatare în betonul întărit prin metoda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fenolftaleină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14651+A1:2011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încercare a betonului cu fibre metalice. Măsurarea rezistenţei la tracţiune prin încovoiere (limită de proporţionalitate (LOP), rezistenţă reziduală)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14678:2011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Adezivi. Determinarea rezistenţei la curgere (înmuiere)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14683:2011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Punţi termice în clădiri. Coeficient de transfer termic liniar. Metode simplificate şi valori implicite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359.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14688-1:2011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Cercetări şi încercări geotehnice. Identificarea şi clasificarea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pămînturilor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. Partea 1: Identificare şi descriere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14691:2011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Hidroizolarea podurilor de beton şi a altor suprafeţe de beton circulate de vehicule. Determinarea compatibilităţii prin condiţionare termică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14692:2011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Hidroizolarea podurilor şi a altor suprafeţe de beton circulate de vehicule. Determinarea rezistenţei la compactare a stratului bituminos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14693:2011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Foi flexibile pentru hidroizolaţii. Hidroizolaţii la tabliere de pod de beton şi alte suprafeţe de beton cu circulaţie rutieră. Determinarea comportării foilor bituminoase în timpul aplicării masticului asfaltic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14694:2011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Foi flexibile pentru hidroizolaţii. Hidroizolarea podurilor de beton şi a altor suprafeţe de beton circulate de vehicule. Determinarea rezistenţei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 xml:space="preserve">la presiunea dinamică a apei după degradare prin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pretratare</w:t>
            </w:r>
            <w:proofErr w:type="spellEnd"/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364.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14706:2011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Produse termoizolante pentru echipamente de clădiri şi instalaţii industriale. Determinarea temperaturii de exploatare maxime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14721+A1:2011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Metodă de încercare pentru beton cu fibre metalice. Măsurarea conţinutului de fibre în betonul proaspăt şi întărit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14840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de umplere şi colmatare a rosturilor. Metode de încercare a rosturilor de etanşeitate prefabricate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14845-2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Metode de încercări pentru fibrele din beton. Partea 2: Influenţa asupra betonului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14845-1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Metode de încercări pentru fibrele din beton. Partea 1: Betoane de referinţă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369.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 xml:space="preserve">SM </w:t>
            </w:r>
            <w:r w:rsidRPr="00D243F0">
              <w:rPr>
                <w:bCs/>
                <w:sz w:val="22"/>
                <w:szCs w:val="22"/>
                <w:lang w:val="ro-MO"/>
              </w:rPr>
              <w:t>SR EN 14846</w:t>
            </w:r>
            <w:r w:rsidRPr="00D243F0">
              <w:rPr>
                <w:sz w:val="22"/>
                <w:szCs w:val="22"/>
                <w:lang w:val="ro-MO"/>
              </w:rPr>
              <w:t>:2011</w:t>
            </w:r>
          </w:p>
          <w:p w:rsidR="00D243F0" w:rsidRPr="00D243F0" w:rsidRDefault="00D243F0" w:rsidP="00DC42BC">
            <w:pPr>
              <w:pStyle w:val="Heading3"/>
              <w:rPr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Feronerie pentru clădiri. Broaşte şi zăvoare. Broaşte şi plăci opritor acţionate electromecanic. Cerinţe şi metode de încercare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14891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de impermeabilizare faţă de apă utilizate în stare lichidă pentru lipirea cu adezivi a plăcilor ceramice. Specificaţii, metode de încercare, evaluarea conformităţii, clasificare şi notare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15026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higrotermică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a componentelor şi elementelor clădirilor. Evaluarea transferului de umiditate prin simulare numerică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15116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Ventilarea în clădiri. Grinzi reci. Încercările şi evaluarea grinzilor reci active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pStyle w:val="Heading3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o-MO"/>
              </w:rPr>
              <w:t>SM SR EN 15167-2:2011</w:t>
            </w:r>
          </w:p>
          <w:p w:rsidR="00D243F0" w:rsidRPr="00D243F0" w:rsidRDefault="00D243F0" w:rsidP="00DC42BC">
            <w:pPr>
              <w:pStyle w:val="Heading3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Zgură granulată de furnal măcinată pentru utilizare în beton, mortar şi pastă. Partea 2: Evaluarea conformităţii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>SR EN 15232</w:t>
            </w:r>
            <w:r w:rsidRPr="00D243F0">
              <w:rPr>
                <w:rFonts w:ascii="Times New Roman" w:hAnsi="Times New Roman" w:cs="Times New Roman"/>
                <w:lang w:val="ro-MO"/>
              </w:rPr>
              <w:t>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Performanţă energetică a clădirilor. Impact al automatizării, controlului şi managementului tehnic al clădirii   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15274:2011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 structurali pentru aplicaţii generale. Cerinţe şi metode de încercare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376.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15275:2011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 structurali. Caracterizarea adezivilor anaerobi pentru asamblări metalice coaxiale în structuri de clădiri şi în construcţii civile 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15336:2011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Adezivi. Determinarea duratei până la rupere a îmbinărilor prin lipire supuse unei încărcări statice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15337:2011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Adezivi. Determinarea rezistenţei la forfecare a adezivilor anaerobi pe asamblări tip bară-inel    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379.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15318:2011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Proiectarea şi aplicarea plăcilor de ipsos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15422:2011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prefabricate de beton. Specificaţii pentru fibrele de sticlă destinate armării mortarelor şi betoanelor </w:t>
            </w: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SM SR EN ISO 13787:2011</w:t>
            </w:r>
          </w:p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pentru izolarea termică a echipamentelor din clădiri şi a instalaţiilor industriale. Determinarea conductivităţii termice declarate 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445:2013(E)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Paste pentru cabluri pretensionate. Metode de încercare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446:2013(E)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Paste pentru cabluri pretensionate. Procedură de injecţie a pastelor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447:2013(E)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Paste pentru cabluri pretensionate. Cerinţe generale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459-2:2013(E)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Var pentru construcţii. Partea 2: Metode de încercare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480-4:2013(E)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Aditivi pentru beton, mortar şi pastă. Metode de încercare. Partea 4: Determinarea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exudării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betonului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480-5:2013(E)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Aditivi pentru beton, mortar şi pastă. Metode de încercare. Partea 5: Determinarea absorbţiei capilare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480-11:2013(E)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Aditivi pentru beton, mortar şi pastă. Metode de încercare. Partea 11: Determinarea caracteristicilor porilor de aer în betonul întărit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389.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480-12:2013(E)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Aditivi pentru beton, mortar şi pastă. Metode de încercare. Partea 12: Determinarea conţinutului de alcalii din aditivi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772-15:2013(E)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Metode de încercare a elementelor pentru zidărie. Partea 15: Determinarea permeabilităţii la vaporii de apă a elementelor pentru </w:t>
            </w:r>
            <w:r w:rsidRPr="00D243F0">
              <w:rPr>
                <w:rFonts w:ascii="Times New Roman" w:eastAsia="Calibri" w:hAnsi="Times New Roman" w:cs="Times New Roman"/>
                <w:lang w:val="ro-MO"/>
              </w:rPr>
              <w:lastRenderedPageBreak/>
              <w:t>zidărie de beton celular autoclavizat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391.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772-18:2013(E)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Metode de încercare a elementelor pentru zidărie. Partea 18: Determinarea rezistenţei la îngheţ/dezgheţ a elementelor pentru zidărie de silico-calcar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772-21:2013(E)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Metode de încercare a elementelor pentru zidărie. Partea 21: Determinarea absorbţiei de apă a elementelor pentru zidărie de argilă şi de silico-calcar prin absorbţie de apă rece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932-6:2013(E)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caracteristicilor generale ale agregatelor. Partea 6: Definirea repetabilităţii şi a reproductibilităţii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933-4:2013(E)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caracteristicilor geometrice ale agregatelor. Partea 4: Determinarea formei particulelor. Coeficient de formă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933-7:2013(E)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pentru determinarea caracteristicilor geometrice ale agregatelor. Partea 7: Determinarea conţinutului de elemente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cochiliere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>. Procent de cochilii în agregate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1097-4:2013(E)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caracteristicilor mecanice şi fizice ale agregatelor. Partea 4: Determinarea porozităţii filerului uscat compactat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1097-7:2013(E)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pentru determinarea caracteristicilor mecanice şi fizice ale agregatelor. Partea 7: Determinarea masei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volumice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reale a filerului. Metoda cu picnometru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1097-10:2013(E)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pentru determinarea caracteristicilor mecanice şi fizice ale agregatelor. Partea 10: Înălţimea de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sucţiune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a apei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399.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1367-4:2013(E)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caracteristicilor termice şi de alterabilitate ale agregatelor. Partea 4: Determinarea contracţiei la uscare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1367-5:2013(E)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caracteristicilor termice şi de alterabilitate ale agregatelor. Partea 5: Determinarea rezistenţei la şoc termic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1744-4:2013(E)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pentru determinarea proprietăţilor chimice ale agregatelor. Partea 4: Determinarea sensibilităţii la apă a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filerelor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pentru amestecuri bituminoase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1744-5:2013(E)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pentru determinarea proprietăţilor chimice ale agregatelor. </w:t>
            </w:r>
            <w:r w:rsidRPr="00D243F0">
              <w:rPr>
                <w:rFonts w:ascii="Times New Roman" w:eastAsia="Calibri" w:hAnsi="Times New Roman" w:cs="Times New Roman"/>
                <w:lang w:val="ro-MO"/>
              </w:rPr>
              <w:lastRenderedPageBreak/>
              <w:t>Partea 5: Determinarea conţinutului de cloruri solubile în acid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403.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1744-6:2013(E)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pentru determinarea proprietăţilor chimice ale agregatelor. Partea 6: Determinarea influenţei unui extras de agregat reciclat asupra timpilor iniţiali de priză a cimentului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13364:2013 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Metode de încercare a pietrei naturale. Determinarea sarcinii de rupere prin gaura de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agrafare</w:t>
            </w:r>
            <w:proofErr w:type="spellEnd"/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ISO 7389:2013(E)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Construcţii imobiliare. Produse pentru rosturi. Determinarea adezivităţii elastice a chiturilor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EN ISO 11600:2013(E)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Construcţii imobiliare. Produse pentru rosturi. Clasificare şi cerinţe pentru chituri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SR EN 13823:2012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 xml:space="preserve">Încercări de reacţie la foc ale produselor pentru construcţii. Produse pentru construcţii, cu excepţia îmbrăcămintei de pardoseală, expuse acţiunii termice a unui singur obiect </w:t>
            </w:r>
            <w:proofErr w:type="spellStart"/>
            <w:r w:rsidRPr="00D243F0">
              <w:rPr>
                <w:rFonts w:ascii="Times New Roman" w:eastAsia="Calibri" w:hAnsi="Times New Roman" w:cs="Times New Roman"/>
                <w:lang w:val="ro-MO"/>
              </w:rPr>
              <w:t>arzînd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SR EN 13888:2012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Mortare de rosturi pentru plăci şi dale ceramice. Specificaţii, evaluarea conformităţii, clasificare şi notare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409.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SR EN 14944-3:2012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Influenţa produselor pe bază de ciment asupra apei potabile. Metode de testare. Partea 3: Migrarea substanţelor din produsele prefabricate pe bază de ciment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410.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SR EN 26927:2012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Construcţii imobiliare. Produse pentru etanşare. Chituri. Vocabular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411.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SR EN ISO 1716:2012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Încercări de reacţie la foc ale produselor. Determinarea căldurii de ardere superioare (valoare calorifică)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412.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SM </w:t>
            </w:r>
            <w:r w:rsidRPr="00D243F0">
              <w:rPr>
                <w:rFonts w:ascii="Times New Roman" w:eastAsia="Calibri" w:hAnsi="Times New Roman" w:cs="Times New Roman"/>
                <w:lang w:val="ro-MO"/>
              </w:rPr>
              <w:t>EN 14313+A1:2013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Produse termoizolante pentru echipamente din clădiri şi instalaţii industriale. Produse fabricate industrial din spumă de polietilenă (PEF). Specificaţie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GOST 4640:2012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Vată minerală.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GOST 21880:2012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Saltele din vată minerală cusute termoizolante. Condiţii tehnice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GOST 31426:2012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Roci friabile pentru producerea nisipului, pietrişului şi pietrei sparte pentru lucrări de construcţii. Cerinţe tehnice şi metode de încercare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SM CR 1901:2013(E)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eastAsia="Calibri" w:hAnsi="Times New Roman" w:cs="Times New Roman"/>
                <w:lang w:val="ro-MO"/>
              </w:rPr>
            </w:pPr>
            <w:r w:rsidRPr="00D243F0">
              <w:rPr>
                <w:rFonts w:ascii="Times New Roman" w:eastAsia="Calibri" w:hAnsi="Times New Roman" w:cs="Times New Roman"/>
                <w:lang w:val="ro-MO"/>
              </w:rPr>
              <w:t>Specificaţii regionale şi recomandări pentru evitarea deteriorărilor provocate de reacţiile alcalii silice în beton (Versiunea engleză)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  SM SR EN 58:2013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spacing w:after="12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Eşantionarea lianţilor bituminoşi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lastRenderedPageBreak/>
              <w:t>418.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STB EN 1426:2013 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spacing w:after="120"/>
              <w:jc w:val="both"/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Determinarea penetraţiei cu ac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419.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STB EN 1427:2013 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spacing w:after="12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Bitum şi lianţi bituminoşi. Determinarea punctului de înmuiere. Metoda cu inel şi bilă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420.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STB EN 12592:2013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Determinarea solubilităţii”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iCs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iCs/>
                <w:lang w:val="ro-MO"/>
              </w:rPr>
              <w:t>421.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STB EN 12593:2013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Bitum şi lianţi bituminoşi. Determinarea punctului de rupere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Fraass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>”,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>SM  STB EN 12594:2013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Prepararea eşantioanelor de încercat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STB EN 12595:2013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Determinarea viscozităţii cinematice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STB EN 12596:2013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Bitum şi lianţi bituminoşi. Determinarea viscozităţii dinamice cu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vâscozimetrul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capilar sub vid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EN 12597:2013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Terminologie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STB EN 12607-1:2013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Determinarea rezistenţei la întărire sub efectul căldurii şi aerului. Partea 1: Metoda RTFOT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EN 12607-2:2013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spacing w:after="12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Bitum şi lianţi bituminoşi. Determinarea rezistenţei la întărire sub efectul căldurii şi aerului. Partea 2: Metoda TFOT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EN 15326+A1:2013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Bitum şi lianţi bituminoşi. Măsurarea densităţii şi greutăţii specifice. Metoda picnometrului cu dop capilar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429.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 SR EN ISO 2719:2012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petroliere lichide. Determinarea punctului de inflamare. Metoda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Pensky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- Martens cu vas închis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bCs/>
                <w:lang w:val="ro-MO"/>
              </w:rPr>
              <w:t xml:space="preserve">SM SR EN ISO 4259:2011  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Produse petroliere. Determinarea şi aplicarea valorilor fidelităţii referitoare la metodele de încercare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EN ISO 15877-1:2013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 pentru instalaţiile de apă caldă şi rece. Policlorură de vinil clorurată (PVC-C). Partea 1: Generalităţi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EN ISO 15877-2:2013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 pentru instalaţiile de apă caldă şi rece. Policlorură de vinil clorurată (PVC-C). Partea 2: Ţevii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EN ISO 15877-3:2013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 pentru instalaţiile de apă caldă şi rece. Policlorură de vinil clorurată (PVC-C). Partea 3: Fitinguri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EN ISO 15877-5:2013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 pentru instalaţiile de apă caldă şi rece. Policlorură de vinil clorurată (PVC-C). Partea 5: Aptitudinea de utilizare a sistemului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 SR EN 12729:2012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Dispozitive pentru prevenirea poluării apei potabile, datorită refulării. Clapetă de reţinere cu zonă de presiune redusă controlabilă. Familie B. </w:t>
            </w: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Tip A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436.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SMV ISO 559:2011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Ţevi de oţel pentru apă şi ape reziduale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SMV ISO 2531:2011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Ţevi, fitinguri, accesorii de fontă cu grafit nodular şi îmbinările lor pentru apă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SMV ISO 4427-5:2011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plastice. Ţevi şi fitinguri de polietilenă (PE) pentru alimentare cu apă. Partea 5: Aptitudinea de utilizare a sistemului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439.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SMV ISO 7259:2011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Supape de fontă acţionate cu cheie utilizate pentru instalaţii subterane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bCs/>
                <w:lang w:val="ro-MO"/>
              </w:rPr>
            </w:pPr>
            <w:r w:rsidRPr="00D243F0">
              <w:rPr>
                <w:rFonts w:ascii="Times New Roman" w:hAnsi="Times New Roman" w:cs="Times New Roman"/>
              </w:rPr>
              <w:t>SMV ISO/TR 4191:2011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 xml:space="preserve">Ţevi de policlorură de vinil (PVC-U) </w:t>
            </w:r>
            <w:proofErr w:type="spellStart"/>
            <w:r w:rsidRPr="00D243F0">
              <w:rPr>
                <w:rFonts w:ascii="Times New Roman" w:hAnsi="Times New Roman" w:cs="Times New Roman"/>
                <w:lang w:val="ro-MO"/>
              </w:rPr>
              <w:t>neplastifiată</w:t>
            </w:r>
            <w:proofErr w:type="spellEnd"/>
            <w:r w:rsidRPr="00D243F0">
              <w:rPr>
                <w:rFonts w:ascii="Times New Roman" w:hAnsi="Times New Roman" w:cs="Times New Roman"/>
                <w:lang w:val="ro-MO"/>
              </w:rPr>
              <w:t xml:space="preserve"> pentru alimentare cu apă. Recomandări pentru instalare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SM SR EN 14125:2013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RO"/>
              </w:rPr>
            </w:pPr>
            <w:r w:rsidRPr="00D243F0">
              <w:rPr>
                <w:rFonts w:ascii="Times New Roman" w:hAnsi="Times New Roman" w:cs="Times New Roman"/>
                <w:lang w:val="ro-RO"/>
              </w:rPr>
              <w:t xml:space="preserve">Conducte din materiale termoplastice îngropate şi conducte metalice flexibile pentru staţiile de combustibil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SM SR EN 61386-1:2012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RO"/>
              </w:rPr>
            </w:pPr>
            <w:r w:rsidRPr="00D243F0">
              <w:rPr>
                <w:rFonts w:ascii="Times New Roman" w:hAnsi="Times New Roman" w:cs="Times New Roman"/>
                <w:lang w:val="ro-RO"/>
              </w:rPr>
              <w:t xml:space="preserve">Sisteme de tuburi de protecţie pentru direcţionarea cablajului. Partea 1: Prescripţii generale 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SM SR ISO 4427-1:2011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plastice. Ţevi şi fitinguri de polietilenă (PE) pentru alimentare cu apă. Partea 1: Generalităţi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444.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SM SR ISO 4427-2:2011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Sisteme de canalizare de materiale plastice. Ţevi şi fitinguri de polietilenă (PE) pentru alimentare cu apă. Partea 2: Ţevi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445.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 xml:space="preserve">SM GOST 5761-2008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Supape pentru presiune nominală maximum PN 250. Condiţii tehnice generale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446.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18698-79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u-RU"/>
              </w:rPr>
              <w:t>Рукава резиновые напорные с текстильным каркасом</w:t>
            </w:r>
            <w:r w:rsidRPr="00D243F0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D24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условия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447.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10362-76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pStyle w:val="Heading2"/>
              <w:ind w:firstLine="0"/>
              <w:rPr>
                <w:sz w:val="22"/>
                <w:szCs w:val="22"/>
                <w:lang w:val="ru-RU"/>
              </w:rPr>
            </w:pPr>
            <w:r w:rsidRPr="00D243F0">
              <w:rPr>
                <w:sz w:val="22"/>
                <w:szCs w:val="22"/>
                <w:lang w:val="ru-RU"/>
              </w:rPr>
              <w:t>Рукава резиновые напорные с нитяным усилением, неармированные. Технические условия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448.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9356-75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u-RU"/>
              </w:rPr>
              <w:t xml:space="preserve">Рукава резиновые для газовой сварки и резки металлов.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D24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условия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449.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5496-78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pStyle w:val="Heading2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D243F0">
              <w:rPr>
                <w:sz w:val="22"/>
                <w:szCs w:val="22"/>
                <w:lang w:val="ru-RU"/>
              </w:rPr>
              <w:t>Трубки резиновые технические. Технические условия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450.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 xml:space="preserve">GOST 5762 – 2002 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u-RU"/>
              </w:rPr>
              <w:t xml:space="preserve">Арматура трубопроводная промышленная. Задвижки на номинальное давление не более </w:t>
            </w:r>
            <w:r w:rsidRPr="00D243F0">
              <w:rPr>
                <w:rFonts w:ascii="Times New Roman" w:hAnsi="Times New Roman" w:cs="Times New Roman"/>
              </w:rPr>
              <w:t>PN</w:t>
            </w:r>
            <w:r w:rsidRPr="00D243F0">
              <w:rPr>
                <w:rFonts w:ascii="Times New Roman" w:hAnsi="Times New Roman" w:cs="Times New Roman"/>
                <w:lang w:val="ru-RU"/>
              </w:rPr>
              <w:t xml:space="preserve"> 250. </w:t>
            </w:r>
            <w:proofErr w:type="spellStart"/>
            <w:r w:rsidRPr="00D243F0">
              <w:rPr>
                <w:rFonts w:ascii="Times New Roman" w:hAnsi="Times New Roman" w:cs="Times New Roman"/>
              </w:rPr>
              <w:t>Общие</w:t>
            </w:r>
            <w:proofErr w:type="spellEnd"/>
            <w:r w:rsidRPr="00D24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D24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3F0">
              <w:rPr>
                <w:rFonts w:ascii="Times New Roman" w:hAnsi="Times New Roman" w:cs="Times New Roman"/>
              </w:rPr>
              <w:t>условия</w:t>
            </w:r>
            <w:proofErr w:type="spellEnd"/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451.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23640-79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pStyle w:val="Heading2"/>
              <w:ind w:firstLine="0"/>
              <w:rPr>
                <w:sz w:val="22"/>
                <w:szCs w:val="22"/>
                <w:lang w:val="ru-RU"/>
              </w:rPr>
            </w:pPr>
            <w:r w:rsidRPr="00D243F0">
              <w:rPr>
                <w:sz w:val="22"/>
                <w:szCs w:val="22"/>
                <w:lang w:val="ru-RU"/>
              </w:rPr>
              <w:t>Эмали МЛ-197. Технические условия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t>452.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24709-81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pStyle w:val="Heading2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u-RU"/>
              </w:rPr>
              <w:t>Эмали ЭП-140. Технические условия</w:t>
            </w:r>
          </w:p>
        </w:tc>
      </w:tr>
      <w:tr w:rsidR="00D243F0" w:rsidRPr="00D243F0" w:rsidTr="00DC42B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  <w:lang w:val="ro-MO"/>
              </w:rPr>
            </w:pPr>
            <w:r w:rsidRPr="00D243F0">
              <w:rPr>
                <w:rFonts w:ascii="Times New Roman" w:hAnsi="Times New Roman" w:cs="Times New Roman"/>
                <w:lang w:val="ro-MO"/>
              </w:rPr>
              <w:lastRenderedPageBreak/>
              <w:t>453.</w:t>
            </w:r>
          </w:p>
        </w:tc>
        <w:tc>
          <w:tcPr>
            <w:tcW w:w="2977" w:type="dxa"/>
          </w:tcPr>
          <w:p w:rsidR="00D243F0" w:rsidRPr="00D243F0" w:rsidRDefault="00D243F0" w:rsidP="00DC42BC">
            <w:pPr>
              <w:rPr>
                <w:rFonts w:ascii="Times New Roman" w:hAnsi="Times New Roman" w:cs="Times New Roman"/>
              </w:rPr>
            </w:pPr>
            <w:r w:rsidRPr="00D243F0">
              <w:rPr>
                <w:rFonts w:ascii="Times New Roman" w:hAnsi="Times New Roman" w:cs="Times New Roman"/>
              </w:rPr>
              <w:t>GOST 24595-81</w:t>
            </w:r>
          </w:p>
        </w:tc>
        <w:tc>
          <w:tcPr>
            <w:tcW w:w="6521" w:type="dxa"/>
          </w:tcPr>
          <w:p w:rsidR="00D243F0" w:rsidRPr="00D243F0" w:rsidRDefault="00D243F0" w:rsidP="00DC42BC">
            <w:pPr>
              <w:pStyle w:val="Heading2"/>
              <w:ind w:firstLine="0"/>
              <w:rPr>
                <w:sz w:val="22"/>
                <w:szCs w:val="22"/>
                <w:lang w:val="ro-MO"/>
              </w:rPr>
            </w:pPr>
            <w:r w:rsidRPr="00D243F0">
              <w:rPr>
                <w:sz w:val="22"/>
                <w:szCs w:val="22"/>
                <w:lang w:val="ru-RU"/>
              </w:rPr>
              <w:t>Грунтовка В-МЛ-0143. Технические условия</w:t>
            </w:r>
          </w:p>
        </w:tc>
      </w:tr>
    </w:tbl>
    <w:p w:rsidR="0081648D" w:rsidRPr="00D243F0" w:rsidRDefault="0081648D">
      <w:pPr>
        <w:rPr>
          <w:rFonts w:ascii="Times New Roman" w:hAnsi="Times New Roman" w:cs="Times New Roman"/>
          <w:lang w:val="ro-MO"/>
        </w:rPr>
      </w:pPr>
    </w:p>
    <w:sectPr w:rsidR="0081648D" w:rsidRPr="00D24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1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1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E869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3310B9"/>
    <w:multiLevelType w:val="hybridMultilevel"/>
    <w:tmpl w:val="C854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26319"/>
    <w:multiLevelType w:val="multilevel"/>
    <w:tmpl w:val="FA14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E7EEF"/>
    <w:multiLevelType w:val="hybridMultilevel"/>
    <w:tmpl w:val="E72C2A2E"/>
    <w:lvl w:ilvl="0" w:tplc="AEB4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86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723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D91356"/>
    <w:multiLevelType w:val="hybridMultilevel"/>
    <w:tmpl w:val="0AEC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B5A01"/>
    <w:multiLevelType w:val="singleLevel"/>
    <w:tmpl w:val="433481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DF34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FC40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F511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255226"/>
    <w:multiLevelType w:val="singleLevel"/>
    <w:tmpl w:val="6804D3F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EE645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7B7ACC"/>
    <w:multiLevelType w:val="singleLevel"/>
    <w:tmpl w:val="706C478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</w:abstractNum>
  <w:abstractNum w:abstractNumId="16">
    <w:nsid w:val="74F35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243F0"/>
    <w:rsid w:val="0081648D"/>
    <w:rsid w:val="00D2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3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D243F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D243F0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243F0"/>
    <w:pPr>
      <w:keepNext/>
      <w:spacing w:after="0" w:line="360" w:lineRule="auto"/>
      <w:ind w:firstLine="708"/>
      <w:outlineLvl w:val="3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D243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Heading6">
    <w:name w:val="heading 6"/>
    <w:basedOn w:val="Normal"/>
    <w:next w:val="Normal"/>
    <w:link w:val="Heading6Char"/>
    <w:qFormat/>
    <w:rsid w:val="00D243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243F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D243F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D243F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D243F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D243F0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D243F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243F0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rsid w:val="00D24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rsid w:val="00D243F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rsid w:val="00D24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D243F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D24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D243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243F0"/>
  </w:style>
  <w:style w:type="paragraph" w:styleId="BodyTextIndent">
    <w:name w:val="Body Text Indent"/>
    <w:basedOn w:val="Normal"/>
    <w:link w:val="BodyTextIndentChar"/>
    <w:rsid w:val="00D2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D243F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basedOn w:val="DefaultParagraphFont"/>
    <w:rsid w:val="00D243F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243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243F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3">
    <w:name w:val="Body Text Indent 3"/>
    <w:basedOn w:val="Normal"/>
    <w:link w:val="BodyTextIndent3Char"/>
    <w:rsid w:val="00D243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243F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D243F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D243F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rsid w:val="00D243F0"/>
    <w:rPr>
      <w:color w:val="800080"/>
      <w:u w:val="single"/>
    </w:rPr>
  </w:style>
  <w:style w:type="character" w:styleId="Emphasis">
    <w:name w:val="Emphasis"/>
    <w:basedOn w:val="DefaultParagraphFont"/>
    <w:qFormat/>
    <w:rsid w:val="00D243F0"/>
    <w:rPr>
      <w:i/>
      <w:iCs/>
    </w:rPr>
  </w:style>
  <w:style w:type="paragraph" w:customStyle="1" w:styleId="a">
    <w:name w:val="......."/>
    <w:basedOn w:val="Normal"/>
    <w:next w:val="Normal"/>
    <w:rsid w:val="00D243F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zin.asro.ro/index.php?pag=3&amp;lg=1&amp;cls0=1&amp;cls1=0&amp;cls2=0&amp;cls3=0&amp;cls4=0&amp;id_p=4353818" TargetMode="External"/><Relationship Id="rId13" Type="http://schemas.openxmlformats.org/officeDocument/2006/relationships/hyperlink" Target="http://www.magazin.asro.ro/index.php?pag=3&amp;lg=1&amp;cls0=1&amp;cls1=0&amp;cls2=0&amp;cls3=0&amp;cls4=0&amp;id_p=4348819" TargetMode="External"/><Relationship Id="rId18" Type="http://schemas.openxmlformats.org/officeDocument/2006/relationships/hyperlink" Target="http://www.magazin.asro.ro/index.php?pag=3&amp;lg=1&amp;cls0=1&amp;cls1=0&amp;cls2=0&amp;cls3=0&amp;cls4=0&amp;id_p=43359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gazin.asro.ro/index.php?pag=3&amp;lg=1&amp;cls0=1&amp;cls1=0&amp;cls2=0&amp;cls3=0&amp;cls4=0&amp;id_p=4357545" TargetMode="External"/><Relationship Id="rId12" Type="http://schemas.openxmlformats.org/officeDocument/2006/relationships/hyperlink" Target="http://www.magazin.asro.ro/index.php?pag=3&amp;lg=1&amp;cls0=1&amp;cls1=0&amp;cls2=0&amp;cls3=0&amp;cls4=0&amp;id_p=4335801" TargetMode="External"/><Relationship Id="rId17" Type="http://schemas.openxmlformats.org/officeDocument/2006/relationships/hyperlink" Target="http://www.magazin.asro.ro/index.php?pag=3&amp;lg=1&amp;cls0=1&amp;cls1=0&amp;cls2=0&amp;cls3=0&amp;cls4=0&amp;id_p=43532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zin.asro.ro/index.php?pag=3&amp;lg=1&amp;cls0=1&amp;cls1=0&amp;cls2=0&amp;cls3=0&amp;cls4=0&amp;id_p=4351433" TargetMode="External"/><Relationship Id="rId20" Type="http://schemas.openxmlformats.org/officeDocument/2006/relationships/hyperlink" Target="http://www.magazin.asro.ro/index.php?pag=3&amp;lg=1&amp;cls0=1&amp;cls1=0&amp;cls2=0&amp;cls3=0&amp;cls4=0&amp;id_p=4344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azin.asro.ro/index.php?pag=3&amp;lg=1&amp;cls0=1&amp;cls1=0&amp;cls2=0&amp;cls3=0&amp;cls4=0&amp;id_p=4349204" TargetMode="External"/><Relationship Id="rId11" Type="http://schemas.openxmlformats.org/officeDocument/2006/relationships/hyperlink" Target="http://www.magazin.asro.ro/index.php?pag=3&amp;lg=1&amp;cls0=1&amp;cls1=0&amp;cls2=0&amp;cls3=0&amp;cls4=0&amp;id_p=4307676" TargetMode="External"/><Relationship Id="rId5" Type="http://schemas.openxmlformats.org/officeDocument/2006/relationships/hyperlink" Target="http://www.magazin.asro.ro/index.php?pag=3&amp;lg=1&amp;cls0=1&amp;cls1=0&amp;cls2=0&amp;cls3=0&amp;cls4=0&amp;id_p=4195616" TargetMode="External"/><Relationship Id="rId15" Type="http://schemas.openxmlformats.org/officeDocument/2006/relationships/hyperlink" Target="http://www.magazin.asro.ro/index.php?pag=3&amp;lg=1&amp;cls0=1&amp;cls1=0&amp;cls2=0&amp;cls3=0&amp;cls4=0&amp;id_p=4360031" TargetMode="External"/><Relationship Id="rId10" Type="http://schemas.openxmlformats.org/officeDocument/2006/relationships/hyperlink" Target="http://www.magazin.asro.ro/index.php?pag=3&amp;lg=1&amp;cls0=1&amp;cls1=0&amp;cls2=0&amp;cls3=0&amp;cls4=0&amp;id_p=4360205" TargetMode="External"/><Relationship Id="rId19" Type="http://schemas.openxmlformats.org/officeDocument/2006/relationships/hyperlink" Target="http://www.magazin.asro.ro/index.php?pag=3&amp;lg=1&amp;cls0=1&amp;cls1=0&amp;cls2=0&amp;cls3=0&amp;cls4=0&amp;id_p=4357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zin.asro.ro/index.php?pag=3&amp;lg=1&amp;cls0=1&amp;cls1=0&amp;cls2=0&amp;cls3=0&amp;cls4=0&amp;id_p=4353621" TargetMode="External"/><Relationship Id="rId14" Type="http://schemas.openxmlformats.org/officeDocument/2006/relationships/hyperlink" Target="http://www.magazin.asro.ro/index.php?pag=3&amp;lg=1&amp;cls0=1&amp;cls1=0&amp;cls2=0&amp;cls3=0&amp;cls4=0&amp;id_p=43600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10222</Words>
  <Characters>58271</Characters>
  <Application>Microsoft Office Word</Application>
  <DocSecurity>0</DocSecurity>
  <Lines>485</Lines>
  <Paragraphs>136</Paragraphs>
  <ScaleCrop>false</ScaleCrop>
  <Company/>
  <LinksUpToDate>false</LinksUpToDate>
  <CharactersWithSpaces>68357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2014-05-16T12:40:00Z</dcterms:created>
  <dcterms:modified xsi:type="dcterms:W3CDTF">2014-05-16T12:41:00Z</dcterms:modified>
</cp:coreProperties>
</file>