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4983"/>
      </w:tblGrid>
      <w:tr w:rsidR="00EC2984" w:rsidRPr="00EC2984" w:rsidTr="00021CAD">
        <w:tc>
          <w:tcPr>
            <w:tcW w:w="4361" w:type="dxa"/>
            <w:shd w:val="clear" w:color="auto" w:fill="auto"/>
          </w:tcPr>
          <w:p w:rsidR="00EC2984" w:rsidRPr="00EC2984" w:rsidRDefault="00EC2984" w:rsidP="00EC2984">
            <w:pPr>
              <w:spacing w:after="0"/>
              <w:jc w:val="center"/>
              <w:textAlignment w:val="top"/>
              <w:rPr>
                <w:rFonts w:ascii="Times New Roman" w:hAnsi="Times New Roman" w:cs="Times New Roman"/>
                <w:sz w:val="24"/>
                <w:szCs w:val="24"/>
              </w:rPr>
            </w:pPr>
          </w:p>
        </w:tc>
        <w:tc>
          <w:tcPr>
            <w:tcW w:w="4983" w:type="dxa"/>
            <w:shd w:val="clear" w:color="auto" w:fill="auto"/>
          </w:tcPr>
          <w:p w:rsidR="00EC2984" w:rsidRPr="00EC2984" w:rsidRDefault="00EC2984" w:rsidP="00EC2984">
            <w:pPr>
              <w:spacing w:after="0"/>
              <w:jc w:val="right"/>
              <w:textAlignment w:val="top"/>
              <w:rPr>
                <w:rFonts w:ascii="Times New Roman" w:hAnsi="Times New Roman" w:cs="Times New Roman"/>
                <w:sz w:val="24"/>
                <w:szCs w:val="24"/>
              </w:rPr>
            </w:pPr>
            <w:r w:rsidRPr="00EC2984">
              <w:rPr>
                <w:rFonts w:ascii="Times New Roman" w:hAnsi="Times New Roman" w:cs="Times New Roman"/>
                <w:sz w:val="24"/>
                <w:szCs w:val="24"/>
              </w:rPr>
              <w:t>Утверждена</w:t>
            </w:r>
          </w:p>
        </w:tc>
      </w:tr>
      <w:tr w:rsidR="00EC2984" w:rsidRPr="00EC2984" w:rsidTr="00021CAD">
        <w:tc>
          <w:tcPr>
            <w:tcW w:w="4361" w:type="dxa"/>
            <w:shd w:val="clear" w:color="auto" w:fill="auto"/>
          </w:tcPr>
          <w:p w:rsidR="00EC2984" w:rsidRPr="00EC2984" w:rsidRDefault="00EC2984" w:rsidP="00EC2984">
            <w:pPr>
              <w:spacing w:after="0"/>
              <w:jc w:val="center"/>
              <w:textAlignment w:val="top"/>
              <w:rPr>
                <w:rFonts w:ascii="Times New Roman" w:hAnsi="Times New Roman" w:cs="Times New Roman"/>
                <w:sz w:val="24"/>
                <w:szCs w:val="24"/>
              </w:rPr>
            </w:pPr>
          </w:p>
        </w:tc>
        <w:tc>
          <w:tcPr>
            <w:tcW w:w="4983" w:type="dxa"/>
            <w:shd w:val="clear" w:color="auto" w:fill="auto"/>
          </w:tcPr>
          <w:p w:rsidR="00EC2984" w:rsidRPr="00EC2984" w:rsidRDefault="00EC2984" w:rsidP="00EC2984">
            <w:pPr>
              <w:spacing w:after="0"/>
              <w:jc w:val="right"/>
              <w:textAlignment w:val="top"/>
              <w:rPr>
                <w:rFonts w:ascii="Times New Roman" w:hAnsi="Times New Roman" w:cs="Times New Roman"/>
                <w:sz w:val="24"/>
                <w:szCs w:val="24"/>
              </w:rPr>
            </w:pPr>
            <w:r w:rsidRPr="00EC2984">
              <w:rPr>
                <w:rFonts w:ascii="Times New Roman" w:hAnsi="Times New Roman" w:cs="Times New Roman"/>
                <w:sz w:val="24"/>
                <w:szCs w:val="24"/>
              </w:rPr>
              <w:t>Постановлением Правительства № 380</w:t>
            </w:r>
          </w:p>
        </w:tc>
      </w:tr>
      <w:tr w:rsidR="00EC2984" w:rsidRPr="00EC2984" w:rsidTr="00021CAD">
        <w:tc>
          <w:tcPr>
            <w:tcW w:w="4361" w:type="dxa"/>
            <w:shd w:val="clear" w:color="auto" w:fill="auto"/>
          </w:tcPr>
          <w:p w:rsidR="00EC2984" w:rsidRPr="00EC2984" w:rsidRDefault="00EC2984" w:rsidP="00EC2984">
            <w:pPr>
              <w:spacing w:after="0"/>
              <w:jc w:val="center"/>
              <w:textAlignment w:val="top"/>
              <w:rPr>
                <w:rFonts w:ascii="Times New Roman" w:hAnsi="Times New Roman" w:cs="Times New Roman"/>
                <w:sz w:val="24"/>
                <w:szCs w:val="24"/>
              </w:rPr>
            </w:pPr>
          </w:p>
        </w:tc>
        <w:tc>
          <w:tcPr>
            <w:tcW w:w="4983" w:type="dxa"/>
            <w:shd w:val="clear" w:color="auto" w:fill="auto"/>
          </w:tcPr>
          <w:p w:rsidR="00EC2984" w:rsidRPr="00EC2984" w:rsidRDefault="00EC2984" w:rsidP="00EC2984">
            <w:pPr>
              <w:spacing w:after="0"/>
              <w:jc w:val="right"/>
              <w:textAlignment w:val="top"/>
              <w:rPr>
                <w:rFonts w:ascii="Times New Roman" w:hAnsi="Times New Roman" w:cs="Times New Roman"/>
                <w:sz w:val="24"/>
                <w:szCs w:val="24"/>
              </w:rPr>
            </w:pPr>
            <w:r w:rsidRPr="00EC2984">
              <w:rPr>
                <w:rFonts w:ascii="Times New Roman" w:hAnsi="Times New Roman" w:cs="Times New Roman"/>
                <w:sz w:val="24"/>
                <w:szCs w:val="24"/>
              </w:rPr>
              <w:t>от  27 мая 2014 г.</w:t>
            </w:r>
          </w:p>
        </w:tc>
      </w:tr>
    </w:tbl>
    <w:p w:rsidR="00EC2984" w:rsidRPr="00EC2984" w:rsidRDefault="00EC2984" w:rsidP="00EC2984">
      <w:pPr>
        <w:spacing w:after="0"/>
        <w:ind w:firstLine="709"/>
        <w:jc w:val="center"/>
        <w:textAlignment w:val="top"/>
        <w:rPr>
          <w:rFonts w:ascii="Times New Roman" w:hAnsi="Times New Roman" w:cs="Times New Roman"/>
          <w:sz w:val="24"/>
          <w:szCs w:val="24"/>
        </w:rPr>
      </w:pPr>
    </w:p>
    <w:p w:rsidR="00EC2984" w:rsidRPr="00EC2984" w:rsidRDefault="00EC2984" w:rsidP="00EC2984">
      <w:pPr>
        <w:spacing w:after="0"/>
        <w:jc w:val="center"/>
        <w:textAlignment w:val="top"/>
        <w:rPr>
          <w:rFonts w:ascii="Times New Roman" w:hAnsi="Times New Roman" w:cs="Times New Roman"/>
          <w:b/>
          <w:sz w:val="24"/>
          <w:szCs w:val="24"/>
        </w:rPr>
      </w:pPr>
      <w:r w:rsidRPr="00EC2984">
        <w:rPr>
          <w:rFonts w:ascii="Times New Roman" w:hAnsi="Times New Roman" w:cs="Times New Roman"/>
          <w:b/>
          <w:sz w:val="24"/>
          <w:szCs w:val="24"/>
        </w:rPr>
        <w:t>МЕТОДОЛОГИЯ</w:t>
      </w:r>
    </w:p>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lang w:val="ru-RU"/>
        </w:rPr>
        <w:t>планирования государственного контроля предпринимательской деятельности на основе анализа критериев риска, осуществляемого</w:t>
      </w:r>
    </w:p>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lang w:val="ru-RU"/>
        </w:rPr>
        <w:t>Национальной медицинской страховой компанией</w:t>
      </w:r>
    </w:p>
    <w:p w:rsidR="00EC2984" w:rsidRPr="00EC2984" w:rsidRDefault="00EC2984" w:rsidP="00EC2984">
      <w:pPr>
        <w:spacing w:after="0"/>
        <w:jc w:val="center"/>
        <w:textAlignment w:val="top"/>
        <w:rPr>
          <w:rFonts w:ascii="Times New Roman" w:hAnsi="Times New Roman" w:cs="Times New Roman"/>
          <w:b/>
          <w:sz w:val="24"/>
          <w:szCs w:val="24"/>
          <w:lang w:val="ru-RU"/>
        </w:rPr>
      </w:pPr>
    </w:p>
    <w:p w:rsidR="00EC2984" w:rsidRPr="00EC2984" w:rsidRDefault="00EC2984" w:rsidP="00EC2984">
      <w:pPr>
        <w:pStyle w:val="cp"/>
      </w:pPr>
      <w:r w:rsidRPr="00EC2984">
        <w:t>I. Общие положения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1. Методология планирования государственного контроля предпринимательской деятельности на основе анализа критериев риска, осуществляемого Национальной медицинской страховой компанией</w:t>
      </w:r>
      <w:r w:rsidRPr="00EC2984">
        <w:rPr>
          <w:rFonts w:ascii="Times New Roman" w:hAnsi="Times New Roman" w:cs="Times New Roman"/>
          <w:b/>
          <w:sz w:val="24"/>
          <w:szCs w:val="24"/>
          <w:lang w:val="ru-RU"/>
        </w:rPr>
        <w:t xml:space="preserve"> </w:t>
      </w:r>
      <w:r w:rsidRPr="00EC2984">
        <w:rPr>
          <w:rFonts w:ascii="Times New Roman" w:hAnsi="Times New Roman" w:cs="Times New Roman"/>
          <w:sz w:val="24"/>
          <w:szCs w:val="24"/>
          <w:lang w:val="ru-RU"/>
        </w:rPr>
        <w:t>(в дальнейшем – Методология) разработана в соответствии с Законом о государственном контроле предпринимательской деятельности № 131 от    8 июня 2012 года, Законом об обязательном медицинском страховании           № 1585-</w:t>
      </w:r>
      <w:r w:rsidRPr="00EC2984">
        <w:rPr>
          <w:rFonts w:ascii="Times New Roman" w:hAnsi="Times New Roman" w:cs="Times New Roman"/>
          <w:sz w:val="24"/>
          <w:szCs w:val="24"/>
        </w:rPr>
        <w:t>XIII</w:t>
      </w:r>
      <w:r w:rsidRPr="00EC2984">
        <w:rPr>
          <w:rFonts w:ascii="Times New Roman" w:hAnsi="Times New Roman" w:cs="Times New Roman"/>
          <w:sz w:val="24"/>
          <w:szCs w:val="24"/>
          <w:lang w:val="ru-RU"/>
        </w:rPr>
        <w:t xml:space="preserve"> от 27 февраля 1998 года и Законом о размере, порядке и сроках уплаты взносов обязательного медицинского страхования               № 1593-</w:t>
      </w:r>
      <w:r w:rsidRPr="00EC2984">
        <w:rPr>
          <w:rFonts w:ascii="Times New Roman" w:hAnsi="Times New Roman" w:cs="Times New Roman"/>
          <w:sz w:val="24"/>
          <w:szCs w:val="24"/>
        </w:rPr>
        <w:t>XV</w:t>
      </w:r>
      <w:r w:rsidRPr="00EC2984">
        <w:rPr>
          <w:rFonts w:ascii="Times New Roman" w:hAnsi="Times New Roman" w:cs="Times New Roman"/>
          <w:sz w:val="24"/>
          <w:szCs w:val="24"/>
          <w:lang w:val="ru-RU"/>
        </w:rPr>
        <w:t xml:space="preserve"> от 26 декабря 2002 года. </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2. Методологическая сущность анализа на основе критериев риска состоит в распределении по наиболее важным критериям риска, отнесенным к области контроля Национальной медицинской страховой компании</w:t>
      </w:r>
      <w:r w:rsidRPr="00EC2984">
        <w:rPr>
          <w:rFonts w:ascii="Times New Roman" w:hAnsi="Times New Roman" w:cs="Times New Roman"/>
          <w:b/>
          <w:sz w:val="24"/>
          <w:szCs w:val="24"/>
          <w:lang w:val="ru-RU"/>
        </w:rPr>
        <w:t xml:space="preserve"> </w:t>
      </w:r>
      <w:r w:rsidRPr="00EC2984">
        <w:rPr>
          <w:rFonts w:ascii="Times New Roman" w:hAnsi="Times New Roman" w:cs="Times New Roman"/>
          <w:sz w:val="24"/>
          <w:szCs w:val="24"/>
          <w:lang w:val="ru-RU"/>
        </w:rPr>
        <w:t>(в дальнейшем – Компания), и присвоении соответствующей оценки по предустановленной шкале, которая соотносится с весомостью каждого критерия в зависимости от его значимости для общего уровня риска. Применение балльных оценок по каждому критерию осуществляется для каждого проверяемого экономического агента и завершается разработкой его классификации в зависимости от полученной оценки, в соответствии с индивидуальным уровнем прогнозируемого риска.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3. Прогнозируемый уровень риска определяет необходимые частоту и интенсивность мер контроля в отношении соответствующего субъекта.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rPr>
        <w:t>II</w:t>
      </w:r>
      <w:r w:rsidRPr="00EC2984">
        <w:rPr>
          <w:rFonts w:ascii="Times New Roman" w:hAnsi="Times New Roman" w:cs="Times New Roman"/>
          <w:b/>
          <w:sz w:val="24"/>
          <w:szCs w:val="24"/>
          <w:lang w:val="ru-RU"/>
        </w:rPr>
        <w:t>. Установление критериев риска</w:t>
      </w:r>
    </w:p>
    <w:p w:rsidR="00EC2984" w:rsidRPr="00EC2984" w:rsidRDefault="00EC2984" w:rsidP="00EC2984">
      <w:pPr>
        <w:spacing w:after="0"/>
        <w:ind w:firstLine="709"/>
        <w:jc w:val="center"/>
        <w:textAlignment w:val="top"/>
        <w:rPr>
          <w:rFonts w:ascii="Times New Roman" w:hAnsi="Times New Roman" w:cs="Times New Roman"/>
          <w:b/>
          <w:sz w:val="24"/>
          <w:szCs w:val="24"/>
          <w:lang w:val="ru-RU"/>
        </w:rPr>
      </w:pPr>
    </w:p>
    <w:p w:rsidR="00EC2984" w:rsidRPr="00EC2984" w:rsidRDefault="00EC2984" w:rsidP="00EC2984">
      <w:pPr>
        <w:spacing w:after="0"/>
        <w:ind w:firstLine="709"/>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4. Критерии риска</w:t>
      </w:r>
      <w:r w:rsidRPr="00EC2984">
        <w:rPr>
          <w:rFonts w:ascii="Times New Roman" w:hAnsi="Times New Roman" w:cs="Times New Roman"/>
          <w:b/>
          <w:sz w:val="24"/>
          <w:szCs w:val="24"/>
          <w:lang w:val="ru-RU"/>
        </w:rPr>
        <w:t xml:space="preserve"> </w:t>
      </w:r>
      <w:r w:rsidRPr="00EC2984">
        <w:rPr>
          <w:rFonts w:ascii="Times New Roman" w:hAnsi="Times New Roman" w:cs="Times New Roman"/>
          <w:sz w:val="24"/>
          <w:szCs w:val="24"/>
          <w:lang w:val="ru-RU"/>
        </w:rPr>
        <w:t>включают в себя совокупность обстоятельств или характеристик субъекта и/или объекта, подлежащего контролю, и/или предыдущих взаимоотношений экономического агента и органа контроля, наличие и интенсивность которых могут указывать на вероятность нанесения ущерба финансовым средствам, полученным из фондов обязательного медицинского страхования, а также причинения вреда здоровью застрахованного лица в результате оказания некачественной и недостаточной медицинской помощи, предусмотренной Единой программой обязательного медицинского страхования.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lastRenderedPageBreak/>
        <w:t>5. Критерии риска объединены в зависимости от субъекта контроля, объекта контроля и предыдущих взаимоотношений с органом контроля: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 критерии риска в зависимости от субъекта: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а) период, на который проверяемое лицо было законтрактовано Компанией, и период осуществления им деятельности;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rPr>
        <w:t>b</w:t>
      </w:r>
      <w:r w:rsidRPr="00EC2984">
        <w:rPr>
          <w:rFonts w:ascii="Times New Roman" w:hAnsi="Times New Roman" w:cs="Times New Roman"/>
          <w:sz w:val="24"/>
          <w:szCs w:val="24"/>
          <w:lang w:val="ru-RU"/>
        </w:rPr>
        <w:t>) законтрактованная сумма по видам медицинской помощи;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с) количество работников, включенных в списки поименного учета застрахованных работающих лиц (в дальнейшем – поименные списки).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2) в зависимости от предыдущих взаимоотношений:</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а) дата осуществления последней проверки;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rPr>
        <w:t>b</w:t>
      </w:r>
      <w:r w:rsidRPr="00EC2984">
        <w:rPr>
          <w:rFonts w:ascii="Times New Roman" w:hAnsi="Times New Roman" w:cs="Times New Roman"/>
          <w:sz w:val="24"/>
          <w:szCs w:val="24"/>
          <w:lang w:val="ru-RU"/>
        </w:rPr>
        <w:t>) предыдущие нарушения;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с) наличие подтвержденных жалоб и публичной информации о нарушениях.</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rPr>
        <w:t>III</w:t>
      </w:r>
      <w:r w:rsidRPr="00EC2984">
        <w:rPr>
          <w:rFonts w:ascii="Times New Roman" w:hAnsi="Times New Roman" w:cs="Times New Roman"/>
          <w:b/>
          <w:sz w:val="24"/>
          <w:szCs w:val="24"/>
          <w:lang w:val="ru-RU"/>
        </w:rPr>
        <w:t>. Распределение интенсивности риска</w:t>
      </w:r>
    </w:p>
    <w:p w:rsidR="00EC2984" w:rsidRPr="00EC2984" w:rsidRDefault="00EC2984" w:rsidP="00EC2984">
      <w:pPr>
        <w:spacing w:after="0"/>
        <w:ind w:firstLine="709"/>
        <w:jc w:val="center"/>
        <w:textAlignment w:val="top"/>
        <w:rPr>
          <w:rFonts w:ascii="Times New Roman" w:hAnsi="Times New Roman" w:cs="Times New Roman"/>
          <w:b/>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6. Каждый критерий риска распределяется по степеням/уровням интенсивности, которые оцениваются согласно значению степени риска. Шкала оценок находится в диапазоне от 1 до 5, где «1» означает минимальную и «5» – максимальную степень риска.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7. Для критериев риска, указанных в пункте 5, балльные оценки поставщикам медицинских и фармацевтических услуг и экономическим агентам, представляющим поименные списки, присваиваются следующим образом:</w:t>
      </w:r>
    </w:p>
    <w:p w:rsidR="00EC2984" w:rsidRPr="00EC2984" w:rsidRDefault="00EC2984" w:rsidP="00EC2984">
      <w:pPr>
        <w:tabs>
          <w:tab w:val="left" w:pos="1080"/>
        </w:tabs>
        <w:spacing w:after="0"/>
        <w:ind w:firstLine="709"/>
        <w:jc w:val="both"/>
        <w:textAlignment w:val="top"/>
        <w:rPr>
          <w:rFonts w:ascii="Times New Roman" w:hAnsi="Times New Roman" w:cs="Times New Roman"/>
          <w:b/>
          <w:sz w:val="24"/>
          <w:szCs w:val="24"/>
          <w:lang w:val="ru-RU"/>
        </w:rPr>
      </w:pPr>
      <w:r w:rsidRPr="00EC2984">
        <w:rPr>
          <w:rFonts w:ascii="Times New Roman" w:hAnsi="Times New Roman" w:cs="Times New Roman"/>
          <w:b/>
          <w:sz w:val="24"/>
          <w:szCs w:val="24"/>
          <w:lang w:val="ru-RU"/>
        </w:rPr>
        <w:t>1) Период деятельности экономического агента и период, законтрактованный Компанией</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i/>
          <w:sz w:val="24"/>
          <w:szCs w:val="24"/>
          <w:lang w:val="ru-RU"/>
        </w:rPr>
        <w:t>Общее основание</w:t>
      </w:r>
      <w:r w:rsidRPr="00EC2984">
        <w:rPr>
          <w:rFonts w:ascii="Times New Roman" w:hAnsi="Times New Roman" w:cs="Times New Roman"/>
          <w:sz w:val="24"/>
          <w:szCs w:val="24"/>
          <w:lang w:val="ru-RU"/>
        </w:rPr>
        <w:t xml:space="preserve">: чем </w:t>
      </w:r>
      <w:r w:rsidRPr="00EC2984">
        <w:rPr>
          <w:rFonts w:ascii="Times New Roman" w:hAnsi="Times New Roman" w:cs="Times New Roman"/>
          <w:color w:val="000000"/>
          <w:sz w:val="24"/>
          <w:szCs w:val="24"/>
          <w:lang w:val="ru-RU"/>
        </w:rPr>
        <w:t>больше</w:t>
      </w:r>
      <w:r w:rsidRPr="00EC2984">
        <w:rPr>
          <w:rFonts w:ascii="Times New Roman" w:hAnsi="Times New Roman" w:cs="Times New Roman"/>
          <w:sz w:val="24"/>
          <w:szCs w:val="24"/>
          <w:lang w:val="ru-RU"/>
        </w:rPr>
        <w:t xml:space="preserve"> период деятельности экономического агента на рынке, при наличии договорных отношений с Компанией, тем лучше он знает правила (договорные условия), более ответственно относится к своей репутации и чаще внедряет внутренние системы контроля.</w:t>
      </w:r>
    </w:p>
    <w:p w:rsidR="00EC2984" w:rsidRPr="009C6F70"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rPr>
        <w:t>a</w:t>
      </w:r>
      <w:r w:rsidRPr="00EC2984">
        <w:rPr>
          <w:rFonts w:ascii="Times New Roman" w:hAnsi="Times New Roman" w:cs="Times New Roman"/>
          <w:sz w:val="24"/>
          <w:szCs w:val="24"/>
          <w:lang w:val="ru-RU"/>
        </w:rPr>
        <w:t>) Для поставщиков медицинских и фармацевтических услуг – период, законтрактованный Компанией</w:t>
      </w:r>
    </w:p>
    <w:p w:rsidR="00EC2984" w:rsidRPr="009C6F70" w:rsidRDefault="00EC2984" w:rsidP="00EC2984">
      <w:pPr>
        <w:spacing w:after="0"/>
        <w:ind w:firstLine="709"/>
        <w:jc w:val="both"/>
        <w:textAlignment w:val="top"/>
        <w:rPr>
          <w:rFonts w:ascii="Times New Roman" w:hAnsi="Times New Roman" w:cs="Times New Roman"/>
          <w:sz w:val="24"/>
          <w:szCs w:val="24"/>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6"/>
      </w:tblGrid>
      <w:tr w:rsidR="00EC2984" w:rsidRPr="00EC2984" w:rsidTr="00021CAD">
        <w:trPr>
          <w:trHeight w:val="20"/>
        </w:trPr>
        <w:tc>
          <w:tcPr>
            <w:tcW w:w="7128"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lang w:val="ru-RU"/>
              </w:rPr>
              <w:t xml:space="preserve">Период, на который проверяемый поставщик </w:t>
            </w:r>
          </w:p>
          <w:p w:rsidR="00EC2984" w:rsidRPr="00EC2984" w:rsidRDefault="00EC2984" w:rsidP="00EC2984">
            <w:pPr>
              <w:spacing w:after="0"/>
              <w:jc w:val="center"/>
              <w:textAlignment w:val="top"/>
              <w:rPr>
                <w:rFonts w:ascii="Times New Roman" w:hAnsi="Times New Roman" w:cs="Times New Roman"/>
                <w:sz w:val="24"/>
                <w:szCs w:val="24"/>
                <w:lang w:val="ru-RU"/>
              </w:rPr>
            </w:pPr>
            <w:r w:rsidRPr="00EC2984">
              <w:rPr>
                <w:rFonts w:ascii="Times New Roman" w:hAnsi="Times New Roman" w:cs="Times New Roman"/>
                <w:b/>
                <w:sz w:val="24"/>
                <w:szCs w:val="24"/>
                <w:lang w:val="ru-RU"/>
              </w:rPr>
              <w:t>был законтрактован Компанией</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Более 10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1</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8-10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2</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4-8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3</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2-4 года</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4</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До 2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5</w:t>
            </w:r>
          </w:p>
        </w:tc>
      </w:tr>
    </w:tbl>
    <w:p w:rsidR="00EC2984" w:rsidRPr="00EC2984" w:rsidRDefault="00EC2984" w:rsidP="00EC2984">
      <w:pPr>
        <w:spacing w:after="0"/>
        <w:ind w:firstLine="709"/>
        <w:jc w:val="both"/>
        <w:textAlignment w:val="top"/>
        <w:rPr>
          <w:rFonts w:ascii="Times New Roman" w:hAnsi="Times New Roman" w:cs="Times New Roman"/>
          <w:sz w:val="24"/>
          <w:szCs w:val="24"/>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rPr>
        <w:t>b</w:t>
      </w:r>
      <w:r w:rsidRPr="00EC2984">
        <w:rPr>
          <w:rFonts w:ascii="Times New Roman" w:hAnsi="Times New Roman" w:cs="Times New Roman"/>
          <w:sz w:val="24"/>
          <w:szCs w:val="24"/>
          <w:lang w:val="ru-RU"/>
        </w:rPr>
        <w:t>) Для экономических агентов, представляющих поименные списки – период осуществления деятельности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6"/>
      </w:tblGrid>
      <w:tr w:rsidR="00EC2984" w:rsidRPr="00EC2984" w:rsidTr="00021CAD">
        <w:trPr>
          <w:trHeight w:val="20"/>
        </w:trPr>
        <w:tc>
          <w:tcPr>
            <w:tcW w:w="7128"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lang w:val="ru-RU"/>
              </w:rPr>
            </w:pPr>
            <w:r w:rsidRPr="00EC2984">
              <w:rPr>
                <w:rFonts w:ascii="Times New Roman" w:hAnsi="Times New Roman" w:cs="Times New Roman"/>
                <w:b/>
                <w:sz w:val="24"/>
                <w:szCs w:val="24"/>
                <w:lang w:val="ru-RU"/>
              </w:rPr>
              <w:lastRenderedPageBreak/>
              <w:t>Период осуществления экономическим агентом деятельности</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Более 15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1</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10-15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2</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5-10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3</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3-5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4</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До 3 лет</w:t>
            </w:r>
          </w:p>
        </w:tc>
        <w:tc>
          <w:tcPr>
            <w:tcW w:w="2216" w:type="dxa"/>
            <w:shd w:val="clear" w:color="auto" w:fill="auto"/>
            <w:vAlign w:val="center"/>
          </w:tcPr>
          <w:p w:rsidR="00EC2984" w:rsidRPr="00EC2984" w:rsidRDefault="00EC2984" w:rsidP="00EC2984">
            <w:pPr>
              <w:spacing w:after="0"/>
              <w:jc w:val="center"/>
              <w:textAlignment w:val="top"/>
              <w:rPr>
                <w:rFonts w:ascii="Times New Roman" w:hAnsi="Times New Roman" w:cs="Times New Roman"/>
                <w:sz w:val="24"/>
                <w:szCs w:val="24"/>
              </w:rPr>
            </w:pPr>
            <w:r w:rsidRPr="00EC2984">
              <w:rPr>
                <w:rFonts w:ascii="Times New Roman" w:hAnsi="Times New Roman" w:cs="Times New Roman"/>
                <w:sz w:val="24"/>
                <w:szCs w:val="24"/>
              </w:rPr>
              <w:t>5</w:t>
            </w:r>
          </w:p>
        </w:tc>
      </w:tr>
    </w:tbl>
    <w:p w:rsidR="00EC2984" w:rsidRPr="00EC2984" w:rsidRDefault="00EC2984" w:rsidP="00EC2984">
      <w:pPr>
        <w:tabs>
          <w:tab w:val="left" w:pos="1080"/>
        </w:tabs>
        <w:spacing w:after="0"/>
        <w:ind w:firstLine="709"/>
        <w:jc w:val="both"/>
        <w:rPr>
          <w:rFonts w:ascii="Times New Roman" w:hAnsi="Times New Roman" w:cs="Times New Roman"/>
          <w:sz w:val="24"/>
          <w:szCs w:val="24"/>
        </w:rPr>
      </w:pPr>
    </w:p>
    <w:p w:rsidR="00EC2984" w:rsidRPr="00EC2984" w:rsidRDefault="00EC2984" w:rsidP="00EC2984">
      <w:pPr>
        <w:tabs>
          <w:tab w:val="left" w:pos="1080"/>
        </w:tabs>
        <w:spacing w:after="0"/>
        <w:ind w:firstLine="709"/>
        <w:jc w:val="both"/>
        <w:rPr>
          <w:rFonts w:ascii="Times New Roman" w:hAnsi="Times New Roman" w:cs="Times New Roman"/>
          <w:b/>
          <w:sz w:val="24"/>
          <w:szCs w:val="24"/>
          <w:lang w:val="ru-RU"/>
        </w:rPr>
      </w:pPr>
      <w:r w:rsidRPr="00EC2984">
        <w:rPr>
          <w:rFonts w:ascii="Times New Roman" w:hAnsi="Times New Roman" w:cs="Times New Roman"/>
          <w:b/>
          <w:sz w:val="24"/>
          <w:szCs w:val="24"/>
          <w:lang w:val="ru-RU"/>
        </w:rPr>
        <w:t>2) Законтрактованная сумма по видам медицинской помощи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i/>
          <w:sz w:val="24"/>
          <w:szCs w:val="24"/>
          <w:lang w:val="ru-RU"/>
        </w:rPr>
        <w:t>Общее основание</w:t>
      </w:r>
      <w:r w:rsidRPr="00EC2984">
        <w:rPr>
          <w:rFonts w:ascii="Times New Roman" w:hAnsi="Times New Roman" w:cs="Times New Roman"/>
          <w:sz w:val="24"/>
          <w:szCs w:val="24"/>
          <w:lang w:val="ru-RU"/>
        </w:rPr>
        <w:t xml:space="preserve">: чем больше законтрактованная сумма и чем шире спектр договорных услуг, тем больше риск отвлечения средств фондов обязательного медицинского страхования и/или оказания ненадлежащих услуг. </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Для поставщиков медицинских услуг – законтрактованная сумма по видам медицинской помощи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268"/>
      </w:tblGrid>
      <w:tr w:rsidR="00EC2984" w:rsidRPr="00EC2984" w:rsidTr="00021CAD">
        <w:trPr>
          <w:trHeight w:val="20"/>
        </w:trPr>
        <w:tc>
          <w:tcPr>
            <w:tcW w:w="7088" w:type="dxa"/>
          </w:tcPr>
          <w:p w:rsidR="00EC2984" w:rsidRPr="00EC2984" w:rsidRDefault="00EC2984" w:rsidP="00EC2984">
            <w:pPr>
              <w:spacing w:after="0"/>
              <w:jc w:val="center"/>
              <w:rPr>
                <w:rFonts w:ascii="Times New Roman" w:hAnsi="Times New Roman" w:cs="Times New Roman"/>
                <w:b/>
                <w:sz w:val="24"/>
                <w:szCs w:val="24"/>
              </w:rPr>
            </w:pPr>
            <w:r w:rsidRPr="00EC2984">
              <w:rPr>
                <w:rFonts w:ascii="Times New Roman" w:hAnsi="Times New Roman" w:cs="Times New Roman"/>
                <w:b/>
                <w:sz w:val="24"/>
                <w:szCs w:val="24"/>
              </w:rPr>
              <w:t xml:space="preserve">Общая законтрактованная сумма </w:t>
            </w:r>
          </w:p>
        </w:tc>
        <w:tc>
          <w:tcPr>
            <w:tcW w:w="2268" w:type="dxa"/>
          </w:tcPr>
          <w:p w:rsidR="00EC2984" w:rsidRPr="00EC2984" w:rsidRDefault="00EC2984" w:rsidP="00EC2984">
            <w:pPr>
              <w:spacing w:after="0"/>
              <w:rPr>
                <w:rFonts w:ascii="Times New Roman" w:hAnsi="Times New Roman" w:cs="Times New Roman"/>
                <w:b/>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7088"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Законтрактованная сумма по всем видам медицинской помощи не превышает 100,0 тыс. леев</w:t>
            </w:r>
          </w:p>
        </w:tc>
        <w:tc>
          <w:tcPr>
            <w:tcW w:w="2268"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1</w:t>
            </w:r>
          </w:p>
        </w:tc>
      </w:tr>
      <w:tr w:rsidR="00EC2984" w:rsidRPr="00EC2984" w:rsidTr="00021CAD">
        <w:trPr>
          <w:trHeight w:val="20"/>
        </w:trPr>
        <w:tc>
          <w:tcPr>
            <w:tcW w:w="7088"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Законтрактованная сумма по всем видам медицинской помощи не превышает 200,0 тыс. леев</w:t>
            </w:r>
          </w:p>
        </w:tc>
        <w:tc>
          <w:tcPr>
            <w:tcW w:w="2268"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2</w:t>
            </w:r>
          </w:p>
        </w:tc>
      </w:tr>
      <w:tr w:rsidR="00EC2984" w:rsidRPr="00EC2984" w:rsidTr="00021CAD">
        <w:trPr>
          <w:trHeight w:val="20"/>
        </w:trPr>
        <w:tc>
          <w:tcPr>
            <w:tcW w:w="7088"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Законтрактованная сумма по всем видам медицинской помощи не превышает 300,0 тыс. леев</w:t>
            </w:r>
          </w:p>
        </w:tc>
        <w:tc>
          <w:tcPr>
            <w:tcW w:w="2268"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3</w:t>
            </w:r>
          </w:p>
        </w:tc>
      </w:tr>
      <w:tr w:rsidR="00EC2984" w:rsidRPr="00EC2984" w:rsidTr="00021CAD">
        <w:trPr>
          <w:trHeight w:val="20"/>
        </w:trPr>
        <w:tc>
          <w:tcPr>
            <w:tcW w:w="7088"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Законтрактованная сумма по всем видам медицинской помощи не превышает 400,0 тыс. леев</w:t>
            </w:r>
          </w:p>
        </w:tc>
        <w:tc>
          <w:tcPr>
            <w:tcW w:w="2268"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4</w:t>
            </w:r>
          </w:p>
        </w:tc>
      </w:tr>
      <w:tr w:rsidR="00EC2984" w:rsidRPr="00EC2984" w:rsidTr="00021CAD">
        <w:trPr>
          <w:trHeight w:val="20"/>
        </w:trPr>
        <w:tc>
          <w:tcPr>
            <w:tcW w:w="7088"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Законтрактованная сумма по всем видам медицинской помощи превышает 400,0 тыс. леев</w:t>
            </w:r>
          </w:p>
        </w:tc>
        <w:tc>
          <w:tcPr>
            <w:tcW w:w="2268"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5</w:t>
            </w:r>
          </w:p>
        </w:tc>
      </w:tr>
    </w:tbl>
    <w:p w:rsidR="00EC2984" w:rsidRPr="00EC2984" w:rsidRDefault="00EC2984" w:rsidP="00EC2984">
      <w:pPr>
        <w:spacing w:after="0"/>
        <w:ind w:firstLine="709"/>
        <w:jc w:val="both"/>
        <w:textAlignment w:val="top"/>
        <w:rPr>
          <w:rFonts w:ascii="Times New Roman" w:hAnsi="Times New Roman" w:cs="Times New Roman"/>
          <w:sz w:val="24"/>
          <w:szCs w:val="24"/>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Релевантность этого критерия может значительно варьироваться с течением времени, поэтому следует периодически пересматривать весомость (значение) данного критерия и порядок присвоения степени риска.</w:t>
      </w:r>
    </w:p>
    <w:p w:rsidR="00EC2984" w:rsidRPr="00EC2984" w:rsidRDefault="00EC2984" w:rsidP="00EC2984">
      <w:pPr>
        <w:spacing w:after="0"/>
        <w:ind w:firstLine="709"/>
        <w:jc w:val="both"/>
        <w:textAlignment w:val="top"/>
        <w:rPr>
          <w:rFonts w:ascii="Times New Roman" w:hAnsi="Times New Roman" w:cs="Times New Roman"/>
          <w:i/>
          <w:sz w:val="24"/>
          <w:szCs w:val="24"/>
          <w:lang w:val="ru-RU"/>
        </w:rPr>
      </w:pPr>
    </w:p>
    <w:p w:rsidR="00EC2984" w:rsidRPr="00EC2984" w:rsidRDefault="00EC2984" w:rsidP="00EC2984">
      <w:pPr>
        <w:tabs>
          <w:tab w:val="left" w:pos="0"/>
        </w:tabs>
        <w:spacing w:after="0"/>
        <w:ind w:firstLine="709"/>
        <w:jc w:val="both"/>
        <w:rPr>
          <w:rFonts w:ascii="Times New Roman" w:hAnsi="Times New Roman" w:cs="Times New Roman"/>
          <w:b/>
          <w:sz w:val="24"/>
          <w:szCs w:val="24"/>
          <w:lang w:val="ru-RU"/>
        </w:rPr>
      </w:pPr>
      <w:r w:rsidRPr="00EC2984">
        <w:rPr>
          <w:rFonts w:ascii="Times New Roman" w:hAnsi="Times New Roman" w:cs="Times New Roman"/>
          <w:b/>
          <w:sz w:val="24"/>
          <w:szCs w:val="24"/>
          <w:lang w:val="ru-RU"/>
        </w:rPr>
        <w:t>3) Дата проведения последней проверки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i/>
          <w:sz w:val="24"/>
          <w:szCs w:val="24"/>
          <w:lang w:val="ru-RU"/>
        </w:rPr>
        <w:t>Общее основание</w:t>
      </w:r>
      <w:r w:rsidRPr="00EC2984">
        <w:rPr>
          <w:rFonts w:ascii="Times New Roman" w:hAnsi="Times New Roman" w:cs="Times New Roman"/>
          <w:sz w:val="24"/>
          <w:szCs w:val="24"/>
          <w:lang w:val="ru-RU"/>
        </w:rPr>
        <w:t xml:space="preserve">: чем более длительным является период, в течение которого юридическое лицо, подлежащее контролю, не подвергалось проверке, тем выше вероятность его несоответствия нормативным требованиям, при этом минимальный риск присваивается субъектам, которые проверялись недавно, и максимальный риск – субъектам, в отношении которых в ближайшее время государственный контроль не проводился. </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Для поставщиков медицинских и фармацевтических услуг и экономических агентов, представляющих поименные списки</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6"/>
      </w:tblGrid>
      <w:tr w:rsidR="00EC2984" w:rsidRPr="00EC2984" w:rsidTr="00021CAD">
        <w:trPr>
          <w:trHeight w:val="20"/>
        </w:trPr>
        <w:tc>
          <w:tcPr>
            <w:tcW w:w="7128" w:type="dxa"/>
            <w:shd w:val="clear" w:color="auto" w:fill="auto"/>
          </w:tcPr>
          <w:p w:rsidR="00EC2984" w:rsidRPr="00EC2984" w:rsidRDefault="00EC2984" w:rsidP="00EC2984">
            <w:pPr>
              <w:spacing w:after="0"/>
              <w:jc w:val="center"/>
              <w:textAlignment w:val="top"/>
              <w:rPr>
                <w:rFonts w:ascii="Times New Roman" w:hAnsi="Times New Roman" w:cs="Times New Roman"/>
                <w:i/>
                <w:sz w:val="24"/>
                <w:szCs w:val="24"/>
                <w:lang w:val="ru-RU"/>
              </w:rPr>
            </w:pPr>
            <w:r w:rsidRPr="00EC2984">
              <w:rPr>
                <w:rFonts w:ascii="Times New Roman" w:hAnsi="Times New Roman" w:cs="Times New Roman"/>
                <w:b/>
                <w:sz w:val="24"/>
                <w:szCs w:val="24"/>
                <w:lang w:val="ru-RU"/>
              </w:rPr>
              <w:t>Промежуток времени с момента осуществления последней проверки</w:t>
            </w:r>
          </w:p>
        </w:tc>
        <w:tc>
          <w:tcPr>
            <w:tcW w:w="2216" w:type="dxa"/>
            <w:shd w:val="clear" w:color="auto" w:fill="auto"/>
          </w:tcPr>
          <w:p w:rsidR="00EC2984" w:rsidRPr="00EC2984" w:rsidRDefault="00EC2984" w:rsidP="00EC2984">
            <w:pPr>
              <w:spacing w:after="0"/>
              <w:jc w:val="both"/>
              <w:textAlignment w:val="top"/>
              <w:rPr>
                <w:rFonts w:ascii="Times New Roman" w:hAnsi="Times New Roman" w:cs="Times New Roman"/>
                <w:i/>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i/>
                <w:sz w:val="24"/>
                <w:szCs w:val="24"/>
              </w:rPr>
            </w:pPr>
            <w:r w:rsidRPr="00EC2984">
              <w:rPr>
                <w:rFonts w:ascii="Times New Roman" w:hAnsi="Times New Roman" w:cs="Times New Roman"/>
                <w:sz w:val="24"/>
                <w:szCs w:val="24"/>
              </w:rPr>
              <w:lastRenderedPageBreak/>
              <w:t>До 12 месяцев</w:t>
            </w:r>
          </w:p>
        </w:tc>
        <w:tc>
          <w:tcPr>
            <w:tcW w:w="2216" w:type="dxa"/>
            <w:shd w:val="clear" w:color="auto" w:fill="auto"/>
          </w:tcPr>
          <w:p w:rsidR="00EC2984" w:rsidRPr="00EC2984" w:rsidRDefault="00EC2984" w:rsidP="00EC2984">
            <w:pPr>
              <w:spacing w:after="0"/>
              <w:jc w:val="center"/>
              <w:textAlignment w:val="top"/>
              <w:rPr>
                <w:rFonts w:ascii="Times New Roman" w:hAnsi="Times New Roman" w:cs="Times New Roman"/>
                <w:i/>
                <w:sz w:val="24"/>
                <w:szCs w:val="24"/>
              </w:rPr>
            </w:pPr>
            <w:r w:rsidRPr="00EC2984">
              <w:rPr>
                <w:rFonts w:ascii="Times New Roman" w:hAnsi="Times New Roman" w:cs="Times New Roman"/>
                <w:sz w:val="24"/>
                <w:szCs w:val="24"/>
              </w:rPr>
              <w:t>1</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i/>
                <w:sz w:val="24"/>
                <w:szCs w:val="24"/>
              </w:rPr>
            </w:pPr>
            <w:r w:rsidRPr="00EC2984">
              <w:rPr>
                <w:rFonts w:ascii="Times New Roman" w:hAnsi="Times New Roman" w:cs="Times New Roman"/>
                <w:sz w:val="24"/>
                <w:szCs w:val="24"/>
              </w:rPr>
              <w:t>До 1,5 года</w:t>
            </w:r>
          </w:p>
        </w:tc>
        <w:tc>
          <w:tcPr>
            <w:tcW w:w="2216" w:type="dxa"/>
            <w:shd w:val="clear" w:color="auto" w:fill="auto"/>
          </w:tcPr>
          <w:p w:rsidR="00EC2984" w:rsidRPr="00EC2984" w:rsidRDefault="00EC2984" w:rsidP="00EC2984">
            <w:pPr>
              <w:spacing w:after="0"/>
              <w:jc w:val="center"/>
              <w:textAlignment w:val="top"/>
              <w:rPr>
                <w:rFonts w:ascii="Times New Roman" w:hAnsi="Times New Roman" w:cs="Times New Roman"/>
                <w:i/>
                <w:sz w:val="24"/>
                <w:szCs w:val="24"/>
              </w:rPr>
            </w:pPr>
            <w:r w:rsidRPr="00EC2984">
              <w:rPr>
                <w:rFonts w:ascii="Times New Roman" w:hAnsi="Times New Roman" w:cs="Times New Roman"/>
                <w:sz w:val="24"/>
                <w:szCs w:val="24"/>
              </w:rPr>
              <w:t>2</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i/>
                <w:sz w:val="24"/>
                <w:szCs w:val="24"/>
              </w:rPr>
            </w:pPr>
            <w:r w:rsidRPr="00EC2984">
              <w:rPr>
                <w:rFonts w:ascii="Times New Roman" w:hAnsi="Times New Roman" w:cs="Times New Roman"/>
                <w:sz w:val="24"/>
                <w:szCs w:val="24"/>
              </w:rPr>
              <w:t>До 2 лет</w:t>
            </w:r>
          </w:p>
        </w:tc>
        <w:tc>
          <w:tcPr>
            <w:tcW w:w="2216" w:type="dxa"/>
            <w:shd w:val="clear" w:color="auto" w:fill="auto"/>
          </w:tcPr>
          <w:p w:rsidR="00EC2984" w:rsidRPr="00EC2984" w:rsidRDefault="00EC2984" w:rsidP="00EC2984">
            <w:pPr>
              <w:spacing w:after="0"/>
              <w:jc w:val="center"/>
              <w:textAlignment w:val="top"/>
              <w:rPr>
                <w:rFonts w:ascii="Times New Roman" w:hAnsi="Times New Roman" w:cs="Times New Roman"/>
                <w:i/>
                <w:sz w:val="24"/>
                <w:szCs w:val="24"/>
              </w:rPr>
            </w:pPr>
            <w:r w:rsidRPr="00EC2984">
              <w:rPr>
                <w:rFonts w:ascii="Times New Roman" w:hAnsi="Times New Roman" w:cs="Times New Roman"/>
                <w:sz w:val="24"/>
                <w:szCs w:val="24"/>
              </w:rPr>
              <w:t>3</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До 3 лет</w:t>
            </w:r>
          </w:p>
        </w:tc>
        <w:tc>
          <w:tcPr>
            <w:tcW w:w="2216" w:type="dxa"/>
            <w:shd w:val="clear" w:color="auto" w:fill="auto"/>
          </w:tcPr>
          <w:p w:rsidR="00EC2984" w:rsidRPr="00EC2984" w:rsidRDefault="00EC2984" w:rsidP="00EC2984">
            <w:pPr>
              <w:spacing w:after="0"/>
              <w:jc w:val="center"/>
              <w:textAlignment w:val="top"/>
              <w:rPr>
                <w:rFonts w:ascii="Times New Roman" w:hAnsi="Times New Roman" w:cs="Times New Roman"/>
                <w:i/>
                <w:sz w:val="24"/>
                <w:szCs w:val="24"/>
              </w:rPr>
            </w:pPr>
            <w:r w:rsidRPr="00EC2984">
              <w:rPr>
                <w:rFonts w:ascii="Times New Roman" w:hAnsi="Times New Roman" w:cs="Times New Roman"/>
                <w:sz w:val="24"/>
                <w:szCs w:val="24"/>
              </w:rPr>
              <w:t>4</w:t>
            </w:r>
          </w:p>
        </w:tc>
      </w:tr>
      <w:tr w:rsidR="00EC2984" w:rsidRPr="00EC2984" w:rsidTr="00021CAD">
        <w:trPr>
          <w:trHeight w:val="20"/>
        </w:trPr>
        <w:tc>
          <w:tcPr>
            <w:tcW w:w="7128" w:type="dxa"/>
            <w:shd w:val="clear" w:color="auto" w:fill="auto"/>
          </w:tcPr>
          <w:p w:rsidR="00EC2984" w:rsidRPr="00EC2984" w:rsidRDefault="00EC2984" w:rsidP="00EC2984">
            <w:pPr>
              <w:spacing w:after="0"/>
              <w:jc w:val="both"/>
              <w:textAlignment w:val="top"/>
              <w:rPr>
                <w:rFonts w:ascii="Times New Roman" w:hAnsi="Times New Roman" w:cs="Times New Roman"/>
                <w:sz w:val="24"/>
                <w:szCs w:val="24"/>
              </w:rPr>
            </w:pPr>
            <w:r w:rsidRPr="00EC2984">
              <w:rPr>
                <w:rFonts w:ascii="Times New Roman" w:hAnsi="Times New Roman" w:cs="Times New Roman"/>
                <w:sz w:val="24"/>
                <w:szCs w:val="24"/>
              </w:rPr>
              <w:t>Более 3 лет</w:t>
            </w:r>
          </w:p>
        </w:tc>
        <w:tc>
          <w:tcPr>
            <w:tcW w:w="2216" w:type="dxa"/>
            <w:shd w:val="clear" w:color="auto" w:fill="auto"/>
          </w:tcPr>
          <w:p w:rsidR="00EC2984" w:rsidRPr="00EC2984" w:rsidRDefault="00EC2984" w:rsidP="00EC2984">
            <w:pPr>
              <w:spacing w:after="0"/>
              <w:jc w:val="center"/>
              <w:textAlignment w:val="top"/>
              <w:rPr>
                <w:rFonts w:ascii="Times New Roman" w:hAnsi="Times New Roman" w:cs="Times New Roman"/>
                <w:i/>
                <w:sz w:val="24"/>
                <w:szCs w:val="24"/>
              </w:rPr>
            </w:pPr>
            <w:r w:rsidRPr="00EC2984">
              <w:rPr>
                <w:rFonts w:ascii="Times New Roman" w:hAnsi="Times New Roman" w:cs="Times New Roman"/>
                <w:sz w:val="24"/>
                <w:szCs w:val="24"/>
              </w:rPr>
              <w:t>5</w:t>
            </w:r>
          </w:p>
        </w:tc>
      </w:tr>
    </w:tbl>
    <w:p w:rsidR="00EC2984" w:rsidRPr="00EC2984" w:rsidRDefault="00EC2984" w:rsidP="00EC2984">
      <w:pPr>
        <w:spacing w:after="0"/>
        <w:ind w:firstLine="709"/>
        <w:jc w:val="both"/>
        <w:rPr>
          <w:rFonts w:ascii="Times New Roman" w:hAnsi="Times New Roman" w:cs="Times New Roman"/>
          <w:sz w:val="24"/>
          <w:szCs w:val="24"/>
          <w:u w:val="single"/>
        </w:rPr>
      </w:pPr>
    </w:p>
    <w:p w:rsidR="00EC2984" w:rsidRPr="00EC2984" w:rsidRDefault="00EC2984" w:rsidP="00EC2984">
      <w:pPr>
        <w:tabs>
          <w:tab w:val="left" w:pos="0"/>
        </w:tabs>
        <w:spacing w:after="0"/>
        <w:ind w:firstLine="709"/>
        <w:jc w:val="both"/>
        <w:rPr>
          <w:rFonts w:ascii="Times New Roman" w:hAnsi="Times New Roman" w:cs="Times New Roman"/>
          <w:b/>
          <w:sz w:val="24"/>
          <w:szCs w:val="24"/>
        </w:rPr>
      </w:pPr>
      <w:r w:rsidRPr="00EC2984">
        <w:rPr>
          <w:rFonts w:ascii="Times New Roman" w:hAnsi="Times New Roman" w:cs="Times New Roman"/>
          <w:b/>
          <w:sz w:val="24"/>
          <w:szCs w:val="24"/>
        </w:rPr>
        <w:t>4) Предыдущие нарушения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i/>
          <w:sz w:val="24"/>
          <w:szCs w:val="24"/>
          <w:lang w:val="ru-RU"/>
        </w:rPr>
        <w:t>Общее основание</w:t>
      </w:r>
      <w:r w:rsidRPr="00EC2984">
        <w:rPr>
          <w:rFonts w:ascii="Times New Roman" w:hAnsi="Times New Roman" w:cs="Times New Roman"/>
          <w:sz w:val="24"/>
          <w:szCs w:val="24"/>
          <w:lang w:val="ru-RU"/>
        </w:rPr>
        <w:t>: отсутствие нарушений на дату последней проверки указывает на готовность юридического лица соблюдать закон и, соответственно, на более низкий риск его нарушения. Таким образом, это может освободить юридическое лицо от последующей проверки. В то же время наличие нарушений на последнюю дату осуществления проверки влечет присвоение более высокой степени риска.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rPr>
        <w:t>a</w:t>
      </w:r>
      <w:r w:rsidRPr="00EC2984">
        <w:rPr>
          <w:rFonts w:ascii="Times New Roman" w:hAnsi="Times New Roman" w:cs="Times New Roman"/>
          <w:sz w:val="24"/>
          <w:szCs w:val="24"/>
          <w:lang w:val="ru-RU"/>
        </w:rPr>
        <w:t>) Для поставщиков медицинских и фармацевтических услуг – услуги, указанные в отчетах необоснованно, и/или медицинские услуги, оказанные в недостаточном объеме и ненадлежащего качества, а также финансовые нарушения, касающиеся фондов обязательного медицинского страхования.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398"/>
      </w:tblGrid>
      <w:tr w:rsidR="00EC2984" w:rsidRPr="00EC2984" w:rsidTr="00021CAD">
        <w:trPr>
          <w:trHeight w:val="20"/>
        </w:trPr>
        <w:tc>
          <w:tcPr>
            <w:tcW w:w="3717" w:type="pct"/>
          </w:tcPr>
          <w:p w:rsidR="00EC2984" w:rsidRPr="00EC2984" w:rsidRDefault="00EC2984" w:rsidP="00EC2984">
            <w:pPr>
              <w:spacing w:after="0"/>
              <w:jc w:val="center"/>
              <w:rPr>
                <w:rFonts w:ascii="Times New Roman" w:hAnsi="Times New Roman" w:cs="Times New Roman"/>
                <w:b/>
                <w:sz w:val="24"/>
                <w:szCs w:val="24"/>
                <w:lang w:val="ru-RU"/>
              </w:rPr>
            </w:pPr>
            <w:r w:rsidRPr="00EC2984">
              <w:rPr>
                <w:rFonts w:ascii="Times New Roman" w:hAnsi="Times New Roman" w:cs="Times New Roman"/>
                <w:b/>
                <w:sz w:val="24"/>
                <w:szCs w:val="24"/>
                <w:lang w:val="ru-RU"/>
              </w:rPr>
              <w:t xml:space="preserve">Нарушения, повлиявшие на качество </w:t>
            </w:r>
          </w:p>
          <w:p w:rsidR="00EC2984" w:rsidRPr="00EC2984" w:rsidRDefault="00EC2984" w:rsidP="00EC2984">
            <w:pPr>
              <w:spacing w:after="0"/>
              <w:jc w:val="center"/>
              <w:rPr>
                <w:rFonts w:ascii="Times New Roman" w:hAnsi="Times New Roman" w:cs="Times New Roman"/>
                <w:b/>
                <w:sz w:val="24"/>
                <w:szCs w:val="24"/>
                <w:lang w:val="ru-RU"/>
              </w:rPr>
            </w:pPr>
            <w:r w:rsidRPr="00EC2984">
              <w:rPr>
                <w:rFonts w:ascii="Times New Roman" w:hAnsi="Times New Roman" w:cs="Times New Roman"/>
                <w:b/>
                <w:sz w:val="24"/>
                <w:szCs w:val="24"/>
                <w:lang w:val="ru-RU"/>
              </w:rPr>
              <w:t xml:space="preserve">медицинских услуг </w:t>
            </w:r>
          </w:p>
        </w:tc>
        <w:tc>
          <w:tcPr>
            <w:tcW w:w="1283" w:type="pct"/>
            <w:vAlign w:val="center"/>
          </w:tcPr>
          <w:p w:rsidR="00EC2984" w:rsidRPr="00EC2984" w:rsidRDefault="00EC2984" w:rsidP="00EC2984">
            <w:pPr>
              <w:spacing w:after="0"/>
              <w:jc w:val="center"/>
              <w:rPr>
                <w:rFonts w:ascii="Times New Roman" w:hAnsi="Times New Roman" w:cs="Times New Roman"/>
                <w:b/>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3717" w:type="pct"/>
          </w:tcPr>
          <w:p w:rsidR="00EC2984" w:rsidRPr="00EC2984" w:rsidRDefault="00EC2984" w:rsidP="00EC2984">
            <w:pPr>
              <w:spacing w:after="0"/>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Сумма услуг/случаев, признанных недействительными, составила до 10,0 тыс. леев</w:t>
            </w:r>
          </w:p>
        </w:tc>
        <w:tc>
          <w:tcPr>
            <w:tcW w:w="1283" w:type="pct"/>
            <w:vAlign w:val="center"/>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1</w:t>
            </w:r>
          </w:p>
        </w:tc>
      </w:tr>
      <w:tr w:rsidR="00EC2984" w:rsidRPr="00EC2984" w:rsidTr="00021CAD">
        <w:trPr>
          <w:trHeight w:val="20"/>
        </w:trPr>
        <w:tc>
          <w:tcPr>
            <w:tcW w:w="3717" w:type="pct"/>
          </w:tcPr>
          <w:p w:rsidR="00EC2984" w:rsidRPr="00EC2984" w:rsidRDefault="00EC2984" w:rsidP="00EC2984">
            <w:pPr>
              <w:spacing w:after="0"/>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Сумма услуг/случаев, признанных недействительными, составила от 10,0 тыс. леев до 30,0 тыс. леев</w:t>
            </w:r>
          </w:p>
        </w:tc>
        <w:tc>
          <w:tcPr>
            <w:tcW w:w="1283" w:type="pct"/>
            <w:vAlign w:val="center"/>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2</w:t>
            </w:r>
          </w:p>
        </w:tc>
      </w:tr>
      <w:tr w:rsidR="00EC2984" w:rsidRPr="00EC2984" w:rsidTr="00021CAD">
        <w:trPr>
          <w:trHeight w:val="20"/>
        </w:trPr>
        <w:tc>
          <w:tcPr>
            <w:tcW w:w="3717" w:type="pct"/>
          </w:tcPr>
          <w:p w:rsidR="00EC2984" w:rsidRPr="00EC2984" w:rsidRDefault="00EC2984" w:rsidP="00EC2984">
            <w:pPr>
              <w:spacing w:after="0"/>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Сумма услуг/случаев, признанных недействительными, составила от 30,0 тыс. леев до 50,0 тыс. леев</w:t>
            </w:r>
          </w:p>
        </w:tc>
        <w:tc>
          <w:tcPr>
            <w:tcW w:w="1283" w:type="pct"/>
            <w:vAlign w:val="center"/>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3</w:t>
            </w:r>
          </w:p>
        </w:tc>
      </w:tr>
      <w:tr w:rsidR="00EC2984" w:rsidRPr="00EC2984" w:rsidTr="00021CAD">
        <w:trPr>
          <w:trHeight w:val="20"/>
        </w:trPr>
        <w:tc>
          <w:tcPr>
            <w:tcW w:w="3717" w:type="pct"/>
          </w:tcPr>
          <w:p w:rsidR="00EC2984" w:rsidRPr="00EC2984" w:rsidRDefault="00EC2984" w:rsidP="00EC2984">
            <w:pPr>
              <w:spacing w:after="0"/>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Сумма услуг/случаев, признанных недействительными, составила от 50,0 тыс. леев до 70,0 тыс. леев</w:t>
            </w:r>
          </w:p>
        </w:tc>
        <w:tc>
          <w:tcPr>
            <w:tcW w:w="1283" w:type="pct"/>
            <w:vAlign w:val="center"/>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4</w:t>
            </w:r>
          </w:p>
        </w:tc>
      </w:tr>
      <w:tr w:rsidR="00EC2984" w:rsidRPr="00EC2984" w:rsidTr="00021CAD">
        <w:trPr>
          <w:trHeight w:val="20"/>
        </w:trPr>
        <w:tc>
          <w:tcPr>
            <w:tcW w:w="3717" w:type="pct"/>
          </w:tcPr>
          <w:p w:rsidR="00EC2984" w:rsidRPr="00EC2984" w:rsidRDefault="00EC2984" w:rsidP="00EC2984">
            <w:pPr>
              <w:spacing w:after="0"/>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Сумма услуг/случаев, признанных недействительными, составила более 70,0 тыс. леев</w:t>
            </w:r>
          </w:p>
        </w:tc>
        <w:tc>
          <w:tcPr>
            <w:tcW w:w="1283" w:type="pct"/>
            <w:vAlign w:val="center"/>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5</w:t>
            </w:r>
          </w:p>
        </w:tc>
      </w:tr>
    </w:tbl>
    <w:p w:rsidR="00EC2984" w:rsidRPr="00EC2984" w:rsidRDefault="00EC2984" w:rsidP="00EC2984">
      <w:pPr>
        <w:spacing w:after="0"/>
        <w:ind w:firstLine="709"/>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410"/>
      </w:tblGrid>
      <w:tr w:rsidR="00EC2984" w:rsidRPr="00EC2984" w:rsidTr="00021CAD">
        <w:trPr>
          <w:trHeight w:val="20"/>
        </w:trPr>
        <w:tc>
          <w:tcPr>
            <w:tcW w:w="6946" w:type="dxa"/>
            <w:vAlign w:val="center"/>
          </w:tcPr>
          <w:p w:rsidR="00EC2984" w:rsidRPr="00EC2984" w:rsidRDefault="00EC2984" w:rsidP="00EC2984">
            <w:pPr>
              <w:spacing w:after="0"/>
              <w:jc w:val="center"/>
              <w:rPr>
                <w:rFonts w:ascii="Times New Roman" w:hAnsi="Times New Roman" w:cs="Times New Roman"/>
                <w:b/>
                <w:sz w:val="24"/>
                <w:szCs w:val="24"/>
                <w:lang w:val="ru-RU"/>
              </w:rPr>
            </w:pPr>
            <w:r w:rsidRPr="00EC2984">
              <w:rPr>
                <w:rFonts w:ascii="Times New Roman" w:hAnsi="Times New Roman" w:cs="Times New Roman"/>
                <w:b/>
                <w:sz w:val="24"/>
                <w:szCs w:val="24"/>
                <w:lang w:val="ru-RU"/>
              </w:rPr>
              <w:t>Нарушения по использованию средств и фондов обязательного медицинского страхования</w:t>
            </w:r>
          </w:p>
        </w:tc>
        <w:tc>
          <w:tcPr>
            <w:tcW w:w="2410" w:type="dxa"/>
            <w:vAlign w:val="center"/>
          </w:tcPr>
          <w:p w:rsidR="00EC2984" w:rsidRPr="00EC2984" w:rsidRDefault="00EC2984" w:rsidP="00EC2984">
            <w:pPr>
              <w:spacing w:after="0"/>
              <w:jc w:val="center"/>
              <w:rPr>
                <w:rFonts w:ascii="Times New Roman" w:hAnsi="Times New Roman" w:cs="Times New Roman"/>
                <w:b/>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6946"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Было отвлечено финансовых средств до 10,0 тыс. леев</w:t>
            </w:r>
          </w:p>
        </w:tc>
        <w:tc>
          <w:tcPr>
            <w:tcW w:w="2410"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1</w:t>
            </w:r>
          </w:p>
        </w:tc>
      </w:tr>
      <w:tr w:rsidR="00EC2984" w:rsidRPr="00EC2984" w:rsidTr="00021CAD">
        <w:trPr>
          <w:trHeight w:val="20"/>
        </w:trPr>
        <w:tc>
          <w:tcPr>
            <w:tcW w:w="6946"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Было отвлечено финансовых средств от 10,0 тыс. леев до 30,0 тыс. леев</w:t>
            </w:r>
          </w:p>
        </w:tc>
        <w:tc>
          <w:tcPr>
            <w:tcW w:w="2410"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2</w:t>
            </w:r>
          </w:p>
        </w:tc>
      </w:tr>
      <w:tr w:rsidR="00EC2984" w:rsidRPr="00EC2984" w:rsidTr="00021CAD">
        <w:trPr>
          <w:trHeight w:val="20"/>
        </w:trPr>
        <w:tc>
          <w:tcPr>
            <w:tcW w:w="6946"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Было отвлечено финансовых средств от 30,0 тыс. леев до 60,0 тыс. леев</w:t>
            </w:r>
          </w:p>
        </w:tc>
        <w:tc>
          <w:tcPr>
            <w:tcW w:w="2410"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3</w:t>
            </w:r>
          </w:p>
        </w:tc>
      </w:tr>
      <w:tr w:rsidR="00EC2984" w:rsidRPr="00EC2984" w:rsidTr="00021CAD">
        <w:trPr>
          <w:trHeight w:val="20"/>
        </w:trPr>
        <w:tc>
          <w:tcPr>
            <w:tcW w:w="6946"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Было отвлечено финансовых средств от 60,0 тыс. леев до 100,0 тыс. леев</w:t>
            </w:r>
          </w:p>
        </w:tc>
        <w:tc>
          <w:tcPr>
            <w:tcW w:w="2410"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4</w:t>
            </w:r>
          </w:p>
        </w:tc>
      </w:tr>
      <w:tr w:rsidR="00EC2984" w:rsidRPr="00EC2984" w:rsidTr="00021CAD">
        <w:trPr>
          <w:trHeight w:val="20"/>
        </w:trPr>
        <w:tc>
          <w:tcPr>
            <w:tcW w:w="6946" w:type="dxa"/>
          </w:tcPr>
          <w:p w:rsidR="00EC2984" w:rsidRPr="00EC2984" w:rsidRDefault="00EC2984" w:rsidP="00EC2984">
            <w:pPr>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 xml:space="preserve">Было отвлечено финансовых средств более 100,0 тыс. леев </w:t>
            </w:r>
          </w:p>
        </w:tc>
        <w:tc>
          <w:tcPr>
            <w:tcW w:w="2410" w:type="dxa"/>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5</w:t>
            </w:r>
          </w:p>
        </w:tc>
      </w:tr>
    </w:tbl>
    <w:p w:rsidR="00EC2984" w:rsidRPr="00EC2984" w:rsidRDefault="00EC2984" w:rsidP="00EC2984">
      <w:pPr>
        <w:spacing w:after="0"/>
        <w:ind w:firstLine="709"/>
        <w:jc w:val="both"/>
        <w:rPr>
          <w:rFonts w:ascii="Times New Roman" w:hAnsi="Times New Roman" w:cs="Times New Roman"/>
          <w:sz w:val="24"/>
          <w:szCs w:val="24"/>
        </w:rPr>
      </w:pPr>
    </w:p>
    <w:p w:rsidR="00EC2984" w:rsidRPr="00EC2984" w:rsidRDefault="00EC2984" w:rsidP="00EC2984">
      <w:pPr>
        <w:pStyle w:val="ListParagraph"/>
        <w:tabs>
          <w:tab w:val="left" w:pos="700"/>
        </w:tabs>
        <w:spacing w:before="0" w:after="0" w:line="240" w:lineRule="auto"/>
        <w:ind w:left="0" w:firstLine="709"/>
        <w:jc w:val="both"/>
        <w:rPr>
          <w:rFonts w:ascii="Times New Roman" w:hAnsi="Times New Roman"/>
          <w:sz w:val="24"/>
          <w:szCs w:val="24"/>
          <w:lang w:val="ru-RU"/>
        </w:rPr>
      </w:pPr>
      <w:r w:rsidRPr="00EC2984">
        <w:rPr>
          <w:rFonts w:ascii="Times New Roman" w:hAnsi="Times New Roman"/>
          <w:sz w:val="24"/>
          <w:szCs w:val="24"/>
          <w:lang w:val="ru-RU"/>
        </w:rPr>
        <w:t xml:space="preserve">b) Для экономических агентов, представляющих поименные списки – нарушения, установленные при представлении поименных списков. </w:t>
      </w:r>
    </w:p>
    <w:p w:rsidR="00EC2984" w:rsidRPr="00EC2984" w:rsidRDefault="00EC2984" w:rsidP="00EC2984">
      <w:pPr>
        <w:spacing w:after="0"/>
        <w:ind w:firstLine="709"/>
        <w:rPr>
          <w:rFonts w:ascii="Times New Roman" w:hAnsi="Times New Roman" w:cs="Times New Roman"/>
          <w:sz w:val="24"/>
          <w:szCs w:val="24"/>
          <w:lang w:val="ru-RU"/>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8"/>
        <w:gridCol w:w="2216"/>
      </w:tblGrid>
      <w:tr w:rsidR="00EC2984" w:rsidRPr="00EC2984" w:rsidTr="00021CAD">
        <w:trPr>
          <w:trHeight w:val="20"/>
        </w:trPr>
        <w:tc>
          <w:tcPr>
            <w:tcW w:w="3829" w:type="pct"/>
            <w:shd w:val="clear" w:color="auto" w:fill="auto"/>
            <w:vAlign w:val="center"/>
          </w:tcPr>
          <w:p w:rsidR="00EC2984" w:rsidRPr="00EC2984" w:rsidRDefault="00EC2984" w:rsidP="00EC2984">
            <w:pPr>
              <w:spacing w:after="0"/>
              <w:jc w:val="center"/>
              <w:rPr>
                <w:rFonts w:ascii="Times New Roman" w:hAnsi="Times New Roman" w:cs="Times New Roman"/>
                <w:b/>
                <w:sz w:val="24"/>
                <w:szCs w:val="24"/>
                <w:lang w:val="ru-RU"/>
              </w:rPr>
            </w:pPr>
            <w:r w:rsidRPr="00EC2984">
              <w:rPr>
                <w:rFonts w:ascii="Times New Roman" w:hAnsi="Times New Roman" w:cs="Times New Roman"/>
                <w:b/>
                <w:sz w:val="24"/>
                <w:szCs w:val="24"/>
                <w:lang w:val="ru-RU"/>
              </w:rPr>
              <w:t>Нарушения при представлении списков</w:t>
            </w:r>
          </w:p>
          <w:p w:rsidR="00EC2984" w:rsidRPr="00EC2984" w:rsidRDefault="00EC2984" w:rsidP="00EC2984">
            <w:pPr>
              <w:spacing w:after="0"/>
              <w:jc w:val="center"/>
              <w:rPr>
                <w:rFonts w:ascii="Times New Roman" w:hAnsi="Times New Roman" w:cs="Times New Roman"/>
                <w:b/>
                <w:sz w:val="24"/>
                <w:szCs w:val="24"/>
                <w:lang w:val="ru-RU"/>
              </w:rPr>
            </w:pPr>
            <w:r w:rsidRPr="00EC2984">
              <w:rPr>
                <w:rFonts w:ascii="Times New Roman" w:hAnsi="Times New Roman" w:cs="Times New Roman"/>
                <w:b/>
                <w:sz w:val="24"/>
                <w:szCs w:val="24"/>
                <w:lang w:val="ru-RU"/>
              </w:rPr>
              <w:t>поименного учета</w:t>
            </w:r>
          </w:p>
        </w:tc>
        <w:tc>
          <w:tcPr>
            <w:tcW w:w="1171" w:type="pct"/>
            <w:shd w:val="clear" w:color="auto" w:fill="auto"/>
            <w:vAlign w:val="center"/>
          </w:tcPr>
          <w:p w:rsidR="00EC2984" w:rsidRPr="00EC2984" w:rsidRDefault="00EC2984" w:rsidP="00EC2984">
            <w:pPr>
              <w:spacing w:after="0"/>
              <w:jc w:val="center"/>
              <w:rPr>
                <w:rFonts w:ascii="Times New Roman" w:hAnsi="Times New Roman" w:cs="Times New Roman"/>
                <w:b/>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3829" w:type="pct"/>
            <w:shd w:val="clear" w:color="auto" w:fill="auto"/>
          </w:tcPr>
          <w:p w:rsidR="00EC2984" w:rsidRPr="00EC2984" w:rsidRDefault="00EC2984" w:rsidP="00EC2984">
            <w:pPr>
              <w:spacing w:after="0"/>
              <w:rPr>
                <w:rFonts w:ascii="Times New Roman" w:hAnsi="Times New Roman" w:cs="Times New Roman"/>
                <w:color w:val="000000"/>
                <w:sz w:val="24"/>
                <w:szCs w:val="24"/>
                <w:lang w:val="ru-RU"/>
              </w:rPr>
            </w:pPr>
            <w:r w:rsidRPr="00EC2984">
              <w:rPr>
                <w:rFonts w:ascii="Times New Roman" w:hAnsi="Times New Roman" w:cs="Times New Roman"/>
                <w:color w:val="000000"/>
                <w:sz w:val="24"/>
                <w:szCs w:val="24"/>
                <w:lang w:val="ru-RU"/>
              </w:rPr>
              <w:t xml:space="preserve">Нарушение сроков представления информации о включении работников в списки поименного учета по активации/дезактивации страховых полисов от 1 до 3 дней </w:t>
            </w:r>
          </w:p>
        </w:tc>
        <w:tc>
          <w:tcPr>
            <w:tcW w:w="1171"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1</w:t>
            </w:r>
          </w:p>
        </w:tc>
      </w:tr>
      <w:tr w:rsidR="00EC2984" w:rsidRPr="00EC2984" w:rsidTr="00021CAD">
        <w:trPr>
          <w:trHeight w:val="20"/>
        </w:trPr>
        <w:tc>
          <w:tcPr>
            <w:tcW w:w="3829" w:type="pct"/>
            <w:shd w:val="clear" w:color="auto" w:fill="auto"/>
          </w:tcPr>
          <w:p w:rsidR="00EC2984" w:rsidRPr="00EC2984" w:rsidRDefault="00EC2984" w:rsidP="00EC2984">
            <w:pPr>
              <w:spacing w:after="0"/>
              <w:rPr>
                <w:rFonts w:ascii="Times New Roman" w:hAnsi="Times New Roman" w:cs="Times New Roman"/>
                <w:color w:val="000000"/>
                <w:sz w:val="24"/>
                <w:szCs w:val="24"/>
                <w:lang w:val="ru-RU"/>
              </w:rPr>
            </w:pPr>
            <w:r w:rsidRPr="00EC2984">
              <w:rPr>
                <w:rFonts w:ascii="Times New Roman" w:hAnsi="Times New Roman" w:cs="Times New Roman"/>
                <w:color w:val="000000"/>
                <w:sz w:val="24"/>
                <w:szCs w:val="24"/>
                <w:lang w:val="ru-RU"/>
              </w:rPr>
              <w:t xml:space="preserve">Нарушение сроков представления информации о включении работников в списки поименного учета по активации/дезактивации страховых полисов от 3 до 6 дней </w:t>
            </w:r>
          </w:p>
        </w:tc>
        <w:tc>
          <w:tcPr>
            <w:tcW w:w="1171"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2</w:t>
            </w:r>
          </w:p>
        </w:tc>
      </w:tr>
      <w:tr w:rsidR="00EC2984" w:rsidRPr="00EC2984" w:rsidTr="00021CAD">
        <w:trPr>
          <w:trHeight w:val="20"/>
        </w:trPr>
        <w:tc>
          <w:tcPr>
            <w:tcW w:w="3829" w:type="pct"/>
            <w:shd w:val="clear" w:color="auto" w:fill="auto"/>
          </w:tcPr>
          <w:p w:rsidR="00EC2984" w:rsidRPr="00EC2984" w:rsidRDefault="00EC2984" w:rsidP="00EC2984">
            <w:pPr>
              <w:spacing w:after="0"/>
              <w:rPr>
                <w:rFonts w:ascii="Times New Roman" w:hAnsi="Times New Roman" w:cs="Times New Roman"/>
                <w:color w:val="000000"/>
                <w:sz w:val="24"/>
                <w:szCs w:val="24"/>
                <w:lang w:val="ru-RU"/>
              </w:rPr>
            </w:pPr>
            <w:r w:rsidRPr="00EC2984">
              <w:rPr>
                <w:rFonts w:ascii="Times New Roman" w:hAnsi="Times New Roman" w:cs="Times New Roman"/>
                <w:color w:val="000000"/>
                <w:sz w:val="24"/>
                <w:szCs w:val="24"/>
                <w:lang w:val="ru-RU"/>
              </w:rPr>
              <w:t xml:space="preserve">Нарушение сроков представления информации о включении работников в списки поименного учета по активации/дезактивации страховых полисов от 6 до 10 дней </w:t>
            </w:r>
          </w:p>
        </w:tc>
        <w:tc>
          <w:tcPr>
            <w:tcW w:w="1171"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3</w:t>
            </w:r>
          </w:p>
        </w:tc>
      </w:tr>
      <w:tr w:rsidR="00EC2984" w:rsidRPr="00EC2984" w:rsidTr="00021CAD">
        <w:trPr>
          <w:trHeight w:val="20"/>
        </w:trPr>
        <w:tc>
          <w:tcPr>
            <w:tcW w:w="3829" w:type="pct"/>
            <w:shd w:val="clear" w:color="auto" w:fill="auto"/>
          </w:tcPr>
          <w:p w:rsidR="00EC2984" w:rsidRPr="00EC2984" w:rsidRDefault="00EC2984" w:rsidP="00EC2984">
            <w:pPr>
              <w:spacing w:after="0"/>
              <w:rPr>
                <w:rFonts w:ascii="Times New Roman" w:hAnsi="Times New Roman" w:cs="Times New Roman"/>
                <w:color w:val="000000"/>
                <w:sz w:val="24"/>
                <w:szCs w:val="24"/>
                <w:lang w:val="ru-RU"/>
              </w:rPr>
            </w:pPr>
            <w:r w:rsidRPr="00EC2984">
              <w:rPr>
                <w:rFonts w:ascii="Times New Roman" w:hAnsi="Times New Roman" w:cs="Times New Roman"/>
                <w:color w:val="000000"/>
                <w:sz w:val="24"/>
                <w:szCs w:val="24"/>
                <w:lang w:val="ru-RU"/>
              </w:rPr>
              <w:t xml:space="preserve">Нарушение сроков представления информации о включении работников в списки поименного учета по активации/дезактивации страховых полисов от 10 до 15 дней </w:t>
            </w:r>
          </w:p>
        </w:tc>
        <w:tc>
          <w:tcPr>
            <w:tcW w:w="1171"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4</w:t>
            </w:r>
          </w:p>
        </w:tc>
      </w:tr>
      <w:tr w:rsidR="00EC2984" w:rsidRPr="00EC2984" w:rsidTr="00021CAD">
        <w:trPr>
          <w:trHeight w:val="20"/>
        </w:trPr>
        <w:tc>
          <w:tcPr>
            <w:tcW w:w="3829" w:type="pct"/>
            <w:shd w:val="clear" w:color="auto" w:fill="auto"/>
          </w:tcPr>
          <w:p w:rsidR="00EC2984" w:rsidRPr="00EC2984" w:rsidRDefault="00EC2984" w:rsidP="00EC2984">
            <w:pPr>
              <w:spacing w:after="0"/>
              <w:rPr>
                <w:rFonts w:ascii="Times New Roman" w:hAnsi="Times New Roman" w:cs="Times New Roman"/>
                <w:color w:val="000000"/>
                <w:sz w:val="24"/>
                <w:szCs w:val="24"/>
                <w:lang w:val="ru-RU"/>
              </w:rPr>
            </w:pPr>
            <w:r w:rsidRPr="00EC2984">
              <w:rPr>
                <w:rFonts w:ascii="Times New Roman" w:hAnsi="Times New Roman" w:cs="Times New Roman"/>
                <w:color w:val="000000"/>
                <w:sz w:val="24"/>
                <w:szCs w:val="24"/>
                <w:lang w:val="ru-RU"/>
              </w:rPr>
              <w:t xml:space="preserve">Нарушение сроков представления информации о включении работников в списки поименного учета по активации/дезактивации страховых полисов более 15 дней </w:t>
            </w:r>
          </w:p>
        </w:tc>
        <w:tc>
          <w:tcPr>
            <w:tcW w:w="1171"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5</w:t>
            </w:r>
          </w:p>
        </w:tc>
      </w:tr>
    </w:tbl>
    <w:p w:rsidR="00EC2984" w:rsidRPr="00EC2984" w:rsidRDefault="00EC2984" w:rsidP="00EC2984">
      <w:pPr>
        <w:spacing w:after="0"/>
        <w:ind w:firstLine="709"/>
        <w:jc w:val="both"/>
        <w:textAlignment w:val="top"/>
        <w:rPr>
          <w:rFonts w:ascii="Times New Roman" w:hAnsi="Times New Roman" w:cs="Times New Roman"/>
          <w:sz w:val="24"/>
          <w:szCs w:val="24"/>
        </w:rPr>
      </w:pPr>
    </w:p>
    <w:p w:rsidR="00EC2984" w:rsidRPr="00EC2984" w:rsidRDefault="00EC2984" w:rsidP="00EC2984">
      <w:pPr>
        <w:spacing w:after="0"/>
        <w:ind w:firstLine="709"/>
        <w:jc w:val="both"/>
        <w:rPr>
          <w:rFonts w:ascii="Times New Roman" w:hAnsi="Times New Roman" w:cs="Times New Roman"/>
          <w:b/>
          <w:sz w:val="24"/>
          <w:szCs w:val="24"/>
          <w:lang w:val="ru-RU"/>
        </w:rPr>
      </w:pPr>
      <w:r w:rsidRPr="00EC2984">
        <w:rPr>
          <w:rFonts w:ascii="Times New Roman" w:hAnsi="Times New Roman" w:cs="Times New Roman"/>
          <w:b/>
          <w:sz w:val="24"/>
          <w:szCs w:val="24"/>
          <w:lang w:val="ru-RU"/>
        </w:rPr>
        <w:t>5) Наличие подтвержденных жалоб и публичной информации о нарушениях</w:t>
      </w:r>
    </w:p>
    <w:p w:rsidR="00EC2984" w:rsidRPr="00EC2984" w:rsidRDefault="00EC2984" w:rsidP="00EC2984">
      <w:pPr>
        <w:pStyle w:val="ListParagraph"/>
        <w:tabs>
          <w:tab w:val="left" w:pos="851"/>
          <w:tab w:val="left" w:pos="1120"/>
        </w:tabs>
        <w:spacing w:before="0" w:after="0" w:line="240" w:lineRule="auto"/>
        <w:ind w:left="0" w:firstLine="709"/>
        <w:jc w:val="both"/>
        <w:rPr>
          <w:rFonts w:ascii="Times New Roman" w:hAnsi="Times New Roman"/>
          <w:sz w:val="24"/>
          <w:szCs w:val="24"/>
          <w:lang w:val="ru-RU"/>
        </w:rPr>
      </w:pPr>
      <w:r w:rsidRPr="00EC2984">
        <w:rPr>
          <w:rFonts w:ascii="Times New Roman" w:hAnsi="Times New Roman"/>
          <w:i/>
          <w:sz w:val="24"/>
          <w:szCs w:val="24"/>
          <w:lang w:val="ru-RU"/>
        </w:rPr>
        <w:t>Общее основание</w:t>
      </w:r>
      <w:r w:rsidRPr="00EC2984">
        <w:rPr>
          <w:rFonts w:ascii="Times New Roman" w:hAnsi="Times New Roman"/>
          <w:sz w:val="24"/>
          <w:szCs w:val="24"/>
          <w:lang w:val="ru-RU"/>
        </w:rPr>
        <w:t xml:space="preserve">: чем большее количество жалоб и/или публичной информации о нарушениях, касающихся оказанных услуг, поступает от лиц, работающих в системе медицинского страхования, и в сфере включения работников в поименные списки, тем больше вероятность несоблюдения экономическим агентом требований законодательства. </w:t>
      </w:r>
    </w:p>
    <w:p w:rsidR="00EC2984" w:rsidRPr="00EC2984" w:rsidRDefault="00EC2984" w:rsidP="00EC2984">
      <w:pPr>
        <w:spacing w:after="0"/>
        <w:ind w:firstLine="709"/>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 xml:space="preserve">Для поставщиков медицинских и фармацевтических услуг, а также для экономических агентов, представляющих персональные списки. </w:t>
      </w:r>
    </w:p>
    <w:p w:rsidR="00EC2984" w:rsidRPr="00EC2984" w:rsidRDefault="00EC2984" w:rsidP="00EC2984">
      <w:pPr>
        <w:spacing w:after="0"/>
        <w:ind w:firstLine="709"/>
        <w:jc w:val="both"/>
        <w:rPr>
          <w:rFonts w:ascii="Times New Roman" w:hAnsi="Times New Roman" w:cs="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7"/>
        <w:gridCol w:w="2097"/>
      </w:tblGrid>
      <w:tr w:rsidR="00EC2984" w:rsidRPr="00EC2984" w:rsidTr="00021CAD">
        <w:trPr>
          <w:trHeight w:val="20"/>
        </w:trPr>
        <w:tc>
          <w:tcPr>
            <w:tcW w:w="3878" w:type="pct"/>
            <w:shd w:val="clear" w:color="auto" w:fill="auto"/>
            <w:vAlign w:val="center"/>
          </w:tcPr>
          <w:p w:rsidR="00EC2984" w:rsidRPr="00EC2984" w:rsidRDefault="00EC2984" w:rsidP="00EC2984">
            <w:pPr>
              <w:spacing w:after="0"/>
              <w:jc w:val="center"/>
              <w:rPr>
                <w:rFonts w:ascii="Times New Roman" w:hAnsi="Times New Roman" w:cs="Times New Roman"/>
                <w:b/>
                <w:sz w:val="24"/>
                <w:szCs w:val="24"/>
                <w:lang w:val="ru-RU"/>
              </w:rPr>
            </w:pPr>
            <w:r w:rsidRPr="00EC2984">
              <w:rPr>
                <w:rFonts w:ascii="Times New Roman" w:hAnsi="Times New Roman" w:cs="Times New Roman"/>
                <w:b/>
                <w:sz w:val="24"/>
                <w:szCs w:val="24"/>
                <w:lang w:val="ru-RU"/>
              </w:rPr>
              <w:t>Количество подтвержденных жалоб и публичной информации о нарушениях</w:t>
            </w:r>
          </w:p>
        </w:tc>
        <w:tc>
          <w:tcPr>
            <w:tcW w:w="1122" w:type="pct"/>
            <w:shd w:val="clear" w:color="auto" w:fill="auto"/>
            <w:vAlign w:val="center"/>
          </w:tcPr>
          <w:p w:rsidR="00EC2984" w:rsidRPr="00EC2984" w:rsidRDefault="00EC2984" w:rsidP="00EC2984">
            <w:pPr>
              <w:spacing w:after="0"/>
              <w:jc w:val="center"/>
              <w:rPr>
                <w:rFonts w:ascii="Times New Roman" w:hAnsi="Times New Roman" w:cs="Times New Roman"/>
                <w:b/>
                <w:sz w:val="24"/>
                <w:szCs w:val="24"/>
              </w:rPr>
            </w:pPr>
            <w:r w:rsidRPr="00EC2984">
              <w:rPr>
                <w:rFonts w:ascii="Times New Roman" w:hAnsi="Times New Roman" w:cs="Times New Roman"/>
                <w:b/>
                <w:sz w:val="24"/>
                <w:szCs w:val="24"/>
              </w:rPr>
              <w:t>Степень риска</w:t>
            </w:r>
          </w:p>
        </w:tc>
      </w:tr>
      <w:tr w:rsidR="00EC2984" w:rsidRPr="00EC2984" w:rsidTr="00021CAD">
        <w:trPr>
          <w:trHeight w:val="20"/>
        </w:trPr>
        <w:tc>
          <w:tcPr>
            <w:tcW w:w="3878" w:type="pct"/>
            <w:shd w:val="clear" w:color="auto" w:fill="auto"/>
          </w:tcPr>
          <w:p w:rsidR="00EC2984" w:rsidRPr="00EC2984" w:rsidRDefault="00EC2984" w:rsidP="00EC2984">
            <w:pPr>
              <w:spacing w:after="0"/>
              <w:rPr>
                <w:rFonts w:ascii="Times New Roman" w:hAnsi="Times New Roman" w:cs="Times New Roman"/>
                <w:sz w:val="24"/>
                <w:szCs w:val="24"/>
                <w:lang w:val="ru-RU"/>
              </w:rPr>
            </w:pPr>
            <w:r w:rsidRPr="00EC2984">
              <w:rPr>
                <w:rFonts w:ascii="Times New Roman" w:hAnsi="Times New Roman" w:cs="Times New Roman"/>
                <w:sz w:val="24"/>
                <w:szCs w:val="24"/>
                <w:lang w:val="ru-RU"/>
              </w:rPr>
              <w:t xml:space="preserve">Не поступало жалоб/публичной информации с даты последней проверки </w:t>
            </w:r>
          </w:p>
        </w:tc>
        <w:tc>
          <w:tcPr>
            <w:tcW w:w="1122"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1</w:t>
            </w:r>
          </w:p>
        </w:tc>
      </w:tr>
      <w:tr w:rsidR="00EC2984" w:rsidRPr="00EC2984" w:rsidTr="00021CAD">
        <w:trPr>
          <w:trHeight w:val="20"/>
        </w:trPr>
        <w:tc>
          <w:tcPr>
            <w:tcW w:w="3878" w:type="pct"/>
            <w:shd w:val="clear" w:color="auto" w:fill="auto"/>
          </w:tcPr>
          <w:p w:rsidR="00EC2984" w:rsidRPr="00EC2984" w:rsidRDefault="00EC2984" w:rsidP="00EC2984">
            <w:pPr>
              <w:spacing w:after="0"/>
              <w:rPr>
                <w:rFonts w:ascii="Times New Roman" w:hAnsi="Times New Roman" w:cs="Times New Roman"/>
                <w:sz w:val="24"/>
                <w:szCs w:val="24"/>
                <w:lang w:val="ru-RU"/>
              </w:rPr>
            </w:pPr>
            <w:r w:rsidRPr="00EC2984">
              <w:rPr>
                <w:rFonts w:ascii="Times New Roman" w:hAnsi="Times New Roman" w:cs="Times New Roman"/>
                <w:sz w:val="24"/>
                <w:szCs w:val="24"/>
                <w:lang w:val="ru-RU"/>
              </w:rPr>
              <w:t xml:space="preserve">Поступила одна жалоба /публичная информация с даты последней проверки </w:t>
            </w:r>
          </w:p>
        </w:tc>
        <w:tc>
          <w:tcPr>
            <w:tcW w:w="1122"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2</w:t>
            </w:r>
          </w:p>
        </w:tc>
      </w:tr>
      <w:tr w:rsidR="00EC2984" w:rsidRPr="00EC2984" w:rsidTr="00021CAD">
        <w:trPr>
          <w:trHeight w:val="20"/>
        </w:trPr>
        <w:tc>
          <w:tcPr>
            <w:tcW w:w="3878" w:type="pct"/>
            <w:shd w:val="clear" w:color="auto" w:fill="auto"/>
          </w:tcPr>
          <w:p w:rsidR="00EC2984" w:rsidRPr="00EC2984" w:rsidRDefault="00EC2984" w:rsidP="00EC2984">
            <w:pPr>
              <w:spacing w:after="0"/>
              <w:rPr>
                <w:rFonts w:ascii="Times New Roman" w:hAnsi="Times New Roman" w:cs="Times New Roman"/>
                <w:sz w:val="24"/>
                <w:szCs w:val="24"/>
                <w:lang w:val="ru-RU"/>
              </w:rPr>
            </w:pPr>
            <w:r w:rsidRPr="00EC2984">
              <w:rPr>
                <w:rFonts w:ascii="Times New Roman" w:hAnsi="Times New Roman" w:cs="Times New Roman"/>
                <w:sz w:val="24"/>
                <w:szCs w:val="24"/>
                <w:lang w:val="ru-RU"/>
              </w:rPr>
              <w:t>Поступили 2 жалобы /публичные информации с даты последней проверки</w:t>
            </w:r>
          </w:p>
        </w:tc>
        <w:tc>
          <w:tcPr>
            <w:tcW w:w="1122"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3</w:t>
            </w:r>
          </w:p>
        </w:tc>
      </w:tr>
      <w:tr w:rsidR="00EC2984" w:rsidRPr="00EC2984" w:rsidTr="00021CAD">
        <w:trPr>
          <w:trHeight w:val="20"/>
        </w:trPr>
        <w:tc>
          <w:tcPr>
            <w:tcW w:w="3878" w:type="pct"/>
            <w:shd w:val="clear" w:color="auto" w:fill="auto"/>
          </w:tcPr>
          <w:p w:rsidR="00EC2984" w:rsidRPr="00EC2984" w:rsidRDefault="00EC2984" w:rsidP="00EC2984">
            <w:pPr>
              <w:spacing w:after="0"/>
              <w:rPr>
                <w:rFonts w:ascii="Times New Roman" w:hAnsi="Times New Roman" w:cs="Times New Roman"/>
                <w:sz w:val="24"/>
                <w:szCs w:val="24"/>
                <w:lang w:val="ru-RU"/>
              </w:rPr>
            </w:pPr>
            <w:r w:rsidRPr="00EC2984">
              <w:rPr>
                <w:rFonts w:ascii="Times New Roman" w:hAnsi="Times New Roman" w:cs="Times New Roman"/>
                <w:sz w:val="24"/>
                <w:szCs w:val="24"/>
                <w:lang w:val="ru-RU"/>
              </w:rPr>
              <w:t>Поступили 3 жалобы /публичные информации с даты последней проверки</w:t>
            </w:r>
          </w:p>
        </w:tc>
        <w:tc>
          <w:tcPr>
            <w:tcW w:w="1122"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4</w:t>
            </w:r>
          </w:p>
        </w:tc>
      </w:tr>
      <w:tr w:rsidR="00EC2984" w:rsidRPr="00EC2984" w:rsidTr="00021CAD">
        <w:trPr>
          <w:trHeight w:val="20"/>
        </w:trPr>
        <w:tc>
          <w:tcPr>
            <w:tcW w:w="3878" w:type="pct"/>
            <w:shd w:val="clear" w:color="auto" w:fill="auto"/>
          </w:tcPr>
          <w:p w:rsidR="00EC2984" w:rsidRPr="00EC2984" w:rsidRDefault="00EC2984" w:rsidP="00EC2984">
            <w:pPr>
              <w:spacing w:after="0"/>
              <w:rPr>
                <w:rFonts w:ascii="Times New Roman" w:hAnsi="Times New Roman" w:cs="Times New Roman"/>
                <w:sz w:val="24"/>
                <w:szCs w:val="24"/>
                <w:lang w:val="ru-RU"/>
              </w:rPr>
            </w:pPr>
            <w:r w:rsidRPr="00EC2984">
              <w:rPr>
                <w:rFonts w:ascii="Times New Roman" w:hAnsi="Times New Roman" w:cs="Times New Roman"/>
                <w:sz w:val="24"/>
                <w:szCs w:val="24"/>
                <w:lang w:val="ru-RU"/>
              </w:rPr>
              <w:t>Поступили 4 или более жалобы/публичные информации с даты последней проверки</w:t>
            </w:r>
          </w:p>
        </w:tc>
        <w:tc>
          <w:tcPr>
            <w:tcW w:w="1122" w:type="pct"/>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5</w:t>
            </w:r>
          </w:p>
        </w:tc>
      </w:tr>
    </w:tbl>
    <w:p w:rsidR="00EC2984" w:rsidRPr="00EC2984" w:rsidRDefault="00EC2984" w:rsidP="00EC2984">
      <w:pPr>
        <w:spacing w:after="0"/>
        <w:ind w:firstLine="709"/>
        <w:jc w:val="both"/>
        <w:textAlignment w:val="top"/>
        <w:rPr>
          <w:rFonts w:ascii="Times New Roman" w:hAnsi="Times New Roman" w:cs="Times New Roman"/>
          <w:sz w:val="24"/>
          <w:szCs w:val="24"/>
        </w:rPr>
      </w:pPr>
    </w:p>
    <w:p w:rsidR="00EC2984" w:rsidRPr="00EC2984" w:rsidRDefault="00EC2984" w:rsidP="00EC2984">
      <w:pPr>
        <w:spacing w:after="0"/>
        <w:jc w:val="center"/>
        <w:textAlignment w:val="top"/>
        <w:rPr>
          <w:rFonts w:ascii="Times New Roman" w:hAnsi="Times New Roman" w:cs="Times New Roman"/>
          <w:b/>
          <w:sz w:val="24"/>
          <w:szCs w:val="24"/>
        </w:rPr>
      </w:pPr>
      <w:r w:rsidRPr="00EC2984">
        <w:rPr>
          <w:rFonts w:ascii="Times New Roman" w:hAnsi="Times New Roman" w:cs="Times New Roman"/>
          <w:b/>
          <w:sz w:val="24"/>
          <w:szCs w:val="24"/>
        </w:rPr>
        <w:t>IV.</w:t>
      </w:r>
      <w:r w:rsidRPr="00EC2984">
        <w:rPr>
          <w:rFonts w:ascii="Times New Roman" w:hAnsi="Times New Roman" w:cs="Times New Roman"/>
          <w:sz w:val="24"/>
          <w:szCs w:val="24"/>
        </w:rPr>
        <w:t xml:space="preserve"> </w:t>
      </w:r>
      <w:r w:rsidRPr="00EC2984">
        <w:rPr>
          <w:rFonts w:ascii="Times New Roman" w:hAnsi="Times New Roman" w:cs="Times New Roman"/>
          <w:b/>
          <w:sz w:val="24"/>
          <w:szCs w:val="24"/>
        </w:rPr>
        <w:t>Весомость критериев</w:t>
      </w:r>
    </w:p>
    <w:p w:rsidR="00EC2984" w:rsidRPr="00EC2984" w:rsidRDefault="00EC2984" w:rsidP="00EC2984">
      <w:pPr>
        <w:spacing w:after="0"/>
        <w:ind w:firstLine="709"/>
        <w:jc w:val="center"/>
        <w:textAlignment w:val="top"/>
        <w:rPr>
          <w:rFonts w:ascii="Times New Roman" w:hAnsi="Times New Roman" w:cs="Times New Roman"/>
          <w:b/>
          <w:sz w:val="24"/>
          <w:szCs w:val="24"/>
        </w:rPr>
      </w:pPr>
    </w:p>
    <w:p w:rsidR="00EC2984" w:rsidRPr="00EC2984" w:rsidRDefault="00EC2984" w:rsidP="00EC2984">
      <w:pPr>
        <w:tabs>
          <w:tab w:val="left" w:pos="709"/>
        </w:tabs>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lastRenderedPageBreak/>
        <w:tab/>
        <w:t>8. Для каждого критерия устанавливается весомость по отношению ко всем выбранным критериям.</w:t>
      </w:r>
    </w:p>
    <w:p w:rsidR="00EC2984" w:rsidRPr="00EC2984" w:rsidRDefault="00EC2984" w:rsidP="00EC2984">
      <w:pPr>
        <w:tabs>
          <w:tab w:val="left" w:pos="709"/>
        </w:tabs>
        <w:spacing w:after="0"/>
        <w:jc w:val="both"/>
        <w:rPr>
          <w:rFonts w:ascii="Times New Roman" w:hAnsi="Times New Roman" w:cs="Times New Roman"/>
          <w:sz w:val="24"/>
          <w:szCs w:val="24"/>
          <w:lang w:val="ru-RU"/>
        </w:rPr>
      </w:pPr>
    </w:p>
    <w:p w:rsidR="00EC2984" w:rsidRPr="00EC2984" w:rsidRDefault="00EC2984" w:rsidP="00EC2984">
      <w:pPr>
        <w:tabs>
          <w:tab w:val="left" w:pos="709"/>
        </w:tabs>
        <w:spacing w:after="0"/>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ab/>
        <w:t xml:space="preserve">9. Весомость определяется для каждого критерия риска в долях таким образом, чтобы суммарная весомость всех критериев составляла одну единицу. </w:t>
      </w:r>
    </w:p>
    <w:p w:rsidR="00EC2984" w:rsidRPr="00EC2984" w:rsidRDefault="00EC2984" w:rsidP="00EC2984">
      <w:pPr>
        <w:tabs>
          <w:tab w:val="left" w:pos="1120"/>
        </w:tabs>
        <w:spacing w:after="0"/>
        <w:ind w:firstLine="709"/>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386"/>
      </w:tblGrid>
      <w:tr w:rsidR="00EC2984" w:rsidRPr="00EC2984" w:rsidTr="00021CAD">
        <w:trPr>
          <w:trHeight w:val="20"/>
        </w:trPr>
        <w:tc>
          <w:tcPr>
            <w:tcW w:w="3828" w:type="dxa"/>
          </w:tcPr>
          <w:p w:rsidR="00EC2984" w:rsidRPr="00EC2984" w:rsidRDefault="00EC2984" w:rsidP="00EC2984">
            <w:pPr>
              <w:spacing w:after="0"/>
              <w:jc w:val="center"/>
              <w:rPr>
                <w:rFonts w:ascii="Times New Roman" w:hAnsi="Times New Roman" w:cs="Times New Roman"/>
                <w:b/>
                <w:sz w:val="24"/>
                <w:szCs w:val="24"/>
              </w:rPr>
            </w:pPr>
            <w:r w:rsidRPr="00EC2984">
              <w:rPr>
                <w:rFonts w:ascii="Times New Roman" w:hAnsi="Times New Roman" w:cs="Times New Roman"/>
                <w:b/>
                <w:sz w:val="24"/>
                <w:szCs w:val="24"/>
              </w:rPr>
              <w:t>Критерий</w:t>
            </w:r>
          </w:p>
        </w:tc>
        <w:tc>
          <w:tcPr>
            <w:tcW w:w="5386" w:type="dxa"/>
          </w:tcPr>
          <w:p w:rsidR="00EC2984" w:rsidRPr="00EC2984" w:rsidRDefault="00EC2984" w:rsidP="00EC2984">
            <w:pPr>
              <w:spacing w:after="0"/>
              <w:jc w:val="center"/>
              <w:rPr>
                <w:rFonts w:ascii="Times New Roman" w:hAnsi="Times New Roman" w:cs="Times New Roman"/>
                <w:b/>
                <w:sz w:val="24"/>
                <w:szCs w:val="24"/>
              </w:rPr>
            </w:pPr>
            <w:r w:rsidRPr="00EC2984">
              <w:rPr>
                <w:rFonts w:ascii="Times New Roman" w:hAnsi="Times New Roman" w:cs="Times New Roman"/>
                <w:b/>
                <w:sz w:val="24"/>
                <w:szCs w:val="24"/>
              </w:rPr>
              <w:t xml:space="preserve">Весомость </w:t>
            </w:r>
          </w:p>
        </w:tc>
      </w:tr>
      <w:tr w:rsidR="00EC2984" w:rsidRPr="00EC2984" w:rsidTr="00021CAD">
        <w:trPr>
          <w:trHeight w:val="20"/>
        </w:trPr>
        <w:tc>
          <w:tcPr>
            <w:tcW w:w="3828" w:type="dxa"/>
          </w:tcPr>
          <w:p w:rsidR="00EC2984" w:rsidRPr="00EC2984" w:rsidRDefault="00EC2984" w:rsidP="00EC2984">
            <w:pPr>
              <w:spacing w:after="0"/>
              <w:jc w:val="both"/>
              <w:rPr>
                <w:rFonts w:ascii="Times New Roman" w:hAnsi="Times New Roman" w:cs="Times New Roman"/>
                <w:sz w:val="24"/>
                <w:szCs w:val="24"/>
              </w:rPr>
            </w:pPr>
            <w:r w:rsidRPr="00EC2984">
              <w:rPr>
                <w:rFonts w:ascii="Times New Roman" w:hAnsi="Times New Roman" w:cs="Times New Roman"/>
                <w:sz w:val="24"/>
                <w:szCs w:val="24"/>
              </w:rPr>
              <w:t>Критерий № 1</w:t>
            </w:r>
          </w:p>
        </w:tc>
        <w:tc>
          <w:tcPr>
            <w:tcW w:w="5386" w:type="dxa"/>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0,20</w:t>
            </w:r>
          </w:p>
        </w:tc>
      </w:tr>
      <w:tr w:rsidR="00EC2984" w:rsidRPr="00EC2984" w:rsidTr="00021CAD">
        <w:trPr>
          <w:trHeight w:val="20"/>
        </w:trPr>
        <w:tc>
          <w:tcPr>
            <w:tcW w:w="3828" w:type="dxa"/>
          </w:tcPr>
          <w:p w:rsidR="00EC2984" w:rsidRPr="00EC2984" w:rsidRDefault="00EC2984" w:rsidP="00EC2984">
            <w:pPr>
              <w:spacing w:after="0"/>
              <w:jc w:val="both"/>
              <w:rPr>
                <w:rFonts w:ascii="Times New Roman" w:hAnsi="Times New Roman" w:cs="Times New Roman"/>
                <w:sz w:val="24"/>
                <w:szCs w:val="24"/>
              </w:rPr>
            </w:pPr>
            <w:r w:rsidRPr="00EC2984">
              <w:rPr>
                <w:rFonts w:ascii="Times New Roman" w:hAnsi="Times New Roman" w:cs="Times New Roman"/>
                <w:sz w:val="24"/>
                <w:szCs w:val="24"/>
              </w:rPr>
              <w:t>Критерий № 2</w:t>
            </w:r>
          </w:p>
        </w:tc>
        <w:tc>
          <w:tcPr>
            <w:tcW w:w="5386" w:type="dxa"/>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0,20</w:t>
            </w:r>
          </w:p>
        </w:tc>
      </w:tr>
      <w:tr w:rsidR="00EC2984" w:rsidRPr="00EC2984" w:rsidTr="00021CAD">
        <w:trPr>
          <w:trHeight w:val="20"/>
        </w:trPr>
        <w:tc>
          <w:tcPr>
            <w:tcW w:w="3828" w:type="dxa"/>
          </w:tcPr>
          <w:p w:rsidR="00EC2984" w:rsidRPr="00EC2984" w:rsidRDefault="00EC2984" w:rsidP="00EC2984">
            <w:pPr>
              <w:spacing w:after="0"/>
              <w:jc w:val="both"/>
              <w:rPr>
                <w:rFonts w:ascii="Times New Roman" w:hAnsi="Times New Roman" w:cs="Times New Roman"/>
                <w:sz w:val="24"/>
                <w:szCs w:val="24"/>
              </w:rPr>
            </w:pPr>
            <w:r w:rsidRPr="00EC2984">
              <w:rPr>
                <w:rFonts w:ascii="Times New Roman" w:hAnsi="Times New Roman" w:cs="Times New Roman"/>
                <w:sz w:val="24"/>
                <w:szCs w:val="24"/>
              </w:rPr>
              <w:t>Критерий № 3</w:t>
            </w:r>
          </w:p>
        </w:tc>
        <w:tc>
          <w:tcPr>
            <w:tcW w:w="5386" w:type="dxa"/>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0,15</w:t>
            </w:r>
          </w:p>
        </w:tc>
      </w:tr>
      <w:tr w:rsidR="00EC2984" w:rsidRPr="00EC2984" w:rsidTr="00021CAD">
        <w:trPr>
          <w:trHeight w:val="20"/>
        </w:trPr>
        <w:tc>
          <w:tcPr>
            <w:tcW w:w="3828" w:type="dxa"/>
          </w:tcPr>
          <w:p w:rsidR="00EC2984" w:rsidRPr="00EC2984" w:rsidRDefault="00EC2984" w:rsidP="00EC2984">
            <w:pPr>
              <w:spacing w:after="0"/>
              <w:jc w:val="both"/>
              <w:rPr>
                <w:rFonts w:ascii="Times New Roman" w:hAnsi="Times New Roman" w:cs="Times New Roman"/>
                <w:sz w:val="24"/>
                <w:szCs w:val="24"/>
              </w:rPr>
            </w:pPr>
            <w:r w:rsidRPr="00EC2984">
              <w:rPr>
                <w:rFonts w:ascii="Times New Roman" w:hAnsi="Times New Roman" w:cs="Times New Roman"/>
                <w:sz w:val="24"/>
                <w:szCs w:val="24"/>
              </w:rPr>
              <w:t>Критерий № 4</w:t>
            </w:r>
          </w:p>
        </w:tc>
        <w:tc>
          <w:tcPr>
            <w:tcW w:w="5386" w:type="dxa"/>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0,25</w:t>
            </w:r>
          </w:p>
        </w:tc>
      </w:tr>
      <w:tr w:rsidR="00EC2984" w:rsidRPr="00EC2984" w:rsidTr="00021CAD">
        <w:trPr>
          <w:trHeight w:val="20"/>
        </w:trPr>
        <w:tc>
          <w:tcPr>
            <w:tcW w:w="3828" w:type="dxa"/>
          </w:tcPr>
          <w:p w:rsidR="00EC2984" w:rsidRPr="00EC2984" w:rsidRDefault="00EC2984" w:rsidP="00EC2984">
            <w:pPr>
              <w:spacing w:after="0"/>
              <w:jc w:val="both"/>
              <w:rPr>
                <w:rFonts w:ascii="Times New Roman" w:hAnsi="Times New Roman" w:cs="Times New Roman"/>
                <w:sz w:val="24"/>
                <w:szCs w:val="24"/>
              </w:rPr>
            </w:pPr>
            <w:r w:rsidRPr="00EC2984">
              <w:rPr>
                <w:rFonts w:ascii="Times New Roman" w:hAnsi="Times New Roman" w:cs="Times New Roman"/>
                <w:sz w:val="24"/>
                <w:szCs w:val="24"/>
              </w:rPr>
              <w:t>Критерий № 5</w:t>
            </w:r>
          </w:p>
        </w:tc>
        <w:tc>
          <w:tcPr>
            <w:tcW w:w="5386" w:type="dxa"/>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0,20</w:t>
            </w:r>
          </w:p>
        </w:tc>
      </w:tr>
      <w:tr w:rsidR="00EC2984" w:rsidRPr="00EC2984" w:rsidTr="00021CAD">
        <w:trPr>
          <w:trHeight w:val="20"/>
        </w:trPr>
        <w:tc>
          <w:tcPr>
            <w:tcW w:w="3828" w:type="dxa"/>
          </w:tcPr>
          <w:p w:rsidR="00EC2984" w:rsidRPr="00EC2984" w:rsidRDefault="00EC2984" w:rsidP="00EC2984">
            <w:pPr>
              <w:spacing w:after="0"/>
              <w:jc w:val="both"/>
              <w:rPr>
                <w:rFonts w:ascii="Times New Roman" w:hAnsi="Times New Roman" w:cs="Times New Roman"/>
                <w:sz w:val="24"/>
                <w:szCs w:val="24"/>
              </w:rPr>
            </w:pPr>
            <w:r w:rsidRPr="00EC2984">
              <w:rPr>
                <w:rFonts w:ascii="Times New Roman" w:hAnsi="Times New Roman" w:cs="Times New Roman"/>
                <w:sz w:val="24"/>
                <w:szCs w:val="24"/>
              </w:rPr>
              <w:t>ИТОГО</w:t>
            </w:r>
          </w:p>
        </w:tc>
        <w:tc>
          <w:tcPr>
            <w:tcW w:w="5386" w:type="dxa"/>
            <w:shd w:val="clear" w:color="auto" w:fill="auto"/>
          </w:tcPr>
          <w:p w:rsidR="00EC2984" w:rsidRPr="00EC2984" w:rsidRDefault="00EC2984" w:rsidP="00EC2984">
            <w:pPr>
              <w:spacing w:after="0"/>
              <w:jc w:val="center"/>
              <w:rPr>
                <w:rFonts w:ascii="Times New Roman" w:hAnsi="Times New Roman" w:cs="Times New Roman"/>
                <w:sz w:val="24"/>
                <w:szCs w:val="24"/>
              </w:rPr>
            </w:pPr>
            <w:r w:rsidRPr="00EC2984">
              <w:rPr>
                <w:rFonts w:ascii="Times New Roman" w:hAnsi="Times New Roman" w:cs="Times New Roman"/>
                <w:sz w:val="24"/>
                <w:szCs w:val="24"/>
              </w:rPr>
              <w:t>1,0</w:t>
            </w:r>
          </w:p>
        </w:tc>
      </w:tr>
    </w:tbl>
    <w:p w:rsidR="00EC2984" w:rsidRPr="00EC2984" w:rsidRDefault="00EC2984" w:rsidP="00EC2984">
      <w:pPr>
        <w:tabs>
          <w:tab w:val="left" w:pos="1120"/>
        </w:tabs>
        <w:spacing w:after="0"/>
        <w:ind w:firstLine="709"/>
        <w:jc w:val="both"/>
        <w:rPr>
          <w:rFonts w:ascii="Times New Roman" w:hAnsi="Times New Roman" w:cs="Times New Roman"/>
          <w:sz w:val="24"/>
          <w:szCs w:val="24"/>
        </w:rPr>
      </w:pPr>
    </w:p>
    <w:p w:rsidR="00EC2984" w:rsidRPr="00EC2984" w:rsidRDefault="00EC2984" w:rsidP="00EC2984">
      <w:pPr>
        <w:tabs>
          <w:tab w:val="left" w:pos="1120"/>
        </w:tabs>
        <w:spacing w:after="0"/>
        <w:ind w:firstLine="709"/>
        <w:jc w:val="both"/>
        <w:rPr>
          <w:rFonts w:ascii="Times New Roman" w:hAnsi="Times New Roman" w:cs="Times New Roman"/>
          <w:sz w:val="24"/>
          <w:szCs w:val="24"/>
        </w:rPr>
      </w:pPr>
    </w:p>
    <w:p w:rsidR="00EC2984" w:rsidRPr="00EC2984" w:rsidRDefault="00EC2984" w:rsidP="00EC2984">
      <w:pPr>
        <w:spacing w:after="0"/>
        <w:jc w:val="center"/>
        <w:textAlignment w:val="top"/>
        <w:rPr>
          <w:rFonts w:ascii="Times New Roman" w:hAnsi="Times New Roman" w:cs="Times New Roman"/>
          <w:b/>
          <w:sz w:val="24"/>
          <w:szCs w:val="24"/>
        </w:rPr>
      </w:pPr>
    </w:p>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rPr>
        <w:t>V</w:t>
      </w:r>
      <w:r w:rsidRPr="00EC2984">
        <w:rPr>
          <w:rFonts w:ascii="Times New Roman" w:hAnsi="Times New Roman" w:cs="Times New Roman"/>
          <w:b/>
          <w:sz w:val="24"/>
          <w:szCs w:val="24"/>
          <w:lang w:val="ru-RU"/>
        </w:rPr>
        <w:t>. Применение критериев по отношению к физическим и юридическим лицам</w:t>
      </w:r>
    </w:p>
    <w:p w:rsidR="00EC2984" w:rsidRPr="00EC2984" w:rsidRDefault="00EC2984" w:rsidP="00EC2984">
      <w:pPr>
        <w:spacing w:after="0"/>
        <w:ind w:firstLine="709"/>
        <w:jc w:val="center"/>
        <w:textAlignment w:val="top"/>
        <w:rPr>
          <w:rFonts w:ascii="Times New Roman" w:hAnsi="Times New Roman" w:cs="Times New Roman"/>
          <w:b/>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10. Средневзвешенная специфическая степень риска устанавливается на основе следующей формулы:</w:t>
      </w:r>
    </w:p>
    <w:p w:rsidR="00EC2984" w:rsidRPr="00EC2984" w:rsidRDefault="00EC2984" w:rsidP="00EC2984">
      <w:pPr>
        <w:spacing w:after="0"/>
        <w:ind w:firstLine="709"/>
        <w:jc w:val="both"/>
        <w:rPr>
          <w:rFonts w:ascii="Times New Roman" w:hAnsi="Times New Roman" w:cs="Times New Roman"/>
          <w:sz w:val="24"/>
          <w:szCs w:val="24"/>
        </w:rPr>
      </w:pPr>
      <w:r w:rsidRPr="00EC2984">
        <w:rPr>
          <w:rFonts w:ascii="Times New Roman" w:hAnsi="Times New Roman" w:cs="Times New Roman"/>
          <w:sz w:val="24"/>
          <w:szCs w:val="24"/>
          <w:lang w:val="ru-RU"/>
        </w:rPr>
        <w:t xml:space="preserve">                         </w:t>
      </w:r>
      <m:oMath>
        <m:sSub>
          <m:sSubPr>
            <m:ctrlPr>
              <w:rPr>
                <w:rFonts w:ascii="Cambria Math" w:hAnsi="Times New Roman" w:cs="Times New Roman"/>
                <w:i/>
                <w:sz w:val="24"/>
                <w:szCs w:val="24"/>
                <w:lang w:val="ro-MO"/>
              </w:rPr>
            </m:ctrlPr>
          </m:sSubPr>
          <m:e>
            <m:r>
              <w:rPr>
                <w:rFonts w:ascii="Cambria Math" w:hAnsi="Cambria Math" w:cs="Times New Roman"/>
                <w:sz w:val="24"/>
                <w:szCs w:val="24"/>
                <w:lang w:val="ro-MO"/>
              </w:rPr>
              <m:t>R</m:t>
            </m:r>
          </m:e>
          <m:sub>
            <m:r>
              <w:rPr>
                <w:rFonts w:ascii="Cambria Math" w:hAnsi="Cambria Math" w:cs="Times New Roman"/>
                <w:sz w:val="24"/>
                <w:szCs w:val="24"/>
                <w:lang w:val="ro-MO"/>
              </w:rPr>
              <m:t>g</m:t>
            </m:r>
          </m:sub>
        </m:sSub>
        <m:r>
          <w:rPr>
            <w:rFonts w:ascii="Cambria Math" w:hAnsi="Times New Roman" w:cs="Times New Roman"/>
            <w:sz w:val="24"/>
            <w:szCs w:val="24"/>
            <w:lang w:val="ro-MO"/>
          </w:rPr>
          <m:t>=</m:t>
        </m:r>
        <m:d>
          <m:dPr>
            <m:ctrlPr>
              <w:rPr>
                <w:rFonts w:ascii="Cambria Math" w:hAnsi="Times New Roman" w:cs="Times New Roman"/>
                <w:i/>
                <w:sz w:val="24"/>
                <w:szCs w:val="24"/>
                <w:lang w:val="ro-MO"/>
              </w:rPr>
            </m:ctrlPr>
          </m:dPr>
          <m:e>
            <m:sSub>
              <m:sSubPr>
                <m:ctrlPr>
                  <w:rPr>
                    <w:rFonts w:ascii="Cambria Math" w:hAnsi="Times New Roman" w:cs="Times New Roman"/>
                    <w:i/>
                    <w:sz w:val="24"/>
                    <w:szCs w:val="24"/>
                    <w:lang w:val="ro-MO"/>
                  </w:rPr>
                </m:ctrlPr>
              </m:sSubPr>
              <m:e>
                <m:r>
                  <w:rPr>
                    <w:rFonts w:ascii="Cambria Math" w:hAnsi="Cambria Math" w:cs="Times New Roman"/>
                    <w:sz w:val="24"/>
                    <w:szCs w:val="24"/>
                    <w:lang w:val="ro-MO"/>
                  </w:rPr>
                  <m:t>w</m:t>
                </m:r>
              </m:e>
              <m:sub>
                <m:r>
                  <w:rPr>
                    <w:rFonts w:ascii="Cambria Math" w:hAnsi="Times New Roman" w:cs="Times New Roman"/>
                    <w:sz w:val="24"/>
                    <w:szCs w:val="24"/>
                    <w:lang w:val="ro-MO"/>
                  </w:rPr>
                  <m:t>1</m:t>
                </m:r>
              </m:sub>
            </m:sSub>
            <m:sSub>
              <m:sSubPr>
                <m:ctrlPr>
                  <w:rPr>
                    <w:rFonts w:ascii="Cambria Math" w:hAnsi="Times New Roman" w:cs="Times New Roman"/>
                    <w:i/>
                    <w:sz w:val="24"/>
                    <w:szCs w:val="24"/>
                    <w:lang w:val="ro-MO"/>
                  </w:rPr>
                </m:ctrlPr>
              </m:sSubPr>
              <m:e>
                <m:r>
                  <m:rPr>
                    <m:sty m:val="p"/>
                  </m:rPr>
                  <w:rPr>
                    <w:rFonts w:ascii="Cambria Math" w:hAnsi="Times New Roman" w:cs="Times New Roman"/>
                    <w:sz w:val="24"/>
                    <w:szCs w:val="24"/>
                    <w:lang w:val="ro-MO"/>
                  </w:rPr>
                  <m:t>R</m:t>
                </m:r>
              </m:e>
              <m:sub>
                <m:r>
                  <w:rPr>
                    <w:rFonts w:ascii="Cambria Math" w:hAnsi="Times New Roman" w:cs="Times New Roman"/>
                    <w:sz w:val="24"/>
                    <w:szCs w:val="24"/>
                    <w:lang w:val="ro-MO"/>
                  </w:rPr>
                  <m:t>1</m:t>
                </m:r>
              </m:sub>
            </m:sSub>
            <m:r>
              <w:rPr>
                <w:rFonts w:ascii="Cambria Math" w:hAnsi="Times New Roman" w:cs="Times New Roman"/>
                <w:sz w:val="24"/>
                <w:szCs w:val="24"/>
                <w:lang w:val="ro-MO"/>
              </w:rPr>
              <m:t>+</m:t>
            </m:r>
            <m:sSub>
              <m:sSubPr>
                <m:ctrlPr>
                  <w:rPr>
                    <w:rFonts w:ascii="Cambria Math" w:hAnsi="Times New Roman" w:cs="Times New Roman"/>
                    <w:i/>
                    <w:sz w:val="24"/>
                    <w:szCs w:val="24"/>
                    <w:lang w:val="ro-MO"/>
                  </w:rPr>
                </m:ctrlPr>
              </m:sSubPr>
              <m:e>
                <m:r>
                  <w:rPr>
                    <w:rFonts w:ascii="Cambria Math" w:hAnsi="Cambria Math" w:cs="Times New Roman"/>
                    <w:sz w:val="24"/>
                    <w:szCs w:val="24"/>
                    <w:lang w:val="ro-MO"/>
                  </w:rPr>
                  <m:t>w</m:t>
                </m:r>
              </m:e>
              <m:sub>
                <m:r>
                  <w:rPr>
                    <w:rFonts w:ascii="Cambria Math" w:hAnsi="Times New Roman" w:cs="Times New Roman"/>
                    <w:sz w:val="24"/>
                    <w:szCs w:val="24"/>
                    <w:lang w:val="ro-MO"/>
                  </w:rPr>
                  <m:t>2</m:t>
                </m:r>
              </m:sub>
            </m:sSub>
            <m:sSub>
              <m:sSubPr>
                <m:ctrlPr>
                  <w:rPr>
                    <w:rFonts w:ascii="Cambria Math" w:hAnsi="Times New Roman" w:cs="Times New Roman"/>
                    <w:i/>
                    <w:sz w:val="24"/>
                    <w:szCs w:val="24"/>
                    <w:lang w:val="ro-MO"/>
                  </w:rPr>
                </m:ctrlPr>
              </m:sSubPr>
              <m:e>
                <m:r>
                  <m:rPr>
                    <m:sty m:val="p"/>
                  </m:rPr>
                  <w:rPr>
                    <w:rFonts w:ascii="Cambria Math" w:hAnsi="Times New Roman" w:cs="Times New Roman"/>
                    <w:sz w:val="24"/>
                    <w:szCs w:val="24"/>
                    <w:lang w:val="ro-MO"/>
                  </w:rPr>
                  <m:t>R</m:t>
                </m:r>
              </m:e>
              <m:sub>
                <m:r>
                  <w:rPr>
                    <w:rFonts w:ascii="Cambria Math" w:hAnsi="Times New Roman" w:cs="Times New Roman"/>
                    <w:sz w:val="24"/>
                    <w:szCs w:val="24"/>
                    <w:lang w:val="ro-MO"/>
                  </w:rPr>
                  <m:t>2</m:t>
                </m:r>
              </m:sub>
            </m:sSub>
            <m:r>
              <w:rPr>
                <w:rFonts w:ascii="Cambria Math" w:hAnsi="Times New Roman" w:cs="Times New Roman"/>
                <w:sz w:val="24"/>
                <w:szCs w:val="24"/>
                <w:lang w:val="ro-MO"/>
              </w:rPr>
              <m:t>+</m:t>
            </m:r>
            <m:r>
              <w:rPr>
                <w:rFonts w:ascii="Cambria Math" w:hAnsi="Cambria Math" w:cs="Times New Roman"/>
                <w:sz w:val="24"/>
                <w:szCs w:val="24"/>
                <w:lang w:val="ro-MO"/>
              </w:rPr>
              <m:t>⋯</m:t>
            </m:r>
            <m:r>
              <w:rPr>
                <w:rFonts w:ascii="Cambria Math" w:hAnsi="Times New Roman" w:cs="Times New Roman"/>
                <w:sz w:val="24"/>
                <w:szCs w:val="24"/>
                <w:lang w:val="ro-MO"/>
              </w:rPr>
              <m:t>+</m:t>
            </m:r>
            <m:sSub>
              <m:sSubPr>
                <m:ctrlPr>
                  <w:rPr>
                    <w:rFonts w:ascii="Cambria Math" w:hAnsi="Times New Roman" w:cs="Times New Roman"/>
                    <w:i/>
                    <w:sz w:val="24"/>
                    <w:szCs w:val="24"/>
                    <w:lang w:val="ro-MO"/>
                  </w:rPr>
                </m:ctrlPr>
              </m:sSubPr>
              <m:e>
                <m:r>
                  <w:rPr>
                    <w:rFonts w:ascii="Cambria Math" w:hAnsi="Cambria Math" w:cs="Times New Roman"/>
                    <w:sz w:val="24"/>
                    <w:szCs w:val="24"/>
                    <w:lang w:val="ro-MO"/>
                  </w:rPr>
                  <m:t>w</m:t>
                </m:r>
              </m:e>
              <m:sub>
                <m:r>
                  <w:rPr>
                    <w:rFonts w:ascii="Cambria Math" w:hAnsi="Cambria Math" w:cs="Times New Roman"/>
                    <w:sz w:val="24"/>
                    <w:szCs w:val="24"/>
                    <w:lang w:val="ro-MO"/>
                  </w:rPr>
                  <m:t>n</m:t>
                </m:r>
              </m:sub>
            </m:sSub>
            <m:sSub>
              <m:sSubPr>
                <m:ctrlPr>
                  <w:rPr>
                    <w:rFonts w:ascii="Cambria Math" w:hAnsi="Times New Roman" w:cs="Times New Roman"/>
                    <w:i/>
                    <w:sz w:val="24"/>
                    <w:szCs w:val="24"/>
                    <w:lang w:val="ro-MO"/>
                  </w:rPr>
                </m:ctrlPr>
              </m:sSubPr>
              <m:e>
                <m:r>
                  <m:rPr>
                    <m:sty m:val="p"/>
                  </m:rPr>
                  <w:rPr>
                    <w:rFonts w:ascii="Cambria Math" w:hAnsi="Times New Roman" w:cs="Times New Roman"/>
                    <w:sz w:val="24"/>
                    <w:szCs w:val="24"/>
                    <w:lang w:val="ro-MO"/>
                  </w:rPr>
                  <m:t>R</m:t>
                </m:r>
              </m:e>
              <m:sub>
                <m:r>
                  <w:rPr>
                    <w:rFonts w:ascii="Cambria Math" w:hAnsi="Cambria Math" w:cs="Times New Roman"/>
                    <w:sz w:val="24"/>
                    <w:szCs w:val="24"/>
                    <w:lang w:val="ro-MO"/>
                  </w:rPr>
                  <m:t>n</m:t>
                </m:r>
              </m:sub>
            </m:sSub>
          </m:e>
        </m:d>
        <m:r>
          <w:rPr>
            <w:rFonts w:ascii="Cambria Math" w:hAnsi="Times New Roman" w:cs="Times New Roman"/>
            <w:sz w:val="24"/>
            <w:szCs w:val="24"/>
            <w:lang w:val="ro-MO"/>
          </w:rPr>
          <m:t>×</m:t>
        </m:r>
        <m:r>
          <w:rPr>
            <w:rFonts w:ascii="Cambria Math" w:hAnsi="Times New Roman" w:cs="Times New Roman"/>
            <w:sz w:val="24"/>
            <w:szCs w:val="24"/>
            <w:lang w:val="ro-MO"/>
          </w:rPr>
          <m:t>200</m:t>
        </m:r>
      </m:oMath>
    </w:p>
    <w:p w:rsidR="00EC2984" w:rsidRPr="00EC2984" w:rsidRDefault="00EC2984" w:rsidP="00EC2984">
      <w:pPr>
        <w:spacing w:after="0"/>
        <w:ind w:firstLine="709"/>
        <w:jc w:val="both"/>
        <w:textAlignment w:val="top"/>
        <w:rPr>
          <w:rFonts w:ascii="Times New Roman" w:hAnsi="Times New Roman" w:cs="Times New Roman"/>
          <w:sz w:val="24"/>
          <w:szCs w:val="24"/>
        </w:rPr>
      </w:pPr>
      <w:r w:rsidRPr="00EC2984">
        <w:rPr>
          <w:rFonts w:ascii="Times New Roman" w:hAnsi="Times New Roman" w:cs="Times New Roman"/>
          <w:sz w:val="24"/>
          <w:szCs w:val="24"/>
        </w:rPr>
        <w:t>или</w:t>
      </w:r>
    </w:p>
    <w:p w:rsidR="00EC2984" w:rsidRPr="00EC2984" w:rsidRDefault="00EC2984" w:rsidP="00EC2984">
      <w:pPr>
        <w:spacing w:after="0"/>
        <w:ind w:firstLine="709"/>
        <w:jc w:val="both"/>
        <w:rPr>
          <w:rFonts w:ascii="Times New Roman" w:hAnsi="Times New Roman" w:cs="Times New Roman"/>
          <w:sz w:val="24"/>
          <w:szCs w:val="24"/>
        </w:rPr>
      </w:pPr>
      <w:r w:rsidRPr="00EC2984">
        <w:rPr>
          <w:rFonts w:ascii="Times New Roman" w:hAnsi="Times New Roman" w:cs="Times New Roman"/>
          <w:sz w:val="24"/>
          <w:szCs w:val="24"/>
        </w:rPr>
        <w:t xml:space="preserve">                                                              </w:t>
      </w:r>
      <m:oMath>
        <m:sSub>
          <m:sSubPr>
            <m:ctrlPr>
              <w:rPr>
                <w:rFonts w:ascii="Cambria Math" w:hAnsi="Times New Roman" w:cs="Times New Roman"/>
                <w:i/>
                <w:sz w:val="24"/>
                <w:szCs w:val="24"/>
                <w:lang w:val="ro-MO"/>
              </w:rPr>
            </m:ctrlPr>
          </m:sSubPr>
          <m:e>
            <m:r>
              <w:rPr>
                <w:rFonts w:ascii="Cambria Math" w:hAnsi="Cambria Math" w:cs="Times New Roman"/>
                <w:sz w:val="24"/>
                <w:szCs w:val="24"/>
                <w:lang w:val="ro-MO"/>
              </w:rPr>
              <m:t>R</m:t>
            </m:r>
          </m:e>
          <m:sub>
            <m:r>
              <w:rPr>
                <w:rFonts w:ascii="Cambria Math" w:hAnsi="Cambria Math" w:cs="Times New Roman"/>
                <w:sz w:val="24"/>
                <w:szCs w:val="24"/>
                <w:lang w:val="ro-MO"/>
              </w:rPr>
              <m:t>g</m:t>
            </m:r>
          </m:sub>
        </m:sSub>
        <m:r>
          <w:rPr>
            <w:rFonts w:ascii="Cambria Math" w:hAnsi="Times New Roman" w:cs="Times New Roman"/>
            <w:sz w:val="24"/>
            <w:szCs w:val="24"/>
            <w:lang w:val="ro-MO"/>
          </w:rPr>
          <m:t>=</m:t>
        </m:r>
        <m:d>
          <m:dPr>
            <m:ctrlPr>
              <w:rPr>
                <w:rFonts w:ascii="Cambria Math" w:hAnsi="Times New Roman" w:cs="Times New Roman"/>
                <w:i/>
                <w:sz w:val="24"/>
                <w:szCs w:val="24"/>
                <w:lang w:val="ro-MO"/>
              </w:rPr>
            </m:ctrlPr>
          </m:dPr>
          <m:e>
            <m:nary>
              <m:naryPr>
                <m:chr m:val="∑"/>
                <m:limLoc m:val="undOvr"/>
                <m:ctrlPr>
                  <w:rPr>
                    <w:rFonts w:ascii="Cambria Math" w:hAnsi="Times New Roman" w:cs="Times New Roman"/>
                    <w:i/>
                    <w:sz w:val="24"/>
                    <w:szCs w:val="24"/>
                    <w:lang w:val="ro-MO"/>
                  </w:rPr>
                </m:ctrlPr>
              </m:naryPr>
              <m:sub>
                <m:r>
                  <w:rPr>
                    <w:rFonts w:ascii="Cambria Math" w:hAnsi="Times New Roman" w:cs="Times New Roman"/>
                    <w:sz w:val="24"/>
                    <w:szCs w:val="24"/>
                    <w:lang w:val="ro-MO"/>
                  </w:rPr>
                  <m:t>1</m:t>
                </m:r>
              </m:sub>
              <m:sup>
                <m:r>
                  <w:rPr>
                    <w:rFonts w:ascii="Cambria Math" w:hAnsi="Cambria Math" w:cs="Times New Roman"/>
                    <w:sz w:val="24"/>
                    <w:szCs w:val="24"/>
                    <w:lang w:val="ro-MO"/>
                  </w:rPr>
                  <m:t>n</m:t>
                </m:r>
              </m:sup>
              <m:e>
                <m:r>
                  <w:rPr>
                    <w:rFonts w:ascii="Cambria Math" w:hAnsi="Cambria Math" w:cs="Times New Roman"/>
                    <w:sz w:val="24"/>
                    <w:szCs w:val="24"/>
                    <w:lang w:val="ro-MO"/>
                  </w:rPr>
                  <m:t>w</m:t>
                </m:r>
                <m:r>
                  <m:rPr>
                    <m:sty m:val="p"/>
                  </m:rPr>
                  <w:rPr>
                    <w:rFonts w:ascii="Cambria Math" w:hAnsi="Times New Roman" w:cs="Times New Roman"/>
                    <w:sz w:val="24"/>
                    <w:szCs w:val="24"/>
                    <w:lang w:val="ro-MO"/>
                  </w:rPr>
                  <m:t>R</m:t>
                </m:r>
              </m:e>
            </m:nary>
          </m:e>
        </m:d>
        <m:r>
          <w:rPr>
            <w:rFonts w:ascii="Cambria Math" w:hAnsi="Times New Roman" w:cs="Times New Roman"/>
            <w:sz w:val="24"/>
            <w:szCs w:val="24"/>
            <w:lang w:val="ro-MO"/>
          </w:rPr>
          <m:t>×</m:t>
        </m:r>
        <m:r>
          <w:rPr>
            <w:rFonts w:ascii="Cambria Math" w:hAnsi="Times New Roman" w:cs="Times New Roman"/>
            <w:sz w:val="24"/>
            <w:szCs w:val="24"/>
            <w:lang w:val="ro-MO"/>
          </w:rPr>
          <m:t>200</m:t>
        </m:r>
      </m:oMath>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где:</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i/>
          <w:sz w:val="24"/>
          <w:szCs w:val="24"/>
        </w:rPr>
        <w:t>Rg</w:t>
      </w:r>
      <w:r w:rsidRPr="00EC2984">
        <w:rPr>
          <w:rFonts w:ascii="Times New Roman" w:hAnsi="Times New Roman" w:cs="Times New Roman"/>
          <w:sz w:val="24"/>
          <w:szCs w:val="24"/>
          <w:lang w:val="ru-RU"/>
        </w:rPr>
        <w:t xml:space="preserve"> – общая степень риска, связанного с потенциальным субъектом контроля;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 xml:space="preserve">1, 2, </w:t>
      </w:r>
      <w:r w:rsidRPr="00EC2984">
        <w:rPr>
          <w:rFonts w:ascii="Times New Roman" w:hAnsi="Times New Roman" w:cs="Times New Roman"/>
          <w:i/>
          <w:sz w:val="24"/>
          <w:szCs w:val="24"/>
        </w:rPr>
        <w:t>n</w:t>
      </w:r>
      <w:r w:rsidRPr="00EC2984">
        <w:rPr>
          <w:rFonts w:ascii="Times New Roman" w:hAnsi="Times New Roman" w:cs="Times New Roman"/>
          <w:sz w:val="24"/>
          <w:szCs w:val="24"/>
          <w:lang w:val="ru-RU"/>
        </w:rPr>
        <w:t xml:space="preserve"> – критерии риска;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i/>
          <w:sz w:val="24"/>
          <w:szCs w:val="24"/>
        </w:rPr>
        <w:t>w</w:t>
      </w:r>
      <w:r w:rsidRPr="00EC2984">
        <w:rPr>
          <w:rFonts w:ascii="Times New Roman" w:hAnsi="Times New Roman" w:cs="Times New Roman"/>
          <w:sz w:val="24"/>
          <w:szCs w:val="24"/>
          <w:lang w:val="ru-RU"/>
        </w:rPr>
        <w:t xml:space="preserve"> – весомость каждого критерия риска, где сумма индивидуальных значений весомости будет равна единице;</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i/>
          <w:sz w:val="24"/>
          <w:szCs w:val="24"/>
        </w:rPr>
        <w:t>R</w:t>
      </w:r>
      <w:r w:rsidRPr="00EC2984">
        <w:rPr>
          <w:rFonts w:ascii="Times New Roman" w:hAnsi="Times New Roman" w:cs="Times New Roman"/>
          <w:sz w:val="24"/>
          <w:szCs w:val="24"/>
          <w:lang w:val="ru-RU"/>
        </w:rPr>
        <w:t xml:space="preserve"> – уровень риска для каждого критерия.</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11. После применения формулы, изложенной в пункте 10, общий риск будет варьироваться от 200 до 1000 единиц, где экономические агенты, которым присваиваются 200 единиц, ассоциируются с наименьшим риском.</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12. В зависимости от полученной балльной оценки в результате применения формулы, субъекты контроля упорядочиваются таким образом, чтобы в верхней части списка находились экономические агенты, которым присужден максимальный балл (1000 единиц). Экономические агенты в верхней части списка ассоциируются с более высоким риском и подлежат проверке в приоритетном порядке.</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13. На основе классификации Компания составляет проект графика плановых квартальных проверок, который направляется для регистрации в Государственную канцелярию в порядке и сроки, установленные Правительством.</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14. Классификация используется Компанией для установления</w:t>
      </w:r>
      <w:r w:rsidRPr="00EC2984">
        <w:rPr>
          <w:rFonts w:ascii="Times New Roman" w:hAnsi="Times New Roman" w:cs="Times New Roman"/>
          <w:color w:val="333333"/>
          <w:sz w:val="24"/>
          <w:szCs w:val="24"/>
          <w:lang w:val="ru-RU"/>
        </w:rPr>
        <w:t xml:space="preserve"> </w:t>
      </w:r>
      <w:r w:rsidRPr="00EC2984">
        <w:rPr>
          <w:rFonts w:ascii="Times New Roman" w:hAnsi="Times New Roman" w:cs="Times New Roman"/>
          <w:sz w:val="24"/>
          <w:szCs w:val="24"/>
          <w:lang w:val="ru-RU"/>
        </w:rPr>
        <w:t>рекомендуемой частоты проверок для каждого юридического лица. Рекомендуемая частота используется для установления приоритетности проверок в случае, когда несколько юридических лиц одновременно соответствуют основаниям и требованиям, установленным Законом о государственном контроле предпринимательской деятельности № 131 от    8 июня 2012 года.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15. В конце периода, на который было осуществлено планирование, Компания разрабатывает отчет, в котором определяет весомость экономических агентов, подлежащих проверке от общего числа, и при необходимости изменяет ранее присвоенные балльные оценки на основании информации, собранной в ходе проверки, вследствие изменения ситуации с момента последней проведенной проверки для обновления данных каждого юридического лица.</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rPr>
        <w:t>VI</w:t>
      </w:r>
      <w:r w:rsidRPr="00EC2984">
        <w:rPr>
          <w:rFonts w:ascii="Times New Roman" w:hAnsi="Times New Roman" w:cs="Times New Roman"/>
          <w:b/>
          <w:sz w:val="24"/>
          <w:szCs w:val="24"/>
          <w:lang w:val="ru-RU"/>
        </w:rPr>
        <w:t>.</w:t>
      </w:r>
      <w:r w:rsidRPr="00EC2984">
        <w:rPr>
          <w:rFonts w:ascii="Times New Roman" w:hAnsi="Times New Roman" w:cs="Times New Roman"/>
          <w:sz w:val="24"/>
          <w:szCs w:val="24"/>
          <w:lang w:val="ru-RU"/>
        </w:rPr>
        <w:t xml:space="preserve"> </w:t>
      </w:r>
      <w:r w:rsidRPr="00EC2984">
        <w:rPr>
          <w:rFonts w:ascii="Times New Roman" w:hAnsi="Times New Roman" w:cs="Times New Roman"/>
          <w:b/>
          <w:sz w:val="24"/>
          <w:szCs w:val="24"/>
          <w:lang w:val="ru-RU"/>
        </w:rPr>
        <w:t xml:space="preserve">Создание и поддержание системы данных, </w:t>
      </w:r>
    </w:p>
    <w:p w:rsidR="00EC2984" w:rsidRPr="00EC2984" w:rsidRDefault="00EC2984" w:rsidP="00EC2984">
      <w:pPr>
        <w:spacing w:after="0"/>
        <w:jc w:val="center"/>
        <w:textAlignment w:val="top"/>
        <w:rPr>
          <w:rFonts w:ascii="Times New Roman" w:hAnsi="Times New Roman" w:cs="Times New Roman"/>
          <w:b/>
          <w:sz w:val="24"/>
          <w:szCs w:val="24"/>
          <w:lang w:val="ru-RU"/>
        </w:rPr>
      </w:pPr>
      <w:r w:rsidRPr="00EC2984">
        <w:rPr>
          <w:rFonts w:ascii="Times New Roman" w:hAnsi="Times New Roman" w:cs="Times New Roman"/>
          <w:b/>
          <w:sz w:val="24"/>
          <w:szCs w:val="24"/>
          <w:lang w:val="ru-RU"/>
        </w:rPr>
        <w:t>необходимой для применения критериев риска</w:t>
      </w:r>
    </w:p>
    <w:p w:rsidR="00EC2984" w:rsidRPr="00EC2984" w:rsidRDefault="00EC2984" w:rsidP="00EC2984">
      <w:pPr>
        <w:spacing w:after="0"/>
        <w:ind w:firstLine="709"/>
        <w:jc w:val="center"/>
        <w:textAlignment w:val="top"/>
        <w:rPr>
          <w:rFonts w:ascii="Times New Roman" w:hAnsi="Times New Roman" w:cs="Times New Roman"/>
          <w:b/>
          <w:sz w:val="24"/>
          <w:szCs w:val="24"/>
          <w:lang w:val="ru-RU"/>
        </w:rPr>
      </w:pPr>
    </w:p>
    <w:p w:rsidR="00EC2984" w:rsidRPr="00EC2984" w:rsidRDefault="00EC2984" w:rsidP="00EC2984">
      <w:pPr>
        <w:spacing w:after="0"/>
        <w:ind w:firstLine="709"/>
        <w:jc w:val="both"/>
        <w:rPr>
          <w:rFonts w:ascii="Times New Roman" w:hAnsi="Times New Roman" w:cs="Times New Roman"/>
          <w:sz w:val="24"/>
          <w:szCs w:val="24"/>
          <w:lang w:val="ru-RU"/>
        </w:rPr>
      </w:pPr>
      <w:r w:rsidRPr="00EC2984">
        <w:rPr>
          <w:rFonts w:ascii="Times New Roman" w:hAnsi="Times New Roman" w:cs="Times New Roman"/>
          <w:sz w:val="24"/>
          <w:szCs w:val="24"/>
          <w:lang w:val="ru-RU"/>
        </w:rPr>
        <w:t>16. Для разработки и поддержания классификации экономических агентов на основе представленных рисков Компания поддерживает базу данных, которая должна отражать:</w:t>
      </w:r>
    </w:p>
    <w:p w:rsidR="00EC2984" w:rsidRPr="00EC2984" w:rsidRDefault="00EC2984" w:rsidP="00EC2984">
      <w:pPr>
        <w:tabs>
          <w:tab w:val="left" w:pos="1080"/>
        </w:tabs>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 список всех подлежащих контролю экономических агентов с индивидуальными идентификационными данными;</w:t>
      </w:r>
    </w:p>
    <w:p w:rsidR="00EC2984" w:rsidRPr="00EC2984" w:rsidRDefault="00EC2984" w:rsidP="00EC2984">
      <w:pPr>
        <w:tabs>
          <w:tab w:val="left" w:pos="1080"/>
        </w:tabs>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2) историю контрольной деятельности;</w:t>
      </w:r>
    </w:p>
    <w:p w:rsidR="00EC2984" w:rsidRPr="00EC2984" w:rsidRDefault="00EC2984" w:rsidP="00EC2984">
      <w:pPr>
        <w:spacing w:after="0"/>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ab/>
        <w:t>3) профиль каждого экономического агента с информацией, относящейся к критериям риска, используемой для классификации данного агента и т.д.</w:t>
      </w: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p>
    <w:p w:rsidR="00EC2984" w:rsidRPr="00EC2984" w:rsidRDefault="00EC2984" w:rsidP="00EC2984">
      <w:pPr>
        <w:spacing w:after="0"/>
        <w:ind w:firstLine="709"/>
        <w:jc w:val="both"/>
        <w:textAlignment w:val="top"/>
        <w:rPr>
          <w:rFonts w:ascii="Times New Roman" w:hAnsi="Times New Roman" w:cs="Times New Roman"/>
          <w:sz w:val="24"/>
          <w:szCs w:val="24"/>
          <w:lang w:val="ru-RU"/>
        </w:rPr>
      </w:pPr>
      <w:r w:rsidRPr="00EC2984">
        <w:rPr>
          <w:rFonts w:ascii="Times New Roman" w:hAnsi="Times New Roman" w:cs="Times New Roman"/>
          <w:sz w:val="24"/>
          <w:szCs w:val="24"/>
          <w:lang w:val="ru-RU"/>
        </w:rPr>
        <w:t>17. Компания пересматривает и обновляет информацию, необходимую для применения критериев риска, не реже одного раза в год.</w:t>
      </w:r>
    </w:p>
    <w:p w:rsidR="00550955" w:rsidRPr="00EC2984" w:rsidRDefault="00550955" w:rsidP="00EC2984">
      <w:pPr>
        <w:spacing w:after="0"/>
        <w:rPr>
          <w:rFonts w:ascii="Times New Roman" w:hAnsi="Times New Roman" w:cs="Times New Roman"/>
          <w:sz w:val="24"/>
          <w:szCs w:val="24"/>
          <w:lang w:val="ru-RU"/>
        </w:rPr>
      </w:pPr>
    </w:p>
    <w:sectPr w:rsidR="00550955" w:rsidRPr="00EC2984" w:rsidSect="000B4EC4">
      <w:headerReference w:type="default" r:id="rId6"/>
      <w:footerReference w:type="first" r:id="rId7"/>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00F" w:rsidRDefault="000A500F" w:rsidP="00C77B11">
      <w:pPr>
        <w:spacing w:after="0" w:line="240" w:lineRule="auto"/>
      </w:pPr>
      <w:r>
        <w:separator/>
      </w:r>
    </w:p>
  </w:endnote>
  <w:endnote w:type="continuationSeparator" w:id="1">
    <w:p w:rsidR="000A500F" w:rsidRDefault="000A500F" w:rsidP="00C7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04" w:rsidRPr="000B4EC4" w:rsidRDefault="00C77B11">
    <w:pPr>
      <w:pStyle w:val="Footer"/>
      <w:rPr>
        <w:sz w:val="16"/>
        <w:szCs w:val="16"/>
        <w:lang w:val="en-US"/>
      </w:rPr>
    </w:pPr>
    <w:fldSimple w:instr=" FILENAME  \p  \* MERGEFORMAT ">
      <w:r w:rsidR="00550955">
        <w:rPr>
          <w:noProof/>
          <w:sz w:val="16"/>
          <w:szCs w:val="16"/>
          <w:lang w:val="en-US"/>
        </w:rPr>
        <w:t>D:\MONITOR-2014\142\TEXT\PARTEA II\380\metodolog_cnam.doc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00F" w:rsidRDefault="000A500F" w:rsidP="00C77B11">
      <w:pPr>
        <w:spacing w:after="0" w:line="240" w:lineRule="auto"/>
      </w:pPr>
      <w:r>
        <w:separator/>
      </w:r>
    </w:p>
  </w:footnote>
  <w:footnote w:type="continuationSeparator" w:id="1">
    <w:p w:rsidR="000A500F" w:rsidRDefault="000A500F" w:rsidP="00C7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04" w:rsidRDefault="00C77B11" w:rsidP="000B4EC4">
    <w:pPr>
      <w:pStyle w:val="Header"/>
      <w:jc w:val="center"/>
    </w:pPr>
    <w:r>
      <w:fldChar w:fldCharType="begin"/>
    </w:r>
    <w:r w:rsidR="00550955">
      <w:instrText>PAGE   \* MERGEFORMAT</w:instrText>
    </w:r>
    <w:r>
      <w:fldChar w:fldCharType="separate"/>
    </w:r>
    <w:r w:rsidR="009C6F70">
      <w:rPr>
        <w:noProof/>
      </w:rPr>
      <w:t>7</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C2984"/>
    <w:rsid w:val="000A500F"/>
    <w:rsid w:val="00550955"/>
    <w:rsid w:val="009C6F70"/>
    <w:rsid w:val="00C77B11"/>
    <w:rsid w:val="00EC2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EC2984"/>
    <w:pPr>
      <w:spacing w:after="0" w:line="240" w:lineRule="auto"/>
      <w:jc w:val="center"/>
    </w:pPr>
    <w:rPr>
      <w:rFonts w:ascii="Times New Roman" w:eastAsia="Times New Roman" w:hAnsi="Times New Roman" w:cs="Times New Roman"/>
      <w:b/>
      <w:bCs/>
      <w:sz w:val="24"/>
      <w:szCs w:val="24"/>
      <w:lang w:val="ru-RU" w:eastAsia="ru-RU"/>
    </w:rPr>
  </w:style>
  <w:style w:type="paragraph" w:styleId="ListParagraph">
    <w:name w:val="List Paragraph"/>
    <w:basedOn w:val="Normal"/>
    <w:qFormat/>
    <w:rsid w:val="00EC2984"/>
    <w:pPr>
      <w:spacing w:before="200"/>
      <w:ind w:left="720"/>
    </w:pPr>
    <w:rPr>
      <w:rFonts w:ascii="Calibri" w:eastAsia="Times New Roman" w:hAnsi="Calibri" w:cs="Times New Roman"/>
      <w:sz w:val="20"/>
      <w:szCs w:val="20"/>
    </w:rPr>
  </w:style>
  <w:style w:type="paragraph" w:styleId="Header">
    <w:name w:val="header"/>
    <w:basedOn w:val="Normal"/>
    <w:link w:val="HeaderChar"/>
    <w:uiPriority w:val="99"/>
    <w:unhideWhenUsed/>
    <w:rsid w:val="00EC2984"/>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EC298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EC2984"/>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EC2984"/>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EC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10845</Characters>
  <Application>Microsoft Office Word</Application>
  <DocSecurity>0</DocSecurity>
  <Lines>90</Lines>
  <Paragraphs>25</Paragraphs>
  <ScaleCrop>false</ScaleCrop>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2014-06-05T07:45:00Z</dcterms:created>
  <dcterms:modified xsi:type="dcterms:W3CDTF">2014-06-05T07:45:00Z</dcterms:modified>
</cp:coreProperties>
</file>