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75" w:rsidRDefault="00103175" w:rsidP="00103175">
      <w:pPr>
        <w:spacing w:after="0"/>
        <w:ind w:left="354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103175" w:rsidRPr="00F947FE" w:rsidRDefault="00103175" w:rsidP="00103175">
      <w:pPr>
        <w:spacing w:after="0"/>
        <w:ind w:left="3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Постановлением Правительства №</w:t>
      </w:r>
      <w:r w:rsidR="00F947FE">
        <w:rPr>
          <w:rFonts w:ascii="Times New Roman" w:hAnsi="Times New Roman"/>
          <w:sz w:val="28"/>
          <w:szCs w:val="28"/>
        </w:rPr>
        <w:t xml:space="preserve"> 363</w:t>
      </w:r>
    </w:p>
    <w:p w:rsidR="00103175" w:rsidRDefault="00103175" w:rsidP="00103175">
      <w:pPr>
        <w:spacing w:after="0"/>
        <w:ind w:left="354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 </w:t>
      </w:r>
      <w:r w:rsidRPr="00103175">
        <w:rPr>
          <w:rFonts w:ascii="Times New Roman" w:hAnsi="Times New Roman"/>
          <w:sz w:val="28"/>
          <w:szCs w:val="28"/>
          <w:lang w:val="ru-RU"/>
        </w:rPr>
        <w:t xml:space="preserve">27 </w:t>
      </w:r>
      <w:r>
        <w:rPr>
          <w:rFonts w:ascii="Times New Roman" w:hAnsi="Times New Roman"/>
          <w:sz w:val="28"/>
          <w:szCs w:val="28"/>
          <w:lang w:val="ru-RU"/>
        </w:rPr>
        <w:t>мая  2014 г.</w:t>
      </w:r>
    </w:p>
    <w:p w:rsidR="00103175" w:rsidRDefault="00103175" w:rsidP="0010317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МЕТОДОЛОГИЯ</w:t>
      </w: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планирования </w:t>
      </w:r>
      <w:r w:rsidRPr="00B14A4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деятельности по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государственному контролю </w:t>
      </w: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в области промышленной безопасности на основе анализа критериев риска </w:t>
      </w:r>
    </w:p>
    <w:p w:rsidR="00103175" w:rsidRPr="00B14A4C" w:rsidRDefault="00103175" w:rsidP="0010317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103175" w:rsidRPr="00B14A4C" w:rsidRDefault="00103175" w:rsidP="0010317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Pr="0010317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</w:t>
      </w:r>
      <w:r w:rsidRPr="00B14A4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Общие положения</w:t>
      </w: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1.</w:t>
      </w:r>
      <w:r w:rsidRPr="00B14A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Методология планирования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деятельности по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государственному </w:t>
      </w:r>
      <w:r w:rsidRPr="00B14A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контролюв области промышленной безопасности на основе анализа критериев риска (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в дальнейшем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– </w:t>
      </w:r>
      <w:r w:rsidRPr="00B14A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Методология) устанавливает организационн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о-</w:t>
      </w:r>
      <w:r w:rsidRPr="00B14A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методологические рамки в части планирования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государственного контроля </w:t>
      </w:r>
      <w:r w:rsidRPr="00B14A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деятельности и/или работ,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осуществляемых </w:t>
      </w:r>
      <w:r w:rsidRPr="00B14A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 области промышленной безопасности, в зависимости от риска, который они представляют для жизни и здоровья людей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а также воздействия на </w:t>
      </w:r>
      <w:r w:rsidRPr="00B14A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окружающ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ую</w:t>
      </w:r>
      <w:r w:rsidRPr="00B14A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сред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у.</w:t>
      </w: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2.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Методологическая сущность анализа на основе критериев риска заключается в распределении по наиболее важным критериям риска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,отнесенным к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области контроля Главной государственной инспекции  технического надзора за опасными производственными объектами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(в дальнейшем </w:t>
      </w: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-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Инспекция)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присуждении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соответствующей оценки по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предустановленной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шкале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которая соотносится с весомостью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каждого критерия в зависимости от его влияния на общий уровень риска.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3.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Применение баллов, соответствующих каждому критерию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осуществляется для каждого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экономического 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, подлежащего контролю, и сопровождается последующей разработкой классификатора в зависимости от количества полученных баллов в соответствии с подсчитанным уровнем индивидуального риска.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03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Оценка уровня прогнозируемого риска для каждого лица определяет частоту и интенсивность необходимых мер контроля в отношении данного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экономического 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II. Установление критериев риска</w:t>
      </w: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5.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Критерии риска суммируют набор обстоятельств или характеристик субъекта и/или объекта, подлежащего контролю, и/или предыдущих взаимоотношений контролируемого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экономического 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Инспекции, существование и интенсивность которых могут указывать на вероятность причинения вреда жизни и здоровью людей,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нанесения ущерба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окружающей среде вследствие деятельности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экономического агента, а также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степень такого вреда. 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6.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Критерии риска выбраны в зависимости от субъекта контроля, объекта контроля и предыдущих взаимоотношений с Инспекцией.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 о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бласти промышленной безопасност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икритерии риска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определяются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соответствии с полномочиями Инспекции, тип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ом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взаимоотношений и социальны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ценност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ями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которые отстаивает данный орган,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 также видом ущерба, которого следует избегать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8.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Выбранные критерии риска  должны соответствовать следующим принципам: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) соответств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овать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цели деятельности Инспекции;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) охватывать все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предприятия,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подлежащи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контролю,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осуществляемому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Инспекцией,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в частности соответствовать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деятельности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экономических агентов и/или используемым/производимым ими товарам;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) основыват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ь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ся на достоверной, точной и доступной информации;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соотноситься с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много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сторонним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характер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ом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источников риска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ритери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ями риска, используемыми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в обязательном порядке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являются: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период осуществления проверяемым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экономическим агентом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подлежащей контролю;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) дата осуществления последней проверки;</w:t>
      </w: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) предыдущие нарушения.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10.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Специфически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критери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ям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и риска для планирования контрол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я за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деятельност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ью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и/или осуществл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яемыми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работ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области промышленной безопасности являются: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) степень износа оборудования;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) категория опасности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опасн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ого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производственн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ого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3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количество опасных производственных объектов, принадлежащих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экономическому агенту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III. Распределение интенсивности риска</w:t>
      </w: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11.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Каждый критерий риска распределяется по степеням/уровням интенсивности, которые оцениваются согласно значению степени риска. Масштаб оценки находится в диапазоне от 1 до 5, где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означает минимальную 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-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максимальную степень риска.</w:t>
      </w: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12.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 присуждении цифровых значений учитыва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ю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тся весомость каждого уровня в рамках критерия риска и равномерность перемещения с одного уровня на другой, таким образом, чтобы в одном всеобъемлющем реестре были отражены соответствующие уровни возможных рисков от минимального до максимального.</w:t>
      </w: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13.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обязательных критериев риска оценки присужд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аются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следующим образом:</w:t>
      </w:r>
    </w:p>
    <w:p w:rsidR="00103175" w:rsidRPr="00A514C5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514C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1)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</w:t>
      </w:r>
      <w:r w:rsidRPr="00A514C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ериодосуществл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ения </w:t>
      </w:r>
      <w:r w:rsidRPr="00A514C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деятельност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и проверяемым экономическим агентом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514C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бщее основание</w:t>
      </w:r>
      <w:r w:rsidRPr="00A514C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ч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ем больше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период д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еятельности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экономического агента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на рынке, тем лучше он знает правила, тем более внимательно относится к своей репутации и чаще внедряет внутренние системы контроля качества через постоянное обеспечение квалифицированного персонала при выполнении работ на опасном производственном объекте и соблюдение норм безопасности.</w:t>
      </w:r>
    </w:p>
    <w:p w:rsidR="00103175" w:rsidRPr="00B14A4C" w:rsidRDefault="00103175" w:rsidP="00103175">
      <w:pPr>
        <w:spacing w:after="0"/>
        <w:textAlignment w:val="top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4"/>
        <w:gridCol w:w="3282"/>
      </w:tblGrid>
      <w:tr w:rsidR="00103175" w:rsidRPr="00FC7361" w:rsidTr="00021CAD">
        <w:trPr>
          <w:trHeight w:val="438"/>
        </w:trPr>
        <w:tc>
          <w:tcPr>
            <w:tcW w:w="5774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Период деятельности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экономического агента</w:t>
            </w:r>
          </w:p>
        </w:tc>
        <w:tc>
          <w:tcPr>
            <w:tcW w:w="3282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Степеньриска (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R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103175" w:rsidRPr="00FC7361" w:rsidTr="00021CAD">
        <w:tc>
          <w:tcPr>
            <w:tcW w:w="5774" w:type="dxa"/>
            <w:shd w:val="clear" w:color="auto" w:fill="auto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Более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pt-PT" w:eastAsia="ru-RU"/>
              </w:rPr>
              <w:t xml:space="preserve"> 20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лет</w:t>
            </w:r>
          </w:p>
        </w:tc>
        <w:tc>
          <w:tcPr>
            <w:tcW w:w="3282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103175" w:rsidRPr="00FC7361" w:rsidTr="00021CAD">
        <w:tc>
          <w:tcPr>
            <w:tcW w:w="5774" w:type="dxa"/>
            <w:shd w:val="clear" w:color="auto" w:fill="auto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15-20 лет</w:t>
            </w:r>
          </w:p>
        </w:tc>
        <w:tc>
          <w:tcPr>
            <w:tcW w:w="3282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</w:t>
            </w:r>
          </w:p>
        </w:tc>
      </w:tr>
      <w:tr w:rsidR="00103175" w:rsidRPr="00FC7361" w:rsidTr="00021CAD">
        <w:tc>
          <w:tcPr>
            <w:tcW w:w="5774" w:type="dxa"/>
            <w:shd w:val="clear" w:color="auto" w:fill="auto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10-15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лет</w:t>
            </w:r>
          </w:p>
        </w:tc>
        <w:tc>
          <w:tcPr>
            <w:tcW w:w="3282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</w:t>
            </w:r>
          </w:p>
        </w:tc>
      </w:tr>
      <w:tr w:rsidR="00103175" w:rsidRPr="00FC7361" w:rsidTr="00021CAD">
        <w:tc>
          <w:tcPr>
            <w:tcW w:w="5774" w:type="dxa"/>
            <w:shd w:val="clear" w:color="auto" w:fill="auto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5-10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лет</w:t>
            </w:r>
          </w:p>
        </w:tc>
        <w:tc>
          <w:tcPr>
            <w:tcW w:w="3282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4</w:t>
            </w:r>
          </w:p>
        </w:tc>
      </w:tr>
      <w:tr w:rsidR="00103175" w:rsidRPr="00FC7361" w:rsidTr="00021CAD">
        <w:tc>
          <w:tcPr>
            <w:tcW w:w="5774" w:type="dxa"/>
            <w:shd w:val="clear" w:color="auto" w:fill="auto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лет</w:t>
            </w:r>
          </w:p>
        </w:tc>
        <w:tc>
          <w:tcPr>
            <w:tcW w:w="3282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textAlignment w:val="top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5</w:t>
            </w:r>
          </w:p>
        </w:tc>
      </w:tr>
    </w:tbl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03175" w:rsidRPr="009234CF" w:rsidRDefault="00103175" w:rsidP="001031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9234C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9234C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) Дата осуществления последнего контроля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234CF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Общее основание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: чем бол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ьше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период, в который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экономический агент,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подлежащий контролю, не проверялся, тем выше неопределённость относительно его соответствия нормативным требованиям, при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этом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минимальный риск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присуждается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субъектам, которые были проверены  недавно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максимальный риск субъектам, в отношении которых в ближайшее время государственный контрольне проводился. </w:t>
      </w:r>
    </w:p>
    <w:p w:rsidR="00103175" w:rsidRPr="00B14A4C" w:rsidRDefault="00103175" w:rsidP="00103175">
      <w:pPr>
        <w:spacing w:after="0"/>
        <w:ind w:firstLine="567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196"/>
      </w:tblGrid>
      <w:tr w:rsidR="00103175" w:rsidRPr="00FC7361" w:rsidTr="00021CAD">
        <w:trPr>
          <w:trHeight w:val="438"/>
        </w:trPr>
        <w:tc>
          <w:tcPr>
            <w:tcW w:w="4860" w:type="dxa"/>
            <w:shd w:val="clear" w:color="auto" w:fill="auto"/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Промежуток времени с момента осуществления последней проверки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103175" w:rsidRPr="009234CF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Степень риска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R</w:t>
            </w:r>
            <w:r w:rsidRPr="009234CF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9234C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) </w:t>
            </w:r>
          </w:p>
        </w:tc>
      </w:tr>
      <w:tr w:rsidR="00103175" w:rsidRPr="00FC7361" w:rsidTr="00021CAD">
        <w:tc>
          <w:tcPr>
            <w:tcW w:w="4860" w:type="dxa"/>
            <w:shd w:val="clear" w:color="auto" w:fill="auto"/>
          </w:tcPr>
          <w:p w:rsidR="00103175" w:rsidRPr="00B14A4C" w:rsidRDefault="00103175" w:rsidP="0010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Один год</w:t>
            </w:r>
          </w:p>
        </w:tc>
        <w:tc>
          <w:tcPr>
            <w:tcW w:w="4196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03175" w:rsidRPr="00FC7361" w:rsidTr="00021CAD">
        <w:tc>
          <w:tcPr>
            <w:tcW w:w="4860" w:type="dxa"/>
            <w:shd w:val="clear" w:color="auto" w:fill="auto"/>
          </w:tcPr>
          <w:p w:rsidR="00103175" w:rsidRPr="00B14A4C" w:rsidRDefault="00103175" w:rsidP="0010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1-2 года</w:t>
            </w:r>
          </w:p>
        </w:tc>
        <w:tc>
          <w:tcPr>
            <w:tcW w:w="4196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103175" w:rsidRPr="00FC7361" w:rsidTr="00021CAD">
        <w:tc>
          <w:tcPr>
            <w:tcW w:w="4860" w:type="dxa"/>
            <w:shd w:val="clear" w:color="auto" w:fill="auto"/>
          </w:tcPr>
          <w:p w:rsidR="00103175" w:rsidRPr="00B14A4C" w:rsidRDefault="00103175" w:rsidP="0010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2-3 года </w:t>
            </w:r>
          </w:p>
        </w:tc>
        <w:tc>
          <w:tcPr>
            <w:tcW w:w="4196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103175" w:rsidRPr="00FC7361" w:rsidTr="00021CAD">
        <w:tc>
          <w:tcPr>
            <w:tcW w:w="4860" w:type="dxa"/>
            <w:shd w:val="clear" w:color="auto" w:fill="auto"/>
          </w:tcPr>
          <w:p w:rsidR="00103175" w:rsidRPr="00B14A4C" w:rsidRDefault="00103175" w:rsidP="0010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3-5 года </w:t>
            </w:r>
          </w:p>
        </w:tc>
        <w:tc>
          <w:tcPr>
            <w:tcW w:w="4196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103175" w:rsidRPr="00FC7361" w:rsidTr="00021CAD">
        <w:tc>
          <w:tcPr>
            <w:tcW w:w="4860" w:type="dxa"/>
            <w:shd w:val="clear" w:color="auto" w:fill="auto"/>
          </w:tcPr>
          <w:p w:rsidR="00103175" w:rsidRPr="00B14A4C" w:rsidRDefault="00103175" w:rsidP="0010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 проводился контроль</w:t>
            </w:r>
          </w:p>
        </w:tc>
        <w:tc>
          <w:tcPr>
            <w:tcW w:w="4196" w:type="dxa"/>
            <w:shd w:val="clear" w:color="auto" w:fill="auto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03175" w:rsidRPr="009234CF" w:rsidRDefault="00103175" w:rsidP="00103175">
      <w:pPr>
        <w:spacing w:after="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9234C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9234C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)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</w:t>
      </w:r>
      <w:r w:rsidRPr="009234C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редыдущие нарушения</w:t>
      </w: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234CF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Общее основание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отсутствие нарушений на дату последней проверки указывает на готовность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экономического 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соблюдать закон и, следовательно, более низкий риск нарушения закона. Таким образом, этот факт может освободить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экономического 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 последующей проверки. В то же время наличие нарушений на последнюю дату осуществления проверки присуждает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экономическому агенту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более высокую степень риска.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170"/>
        <w:gridCol w:w="2174"/>
      </w:tblGrid>
      <w:tr w:rsidR="00103175" w:rsidRPr="00FC7361" w:rsidTr="00021CAD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175" w:rsidRPr="00103175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Нарушения, выявленные при  последней проверке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Степеньриска(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R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3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103175" w:rsidRPr="00FC7361" w:rsidTr="00021CAD">
        <w:trPr>
          <w:trHeight w:val="409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Были обнаружены незначительные нарушения,  которые не входят в состав правонарушений (не было представлено предписание)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175" w:rsidRPr="00FC7361" w:rsidTr="00021CAD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Были обнаружены незначительные нарушения, которые являются правонарушениями, (было представлено предписание)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3175" w:rsidRPr="00FC7361" w:rsidTr="00021CAD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Были обнаружены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незаконные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нарушения, которые входят в состав правонарушений,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без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причинен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ия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ущерб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третьим лицам (применены санкции)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175" w:rsidRPr="00FC7361" w:rsidTr="00021CAD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Были обнаружены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незначительные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нарушения, которые являются составом преступления и причинили незначительный ущерб третьим лицам (применены санкции, возмещен ущерб)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175" w:rsidRPr="00FC7361" w:rsidTr="00021CAD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Были обнаружены нарушения, которые являются составом преступления и причинили значительный ущерб третьим лицам (применены санкции, возмещен ущерб)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103175" w:rsidRPr="00B14A4C" w:rsidRDefault="00103175" w:rsidP="00103175">
      <w:pPr>
        <w:spacing w:after="0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175" w:rsidRPr="00B14A4C" w:rsidRDefault="00103175" w:rsidP="00103175">
      <w:pPr>
        <w:tabs>
          <w:tab w:val="left" w:pos="1120"/>
        </w:tabs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14</w:t>
      </w:r>
      <w:r w:rsidRPr="00103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Специфически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ми</w:t>
      </w:r>
      <w:r w:rsidRPr="00103175">
        <w:rPr>
          <w:rFonts w:ascii="Times New Roman" w:eastAsia="Times New Roman" w:hAnsi="Times New Roman"/>
          <w:sz w:val="28"/>
          <w:szCs w:val="28"/>
          <w:lang w:val="ru-RU" w:eastAsia="ru-RU"/>
        </w:rPr>
        <w:t>критери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ям</w:t>
      </w:r>
      <w:r w:rsidRPr="00103175">
        <w:rPr>
          <w:rFonts w:ascii="Times New Roman" w:eastAsia="Times New Roman" w:hAnsi="Times New Roman"/>
          <w:sz w:val="28"/>
          <w:szCs w:val="28"/>
          <w:lang w:val="ru-RU" w:eastAsia="ru-RU"/>
        </w:rPr>
        <w:t>и риска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Инспекции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являются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следующи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103175" w:rsidRPr="009234CF" w:rsidRDefault="00103175" w:rsidP="00103175">
      <w:pPr>
        <w:spacing w:after="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03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</w:t>
      </w:r>
      <w:r w:rsidRPr="009234C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)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</w:t>
      </w:r>
      <w:r w:rsidRPr="009234C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тепень износа оборудования: технические установки и технологические системы</w:t>
      </w: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46E8D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lastRenderedPageBreak/>
        <w:t>Общее основание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: опасные производственные объекты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имеющие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технического оборудования, или на которых технические установки и технологические системы эксплуатируются в пределах срока эксплуатации</w:t>
      </w:r>
      <w:r w:rsidRPr="00103175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установленного согласно их документации,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представляют минимальный риск по сравнению с теми</w:t>
      </w:r>
      <w:r w:rsidRPr="00103175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которых нормативный срок эксплуатации превышен.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Чем чаще осуществляется продление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нормативных сроков эксплуатации</w:t>
      </w:r>
      <w:r w:rsidRPr="00103175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тем выше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вероятность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возникновения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аварии или техногенной катастрофы.</w:t>
      </w:r>
    </w:p>
    <w:p w:rsidR="00103175" w:rsidRPr="00B14A4C" w:rsidRDefault="00103175" w:rsidP="00103175">
      <w:pPr>
        <w:spacing w:after="0"/>
        <w:textAlignment w:val="top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170"/>
        <w:gridCol w:w="2174"/>
      </w:tblGrid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тепень износа оборудования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Степеньриска(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R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u-RU" w:eastAsia="ru-RU"/>
              </w:rPr>
              <w:t>4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103175" w:rsidRPr="00FC7361" w:rsidTr="00021CAD">
        <w:trPr>
          <w:trHeight w:val="409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Технические установки и технологические системы, эксплуатируемые в пределах срока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установленного технической документацией; или опасный производственный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не располагающий техническим оборудованием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Технические установки и технологические системы с единожды продл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нным сроком эксплуатации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Технические установки и технологические системы с дважды продл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нным сроком эксплуатации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03175" w:rsidRDefault="00103175" w:rsidP="00103175">
      <w:pPr>
        <w:spacing w:after="0"/>
      </w:pPr>
    </w:p>
    <w:p w:rsidR="00103175" w:rsidRPr="00103175" w:rsidRDefault="00103175" w:rsidP="00103175">
      <w:pPr>
        <w:spacing w:after="0"/>
        <w:rPr>
          <w:lang w:val="ru-RU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612"/>
        <w:gridCol w:w="1732"/>
      </w:tblGrid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Технические установки и технологические системы с трижды продлённым сроком эксплуатации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Технические установки и технологические системы со сроком эксплуатации, продл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нным более 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 раз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103175" w:rsidRPr="00B14A4C" w:rsidRDefault="00103175" w:rsidP="00103175">
      <w:pPr>
        <w:spacing w:after="0"/>
        <w:textAlignment w:val="top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03175" w:rsidRPr="007837A1" w:rsidRDefault="00103175" w:rsidP="00103175">
      <w:pPr>
        <w:spacing w:after="0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837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2) Категория опасности для опасного  производственного объекта</w:t>
      </w: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37A1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Общее основание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: производственны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ы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, относящи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ся к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первой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категории опасности, име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ю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 более высокий риск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жизни и здоровья людей и окружающей среды, по сравнению с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производственны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ами,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есенными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четвертой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категории опасности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; в то же время,  экономический агент,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не владеющ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ий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опасным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производственным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но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осуществляющ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ий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деятельность в области промышленной безопасности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представля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ет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меньший риск опасности.</w:t>
      </w: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170"/>
        <w:gridCol w:w="2174"/>
      </w:tblGrid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Категория опасности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для 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опасн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ого</w:t>
            </w:r>
          </w:p>
          <w:p w:rsidR="00103175" w:rsidRPr="00103175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производственн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ого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объект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Степеньриска(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R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u-RU" w:eastAsia="ru-RU"/>
              </w:rPr>
              <w:t>5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103175" w:rsidRPr="00FC7361" w:rsidTr="00021CAD">
        <w:trPr>
          <w:trHeight w:val="409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Деятельность и/или работы в области промышленной безопасности, 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предполагающие участия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опасны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производственны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ов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Опасные производственные объекты и продукция, установки,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оборудование и технологии, используемые на опасном производственном объекте, вклю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ченные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четвертую к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атегорию опасности 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03175" w:rsidRPr="00FC7361" w:rsidTr="00021CAD">
        <w:trPr>
          <w:trHeight w:val="555"/>
        </w:trPr>
        <w:tc>
          <w:tcPr>
            <w:tcW w:w="4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Опасные производственные объекты и продукция, установки, оборудование и технологии, используемые на опасном производственном объекте, включ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третью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категорию опасности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175" w:rsidRPr="00FC7361" w:rsidTr="00021CAD">
        <w:tc>
          <w:tcPr>
            <w:tcW w:w="4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Опасные производственные объекты и продукция, установки, оборудование и технологии, используемые на опасном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производственном объекте, включе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овторую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категорию опасности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175" w:rsidRPr="00FC7361" w:rsidTr="00021CAD"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Опасные производственные объекты и продукция, установки, оборудование и технологии, используемые на опасном производственном объекте, включ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ые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первую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категорию опасности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175" w:rsidRPr="0095003F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95003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3) Количество опасных производственных объектов, принадлежащих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экономическому агенту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003F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Общее основание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количество опасных производственных объектов, принадлежащих одному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экономическому агенту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обусловливает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множество возможных  несоответствий, допускаемых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экономическим агентом при осуществлении им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деятельности и/или работ в области промышленной безопасности.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 то же время, д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анный критерий риска будет содействовать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обоснованию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частоты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проведения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одного и того же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экономического агента,  исходя из факта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владе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ния несколькими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опасны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производственны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ами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. Таким образом, чем больш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им количеством опасных  п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роизводственных объектов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владеет экономический агент,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тем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вышеприсваиваемая ему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степень риска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tbl>
      <w:tblPr>
        <w:tblW w:w="4850" w:type="pct"/>
        <w:tblInd w:w="2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6890"/>
        <w:gridCol w:w="2174"/>
      </w:tblGrid>
      <w:tr w:rsidR="00103175" w:rsidRPr="00FC7361" w:rsidTr="00021CAD"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103175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Количество опасных производственных объектов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, которыми владеет экономический агент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Степеньриска(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R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ru-RU" w:eastAsia="ru-RU"/>
              </w:rPr>
              <w:t>6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103175" w:rsidRPr="00FC7361" w:rsidTr="00021CAD">
        <w:trPr>
          <w:trHeight w:val="409"/>
        </w:trPr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1-3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175" w:rsidRPr="00FC7361" w:rsidTr="00021CAD"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3-5 объектов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3175" w:rsidRPr="00FC7361" w:rsidTr="00021CAD"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5-10 объектов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175" w:rsidRPr="00FC7361" w:rsidTr="00021CAD"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10-20 объектов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175" w:rsidRPr="00FC7361" w:rsidTr="00021CAD"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олее 20 объектов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175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IV.Измерение (оценка) критериев</w:t>
      </w:r>
    </w:p>
    <w:p w:rsidR="00103175" w:rsidRPr="00B14A4C" w:rsidRDefault="00103175" w:rsidP="00103175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15.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каждого критерия устан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авливается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весомость по отношению ко всем отобранным критериям,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 учетом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важност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конкретного критерия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специфической области контроля. </w:t>
      </w: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16.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Весомость риска определяется по каждому отдельному критерию риска в долях, так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им образом, чтобы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суммарная величина всех критериев состав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ляла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одну единицу.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5"/>
        <w:gridCol w:w="2000"/>
      </w:tblGrid>
      <w:tr w:rsidR="00103175" w:rsidRPr="00FC7361" w:rsidTr="00021CAD">
        <w:tc>
          <w:tcPr>
            <w:tcW w:w="6685" w:type="dxa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Критерии</w:t>
            </w:r>
          </w:p>
        </w:tc>
        <w:tc>
          <w:tcPr>
            <w:tcW w:w="2000" w:type="dxa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Весомость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(W)</w:t>
            </w:r>
          </w:p>
        </w:tc>
      </w:tr>
      <w:tr w:rsidR="00103175" w:rsidRPr="00FC7361" w:rsidTr="00021CAD">
        <w:trPr>
          <w:trHeight w:val="495"/>
        </w:trPr>
        <w:tc>
          <w:tcPr>
            <w:tcW w:w="6685" w:type="dxa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Период, в течение которого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экономический агент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осуществляет деятельность, подлежащую контролю </w:t>
            </w:r>
          </w:p>
        </w:tc>
        <w:tc>
          <w:tcPr>
            <w:tcW w:w="2000" w:type="dxa"/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0,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03175" w:rsidRPr="00FC7361" w:rsidTr="00021CAD">
        <w:trPr>
          <w:trHeight w:val="415"/>
        </w:trPr>
        <w:tc>
          <w:tcPr>
            <w:tcW w:w="6685" w:type="dxa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Дата осуществления последнего контроля   </w:t>
            </w:r>
          </w:p>
        </w:tc>
        <w:tc>
          <w:tcPr>
            <w:tcW w:w="2000" w:type="dxa"/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0,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03175" w:rsidRPr="00FC7361" w:rsidTr="00021CAD">
        <w:trPr>
          <w:trHeight w:val="355"/>
        </w:trPr>
        <w:tc>
          <w:tcPr>
            <w:tcW w:w="6685" w:type="dxa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Нарушения, выявленные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ходе </w:t>
            </w: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последнего контроля</w:t>
            </w:r>
          </w:p>
        </w:tc>
        <w:tc>
          <w:tcPr>
            <w:tcW w:w="2000" w:type="dxa"/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0,3</w:t>
            </w:r>
          </w:p>
        </w:tc>
      </w:tr>
      <w:tr w:rsidR="00103175" w:rsidRPr="00FC7361" w:rsidTr="00021CAD">
        <w:trPr>
          <w:trHeight w:val="352"/>
        </w:trPr>
        <w:tc>
          <w:tcPr>
            <w:tcW w:w="6685" w:type="dxa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Степень износа оборудования</w:t>
            </w:r>
          </w:p>
        </w:tc>
        <w:tc>
          <w:tcPr>
            <w:tcW w:w="2000" w:type="dxa"/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0,2</w:t>
            </w:r>
          </w:p>
        </w:tc>
      </w:tr>
      <w:tr w:rsidR="00103175" w:rsidRPr="00FC7361" w:rsidTr="00021CAD">
        <w:trPr>
          <w:trHeight w:val="344"/>
        </w:trPr>
        <w:tc>
          <w:tcPr>
            <w:tcW w:w="6685" w:type="dxa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Категория опасности опасного производственного объекта</w:t>
            </w:r>
          </w:p>
        </w:tc>
        <w:tc>
          <w:tcPr>
            <w:tcW w:w="2000" w:type="dxa"/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0,2</w:t>
            </w:r>
          </w:p>
        </w:tc>
      </w:tr>
      <w:tr w:rsidR="00103175" w:rsidRPr="00FC7361" w:rsidTr="00021CAD">
        <w:tc>
          <w:tcPr>
            <w:tcW w:w="6685" w:type="dxa"/>
          </w:tcPr>
          <w:p w:rsidR="00103175" w:rsidRPr="00B14A4C" w:rsidRDefault="00103175" w:rsidP="00103175">
            <w:pPr>
              <w:spacing w:after="0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опасных производственных объектов, принадлежащих экономическому агенту</w:t>
            </w:r>
          </w:p>
        </w:tc>
        <w:tc>
          <w:tcPr>
            <w:tcW w:w="2000" w:type="dxa"/>
            <w:vAlign w:val="center"/>
          </w:tcPr>
          <w:p w:rsidR="00103175" w:rsidRPr="00B14A4C" w:rsidRDefault="00103175" w:rsidP="001031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0,</w:t>
            </w:r>
            <w:r w:rsidRPr="00B14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03175" w:rsidRPr="00B14A4C" w:rsidRDefault="00103175" w:rsidP="0010317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17.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есомост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ь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, присваиваем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ая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каждому критерию риска,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ериодически пересматривается в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зависимости от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ов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предыдущих проверок 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обновления сведений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. В случае, если со временем критерий теряет свою актуальность, рекомендуется последующее снижение его доли по отношению к остальными  применяемым критериями.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V. Применение критериев по отношению </w:t>
      </w: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к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экономическим агентам</w:t>
      </w: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F947FE" w:rsidRDefault="00103175" w:rsidP="00F947FE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18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редневзвешенная специфическая степень риска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станавливается на основе следующей формулы:</w:t>
      </w:r>
    </w:p>
    <w:p w:rsidR="00103175" w:rsidRDefault="00103175" w:rsidP="0010317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</w:p>
    <w:p w:rsidR="00103175" w:rsidRPr="00944385" w:rsidRDefault="00103175" w:rsidP="0010317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Rg</w:t>
      </w:r>
      <w:r w:rsidRPr="00B14A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= (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W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1</w:t>
      </w:r>
      <w:r w:rsidRPr="00F803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R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 xml:space="preserve">1 </w:t>
      </w:r>
      <w:r w:rsidRPr="00B14A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W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2</w:t>
      </w:r>
      <w:r w:rsidRPr="00F803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R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 xml:space="preserve">2 </w:t>
      </w:r>
      <w:r w:rsidRPr="00B14A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W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3</w:t>
      </w:r>
      <w:r w:rsidRPr="00F803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R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3</w:t>
      </w:r>
      <w:r w:rsidRPr="00B14A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W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4</w:t>
      </w:r>
      <w:r w:rsidRPr="00F803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R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4</w:t>
      </w:r>
      <w:r w:rsidRPr="00B14A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W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5</w:t>
      </w:r>
      <w:r w:rsidRPr="00F803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R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5</w:t>
      </w:r>
      <w:r w:rsidRPr="00B14A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W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6</w:t>
      </w:r>
      <w:r w:rsidRPr="00F803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R</w:t>
      </w:r>
      <w:r w:rsidRPr="00B14A4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6</w:t>
      </w:r>
      <w:r w:rsidRPr="00B14A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)*200</w:t>
      </w:r>
      <w:r w:rsidRPr="0094438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</w:p>
    <w:p w:rsidR="00103175" w:rsidRPr="00944385" w:rsidRDefault="00103175" w:rsidP="00103175">
      <w:pPr>
        <w:spacing w:after="0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175" w:rsidRPr="00B14A4C" w:rsidRDefault="00103175" w:rsidP="00103175">
      <w:pPr>
        <w:spacing w:after="0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где:</w:t>
      </w:r>
    </w:p>
    <w:p w:rsidR="00103175" w:rsidRPr="00B14A4C" w:rsidRDefault="00103175" w:rsidP="00103175">
      <w:pPr>
        <w:spacing w:after="0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Rg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общая степень риска, связанного с потенциальным предметом контроля;</w:t>
      </w: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1, 2, 3, 4, 5, 6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- критерии риска;</w:t>
      </w: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w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весомость каждого критерия риска, где сумма индивидуальных значений весомости будет равна единице;</w:t>
      </w: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R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уровень риска для каждого критерия.</w:t>
      </w: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19.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После применения формулы общий риск будет варьироваться от 200 до 1000 единиц,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 этом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лица, которым присуждаются 200 единиц, соотносятся с низким риском.</w:t>
      </w:r>
      <w:bookmarkStart w:id="0" w:name="_GoBack"/>
      <w:bookmarkEnd w:id="0"/>
    </w:p>
    <w:p w:rsidR="00103175" w:rsidRPr="00103175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20.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зависимости от полученного балла в результате применения формулы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экономические агенты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упорядочиваются таким образом,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чтобы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в верхней части наход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ились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лица, которы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 присужден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максимальн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ый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балл (1000 единиц).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Экономические агенты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верхней части списка ассоциируются с более высоким риском и подлежат проверке в приоритетном порядке.</w:t>
      </w:r>
    </w:p>
    <w:p w:rsidR="00103175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21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На основе классификации Инспекция составляет проект графика плановых квартальных проверок, которые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правляются для регистрации Государственной канцелярии в порядке и сроки, установленные Правительством.</w:t>
      </w:r>
    </w:p>
    <w:p w:rsidR="00103175" w:rsidRDefault="00103175" w:rsidP="001031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22.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Классификация использ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уется Инспекцией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установления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рекомендуемой частоты проверок для каждого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экономического 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Рекомендуемая частота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применяется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для установления приоритет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ности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внезапного контроля в случае, когда одновременно несколько предприятий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соответствуют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основания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условия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, установленны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статьей 19 Закона о государственном контроле предпринимательской деятельности    № 131 от 8 июня 2012 года.</w:t>
      </w:r>
    </w:p>
    <w:p w:rsidR="00103175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B14A4C" w:rsidRDefault="00103175" w:rsidP="00103175">
      <w:pPr>
        <w:spacing w:after="0"/>
        <w:jc w:val="both"/>
        <w:textAlignment w:val="top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23.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конце периода, на который было осуществлено планирование, Инспекция разрабатывает отчет, в котором определена весомость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экономических агентов,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подлежащих проверке от общего числа, и на основе информации, собранной в ходе проверки, при необходимости, будут изменены ранее присужденные баллы вследствие изменения ситуации с момента последней проведенной проверки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обнов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ления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данны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х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каждого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экономического 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03175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103175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VI.Создание и поддержка информационных систем,</w:t>
      </w: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необходимых для использования критериев риска</w:t>
      </w:r>
    </w:p>
    <w:p w:rsidR="00103175" w:rsidRPr="00B14A4C" w:rsidRDefault="00103175" w:rsidP="00103175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103175" w:rsidRPr="00B14A4C" w:rsidRDefault="00103175" w:rsidP="00103175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24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Для разработки и поддержания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классификации экономических агентов на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основе представленных рисков Инспекция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ведет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базу данных, которая  отража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т как минимум:</w:t>
      </w:r>
    </w:p>
    <w:p w:rsidR="00103175" w:rsidRPr="00B14A4C" w:rsidRDefault="00103175" w:rsidP="00103175">
      <w:pPr>
        <w:tabs>
          <w:tab w:val="left" w:pos="1134"/>
        </w:tabs>
        <w:spacing w:after="0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1)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список всех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экономических агентов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, подлежащих контролю, с личными идентификационными данными;</w:t>
      </w:r>
    </w:p>
    <w:p w:rsidR="00103175" w:rsidRPr="00B14A4C" w:rsidRDefault="00103175" w:rsidP="00103175">
      <w:pPr>
        <w:tabs>
          <w:tab w:val="left" w:pos="1134"/>
        </w:tabs>
        <w:spacing w:after="0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2)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историю деятельности по  контролю;</w:t>
      </w:r>
    </w:p>
    <w:p w:rsidR="00103175" w:rsidRPr="00B14A4C" w:rsidRDefault="00103175" w:rsidP="00103175">
      <w:pPr>
        <w:tabs>
          <w:tab w:val="left" w:pos="1134"/>
        </w:tabs>
        <w:spacing w:after="0"/>
        <w:textAlignment w:val="top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3) 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профиль каждого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экономического 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 информацией, соответствующей критериям риска, используемой для классификации данного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агента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т.д.</w:t>
      </w:r>
    </w:p>
    <w:p w:rsidR="00103175" w:rsidRDefault="00103175" w:rsidP="00103175">
      <w:pPr>
        <w:spacing w:after="0"/>
        <w:textAlignment w:val="top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03175" w:rsidRPr="00E800F8" w:rsidRDefault="00103175" w:rsidP="00103175">
      <w:pPr>
        <w:spacing w:after="0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B14A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25</w:t>
      </w:r>
      <w:r w:rsidRPr="00B14A4C">
        <w:rPr>
          <w:rFonts w:ascii="Times New Roman" w:eastAsia="Times New Roman" w:hAnsi="Times New Roman"/>
          <w:sz w:val="28"/>
          <w:szCs w:val="28"/>
          <w:lang w:val="ru-RU" w:eastAsia="ru-RU"/>
        </w:rPr>
        <w:t>. Инспекция пересматривает и обновляет информацию, необходимую для применения критериев риска, не реже одного раза в год.</w:t>
      </w:r>
    </w:p>
    <w:p w:rsidR="00685E78" w:rsidRPr="00103175" w:rsidRDefault="00685E78" w:rsidP="00103175">
      <w:pPr>
        <w:spacing w:after="0"/>
        <w:rPr>
          <w:lang w:val="ru-RU"/>
        </w:rPr>
      </w:pPr>
    </w:p>
    <w:sectPr w:rsidR="00685E78" w:rsidRPr="00103175" w:rsidSect="00E800F8">
      <w:headerReference w:type="default" r:id="rId6"/>
      <w:footerReference w:type="default" r:id="rId7"/>
      <w:footerReference w:type="first" r:id="rId8"/>
      <w:pgSz w:w="11906" w:h="16838" w:code="9"/>
      <w:pgMar w:top="1418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60F" w:rsidRDefault="00F8560F" w:rsidP="00103175">
      <w:pPr>
        <w:spacing w:after="0" w:line="240" w:lineRule="auto"/>
      </w:pPr>
      <w:r>
        <w:separator/>
      </w:r>
    </w:p>
  </w:endnote>
  <w:endnote w:type="continuationSeparator" w:id="1">
    <w:p w:rsidR="00F8560F" w:rsidRDefault="00F8560F" w:rsidP="0010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8D" w:rsidRPr="00E800F8" w:rsidRDefault="00F8560F" w:rsidP="00E800F8">
    <w:pPr>
      <w:pStyle w:val="Footer"/>
      <w:ind w:firstLine="0"/>
      <w:rPr>
        <w:rFonts w:ascii="Times New Roman" w:hAnsi="Times New Roman"/>
        <w:sz w:val="16"/>
        <w:szCs w:val="16"/>
      </w:rPr>
    </w:pPr>
  </w:p>
  <w:p w:rsidR="00746E8D" w:rsidRDefault="00F856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8D" w:rsidRPr="00E800F8" w:rsidRDefault="00550F9D" w:rsidP="00E800F8">
    <w:pPr>
      <w:pStyle w:val="Footer"/>
      <w:ind w:firstLine="0"/>
      <w:rPr>
        <w:rFonts w:ascii="Times New Roman" w:hAnsi="Times New Roman"/>
        <w:sz w:val="16"/>
        <w:szCs w:val="16"/>
      </w:rPr>
    </w:pPr>
    <w:fldSimple w:instr=" FILENAME  \p  \* MERGEFORMAT ">
      <w:r w:rsidR="00685E78">
        <w:rPr>
          <w:rFonts w:ascii="Times New Roman" w:hAnsi="Times New Roman"/>
          <w:noProof/>
          <w:sz w:val="16"/>
          <w:szCs w:val="16"/>
        </w:rPr>
        <w:t>Z:\Vera\DOC_2014\Hotariri\Metodolog_prom_bezop.docx</w:t>
      </w:r>
    </w:fldSimple>
  </w:p>
  <w:p w:rsidR="00746E8D" w:rsidRDefault="00F856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60F" w:rsidRDefault="00F8560F" w:rsidP="00103175">
      <w:pPr>
        <w:spacing w:after="0" w:line="240" w:lineRule="auto"/>
      </w:pPr>
      <w:r>
        <w:separator/>
      </w:r>
    </w:p>
  </w:footnote>
  <w:footnote w:type="continuationSeparator" w:id="1">
    <w:p w:rsidR="00F8560F" w:rsidRDefault="00F8560F" w:rsidP="0010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8D" w:rsidRDefault="00550F9D">
    <w:pPr>
      <w:pStyle w:val="Header"/>
      <w:jc w:val="center"/>
    </w:pPr>
    <w:r>
      <w:fldChar w:fldCharType="begin"/>
    </w:r>
    <w:r w:rsidR="00685E78">
      <w:instrText>PAGE   \* MERGEFORMAT</w:instrText>
    </w:r>
    <w:r>
      <w:fldChar w:fldCharType="separate"/>
    </w:r>
    <w:r w:rsidR="00F947FE">
      <w:rPr>
        <w:noProof/>
      </w:rPr>
      <w:t>9</w:t>
    </w:r>
    <w:r>
      <w:fldChar w:fldCharType="end"/>
    </w:r>
  </w:p>
  <w:p w:rsidR="00746E8D" w:rsidRDefault="00F856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175"/>
    <w:rsid w:val="00103175"/>
    <w:rsid w:val="00550F9D"/>
    <w:rsid w:val="00685E78"/>
    <w:rsid w:val="00F8560F"/>
    <w:rsid w:val="00F9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17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103175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0317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103175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2052</Words>
  <Characters>11702</Characters>
  <Application>Microsoft Office Word</Application>
  <DocSecurity>0</DocSecurity>
  <Lines>97</Lines>
  <Paragraphs>27</Paragraphs>
  <ScaleCrop>false</ScaleCrop>
  <Company/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2014-06-05T07:29:00Z</dcterms:created>
  <dcterms:modified xsi:type="dcterms:W3CDTF">2014-06-05T07:29:00Z</dcterms:modified>
</cp:coreProperties>
</file>