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D9A" w:rsidRDefault="00635D9A" w:rsidP="00552C6A">
      <w:pPr>
        <w:pStyle w:val="rg"/>
        <w:rPr>
          <w:lang w:val="en-US"/>
        </w:rPr>
      </w:pPr>
    </w:p>
    <w:p w:rsidR="00635D9A" w:rsidRPr="00F558FD" w:rsidRDefault="00635D9A" w:rsidP="00552C6A">
      <w:pPr>
        <w:pStyle w:val="rg"/>
        <w:rPr>
          <w:lang w:val="en-US"/>
        </w:rPr>
      </w:pPr>
      <w:r>
        <w:rPr>
          <w:lang w:val="en-US"/>
        </w:rPr>
        <w:t>Anexa nr.5</w:t>
      </w:r>
    </w:p>
    <w:p w:rsidR="00635D9A" w:rsidRPr="00F558FD" w:rsidRDefault="00635D9A" w:rsidP="00552C6A">
      <w:pPr>
        <w:pStyle w:val="rg"/>
        <w:rPr>
          <w:lang w:val="en-US"/>
        </w:rPr>
      </w:pPr>
      <w:smartTag w:uri="urn:schemas-microsoft-com:office:smarttags" w:element="PersonName">
        <w:smartTagPr>
          <w:attr w:name="ProductID" w:val="la Instrucţiunea"/>
        </w:smartTagPr>
        <w:r w:rsidRPr="00F558FD">
          <w:rPr>
            <w:lang w:val="en-US"/>
          </w:rPr>
          <w:t>la Instrucţiunea</w:t>
        </w:r>
      </w:smartTag>
      <w:r>
        <w:rPr>
          <w:lang w:val="en-US"/>
        </w:rPr>
        <w:t xml:space="preserve"> privind modul de întocmire</w:t>
      </w:r>
    </w:p>
    <w:p w:rsidR="00635D9A" w:rsidRPr="00F558FD" w:rsidRDefault="00635D9A" w:rsidP="00552C6A">
      <w:pPr>
        <w:pStyle w:val="rg"/>
        <w:rPr>
          <w:lang w:val="en-US"/>
        </w:rPr>
      </w:pPr>
      <w:r w:rsidRPr="00F558FD">
        <w:rPr>
          <w:lang w:val="en-US"/>
        </w:rPr>
        <w:t>şi prezenta</w:t>
      </w:r>
      <w:r>
        <w:rPr>
          <w:lang w:val="en-US"/>
        </w:rPr>
        <w:t>re de către bănci a rapoartelor</w:t>
      </w:r>
    </w:p>
    <w:p w:rsidR="00635D9A" w:rsidRDefault="00635D9A" w:rsidP="00552C6A">
      <w:pPr>
        <w:pStyle w:val="NormalWeb"/>
        <w:jc w:val="right"/>
        <w:rPr>
          <w:lang w:val="en-US"/>
        </w:rPr>
      </w:pPr>
      <w:r w:rsidRPr="00F558FD">
        <w:rPr>
          <w:lang w:val="en-US"/>
        </w:rPr>
        <w:t>în scopuri prudenţiale</w:t>
      </w:r>
    </w:p>
    <w:p w:rsidR="00635D9A" w:rsidRDefault="00635D9A" w:rsidP="00552C6A">
      <w:pPr>
        <w:pStyle w:val="NormalWeb"/>
        <w:jc w:val="right"/>
        <w:rPr>
          <w:lang w:val="en-US"/>
        </w:rPr>
      </w:pPr>
    </w:p>
    <w:p w:rsidR="00635D9A" w:rsidRDefault="00635D9A" w:rsidP="00552C6A">
      <w:pPr>
        <w:pStyle w:val="NormalWeb"/>
        <w:jc w:val="right"/>
      </w:pPr>
    </w:p>
    <w:p w:rsidR="00635D9A" w:rsidRPr="00856B03" w:rsidRDefault="00635D9A" w:rsidP="00552C6A">
      <w:pPr>
        <w:tabs>
          <w:tab w:val="left" w:pos="1008"/>
          <w:tab w:val="left" w:pos="1446"/>
          <w:tab w:val="left" w:pos="8208"/>
        </w:tabs>
        <w:ind w:left="7380" w:right="-6"/>
        <w:jc w:val="right"/>
        <w:rPr>
          <w:b/>
          <w:bCs/>
          <w:color w:val="000000"/>
          <w:sz w:val="20"/>
          <w:szCs w:val="20"/>
        </w:rPr>
      </w:pPr>
      <w:r w:rsidRPr="00856B03">
        <w:rPr>
          <w:b/>
          <w:bCs/>
          <w:color w:val="000000"/>
          <w:sz w:val="20"/>
          <w:szCs w:val="20"/>
        </w:rPr>
        <w:t>ORD 0311</w:t>
      </w:r>
    </w:p>
    <w:p w:rsidR="00635D9A" w:rsidRPr="00856B03" w:rsidRDefault="00635D9A" w:rsidP="00552C6A">
      <w:pPr>
        <w:tabs>
          <w:tab w:val="left" w:pos="1008"/>
          <w:tab w:val="left" w:pos="1446"/>
          <w:tab w:val="left" w:pos="8208"/>
        </w:tabs>
        <w:ind w:left="7380" w:right="-6"/>
        <w:jc w:val="right"/>
        <w:rPr>
          <w:b/>
          <w:bCs/>
          <w:color w:val="000000"/>
          <w:sz w:val="20"/>
          <w:szCs w:val="20"/>
        </w:rPr>
      </w:pPr>
      <w:r w:rsidRPr="00856B03">
        <w:rPr>
          <w:b/>
          <w:bCs/>
          <w:color w:val="000000"/>
          <w:sz w:val="20"/>
          <w:szCs w:val="20"/>
        </w:rPr>
        <w:t>codul formularului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tblGrid>
      <w:tr w:rsidR="00635D9A" w:rsidRPr="00856B03" w:rsidTr="007B5370">
        <w:tc>
          <w:tcPr>
            <w:tcW w:w="1368" w:type="dxa"/>
          </w:tcPr>
          <w:p w:rsidR="00635D9A" w:rsidRPr="00856B03" w:rsidRDefault="00635D9A" w:rsidP="007B5370">
            <w:pPr>
              <w:tabs>
                <w:tab w:val="left" w:pos="1008"/>
                <w:tab w:val="left" w:pos="1446"/>
                <w:tab w:val="left" w:pos="8208"/>
                <w:tab w:val="left" w:pos="9828"/>
              </w:tabs>
              <w:rPr>
                <w:color w:val="000000"/>
                <w:sz w:val="18"/>
                <w:szCs w:val="18"/>
              </w:rPr>
            </w:pPr>
          </w:p>
        </w:tc>
      </w:tr>
    </w:tbl>
    <w:p w:rsidR="00635D9A" w:rsidRPr="00856B03" w:rsidRDefault="00635D9A" w:rsidP="000A197C">
      <w:pPr>
        <w:tabs>
          <w:tab w:val="left" w:pos="1008"/>
          <w:tab w:val="left" w:pos="1446"/>
          <w:tab w:val="left" w:pos="8208"/>
          <w:tab w:val="left" w:pos="9828"/>
        </w:tabs>
        <w:rPr>
          <w:color w:val="000000"/>
          <w:sz w:val="18"/>
          <w:szCs w:val="18"/>
        </w:rPr>
      </w:pPr>
      <w:r w:rsidRPr="00856B03">
        <w:rPr>
          <w:color w:val="000000"/>
          <w:sz w:val="18"/>
          <w:szCs w:val="18"/>
        </w:rPr>
        <w:t>codul băncii</w:t>
      </w:r>
    </w:p>
    <w:p w:rsidR="00635D9A" w:rsidRPr="00856B03" w:rsidRDefault="00635D9A" w:rsidP="000A197C"/>
    <w:p w:rsidR="00635D9A" w:rsidRPr="00856B03" w:rsidRDefault="00635D9A" w:rsidP="000A197C">
      <w:pPr>
        <w:rPr>
          <w:b/>
          <w:bCs/>
        </w:rPr>
      </w:pPr>
      <w:r w:rsidRPr="00856B03">
        <w:rPr>
          <w:b/>
        </w:rPr>
        <w:t xml:space="preserve">ORD 3.11 </w:t>
      </w:r>
      <w:r w:rsidRPr="00856B03">
        <w:rPr>
          <w:b/>
          <w:bCs/>
        </w:rPr>
        <w:t>Calculul capitalului normativ total</w:t>
      </w:r>
    </w:p>
    <w:p w:rsidR="00635D9A" w:rsidRPr="00856B03" w:rsidRDefault="00635D9A" w:rsidP="000A197C">
      <w:pPr>
        <w:rPr>
          <w:sz w:val="28"/>
        </w:rPr>
      </w:pPr>
      <w:r w:rsidRPr="00856B03">
        <w:rPr>
          <w:bCs/>
        </w:rPr>
        <w:t>la situaţia din _____________20__</w:t>
      </w:r>
    </w:p>
    <w:p w:rsidR="00635D9A" w:rsidRPr="00856B03" w:rsidRDefault="00635D9A" w:rsidP="000A197C">
      <w:pPr>
        <w:ind w:right="-263"/>
        <w:jc w:val="right"/>
        <w:rPr>
          <w:sz w:val="20"/>
          <w:szCs w:val="20"/>
        </w:rPr>
      </w:pPr>
      <w:r w:rsidRPr="00856B03">
        <w:rPr>
          <w:sz w:val="20"/>
          <w:szCs w:val="20"/>
        </w:rPr>
        <w:t xml:space="preserve"> (001-lei)</w:t>
      </w:r>
    </w:p>
    <w:tbl>
      <w:tblPr>
        <w:tblW w:w="10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1021"/>
        <w:gridCol w:w="680"/>
        <w:gridCol w:w="7277"/>
        <w:gridCol w:w="1335"/>
      </w:tblGrid>
      <w:tr w:rsidR="00635D9A" w:rsidRPr="00856B03" w:rsidTr="007B5370">
        <w:trPr>
          <w:jc w:val="center"/>
        </w:trPr>
        <w:tc>
          <w:tcPr>
            <w:tcW w:w="1021" w:type="dxa"/>
          </w:tcPr>
          <w:p w:rsidR="00635D9A" w:rsidRPr="00856B03" w:rsidRDefault="00635D9A" w:rsidP="007B5370">
            <w:pPr>
              <w:jc w:val="center"/>
              <w:rPr>
                <w:bCs/>
                <w:sz w:val="20"/>
                <w:szCs w:val="20"/>
              </w:rPr>
            </w:pPr>
            <w:r w:rsidRPr="00856B03">
              <w:rPr>
                <w:bCs/>
                <w:sz w:val="20"/>
                <w:szCs w:val="20"/>
              </w:rPr>
              <w:t>Nr.</w:t>
            </w:r>
          </w:p>
          <w:p w:rsidR="00635D9A" w:rsidRPr="00856B03" w:rsidRDefault="00635D9A" w:rsidP="007B5370">
            <w:pPr>
              <w:ind w:right="-92"/>
              <w:jc w:val="center"/>
              <w:rPr>
                <w:bCs/>
                <w:sz w:val="20"/>
                <w:szCs w:val="20"/>
              </w:rPr>
            </w:pPr>
            <w:r w:rsidRPr="00856B03">
              <w:rPr>
                <w:bCs/>
                <w:sz w:val="20"/>
                <w:szCs w:val="20"/>
              </w:rPr>
              <w:t>Comparti-mentului</w:t>
            </w:r>
          </w:p>
        </w:tc>
        <w:tc>
          <w:tcPr>
            <w:tcW w:w="680" w:type="dxa"/>
          </w:tcPr>
          <w:p w:rsidR="00635D9A" w:rsidRPr="00856B03" w:rsidRDefault="00635D9A" w:rsidP="007B5370">
            <w:pPr>
              <w:jc w:val="center"/>
              <w:rPr>
                <w:bCs/>
                <w:sz w:val="20"/>
                <w:szCs w:val="20"/>
              </w:rPr>
            </w:pPr>
            <w:r w:rsidRPr="00856B03">
              <w:rPr>
                <w:bCs/>
                <w:sz w:val="20"/>
                <w:szCs w:val="20"/>
              </w:rPr>
              <w:t>Nr.</w:t>
            </w:r>
          </w:p>
          <w:p w:rsidR="00635D9A" w:rsidRPr="00856B03" w:rsidRDefault="00635D9A" w:rsidP="007B5370">
            <w:pPr>
              <w:jc w:val="center"/>
              <w:rPr>
                <w:bCs/>
                <w:sz w:val="20"/>
                <w:szCs w:val="20"/>
              </w:rPr>
            </w:pPr>
            <w:r w:rsidRPr="00856B03">
              <w:rPr>
                <w:bCs/>
                <w:sz w:val="20"/>
                <w:szCs w:val="20"/>
              </w:rPr>
              <w:t>d/o</w:t>
            </w:r>
          </w:p>
        </w:tc>
        <w:tc>
          <w:tcPr>
            <w:tcW w:w="7277" w:type="dxa"/>
          </w:tcPr>
          <w:p w:rsidR="00635D9A" w:rsidRPr="00856B03" w:rsidRDefault="00635D9A" w:rsidP="007B5370">
            <w:pPr>
              <w:jc w:val="center"/>
              <w:rPr>
                <w:bCs/>
                <w:sz w:val="20"/>
                <w:szCs w:val="20"/>
              </w:rPr>
            </w:pPr>
            <w:r w:rsidRPr="00856B03">
              <w:rPr>
                <w:bCs/>
                <w:sz w:val="20"/>
                <w:szCs w:val="20"/>
              </w:rPr>
              <w:t>Denumirea indicatorilor</w:t>
            </w:r>
          </w:p>
        </w:tc>
        <w:tc>
          <w:tcPr>
            <w:tcW w:w="1335" w:type="dxa"/>
          </w:tcPr>
          <w:p w:rsidR="00635D9A" w:rsidRPr="00856B03" w:rsidRDefault="00635D9A" w:rsidP="007B5370">
            <w:pPr>
              <w:jc w:val="center"/>
              <w:rPr>
                <w:bCs/>
                <w:sz w:val="20"/>
                <w:szCs w:val="20"/>
              </w:rPr>
            </w:pPr>
            <w:r w:rsidRPr="00856B03">
              <w:rPr>
                <w:bCs/>
                <w:sz w:val="20"/>
                <w:szCs w:val="20"/>
              </w:rPr>
              <w:t>Suma</w:t>
            </w:r>
          </w:p>
        </w:tc>
      </w:tr>
      <w:tr w:rsidR="00635D9A" w:rsidRPr="00856B03" w:rsidTr="007B5370">
        <w:trPr>
          <w:jc w:val="center"/>
        </w:trPr>
        <w:tc>
          <w:tcPr>
            <w:tcW w:w="1021" w:type="dxa"/>
          </w:tcPr>
          <w:p w:rsidR="00635D9A" w:rsidRPr="00856B03" w:rsidRDefault="00635D9A" w:rsidP="007B5370">
            <w:pPr>
              <w:jc w:val="center"/>
              <w:rPr>
                <w:b/>
                <w:bCs/>
                <w:sz w:val="20"/>
                <w:szCs w:val="20"/>
              </w:rPr>
            </w:pPr>
            <w:r w:rsidRPr="00856B03">
              <w:rPr>
                <w:b/>
                <w:bCs/>
                <w:sz w:val="20"/>
                <w:szCs w:val="20"/>
              </w:rPr>
              <w:t>A</w:t>
            </w:r>
          </w:p>
        </w:tc>
        <w:tc>
          <w:tcPr>
            <w:tcW w:w="680" w:type="dxa"/>
          </w:tcPr>
          <w:p w:rsidR="00635D9A" w:rsidRPr="00856B03" w:rsidRDefault="00635D9A" w:rsidP="007B5370">
            <w:pPr>
              <w:jc w:val="center"/>
              <w:rPr>
                <w:b/>
                <w:bCs/>
                <w:sz w:val="20"/>
                <w:szCs w:val="20"/>
              </w:rPr>
            </w:pPr>
            <w:r w:rsidRPr="00856B03">
              <w:rPr>
                <w:b/>
                <w:bCs/>
                <w:sz w:val="20"/>
                <w:szCs w:val="20"/>
              </w:rPr>
              <w:t>B</w:t>
            </w:r>
          </w:p>
        </w:tc>
        <w:tc>
          <w:tcPr>
            <w:tcW w:w="7277" w:type="dxa"/>
          </w:tcPr>
          <w:p w:rsidR="00635D9A" w:rsidRPr="00856B03" w:rsidRDefault="00635D9A" w:rsidP="007B5370">
            <w:pPr>
              <w:jc w:val="center"/>
              <w:rPr>
                <w:b/>
                <w:bCs/>
                <w:sz w:val="20"/>
                <w:szCs w:val="20"/>
              </w:rPr>
            </w:pPr>
            <w:r w:rsidRPr="00856B03">
              <w:rPr>
                <w:b/>
                <w:bCs/>
                <w:sz w:val="20"/>
                <w:szCs w:val="20"/>
              </w:rPr>
              <w:t>C</w:t>
            </w:r>
          </w:p>
        </w:tc>
        <w:tc>
          <w:tcPr>
            <w:tcW w:w="1335" w:type="dxa"/>
          </w:tcPr>
          <w:p w:rsidR="00635D9A" w:rsidRPr="00856B03" w:rsidRDefault="00635D9A" w:rsidP="007B5370">
            <w:pPr>
              <w:jc w:val="center"/>
              <w:rPr>
                <w:b/>
                <w:bCs/>
                <w:sz w:val="20"/>
                <w:szCs w:val="20"/>
              </w:rPr>
            </w:pPr>
            <w:r w:rsidRPr="00856B03">
              <w:rPr>
                <w:b/>
                <w:bCs/>
                <w:sz w:val="20"/>
                <w:szCs w:val="20"/>
              </w:rPr>
              <w:t>1</w:t>
            </w:r>
          </w:p>
        </w:tc>
      </w:tr>
      <w:tr w:rsidR="00635D9A" w:rsidRPr="00856B03" w:rsidTr="007B5370">
        <w:trPr>
          <w:jc w:val="center"/>
        </w:trPr>
        <w:tc>
          <w:tcPr>
            <w:tcW w:w="1021" w:type="dxa"/>
          </w:tcPr>
          <w:p w:rsidR="00635D9A" w:rsidRPr="00856B03" w:rsidRDefault="00635D9A" w:rsidP="007B5370">
            <w:pPr>
              <w:jc w:val="center"/>
              <w:rPr>
                <w:b/>
                <w:iCs/>
                <w:sz w:val="20"/>
                <w:szCs w:val="20"/>
              </w:rPr>
            </w:pPr>
            <w:r w:rsidRPr="00856B03">
              <w:rPr>
                <w:b/>
                <w:iCs/>
                <w:sz w:val="20"/>
                <w:szCs w:val="20"/>
              </w:rPr>
              <w:t>1</w:t>
            </w:r>
          </w:p>
        </w:tc>
        <w:tc>
          <w:tcPr>
            <w:tcW w:w="680" w:type="dxa"/>
          </w:tcPr>
          <w:p w:rsidR="00635D9A" w:rsidRPr="00856B03" w:rsidRDefault="00635D9A" w:rsidP="007B5370">
            <w:pPr>
              <w:jc w:val="center"/>
              <w:rPr>
                <w:b/>
                <w:iCs/>
                <w:sz w:val="20"/>
                <w:szCs w:val="20"/>
              </w:rPr>
            </w:pPr>
            <w:r w:rsidRPr="00856B03">
              <w:rPr>
                <w:b/>
                <w:iCs/>
                <w:sz w:val="20"/>
                <w:szCs w:val="20"/>
              </w:rPr>
              <w:t>0</w:t>
            </w:r>
          </w:p>
        </w:tc>
        <w:tc>
          <w:tcPr>
            <w:tcW w:w="7277" w:type="dxa"/>
          </w:tcPr>
          <w:p w:rsidR="00635D9A" w:rsidRPr="00856B03" w:rsidRDefault="00635D9A" w:rsidP="007B5370">
            <w:pPr>
              <w:rPr>
                <w:b/>
                <w:iCs/>
                <w:sz w:val="20"/>
                <w:szCs w:val="20"/>
              </w:rPr>
            </w:pPr>
            <w:r w:rsidRPr="00856B03">
              <w:rPr>
                <w:b/>
                <w:iCs/>
                <w:sz w:val="20"/>
                <w:szCs w:val="20"/>
              </w:rPr>
              <w:t>Capitalul de gradul I</w:t>
            </w:r>
          </w:p>
        </w:tc>
        <w:tc>
          <w:tcPr>
            <w:tcW w:w="1335" w:type="dxa"/>
          </w:tcPr>
          <w:p w:rsidR="00635D9A" w:rsidRPr="00856B03" w:rsidRDefault="00635D9A" w:rsidP="007B5370">
            <w:pPr>
              <w:pStyle w:val="Heading2"/>
              <w:spacing w:before="0" w:after="0"/>
              <w:jc w:val="center"/>
              <w:rPr>
                <w:rFonts w:ascii="Times New Roman" w:hAnsi="Times New Roman" w:cs="Times New Roman"/>
                <w:i w:val="0"/>
                <w:iCs w:val="0"/>
                <w:strike/>
                <w:sz w:val="20"/>
                <w:szCs w:val="20"/>
              </w:rPr>
            </w:pPr>
          </w:p>
        </w:tc>
      </w:tr>
      <w:tr w:rsidR="00635D9A" w:rsidRPr="00856B03" w:rsidTr="007B5370">
        <w:trPr>
          <w:jc w:val="center"/>
        </w:trPr>
        <w:tc>
          <w:tcPr>
            <w:tcW w:w="1021" w:type="dxa"/>
          </w:tcPr>
          <w:p w:rsidR="00635D9A" w:rsidRPr="00856B03" w:rsidRDefault="00635D9A" w:rsidP="007B5370">
            <w:pPr>
              <w:jc w:val="center"/>
              <w:rPr>
                <w:sz w:val="20"/>
                <w:szCs w:val="20"/>
              </w:rPr>
            </w:pPr>
          </w:p>
        </w:tc>
        <w:tc>
          <w:tcPr>
            <w:tcW w:w="680" w:type="dxa"/>
          </w:tcPr>
          <w:p w:rsidR="00635D9A" w:rsidRPr="00856B03" w:rsidRDefault="00635D9A" w:rsidP="007B5370">
            <w:pPr>
              <w:jc w:val="center"/>
              <w:rPr>
                <w:sz w:val="20"/>
                <w:szCs w:val="20"/>
              </w:rPr>
            </w:pPr>
            <w:r w:rsidRPr="00856B03">
              <w:rPr>
                <w:sz w:val="20"/>
                <w:szCs w:val="20"/>
              </w:rPr>
              <w:t>1</w:t>
            </w:r>
          </w:p>
        </w:tc>
        <w:tc>
          <w:tcPr>
            <w:tcW w:w="7277" w:type="dxa"/>
          </w:tcPr>
          <w:p w:rsidR="00635D9A" w:rsidRPr="00856B03" w:rsidRDefault="00635D9A" w:rsidP="007B5370">
            <w:pPr>
              <w:rPr>
                <w:sz w:val="20"/>
                <w:szCs w:val="20"/>
              </w:rPr>
            </w:pPr>
            <w:r w:rsidRPr="00856B03">
              <w:rPr>
                <w:sz w:val="20"/>
                <w:szCs w:val="20"/>
              </w:rPr>
              <w:t xml:space="preserve">Acţiuni ordinare </w:t>
            </w:r>
          </w:p>
        </w:tc>
        <w:tc>
          <w:tcPr>
            <w:tcW w:w="1335" w:type="dxa"/>
          </w:tcPr>
          <w:p w:rsidR="00635D9A" w:rsidRPr="00856B03" w:rsidRDefault="00635D9A" w:rsidP="007B5370">
            <w:pPr>
              <w:rPr>
                <w:sz w:val="20"/>
                <w:szCs w:val="20"/>
              </w:rPr>
            </w:pPr>
          </w:p>
        </w:tc>
      </w:tr>
      <w:tr w:rsidR="00635D9A" w:rsidRPr="00552C6A" w:rsidTr="007B5370">
        <w:trPr>
          <w:jc w:val="center"/>
        </w:trPr>
        <w:tc>
          <w:tcPr>
            <w:tcW w:w="1021" w:type="dxa"/>
          </w:tcPr>
          <w:p w:rsidR="00635D9A" w:rsidRPr="00856B03" w:rsidRDefault="00635D9A" w:rsidP="007B5370">
            <w:pPr>
              <w:jc w:val="center"/>
              <w:rPr>
                <w:sz w:val="20"/>
                <w:szCs w:val="20"/>
              </w:rPr>
            </w:pPr>
          </w:p>
        </w:tc>
        <w:tc>
          <w:tcPr>
            <w:tcW w:w="680" w:type="dxa"/>
          </w:tcPr>
          <w:p w:rsidR="00635D9A" w:rsidRPr="00856B03" w:rsidRDefault="00635D9A" w:rsidP="007B5370">
            <w:pPr>
              <w:jc w:val="center"/>
              <w:rPr>
                <w:sz w:val="20"/>
                <w:szCs w:val="20"/>
              </w:rPr>
            </w:pPr>
            <w:r w:rsidRPr="00856B03">
              <w:rPr>
                <w:sz w:val="20"/>
                <w:szCs w:val="20"/>
              </w:rPr>
              <w:t>2</w:t>
            </w:r>
          </w:p>
        </w:tc>
        <w:tc>
          <w:tcPr>
            <w:tcW w:w="7277" w:type="dxa"/>
          </w:tcPr>
          <w:p w:rsidR="00635D9A" w:rsidRPr="000A197C" w:rsidRDefault="00635D9A" w:rsidP="007B5370">
            <w:pPr>
              <w:rPr>
                <w:sz w:val="20"/>
                <w:szCs w:val="20"/>
                <w:lang w:val="en-US"/>
              </w:rPr>
            </w:pPr>
            <w:r w:rsidRPr="000A197C">
              <w:rPr>
                <w:sz w:val="20"/>
                <w:szCs w:val="20"/>
                <w:lang w:val="en-US"/>
              </w:rPr>
              <w:t>Acţiuni preferenţiale necumulative, emise cu termen nelimitat</w:t>
            </w:r>
          </w:p>
        </w:tc>
        <w:tc>
          <w:tcPr>
            <w:tcW w:w="1335" w:type="dxa"/>
          </w:tcPr>
          <w:p w:rsidR="00635D9A" w:rsidRPr="000A197C" w:rsidRDefault="00635D9A" w:rsidP="007B5370">
            <w:pPr>
              <w:rPr>
                <w:sz w:val="20"/>
                <w:szCs w:val="20"/>
                <w:lang w:val="en-US"/>
              </w:rPr>
            </w:pPr>
          </w:p>
        </w:tc>
      </w:tr>
      <w:tr w:rsidR="00635D9A" w:rsidRPr="00856B03" w:rsidTr="007B5370">
        <w:trPr>
          <w:jc w:val="center"/>
        </w:trPr>
        <w:tc>
          <w:tcPr>
            <w:tcW w:w="1021" w:type="dxa"/>
          </w:tcPr>
          <w:p w:rsidR="00635D9A" w:rsidRPr="000A197C" w:rsidRDefault="00635D9A" w:rsidP="007B5370">
            <w:pPr>
              <w:jc w:val="center"/>
              <w:rPr>
                <w:sz w:val="20"/>
                <w:szCs w:val="20"/>
                <w:lang w:val="en-US"/>
              </w:rPr>
            </w:pPr>
          </w:p>
        </w:tc>
        <w:tc>
          <w:tcPr>
            <w:tcW w:w="680" w:type="dxa"/>
          </w:tcPr>
          <w:p w:rsidR="00635D9A" w:rsidRPr="00856B03" w:rsidRDefault="00635D9A" w:rsidP="007B5370">
            <w:pPr>
              <w:jc w:val="center"/>
              <w:rPr>
                <w:sz w:val="20"/>
                <w:szCs w:val="20"/>
              </w:rPr>
            </w:pPr>
            <w:r w:rsidRPr="00856B03">
              <w:rPr>
                <w:sz w:val="20"/>
                <w:szCs w:val="20"/>
              </w:rPr>
              <w:t>3</w:t>
            </w:r>
          </w:p>
        </w:tc>
        <w:tc>
          <w:tcPr>
            <w:tcW w:w="7277" w:type="dxa"/>
          </w:tcPr>
          <w:p w:rsidR="00635D9A" w:rsidRPr="00856B03" w:rsidRDefault="00635D9A" w:rsidP="007B5370">
            <w:pPr>
              <w:rPr>
                <w:sz w:val="20"/>
                <w:szCs w:val="20"/>
              </w:rPr>
            </w:pPr>
            <w:r w:rsidRPr="00856B03">
              <w:rPr>
                <w:sz w:val="20"/>
                <w:szCs w:val="20"/>
              </w:rPr>
              <w:t>Surplus de capital</w:t>
            </w:r>
          </w:p>
        </w:tc>
        <w:tc>
          <w:tcPr>
            <w:tcW w:w="1335" w:type="dxa"/>
          </w:tcPr>
          <w:p w:rsidR="00635D9A" w:rsidRPr="00856B03" w:rsidRDefault="00635D9A" w:rsidP="007B5370">
            <w:pPr>
              <w:rPr>
                <w:sz w:val="20"/>
                <w:szCs w:val="20"/>
              </w:rPr>
            </w:pPr>
          </w:p>
        </w:tc>
      </w:tr>
      <w:tr w:rsidR="00635D9A" w:rsidRPr="00552C6A" w:rsidTr="007B5370">
        <w:trPr>
          <w:jc w:val="center"/>
        </w:trPr>
        <w:tc>
          <w:tcPr>
            <w:tcW w:w="1021" w:type="dxa"/>
          </w:tcPr>
          <w:p w:rsidR="00635D9A" w:rsidRPr="00856B03" w:rsidRDefault="00635D9A" w:rsidP="007B5370">
            <w:pPr>
              <w:jc w:val="center"/>
              <w:rPr>
                <w:sz w:val="20"/>
                <w:szCs w:val="20"/>
              </w:rPr>
            </w:pPr>
          </w:p>
        </w:tc>
        <w:tc>
          <w:tcPr>
            <w:tcW w:w="680" w:type="dxa"/>
          </w:tcPr>
          <w:p w:rsidR="00635D9A" w:rsidRPr="00856B03" w:rsidRDefault="00635D9A" w:rsidP="007B5370">
            <w:pPr>
              <w:jc w:val="center"/>
              <w:rPr>
                <w:sz w:val="20"/>
                <w:szCs w:val="20"/>
              </w:rPr>
            </w:pPr>
            <w:r w:rsidRPr="00856B03">
              <w:rPr>
                <w:sz w:val="20"/>
                <w:szCs w:val="20"/>
              </w:rPr>
              <w:t>4</w:t>
            </w:r>
          </w:p>
        </w:tc>
        <w:tc>
          <w:tcPr>
            <w:tcW w:w="7277" w:type="dxa"/>
          </w:tcPr>
          <w:p w:rsidR="00635D9A" w:rsidRPr="000A197C" w:rsidRDefault="00635D9A" w:rsidP="007B5370">
            <w:pPr>
              <w:rPr>
                <w:bCs/>
                <w:sz w:val="20"/>
                <w:szCs w:val="20"/>
                <w:lang w:val="en-US"/>
              </w:rPr>
            </w:pPr>
            <w:r w:rsidRPr="000A197C">
              <w:rPr>
                <w:bCs/>
                <w:sz w:val="20"/>
                <w:szCs w:val="20"/>
                <w:lang w:val="en-US"/>
              </w:rPr>
              <w:t>Profitul nedistribuit şi rezervele formate din profit</w:t>
            </w:r>
          </w:p>
        </w:tc>
        <w:tc>
          <w:tcPr>
            <w:tcW w:w="1335" w:type="dxa"/>
          </w:tcPr>
          <w:p w:rsidR="00635D9A" w:rsidRPr="000A197C" w:rsidRDefault="00635D9A" w:rsidP="007B5370">
            <w:pPr>
              <w:rPr>
                <w:sz w:val="20"/>
                <w:szCs w:val="20"/>
                <w:lang w:val="en-US"/>
              </w:rPr>
            </w:pPr>
          </w:p>
        </w:tc>
      </w:tr>
      <w:tr w:rsidR="00635D9A" w:rsidRPr="00552C6A" w:rsidTr="007B5370">
        <w:trPr>
          <w:jc w:val="center"/>
        </w:trPr>
        <w:tc>
          <w:tcPr>
            <w:tcW w:w="1021" w:type="dxa"/>
          </w:tcPr>
          <w:p w:rsidR="00635D9A" w:rsidRPr="000A197C" w:rsidRDefault="00635D9A" w:rsidP="007B5370">
            <w:pPr>
              <w:jc w:val="center"/>
              <w:rPr>
                <w:sz w:val="20"/>
                <w:szCs w:val="20"/>
                <w:lang w:val="en-US"/>
              </w:rPr>
            </w:pPr>
          </w:p>
        </w:tc>
        <w:tc>
          <w:tcPr>
            <w:tcW w:w="680" w:type="dxa"/>
          </w:tcPr>
          <w:p w:rsidR="00635D9A" w:rsidRPr="00856B03" w:rsidRDefault="00635D9A" w:rsidP="007B5370">
            <w:pPr>
              <w:jc w:val="center"/>
              <w:rPr>
                <w:sz w:val="20"/>
                <w:szCs w:val="20"/>
              </w:rPr>
            </w:pPr>
            <w:r w:rsidRPr="00856B03">
              <w:rPr>
                <w:sz w:val="20"/>
                <w:szCs w:val="20"/>
              </w:rPr>
              <w:t>5</w:t>
            </w:r>
          </w:p>
        </w:tc>
        <w:tc>
          <w:tcPr>
            <w:tcW w:w="7277" w:type="dxa"/>
          </w:tcPr>
          <w:p w:rsidR="00635D9A" w:rsidRPr="000A197C" w:rsidRDefault="00635D9A" w:rsidP="007B5370">
            <w:pPr>
              <w:rPr>
                <w:sz w:val="20"/>
                <w:szCs w:val="20"/>
                <w:lang w:val="en-US"/>
              </w:rPr>
            </w:pPr>
            <w:r w:rsidRPr="000A197C">
              <w:rPr>
                <w:sz w:val="20"/>
                <w:szCs w:val="20"/>
                <w:lang w:val="en-US"/>
              </w:rPr>
              <w:t>Minus mărimea calculată dar nerezervată a reducerilor pentru pierderi la active şi angajamente condiţionale</w:t>
            </w:r>
          </w:p>
        </w:tc>
        <w:tc>
          <w:tcPr>
            <w:tcW w:w="1335" w:type="dxa"/>
          </w:tcPr>
          <w:p w:rsidR="00635D9A" w:rsidRPr="000A197C" w:rsidRDefault="00635D9A" w:rsidP="007B5370">
            <w:pPr>
              <w:rPr>
                <w:sz w:val="20"/>
                <w:szCs w:val="20"/>
                <w:lang w:val="en-US"/>
              </w:rPr>
            </w:pPr>
          </w:p>
        </w:tc>
      </w:tr>
      <w:tr w:rsidR="00635D9A" w:rsidRPr="00856B03" w:rsidTr="007B5370">
        <w:trPr>
          <w:jc w:val="center"/>
        </w:trPr>
        <w:tc>
          <w:tcPr>
            <w:tcW w:w="1021" w:type="dxa"/>
          </w:tcPr>
          <w:p w:rsidR="00635D9A" w:rsidRPr="000A197C" w:rsidRDefault="00635D9A" w:rsidP="007B5370">
            <w:pPr>
              <w:jc w:val="center"/>
              <w:rPr>
                <w:sz w:val="20"/>
                <w:szCs w:val="20"/>
                <w:lang w:val="en-US"/>
              </w:rPr>
            </w:pPr>
          </w:p>
        </w:tc>
        <w:tc>
          <w:tcPr>
            <w:tcW w:w="680" w:type="dxa"/>
          </w:tcPr>
          <w:p w:rsidR="00635D9A" w:rsidRPr="00856B03" w:rsidRDefault="00635D9A" w:rsidP="007B5370">
            <w:pPr>
              <w:jc w:val="center"/>
              <w:rPr>
                <w:sz w:val="20"/>
                <w:szCs w:val="20"/>
              </w:rPr>
            </w:pPr>
            <w:r w:rsidRPr="00856B03">
              <w:rPr>
                <w:sz w:val="20"/>
                <w:szCs w:val="20"/>
              </w:rPr>
              <w:t>6</w:t>
            </w:r>
          </w:p>
        </w:tc>
        <w:tc>
          <w:tcPr>
            <w:tcW w:w="7277" w:type="dxa"/>
          </w:tcPr>
          <w:p w:rsidR="00635D9A" w:rsidRPr="00856B03" w:rsidRDefault="00635D9A" w:rsidP="007B5370">
            <w:pPr>
              <w:rPr>
                <w:sz w:val="20"/>
                <w:szCs w:val="20"/>
              </w:rPr>
            </w:pPr>
            <w:r w:rsidRPr="00856B03">
              <w:rPr>
                <w:sz w:val="20"/>
                <w:szCs w:val="20"/>
              </w:rPr>
              <w:t>Minus imobilizări necorporale nete</w:t>
            </w:r>
          </w:p>
        </w:tc>
        <w:tc>
          <w:tcPr>
            <w:tcW w:w="1335" w:type="dxa"/>
          </w:tcPr>
          <w:p w:rsidR="00635D9A" w:rsidRPr="00856B03" w:rsidRDefault="00635D9A" w:rsidP="007B5370">
            <w:pPr>
              <w:rPr>
                <w:sz w:val="20"/>
                <w:szCs w:val="20"/>
              </w:rPr>
            </w:pPr>
          </w:p>
        </w:tc>
      </w:tr>
      <w:tr w:rsidR="00635D9A" w:rsidRPr="00856B03" w:rsidTr="007B5370">
        <w:trPr>
          <w:jc w:val="center"/>
        </w:trPr>
        <w:tc>
          <w:tcPr>
            <w:tcW w:w="1021" w:type="dxa"/>
          </w:tcPr>
          <w:p w:rsidR="00635D9A" w:rsidRPr="00856B03" w:rsidRDefault="00635D9A" w:rsidP="007B5370">
            <w:pPr>
              <w:jc w:val="center"/>
              <w:rPr>
                <w:b/>
                <w:iCs/>
                <w:sz w:val="20"/>
                <w:szCs w:val="20"/>
              </w:rPr>
            </w:pPr>
            <w:r w:rsidRPr="00856B03">
              <w:rPr>
                <w:b/>
                <w:iCs/>
                <w:sz w:val="20"/>
                <w:szCs w:val="20"/>
              </w:rPr>
              <w:t>2</w:t>
            </w:r>
          </w:p>
        </w:tc>
        <w:tc>
          <w:tcPr>
            <w:tcW w:w="680" w:type="dxa"/>
          </w:tcPr>
          <w:p w:rsidR="00635D9A" w:rsidRPr="00856B03" w:rsidRDefault="00635D9A" w:rsidP="007B5370">
            <w:pPr>
              <w:jc w:val="center"/>
              <w:rPr>
                <w:b/>
                <w:iCs/>
                <w:sz w:val="20"/>
                <w:szCs w:val="20"/>
              </w:rPr>
            </w:pPr>
            <w:r w:rsidRPr="00856B03">
              <w:rPr>
                <w:b/>
                <w:iCs/>
                <w:sz w:val="20"/>
                <w:szCs w:val="20"/>
              </w:rPr>
              <w:t>0</w:t>
            </w:r>
          </w:p>
        </w:tc>
        <w:tc>
          <w:tcPr>
            <w:tcW w:w="7277" w:type="dxa"/>
          </w:tcPr>
          <w:p w:rsidR="00635D9A" w:rsidRPr="00856B03" w:rsidRDefault="00635D9A" w:rsidP="007B5370">
            <w:pPr>
              <w:rPr>
                <w:b/>
                <w:iCs/>
                <w:sz w:val="20"/>
                <w:szCs w:val="20"/>
              </w:rPr>
            </w:pPr>
            <w:r w:rsidRPr="00856B03">
              <w:rPr>
                <w:b/>
                <w:iCs/>
                <w:sz w:val="20"/>
                <w:szCs w:val="20"/>
              </w:rPr>
              <w:t>Capitalul de gradul II</w:t>
            </w:r>
          </w:p>
        </w:tc>
        <w:tc>
          <w:tcPr>
            <w:tcW w:w="1335" w:type="dxa"/>
          </w:tcPr>
          <w:p w:rsidR="00635D9A" w:rsidRPr="00856B03" w:rsidRDefault="00635D9A" w:rsidP="007B5370">
            <w:pPr>
              <w:pStyle w:val="Heading3"/>
              <w:spacing w:before="0" w:after="0"/>
              <w:jc w:val="center"/>
              <w:rPr>
                <w:rFonts w:ascii="Times New Roman" w:hAnsi="Times New Roman" w:cs="Times New Roman"/>
                <w:strike/>
                <w:sz w:val="20"/>
                <w:szCs w:val="20"/>
              </w:rPr>
            </w:pPr>
          </w:p>
        </w:tc>
      </w:tr>
      <w:tr w:rsidR="00635D9A" w:rsidRPr="00552C6A" w:rsidTr="007B5370">
        <w:trPr>
          <w:jc w:val="center"/>
        </w:trPr>
        <w:tc>
          <w:tcPr>
            <w:tcW w:w="1021" w:type="dxa"/>
          </w:tcPr>
          <w:p w:rsidR="00635D9A" w:rsidRPr="00856B03" w:rsidRDefault="00635D9A" w:rsidP="007B5370">
            <w:pPr>
              <w:jc w:val="center"/>
              <w:rPr>
                <w:sz w:val="20"/>
                <w:szCs w:val="20"/>
              </w:rPr>
            </w:pPr>
          </w:p>
        </w:tc>
        <w:tc>
          <w:tcPr>
            <w:tcW w:w="680" w:type="dxa"/>
          </w:tcPr>
          <w:p w:rsidR="00635D9A" w:rsidRPr="00856B03" w:rsidRDefault="00635D9A" w:rsidP="007B5370">
            <w:pPr>
              <w:jc w:val="center"/>
              <w:rPr>
                <w:sz w:val="20"/>
                <w:szCs w:val="20"/>
              </w:rPr>
            </w:pPr>
            <w:r w:rsidRPr="00856B03">
              <w:rPr>
                <w:sz w:val="20"/>
                <w:szCs w:val="20"/>
              </w:rPr>
              <w:t>1</w:t>
            </w:r>
          </w:p>
        </w:tc>
        <w:tc>
          <w:tcPr>
            <w:tcW w:w="7277" w:type="dxa"/>
          </w:tcPr>
          <w:p w:rsidR="00635D9A" w:rsidRPr="000A197C" w:rsidRDefault="00635D9A" w:rsidP="007B5370">
            <w:pPr>
              <w:rPr>
                <w:sz w:val="20"/>
                <w:szCs w:val="20"/>
                <w:lang w:val="en-US"/>
              </w:rPr>
            </w:pPr>
            <w:r w:rsidRPr="000A197C">
              <w:rPr>
                <w:sz w:val="20"/>
                <w:szCs w:val="20"/>
                <w:lang w:val="en-US"/>
              </w:rPr>
              <w:t>Acţiuni preferenţiale cumulative şi parţial cumulative cu scadenţa nefixată</w:t>
            </w:r>
          </w:p>
        </w:tc>
        <w:tc>
          <w:tcPr>
            <w:tcW w:w="1335" w:type="dxa"/>
          </w:tcPr>
          <w:p w:rsidR="00635D9A" w:rsidRPr="000A197C" w:rsidRDefault="00635D9A" w:rsidP="007B5370">
            <w:pPr>
              <w:rPr>
                <w:sz w:val="20"/>
                <w:szCs w:val="20"/>
                <w:lang w:val="en-US"/>
              </w:rPr>
            </w:pPr>
          </w:p>
        </w:tc>
      </w:tr>
      <w:tr w:rsidR="00635D9A" w:rsidRPr="00552C6A" w:rsidTr="007B5370">
        <w:trPr>
          <w:jc w:val="center"/>
        </w:trPr>
        <w:tc>
          <w:tcPr>
            <w:tcW w:w="1021" w:type="dxa"/>
          </w:tcPr>
          <w:p w:rsidR="00635D9A" w:rsidRPr="000A197C" w:rsidRDefault="00635D9A" w:rsidP="007B5370">
            <w:pPr>
              <w:jc w:val="center"/>
              <w:rPr>
                <w:sz w:val="20"/>
                <w:szCs w:val="20"/>
                <w:lang w:val="en-US"/>
              </w:rPr>
            </w:pPr>
          </w:p>
        </w:tc>
        <w:tc>
          <w:tcPr>
            <w:tcW w:w="680" w:type="dxa"/>
          </w:tcPr>
          <w:p w:rsidR="00635D9A" w:rsidRPr="00856B03" w:rsidRDefault="00635D9A" w:rsidP="007B5370">
            <w:pPr>
              <w:jc w:val="center"/>
              <w:rPr>
                <w:sz w:val="20"/>
                <w:szCs w:val="20"/>
              </w:rPr>
            </w:pPr>
            <w:r w:rsidRPr="00856B03">
              <w:rPr>
                <w:sz w:val="20"/>
                <w:szCs w:val="20"/>
              </w:rPr>
              <w:t>2</w:t>
            </w:r>
          </w:p>
        </w:tc>
        <w:tc>
          <w:tcPr>
            <w:tcW w:w="7277" w:type="dxa"/>
          </w:tcPr>
          <w:p w:rsidR="00635D9A" w:rsidRPr="000A197C" w:rsidRDefault="00635D9A" w:rsidP="007B5370">
            <w:pPr>
              <w:rPr>
                <w:sz w:val="20"/>
                <w:szCs w:val="20"/>
                <w:lang w:val="en-US"/>
              </w:rPr>
            </w:pPr>
            <w:r w:rsidRPr="000A197C">
              <w:rPr>
                <w:sz w:val="20"/>
                <w:szCs w:val="20"/>
                <w:lang w:val="en-US"/>
              </w:rPr>
              <w:t>Surplusul de capital atribuit acţiunilor preferenţiale cumulative şi parţial cumulative</w:t>
            </w:r>
          </w:p>
        </w:tc>
        <w:tc>
          <w:tcPr>
            <w:tcW w:w="1335" w:type="dxa"/>
          </w:tcPr>
          <w:p w:rsidR="00635D9A" w:rsidRPr="000A197C" w:rsidRDefault="00635D9A" w:rsidP="007B5370">
            <w:pPr>
              <w:rPr>
                <w:sz w:val="20"/>
                <w:szCs w:val="20"/>
                <w:lang w:val="en-US"/>
              </w:rPr>
            </w:pPr>
          </w:p>
        </w:tc>
      </w:tr>
      <w:tr w:rsidR="00635D9A" w:rsidRPr="00552C6A" w:rsidTr="007B5370">
        <w:trPr>
          <w:jc w:val="center"/>
        </w:trPr>
        <w:tc>
          <w:tcPr>
            <w:tcW w:w="1021" w:type="dxa"/>
          </w:tcPr>
          <w:p w:rsidR="00635D9A" w:rsidRPr="000A197C" w:rsidRDefault="00635D9A" w:rsidP="007B5370">
            <w:pPr>
              <w:jc w:val="center"/>
              <w:rPr>
                <w:sz w:val="20"/>
                <w:szCs w:val="20"/>
                <w:lang w:val="en-US"/>
              </w:rPr>
            </w:pPr>
          </w:p>
        </w:tc>
        <w:tc>
          <w:tcPr>
            <w:tcW w:w="680" w:type="dxa"/>
          </w:tcPr>
          <w:p w:rsidR="00635D9A" w:rsidRPr="00856B03" w:rsidRDefault="00635D9A" w:rsidP="007B5370">
            <w:pPr>
              <w:jc w:val="center"/>
              <w:rPr>
                <w:sz w:val="20"/>
                <w:szCs w:val="20"/>
              </w:rPr>
            </w:pPr>
            <w:r w:rsidRPr="00856B03">
              <w:rPr>
                <w:sz w:val="20"/>
                <w:szCs w:val="20"/>
              </w:rPr>
              <w:t>3</w:t>
            </w:r>
          </w:p>
        </w:tc>
        <w:tc>
          <w:tcPr>
            <w:tcW w:w="7277" w:type="dxa"/>
          </w:tcPr>
          <w:p w:rsidR="00635D9A" w:rsidRPr="000A197C" w:rsidRDefault="00635D9A" w:rsidP="007B5370">
            <w:pPr>
              <w:rPr>
                <w:sz w:val="20"/>
                <w:szCs w:val="20"/>
                <w:lang w:val="en-US"/>
              </w:rPr>
            </w:pPr>
            <w:r w:rsidRPr="000A197C">
              <w:rPr>
                <w:sz w:val="20"/>
                <w:szCs w:val="20"/>
                <w:lang w:val="en-US"/>
              </w:rPr>
              <w:t>Datorii subordonate cu scadenţă nefixată</w:t>
            </w:r>
          </w:p>
        </w:tc>
        <w:tc>
          <w:tcPr>
            <w:tcW w:w="1335" w:type="dxa"/>
          </w:tcPr>
          <w:p w:rsidR="00635D9A" w:rsidRPr="000A197C" w:rsidRDefault="00635D9A" w:rsidP="007B5370">
            <w:pPr>
              <w:rPr>
                <w:sz w:val="20"/>
                <w:szCs w:val="20"/>
                <w:lang w:val="en-US"/>
              </w:rPr>
            </w:pPr>
          </w:p>
        </w:tc>
      </w:tr>
      <w:tr w:rsidR="00635D9A" w:rsidRPr="00552C6A" w:rsidTr="007B5370">
        <w:trPr>
          <w:jc w:val="center"/>
        </w:trPr>
        <w:tc>
          <w:tcPr>
            <w:tcW w:w="1021" w:type="dxa"/>
          </w:tcPr>
          <w:p w:rsidR="00635D9A" w:rsidRPr="000A197C" w:rsidRDefault="00635D9A" w:rsidP="007B5370">
            <w:pPr>
              <w:jc w:val="center"/>
              <w:rPr>
                <w:sz w:val="20"/>
                <w:szCs w:val="20"/>
                <w:lang w:val="en-US"/>
              </w:rPr>
            </w:pPr>
          </w:p>
        </w:tc>
        <w:tc>
          <w:tcPr>
            <w:tcW w:w="680" w:type="dxa"/>
          </w:tcPr>
          <w:p w:rsidR="00635D9A" w:rsidRPr="00856B03" w:rsidRDefault="00635D9A" w:rsidP="007B5370">
            <w:pPr>
              <w:jc w:val="center"/>
              <w:rPr>
                <w:sz w:val="20"/>
                <w:szCs w:val="20"/>
              </w:rPr>
            </w:pPr>
            <w:r w:rsidRPr="00856B03">
              <w:rPr>
                <w:sz w:val="20"/>
                <w:szCs w:val="20"/>
              </w:rPr>
              <w:t>4</w:t>
            </w:r>
          </w:p>
        </w:tc>
        <w:tc>
          <w:tcPr>
            <w:tcW w:w="7277" w:type="dxa"/>
          </w:tcPr>
          <w:p w:rsidR="00635D9A" w:rsidRPr="000A197C" w:rsidRDefault="00635D9A" w:rsidP="007B5370">
            <w:pPr>
              <w:rPr>
                <w:sz w:val="20"/>
                <w:szCs w:val="20"/>
                <w:lang w:val="en-US"/>
              </w:rPr>
            </w:pPr>
            <w:r w:rsidRPr="000A197C">
              <w:rPr>
                <w:sz w:val="20"/>
                <w:szCs w:val="20"/>
                <w:lang w:val="en-US"/>
              </w:rPr>
              <w:t>Datorii subordonate cu scadenţă şi acţiuni preferenţiale cu termen limitat</w:t>
            </w:r>
          </w:p>
        </w:tc>
        <w:tc>
          <w:tcPr>
            <w:tcW w:w="1335" w:type="dxa"/>
          </w:tcPr>
          <w:p w:rsidR="00635D9A" w:rsidRPr="000A197C" w:rsidRDefault="00635D9A" w:rsidP="007B5370">
            <w:pPr>
              <w:rPr>
                <w:sz w:val="20"/>
                <w:szCs w:val="20"/>
                <w:lang w:val="en-US"/>
              </w:rPr>
            </w:pPr>
          </w:p>
        </w:tc>
      </w:tr>
      <w:tr w:rsidR="00635D9A" w:rsidRPr="00552C6A" w:rsidTr="007B5370">
        <w:trPr>
          <w:jc w:val="center"/>
        </w:trPr>
        <w:tc>
          <w:tcPr>
            <w:tcW w:w="1021" w:type="dxa"/>
          </w:tcPr>
          <w:p w:rsidR="00635D9A" w:rsidRPr="000A197C" w:rsidRDefault="00635D9A" w:rsidP="007B5370">
            <w:pPr>
              <w:jc w:val="center"/>
              <w:rPr>
                <w:sz w:val="20"/>
                <w:szCs w:val="20"/>
                <w:lang w:val="en-US"/>
              </w:rPr>
            </w:pPr>
          </w:p>
        </w:tc>
        <w:tc>
          <w:tcPr>
            <w:tcW w:w="680" w:type="dxa"/>
          </w:tcPr>
          <w:p w:rsidR="00635D9A" w:rsidRPr="00856B03" w:rsidRDefault="00635D9A" w:rsidP="007B5370">
            <w:pPr>
              <w:jc w:val="center"/>
              <w:rPr>
                <w:sz w:val="20"/>
                <w:szCs w:val="20"/>
              </w:rPr>
            </w:pPr>
            <w:r w:rsidRPr="00856B03">
              <w:rPr>
                <w:sz w:val="20"/>
                <w:szCs w:val="20"/>
              </w:rPr>
              <w:t>5</w:t>
            </w:r>
          </w:p>
        </w:tc>
        <w:tc>
          <w:tcPr>
            <w:tcW w:w="7277" w:type="dxa"/>
          </w:tcPr>
          <w:p w:rsidR="00635D9A" w:rsidRPr="000A197C" w:rsidRDefault="00635D9A" w:rsidP="007B5370">
            <w:pPr>
              <w:rPr>
                <w:sz w:val="20"/>
                <w:szCs w:val="20"/>
                <w:lang w:val="en-US"/>
              </w:rPr>
            </w:pPr>
            <w:r w:rsidRPr="000A197C">
              <w:rPr>
                <w:sz w:val="20"/>
                <w:szCs w:val="20"/>
                <w:lang w:val="en-US"/>
              </w:rPr>
              <w:t>Minus mărimea capitalului de gradul II care depăşeşte mărimea capitalului de gradul I</w:t>
            </w:r>
          </w:p>
        </w:tc>
        <w:tc>
          <w:tcPr>
            <w:tcW w:w="1335" w:type="dxa"/>
          </w:tcPr>
          <w:p w:rsidR="00635D9A" w:rsidRPr="000A197C" w:rsidRDefault="00635D9A" w:rsidP="007B5370">
            <w:pPr>
              <w:rPr>
                <w:sz w:val="20"/>
                <w:szCs w:val="20"/>
                <w:lang w:val="en-US"/>
              </w:rPr>
            </w:pPr>
          </w:p>
        </w:tc>
      </w:tr>
      <w:tr w:rsidR="00635D9A" w:rsidRPr="00552C6A" w:rsidTr="007B5370">
        <w:trPr>
          <w:jc w:val="center"/>
        </w:trPr>
        <w:tc>
          <w:tcPr>
            <w:tcW w:w="1021" w:type="dxa"/>
          </w:tcPr>
          <w:p w:rsidR="00635D9A" w:rsidRPr="00856B03" w:rsidRDefault="00635D9A" w:rsidP="007B5370">
            <w:pPr>
              <w:jc w:val="center"/>
              <w:rPr>
                <w:b/>
                <w:bCs/>
                <w:sz w:val="20"/>
                <w:szCs w:val="20"/>
              </w:rPr>
            </w:pPr>
            <w:r w:rsidRPr="00856B03">
              <w:rPr>
                <w:b/>
                <w:bCs/>
                <w:sz w:val="20"/>
                <w:szCs w:val="20"/>
              </w:rPr>
              <w:t>3</w:t>
            </w:r>
          </w:p>
        </w:tc>
        <w:tc>
          <w:tcPr>
            <w:tcW w:w="680" w:type="dxa"/>
          </w:tcPr>
          <w:p w:rsidR="00635D9A" w:rsidRPr="00856B03" w:rsidRDefault="00635D9A" w:rsidP="007B5370">
            <w:pPr>
              <w:jc w:val="center"/>
              <w:rPr>
                <w:b/>
                <w:bCs/>
                <w:sz w:val="20"/>
                <w:szCs w:val="20"/>
              </w:rPr>
            </w:pPr>
            <w:r w:rsidRPr="00856B03">
              <w:rPr>
                <w:b/>
                <w:bCs/>
                <w:sz w:val="20"/>
                <w:szCs w:val="20"/>
              </w:rPr>
              <w:t>0</w:t>
            </w:r>
          </w:p>
        </w:tc>
        <w:tc>
          <w:tcPr>
            <w:tcW w:w="7277" w:type="dxa"/>
          </w:tcPr>
          <w:p w:rsidR="00635D9A" w:rsidRPr="000A197C" w:rsidRDefault="00635D9A" w:rsidP="007B5370">
            <w:pPr>
              <w:rPr>
                <w:sz w:val="20"/>
                <w:szCs w:val="20"/>
                <w:lang w:val="en-US"/>
              </w:rPr>
            </w:pPr>
            <w:r w:rsidRPr="000A197C">
              <w:rPr>
                <w:sz w:val="20"/>
                <w:szCs w:val="20"/>
                <w:lang w:val="en-US"/>
              </w:rPr>
              <w:t>Total capital de gradul I şi capital de gradul II</w:t>
            </w:r>
          </w:p>
        </w:tc>
        <w:tc>
          <w:tcPr>
            <w:tcW w:w="1335" w:type="dxa"/>
          </w:tcPr>
          <w:p w:rsidR="00635D9A" w:rsidRPr="000A197C" w:rsidRDefault="00635D9A" w:rsidP="007B5370">
            <w:pPr>
              <w:rPr>
                <w:sz w:val="20"/>
                <w:szCs w:val="20"/>
                <w:lang w:val="en-US"/>
              </w:rPr>
            </w:pPr>
          </w:p>
        </w:tc>
      </w:tr>
      <w:tr w:rsidR="00635D9A" w:rsidRPr="00552C6A" w:rsidTr="007B5370">
        <w:trPr>
          <w:jc w:val="center"/>
        </w:trPr>
        <w:tc>
          <w:tcPr>
            <w:tcW w:w="1021" w:type="dxa"/>
          </w:tcPr>
          <w:p w:rsidR="00635D9A" w:rsidRPr="00856B03" w:rsidRDefault="00635D9A" w:rsidP="007B5370">
            <w:pPr>
              <w:jc w:val="center"/>
              <w:rPr>
                <w:b/>
                <w:bCs/>
                <w:sz w:val="20"/>
                <w:szCs w:val="20"/>
              </w:rPr>
            </w:pPr>
            <w:r w:rsidRPr="00856B03">
              <w:rPr>
                <w:b/>
                <w:bCs/>
                <w:sz w:val="20"/>
                <w:szCs w:val="20"/>
              </w:rPr>
              <w:t>4</w:t>
            </w:r>
          </w:p>
        </w:tc>
        <w:tc>
          <w:tcPr>
            <w:tcW w:w="680" w:type="dxa"/>
          </w:tcPr>
          <w:p w:rsidR="00635D9A" w:rsidRPr="00856B03" w:rsidRDefault="00635D9A" w:rsidP="007B5370">
            <w:pPr>
              <w:jc w:val="center"/>
              <w:rPr>
                <w:b/>
                <w:bCs/>
                <w:sz w:val="20"/>
                <w:szCs w:val="20"/>
              </w:rPr>
            </w:pPr>
            <w:r w:rsidRPr="00856B03">
              <w:rPr>
                <w:b/>
                <w:bCs/>
                <w:sz w:val="20"/>
                <w:szCs w:val="20"/>
              </w:rPr>
              <w:t>0</w:t>
            </w:r>
          </w:p>
        </w:tc>
        <w:tc>
          <w:tcPr>
            <w:tcW w:w="7277" w:type="dxa"/>
          </w:tcPr>
          <w:p w:rsidR="00635D9A" w:rsidRPr="000A197C" w:rsidRDefault="00635D9A" w:rsidP="007B5370">
            <w:pPr>
              <w:rPr>
                <w:sz w:val="20"/>
                <w:szCs w:val="20"/>
                <w:lang w:val="en-US"/>
              </w:rPr>
            </w:pPr>
            <w:r w:rsidRPr="000A197C">
              <w:rPr>
                <w:sz w:val="20"/>
                <w:szCs w:val="20"/>
                <w:lang w:val="en-US"/>
              </w:rPr>
              <w:t>Minus cotele de participare în capitalul altor bănci</w:t>
            </w:r>
          </w:p>
        </w:tc>
        <w:tc>
          <w:tcPr>
            <w:tcW w:w="1335" w:type="dxa"/>
          </w:tcPr>
          <w:p w:rsidR="00635D9A" w:rsidRPr="000A197C" w:rsidRDefault="00635D9A" w:rsidP="007B5370">
            <w:pPr>
              <w:rPr>
                <w:sz w:val="20"/>
                <w:szCs w:val="20"/>
                <w:lang w:val="en-US"/>
              </w:rPr>
            </w:pPr>
          </w:p>
        </w:tc>
      </w:tr>
      <w:tr w:rsidR="00635D9A" w:rsidRPr="00856B03" w:rsidTr="007B5370">
        <w:trPr>
          <w:jc w:val="center"/>
        </w:trPr>
        <w:tc>
          <w:tcPr>
            <w:tcW w:w="1021" w:type="dxa"/>
          </w:tcPr>
          <w:p w:rsidR="00635D9A" w:rsidRPr="00856B03" w:rsidRDefault="00635D9A" w:rsidP="007B5370">
            <w:pPr>
              <w:jc w:val="center"/>
              <w:rPr>
                <w:b/>
                <w:bCs/>
                <w:sz w:val="20"/>
                <w:szCs w:val="20"/>
              </w:rPr>
            </w:pPr>
            <w:r w:rsidRPr="00856B03">
              <w:rPr>
                <w:b/>
                <w:bCs/>
                <w:sz w:val="20"/>
                <w:szCs w:val="20"/>
              </w:rPr>
              <w:t>5</w:t>
            </w:r>
          </w:p>
        </w:tc>
        <w:tc>
          <w:tcPr>
            <w:tcW w:w="680" w:type="dxa"/>
          </w:tcPr>
          <w:p w:rsidR="00635D9A" w:rsidRPr="00856B03" w:rsidRDefault="00635D9A" w:rsidP="007B5370">
            <w:pPr>
              <w:jc w:val="center"/>
              <w:rPr>
                <w:b/>
                <w:bCs/>
                <w:sz w:val="20"/>
                <w:szCs w:val="20"/>
              </w:rPr>
            </w:pPr>
            <w:r w:rsidRPr="00856B03">
              <w:rPr>
                <w:b/>
                <w:bCs/>
                <w:sz w:val="20"/>
                <w:szCs w:val="20"/>
              </w:rPr>
              <w:t>0</w:t>
            </w:r>
          </w:p>
        </w:tc>
        <w:tc>
          <w:tcPr>
            <w:tcW w:w="7277" w:type="dxa"/>
          </w:tcPr>
          <w:p w:rsidR="00635D9A" w:rsidRPr="00856B03" w:rsidRDefault="00635D9A" w:rsidP="007B5370">
            <w:pPr>
              <w:rPr>
                <w:b/>
                <w:bCs/>
                <w:sz w:val="20"/>
                <w:szCs w:val="20"/>
              </w:rPr>
            </w:pPr>
            <w:r w:rsidRPr="00856B03">
              <w:rPr>
                <w:b/>
                <w:bCs/>
                <w:sz w:val="20"/>
                <w:szCs w:val="20"/>
              </w:rPr>
              <w:t>Capitalul normativ total</w:t>
            </w:r>
          </w:p>
        </w:tc>
        <w:tc>
          <w:tcPr>
            <w:tcW w:w="1335" w:type="dxa"/>
          </w:tcPr>
          <w:p w:rsidR="00635D9A" w:rsidRPr="00856B03" w:rsidRDefault="00635D9A" w:rsidP="007B5370">
            <w:pPr>
              <w:rPr>
                <w:sz w:val="20"/>
                <w:szCs w:val="20"/>
              </w:rPr>
            </w:pPr>
          </w:p>
        </w:tc>
      </w:tr>
    </w:tbl>
    <w:p w:rsidR="00635D9A" w:rsidRPr="00856B03" w:rsidRDefault="00635D9A" w:rsidP="000A197C">
      <w:pPr>
        <w:rPr>
          <w:sz w:val="22"/>
          <w:szCs w:val="22"/>
        </w:rPr>
      </w:pPr>
    </w:p>
    <w:p w:rsidR="00635D9A" w:rsidRPr="000A197C" w:rsidRDefault="00635D9A" w:rsidP="000A197C">
      <w:pPr>
        <w:rPr>
          <w:sz w:val="20"/>
          <w:szCs w:val="20"/>
          <w:lang w:val="en-US"/>
        </w:rPr>
      </w:pPr>
      <w:r w:rsidRPr="000A197C">
        <w:rPr>
          <w:sz w:val="20"/>
          <w:szCs w:val="20"/>
          <w:lang w:val="en-US"/>
        </w:rPr>
        <w:t xml:space="preserve">Executorul şi numărul de telefon </w:t>
      </w:r>
      <w:r w:rsidRPr="000A197C">
        <w:rPr>
          <w:sz w:val="20"/>
          <w:szCs w:val="20"/>
          <w:lang w:val="en-US"/>
        </w:rPr>
        <w:tab/>
        <w:t>______________</w:t>
      </w:r>
    </w:p>
    <w:p w:rsidR="00635D9A" w:rsidRPr="000A197C" w:rsidRDefault="00635D9A" w:rsidP="000A197C">
      <w:pPr>
        <w:rPr>
          <w:sz w:val="20"/>
          <w:szCs w:val="20"/>
          <w:lang w:val="en-US"/>
        </w:rPr>
      </w:pPr>
    </w:p>
    <w:p w:rsidR="00635D9A" w:rsidRPr="000A197C" w:rsidRDefault="00635D9A" w:rsidP="000A197C">
      <w:pPr>
        <w:pStyle w:val="NormalWeb"/>
        <w:rPr>
          <w:lang w:val="en-US"/>
        </w:rPr>
      </w:pPr>
      <w:r w:rsidRPr="000A197C">
        <w:rPr>
          <w:sz w:val="20"/>
          <w:szCs w:val="20"/>
          <w:lang w:val="en-US"/>
        </w:rPr>
        <w:t>NOTĂ: Raportul este întocmit în conformitate cu Instrucţiunea cu  privire la modul de întocmire şi prezentare de către bănci a rapoartelor în scopuri prudenţiale, HCA BNM nr. 279 din 1 decembrie 2011</w:t>
      </w:r>
      <w:r>
        <w:rPr>
          <w:sz w:val="20"/>
          <w:szCs w:val="20"/>
          <w:lang w:val="en-US"/>
        </w:rPr>
        <w:t>.</w:t>
      </w:r>
    </w:p>
    <w:p w:rsidR="00635D9A" w:rsidRPr="000A197C" w:rsidRDefault="00635D9A" w:rsidP="00F558FD">
      <w:pPr>
        <w:pStyle w:val="NormalWeb"/>
        <w:rPr>
          <w:lang w:val="en-US"/>
        </w:rPr>
      </w:pPr>
      <w:r w:rsidRPr="00F558FD">
        <w:rPr>
          <w:lang w:val="en-US"/>
        </w:rPr>
        <w:t> </w:t>
      </w:r>
    </w:p>
    <w:p w:rsidR="00635D9A" w:rsidRPr="000A197C" w:rsidRDefault="00635D9A" w:rsidP="00F558FD">
      <w:pPr>
        <w:pStyle w:val="NormalWeb"/>
        <w:rPr>
          <w:lang w:val="en-US"/>
        </w:rPr>
      </w:pPr>
    </w:p>
    <w:p w:rsidR="00635D9A" w:rsidRPr="000A197C" w:rsidRDefault="00635D9A" w:rsidP="00F558FD">
      <w:pPr>
        <w:pStyle w:val="NormalWeb"/>
        <w:rPr>
          <w:lang w:val="en-US"/>
        </w:rPr>
      </w:pPr>
    </w:p>
    <w:p w:rsidR="00635D9A" w:rsidRPr="000A197C" w:rsidRDefault="00635D9A" w:rsidP="00F558FD">
      <w:pPr>
        <w:pStyle w:val="NormalWeb"/>
        <w:rPr>
          <w:lang w:val="en-US"/>
        </w:rPr>
      </w:pPr>
    </w:p>
    <w:p w:rsidR="00635D9A" w:rsidRDefault="00635D9A" w:rsidP="00F558FD">
      <w:pPr>
        <w:pStyle w:val="NormalWeb"/>
        <w:rPr>
          <w:lang w:val="en-US"/>
        </w:rPr>
      </w:pPr>
    </w:p>
    <w:p w:rsidR="00635D9A" w:rsidRDefault="00635D9A" w:rsidP="00F558FD">
      <w:pPr>
        <w:pStyle w:val="NormalWeb"/>
        <w:rPr>
          <w:lang w:val="en-US"/>
        </w:rPr>
      </w:pPr>
    </w:p>
    <w:p w:rsidR="00635D9A" w:rsidRDefault="00635D9A" w:rsidP="00F558FD">
      <w:pPr>
        <w:pStyle w:val="NormalWeb"/>
        <w:rPr>
          <w:lang w:val="en-US"/>
        </w:rPr>
      </w:pPr>
    </w:p>
    <w:p w:rsidR="00635D9A" w:rsidRDefault="00635D9A" w:rsidP="00F558FD">
      <w:pPr>
        <w:pStyle w:val="NormalWeb"/>
        <w:rPr>
          <w:lang w:val="en-US"/>
        </w:rPr>
      </w:pPr>
    </w:p>
    <w:p w:rsidR="00635D9A" w:rsidRDefault="00635D9A" w:rsidP="00F558FD">
      <w:pPr>
        <w:pStyle w:val="NormalWeb"/>
        <w:rPr>
          <w:lang w:val="en-US"/>
        </w:rPr>
      </w:pPr>
    </w:p>
    <w:p w:rsidR="00635D9A" w:rsidRDefault="00635D9A" w:rsidP="00F558FD">
      <w:pPr>
        <w:pStyle w:val="NormalWeb"/>
        <w:rPr>
          <w:lang w:val="en-US"/>
        </w:rPr>
      </w:pPr>
    </w:p>
    <w:p w:rsidR="00635D9A" w:rsidRDefault="00635D9A" w:rsidP="00F558FD">
      <w:pPr>
        <w:pStyle w:val="NormalWeb"/>
        <w:rPr>
          <w:lang w:val="en-US"/>
        </w:rPr>
      </w:pPr>
    </w:p>
    <w:p w:rsidR="00635D9A" w:rsidRDefault="00635D9A" w:rsidP="00F558FD">
      <w:pPr>
        <w:pStyle w:val="NormalWeb"/>
        <w:rPr>
          <w:lang w:val="en-US"/>
        </w:rPr>
      </w:pPr>
    </w:p>
    <w:p w:rsidR="00635D9A" w:rsidRDefault="00635D9A" w:rsidP="00F558FD">
      <w:pPr>
        <w:pStyle w:val="NormalWeb"/>
        <w:rPr>
          <w:lang w:val="en-US"/>
        </w:rPr>
      </w:pPr>
    </w:p>
    <w:p w:rsidR="00635D9A" w:rsidRDefault="00635D9A" w:rsidP="00F558FD">
      <w:pPr>
        <w:pStyle w:val="NormalWeb"/>
        <w:rPr>
          <w:lang w:val="en-US"/>
        </w:rPr>
      </w:pPr>
    </w:p>
    <w:p w:rsidR="00635D9A" w:rsidRDefault="00635D9A" w:rsidP="00F558FD">
      <w:pPr>
        <w:pStyle w:val="NormalWeb"/>
        <w:rPr>
          <w:lang w:val="en-US"/>
        </w:rPr>
      </w:pPr>
    </w:p>
    <w:p w:rsidR="00635D9A" w:rsidRDefault="00635D9A" w:rsidP="00F558FD">
      <w:pPr>
        <w:pStyle w:val="NormalWeb"/>
        <w:rPr>
          <w:lang w:val="en-US"/>
        </w:rPr>
      </w:pPr>
    </w:p>
    <w:p w:rsidR="00635D9A" w:rsidRDefault="00635D9A" w:rsidP="00F558FD">
      <w:pPr>
        <w:pStyle w:val="NormalWeb"/>
        <w:rPr>
          <w:lang w:val="en-US"/>
        </w:rPr>
      </w:pPr>
    </w:p>
    <w:p w:rsidR="00635D9A" w:rsidRPr="00F558FD" w:rsidRDefault="00635D9A" w:rsidP="00552C6A">
      <w:pPr>
        <w:pStyle w:val="cp"/>
        <w:rPr>
          <w:lang w:val="en-US"/>
        </w:rPr>
      </w:pPr>
      <w:r w:rsidRPr="00F558FD">
        <w:rPr>
          <w:lang w:val="en-US"/>
        </w:rPr>
        <w:t xml:space="preserve">Modul de întocmire </w:t>
      </w:r>
    </w:p>
    <w:p w:rsidR="00635D9A" w:rsidRPr="00F558FD" w:rsidRDefault="00635D9A" w:rsidP="00552C6A">
      <w:pPr>
        <w:pStyle w:val="cp"/>
        <w:rPr>
          <w:lang w:val="en-US"/>
        </w:rPr>
      </w:pPr>
      <w:r w:rsidRPr="00F558FD">
        <w:rPr>
          <w:lang w:val="en-US"/>
        </w:rPr>
        <w:t xml:space="preserve">a Raportului privind calculul capitalului normativ total </w:t>
      </w:r>
    </w:p>
    <w:p w:rsidR="00635D9A" w:rsidRPr="00F558FD" w:rsidRDefault="00635D9A" w:rsidP="00552C6A">
      <w:pPr>
        <w:pStyle w:val="NormalWeb"/>
        <w:rPr>
          <w:lang w:val="en-US"/>
        </w:rPr>
      </w:pPr>
      <w:r w:rsidRPr="00F558FD">
        <w:rPr>
          <w:lang w:val="en-US"/>
        </w:rPr>
        <w:t> </w:t>
      </w:r>
    </w:p>
    <w:p w:rsidR="00635D9A" w:rsidRDefault="00635D9A" w:rsidP="00552C6A">
      <w:pPr>
        <w:pStyle w:val="NormalWeb"/>
        <w:rPr>
          <w:lang w:val="en-US"/>
        </w:rPr>
      </w:pPr>
      <w:r w:rsidRPr="000A197C">
        <w:rPr>
          <w:b/>
          <w:lang w:val="en-US"/>
        </w:rPr>
        <w:t xml:space="preserve">1. </w:t>
      </w:r>
      <w:r w:rsidRPr="000A197C">
        <w:rPr>
          <w:lang w:val="en-US"/>
        </w:rPr>
        <w:t>În acest raport se reflectă informaţia cu privire la mărimea capitalului normativ total, inclusiv pe fiecare componentă în parte, conform Regulamentului cu privire la suficienţa capitalului ponderat la risc, aprobat prin Hotărîrea Consiliului de administraţie al Băncii Naţionale a Moldovei nr.269 din 17 octombrie 2001 (Monitorul Oficial al Republicii Moldova nr.130 din 26.10.01), cu modificările şi completările ulterioare.</w:t>
      </w:r>
    </w:p>
    <w:p w:rsidR="00635D9A" w:rsidRPr="00F558FD" w:rsidRDefault="00635D9A" w:rsidP="00552C6A">
      <w:pPr>
        <w:pStyle w:val="NormalWeb"/>
        <w:rPr>
          <w:lang w:val="en-US"/>
        </w:rPr>
      </w:pPr>
      <w:r w:rsidRPr="00F558FD">
        <w:rPr>
          <w:b/>
          <w:bCs/>
          <w:lang w:val="en-US"/>
        </w:rPr>
        <w:t>2. Capitalul de gradul I</w:t>
      </w:r>
      <w:r w:rsidRPr="00F558FD">
        <w:rPr>
          <w:lang w:val="en-US"/>
        </w:rPr>
        <w:t xml:space="preserve"> este componenta de bază a capitalului normativ total şi include: </w:t>
      </w:r>
    </w:p>
    <w:p w:rsidR="00635D9A" w:rsidRPr="00F558FD" w:rsidRDefault="00635D9A" w:rsidP="00552C6A">
      <w:pPr>
        <w:pStyle w:val="NormalWeb"/>
        <w:rPr>
          <w:lang w:val="en-US"/>
        </w:rPr>
      </w:pPr>
      <w:r w:rsidRPr="00F558FD">
        <w:rPr>
          <w:lang w:val="en-US"/>
        </w:rPr>
        <w:t xml:space="preserve">a) </w:t>
      </w:r>
      <w:r w:rsidRPr="000A197C">
        <w:rPr>
          <w:lang w:val="en-US"/>
        </w:rPr>
        <w:t xml:space="preserve">În rîndul </w:t>
      </w:r>
      <w:r w:rsidRPr="000A197C">
        <w:rPr>
          <w:b/>
          <w:bCs/>
          <w:lang w:val="en-US"/>
        </w:rPr>
        <w:t>1.0. Capitalul de gradul I</w:t>
      </w:r>
      <w:r w:rsidRPr="000A197C">
        <w:rPr>
          <w:lang w:val="en-US"/>
        </w:rPr>
        <w:t xml:space="preserve"> se reflectă capitalul de gradul I, care este componenta de bază a capitalului normativ total. Suma rîndului 1.0. este egală cu suma rîndurilor 1.1, 1.2., 1.3 şi 1.4 minus suma rîndului 1.5. şi minus suma rîndului 1.6. din prezentul raport</w:t>
      </w:r>
      <w:r>
        <w:rPr>
          <w:lang w:val="en-US"/>
        </w:rPr>
        <w:t>.</w:t>
      </w:r>
      <w:r w:rsidRPr="00F558FD">
        <w:rPr>
          <w:lang w:val="en-US"/>
        </w:rPr>
        <w:t xml:space="preserve"> </w:t>
      </w:r>
    </w:p>
    <w:p w:rsidR="00635D9A" w:rsidRPr="00F558FD" w:rsidRDefault="00635D9A" w:rsidP="00552C6A">
      <w:pPr>
        <w:pStyle w:val="NormalWeb"/>
        <w:rPr>
          <w:lang w:val="en-US"/>
        </w:rPr>
      </w:pPr>
      <w:r w:rsidRPr="00F558FD">
        <w:rPr>
          <w:lang w:val="en-US"/>
        </w:rPr>
        <w:t xml:space="preserve">Contul 3001 şi contra-contul 3005. </w:t>
      </w:r>
    </w:p>
    <w:p w:rsidR="00635D9A" w:rsidRPr="00F558FD" w:rsidRDefault="00635D9A" w:rsidP="00552C6A">
      <w:pPr>
        <w:pStyle w:val="NormalWeb"/>
        <w:rPr>
          <w:lang w:val="en-US"/>
        </w:rPr>
      </w:pPr>
      <w:r w:rsidRPr="00F558FD">
        <w:rPr>
          <w:lang w:val="en-US"/>
        </w:rPr>
        <w:t>b) În rîndul</w:t>
      </w:r>
      <w:r w:rsidRPr="00F558FD">
        <w:rPr>
          <w:b/>
          <w:bCs/>
          <w:lang w:val="en-US"/>
        </w:rPr>
        <w:t xml:space="preserve"> 1.2 Acţiuni preferenţiale necumulative, emise cu termen nelimitat</w:t>
      </w:r>
      <w:r w:rsidRPr="00F558FD">
        <w:rPr>
          <w:lang w:val="en-US"/>
        </w:rPr>
        <w:t xml:space="preserve"> se reflectă suma totală a acţiunilor preferenţiale necumulative, emise cu termen nelimitat, în circulaţie, ce aparţin acţionarilor băncii, care reprezintă diferenţa dintre acţiunile preferenţiale necumulative plasate şi acţiunile preferenţiale necumulative de tezaur. </w:t>
      </w:r>
    </w:p>
    <w:p w:rsidR="00635D9A" w:rsidRPr="00F558FD" w:rsidRDefault="00635D9A" w:rsidP="00552C6A">
      <w:pPr>
        <w:pStyle w:val="NormalWeb"/>
        <w:rPr>
          <w:lang w:val="en-US"/>
        </w:rPr>
      </w:pPr>
      <w:r w:rsidRPr="00F558FD">
        <w:rPr>
          <w:lang w:val="en-US"/>
        </w:rPr>
        <w:t xml:space="preserve">Parţial contul 3003, parţial contra-contul 3006. </w:t>
      </w:r>
    </w:p>
    <w:p w:rsidR="00635D9A" w:rsidRPr="00F558FD" w:rsidRDefault="00635D9A" w:rsidP="00552C6A">
      <w:pPr>
        <w:pStyle w:val="NormalWeb"/>
        <w:rPr>
          <w:lang w:val="en-US"/>
        </w:rPr>
      </w:pPr>
      <w:r w:rsidRPr="00F558FD">
        <w:rPr>
          <w:lang w:val="en-US"/>
        </w:rPr>
        <w:t>c) În rîndul</w:t>
      </w:r>
      <w:r w:rsidRPr="00F558FD">
        <w:rPr>
          <w:b/>
          <w:bCs/>
          <w:lang w:val="en-US"/>
        </w:rPr>
        <w:t xml:space="preserve"> 1.3 Surplus de capital</w:t>
      </w:r>
      <w:r w:rsidRPr="00F558FD">
        <w:rPr>
          <w:lang w:val="en-US"/>
        </w:rPr>
        <w:t xml:space="preserve"> se reflectă suma totală a mijloacelor băneşti obţinute de la comercializarea acţiunilor peste valoarea nominală (fixată), incluse în rîndurile 1.1. şi 1.2. </w:t>
      </w:r>
    </w:p>
    <w:p w:rsidR="00635D9A" w:rsidRPr="00F558FD" w:rsidRDefault="00635D9A" w:rsidP="00552C6A">
      <w:pPr>
        <w:pStyle w:val="NormalWeb"/>
        <w:rPr>
          <w:lang w:val="en-US"/>
        </w:rPr>
      </w:pPr>
      <w:r w:rsidRPr="00F558FD">
        <w:rPr>
          <w:lang w:val="en-US"/>
        </w:rPr>
        <w:t xml:space="preserve">Parţial contul 3501. </w:t>
      </w:r>
    </w:p>
    <w:p w:rsidR="00635D9A" w:rsidRPr="00F558FD" w:rsidRDefault="00635D9A" w:rsidP="00552C6A">
      <w:pPr>
        <w:pStyle w:val="NormalWeb"/>
        <w:rPr>
          <w:lang w:val="en-US"/>
        </w:rPr>
      </w:pPr>
      <w:r w:rsidRPr="00F558FD">
        <w:rPr>
          <w:lang w:val="en-US"/>
        </w:rPr>
        <w:t>d) În rîndul</w:t>
      </w:r>
      <w:r w:rsidRPr="00F558FD">
        <w:rPr>
          <w:b/>
          <w:bCs/>
          <w:lang w:val="en-US"/>
        </w:rPr>
        <w:t xml:space="preserve"> 1.4 Profitul nedistribuit şi rezervele formate din profit</w:t>
      </w:r>
      <w:r w:rsidRPr="00F558FD">
        <w:rPr>
          <w:lang w:val="en-US"/>
        </w:rPr>
        <w:t xml:space="preserve"> se reflectă rezultatul exerciţiului curent, rezultatul reportat ca urmare a distribuirii profitului, venitului net obţinut în perioada de raportare şi rezervele obţinute sau majorate ca rezultat al distribuirii profitului. </w:t>
      </w:r>
    </w:p>
    <w:p w:rsidR="00635D9A" w:rsidRPr="00F558FD" w:rsidRDefault="00635D9A" w:rsidP="00552C6A">
      <w:pPr>
        <w:pStyle w:val="NormalWeb"/>
        <w:rPr>
          <w:lang w:val="en-US"/>
        </w:rPr>
      </w:pPr>
      <w:r w:rsidRPr="00F558FD">
        <w:rPr>
          <w:lang w:val="en-US"/>
        </w:rPr>
        <w:t xml:space="preserve">Conturile 3502, 3504, 3505, 3507 şi venitul (pierderi) net din perioada gestionară, contra-contul 3508, 3509, minus parţial 1762 (în mărimea ce depăşeşte soldul contului 5991). </w:t>
      </w:r>
    </w:p>
    <w:p w:rsidR="00635D9A" w:rsidRPr="00F558FD" w:rsidRDefault="00635D9A" w:rsidP="00552C6A">
      <w:pPr>
        <w:pStyle w:val="NormalWeb"/>
        <w:rPr>
          <w:lang w:val="en-US"/>
        </w:rPr>
      </w:pPr>
      <w:r w:rsidRPr="00F558FD">
        <w:rPr>
          <w:lang w:val="en-US"/>
        </w:rPr>
        <w:t>e) În rîndul</w:t>
      </w:r>
      <w:r w:rsidRPr="00F558FD">
        <w:rPr>
          <w:b/>
          <w:bCs/>
          <w:lang w:val="en-US"/>
        </w:rPr>
        <w:t xml:space="preserve"> 1.5 Minus mărimea calculată dar nerezervată a reducerilor pentru pierderi la active şi angajamente condiţionale</w:t>
      </w:r>
      <w:r w:rsidRPr="00F558FD">
        <w:rPr>
          <w:lang w:val="en-US"/>
        </w:rPr>
        <w:t xml:space="preserve"> se reflectă rezultatul diferenţei dintre reducerile pentru pierderi la active şi angajamente condiţionale, calculate conform Regulamentului cu privire la clasificarea activelor şi angajamentelor condiţionale (parţial grupa de conturi 7210) şi mijloacelor rezervate pentru acoperirea pierderii din deprecierea activelor care au fost supuse clasificării conform regulamentului menţionat. Suma acestui rînd trebuie să fie egală cu suma rîndului 4.0. din Raportul privind clasificarea activelor şi angajamentelor condiţionale. În cazul în care rezultatul este pozitiv, acesta se scade din capitalul de gradul I, iar în cazul în care este negativ – se adaugă la capitalul de gradul I. </w:t>
      </w:r>
    </w:p>
    <w:p w:rsidR="00635D9A" w:rsidRPr="00F558FD" w:rsidRDefault="00635D9A" w:rsidP="00552C6A">
      <w:pPr>
        <w:pStyle w:val="NormalWeb"/>
        <w:rPr>
          <w:lang w:val="en-US"/>
        </w:rPr>
      </w:pPr>
      <w:r w:rsidRPr="00F558FD">
        <w:rPr>
          <w:lang w:val="en-US"/>
        </w:rPr>
        <w:t>f) În rîndul</w:t>
      </w:r>
      <w:r w:rsidRPr="00F558FD">
        <w:rPr>
          <w:b/>
          <w:bCs/>
          <w:lang w:val="en-US"/>
        </w:rPr>
        <w:t xml:space="preserve"> 1.6 Minus imobilizări necorporale nete</w:t>
      </w:r>
      <w:r w:rsidRPr="00F558FD">
        <w:rPr>
          <w:lang w:val="en-US"/>
        </w:rPr>
        <w:t xml:space="preserve"> se reflectă valoarea imobilizărilor necorporale nete deţinute de bancă (brevete, licenţe, mărci comerciale, invenţii, programe informaţionale, drepturi de folosire a terenului, edificiilor etc.) care reprezintă mărimea imobilizărilor necorporale minus amortizarea pe aceste active şi reducerile pentru deprecierea imobilizărilor necorporale. </w:t>
      </w:r>
    </w:p>
    <w:p w:rsidR="00635D9A" w:rsidRPr="00F558FD" w:rsidRDefault="00635D9A" w:rsidP="00552C6A">
      <w:pPr>
        <w:pStyle w:val="NormalWeb"/>
        <w:rPr>
          <w:lang w:val="en-US"/>
        </w:rPr>
      </w:pPr>
      <w:r w:rsidRPr="00F558FD">
        <w:rPr>
          <w:lang w:val="en-US"/>
        </w:rPr>
        <w:t xml:space="preserve">Conturile 1631, 1632, 1633, contra-conturile 1634, 1691, 1822. </w:t>
      </w:r>
    </w:p>
    <w:p w:rsidR="00635D9A" w:rsidRPr="000A197C" w:rsidRDefault="00635D9A" w:rsidP="00552C6A">
      <w:pPr>
        <w:pStyle w:val="NormalWeb"/>
        <w:rPr>
          <w:lang w:val="en-US"/>
        </w:rPr>
      </w:pPr>
      <w:r w:rsidRPr="00F558FD">
        <w:rPr>
          <w:b/>
          <w:bCs/>
          <w:lang w:val="en-US"/>
        </w:rPr>
        <w:t xml:space="preserve">3. </w:t>
      </w:r>
      <w:r w:rsidRPr="000A197C">
        <w:rPr>
          <w:lang w:val="en-US"/>
        </w:rPr>
        <w:t xml:space="preserve">În rîndul </w:t>
      </w:r>
      <w:r w:rsidRPr="000A197C">
        <w:rPr>
          <w:b/>
          <w:bCs/>
          <w:lang w:val="en-US"/>
        </w:rPr>
        <w:t>2.0. Capitalul de gradul II</w:t>
      </w:r>
      <w:r w:rsidRPr="000A197C">
        <w:rPr>
          <w:lang w:val="en-US"/>
        </w:rPr>
        <w:t xml:space="preserve"> se reflectă capitalul de gradul II, care este componenta suplimentară a capitalului normativ total. Suma rîndului 2.0. este egală cu suma rîndurilor 2.1, 2.2, 2.3. şi 2.4 minus suma rîndului 2.5 din acest raport. În cazul în care suma rîndului 2.0. este mai mare decît capitalul de gradul I se înscrie suma capitalului de gradul I din rîndul 1.0. În cazul în care capitalul de gradul I este negativ, în acest rînd se înscrie cifra zero. La calculul capitalului normativ total, capitalul de gradul II este limitat la 100% din capitalul de gradul I</w:t>
      </w:r>
      <w:r>
        <w:rPr>
          <w:lang w:val="en-US"/>
        </w:rPr>
        <w:t>.</w:t>
      </w:r>
    </w:p>
    <w:p w:rsidR="00635D9A" w:rsidRPr="00F558FD" w:rsidRDefault="00635D9A" w:rsidP="00552C6A">
      <w:pPr>
        <w:pStyle w:val="NormalWeb"/>
        <w:rPr>
          <w:lang w:val="en-US"/>
        </w:rPr>
      </w:pPr>
      <w:r w:rsidRPr="00F558FD">
        <w:rPr>
          <w:lang w:val="en-US"/>
        </w:rPr>
        <w:t>a) În rîndul</w:t>
      </w:r>
      <w:r w:rsidRPr="00F558FD">
        <w:rPr>
          <w:b/>
          <w:bCs/>
          <w:lang w:val="en-US"/>
        </w:rPr>
        <w:t xml:space="preserve"> 2.1 Acţiuni preferenţiale cumulative şi parţial cumulative cu scadenţă nefixată</w:t>
      </w:r>
      <w:r w:rsidRPr="00F558FD">
        <w:rPr>
          <w:lang w:val="en-US"/>
        </w:rPr>
        <w:t xml:space="preserve"> se reflectă acţiunile preferenţiale cumulative şi parţial cumulative în circulaţie ce aparţin acţionarilor băncii, care reprezintă diferenţa dintre acţiunile preferenţiale cumulative şi parţial cumulative plasate şi acţiunile preferenţiale cumulative şi parţial cumulative de tezaur cu scadenţă nefixată. </w:t>
      </w:r>
    </w:p>
    <w:p w:rsidR="00635D9A" w:rsidRPr="00F558FD" w:rsidRDefault="00635D9A" w:rsidP="00552C6A">
      <w:pPr>
        <w:pStyle w:val="NormalWeb"/>
        <w:rPr>
          <w:lang w:val="en-US"/>
        </w:rPr>
      </w:pPr>
      <w:r w:rsidRPr="00F558FD">
        <w:rPr>
          <w:lang w:val="en-US"/>
        </w:rPr>
        <w:t xml:space="preserve">Parţial contul 3003, parţial contra-contul 3006. </w:t>
      </w:r>
    </w:p>
    <w:p w:rsidR="00635D9A" w:rsidRPr="00F558FD" w:rsidRDefault="00635D9A" w:rsidP="00552C6A">
      <w:pPr>
        <w:pStyle w:val="NormalWeb"/>
        <w:rPr>
          <w:lang w:val="en-US"/>
        </w:rPr>
      </w:pPr>
      <w:r w:rsidRPr="00F558FD">
        <w:rPr>
          <w:lang w:val="en-US"/>
        </w:rPr>
        <w:t>b) În rîndul</w:t>
      </w:r>
      <w:r w:rsidRPr="00F558FD">
        <w:rPr>
          <w:b/>
          <w:bCs/>
          <w:lang w:val="en-US"/>
        </w:rPr>
        <w:t xml:space="preserve"> 2.2 Surplusul de capital atribuit acţiunilor preferenţiale cumulative şi parţial cumulative</w:t>
      </w:r>
      <w:r w:rsidRPr="00F558FD">
        <w:rPr>
          <w:lang w:val="en-US"/>
        </w:rPr>
        <w:t xml:space="preserve"> se reflectă surplusul de capital atribuit acţiunilor preferenţiale cumulative şi parţial cumulative, inclusiv acţiunilor preferenţiale convertibile în acţiuni ordinare sau în alte clase de acţiuni preferenţiale cu scadenţă nefixată. </w:t>
      </w:r>
    </w:p>
    <w:p w:rsidR="00635D9A" w:rsidRPr="00F558FD" w:rsidRDefault="00635D9A" w:rsidP="00552C6A">
      <w:pPr>
        <w:pStyle w:val="NormalWeb"/>
        <w:rPr>
          <w:lang w:val="en-US"/>
        </w:rPr>
      </w:pPr>
      <w:r w:rsidRPr="00F558FD">
        <w:rPr>
          <w:lang w:val="en-US"/>
        </w:rPr>
        <w:t xml:space="preserve">Parţial contul 3501. </w:t>
      </w:r>
    </w:p>
    <w:p w:rsidR="00635D9A" w:rsidRPr="00F558FD" w:rsidRDefault="00635D9A" w:rsidP="00552C6A">
      <w:pPr>
        <w:pStyle w:val="NormalWeb"/>
        <w:rPr>
          <w:lang w:val="en-US"/>
        </w:rPr>
      </w:pPr>
      <w:r w:rsidRPr="00F558FD">
        <w:rPr>
          <w:lang w:val="en-US"/>
        </w:rPr>
        <w:t xml:space="preserve">c) În rîndul </w:t>
      </w:r>
      <w:r w:rsidRPr="00F558FD">
        <w:rPr>
          <w:b/>
          <w:bCs/>
          <w:lang w:val="en-US"/>
        </w:rPr>
        <w:t>2.3 Datorii subordonate cu scadenţă nefixată</w:t>
      </w:r>
      <w:r w:rsidRPr="00F558FD">
        <w:rPr>
          <w:lang w:val="en-US"/>
        </w:rPr>
        <w:t xml:space="preserve"> se reflectă suma totală a datoriilor subordonate cu scadenţă nefixată, cu condiţia că, corespund cerinţelor stipulate în Regulamentul cu privire la suficienţa capitalului ponderat la risc. </w:t>
      </w:r>
    </w:p>
    <w:p w:rsidR="00635D9A" w:rsidRPr="00F558FD" w:rsidRDefault="00635D9A" w:rsidP="00552C6A">
      <w:pPr>
        <w:pStyle w:val="NormalWeb"/>
        <w:rPr>
          <w:lang w:val="en-US"/>
        </w:rPr>
      </w:pPr>
      <w:r w:rsidRPr="00F558FD">
        <w:rPr>
          <w:lang w:val="en-US"/>
        </w:rPr>
        <w:t xml:space="preserve">Parţial conturile din grupa de conturi 2820. </w:t>
      </w:r>
    </w:p>
    <w:p w:rsidR="00635D9A" w:rsidRPr="00F558FD" w:rsidRDefault="00635D9A" w:rsidP="00552C6A">
      <w:pPr>
        <w:pStyle w:val="NormalWeb"/>
        <w:rPr>
          <w:lang w:val="en-US"/>
        </w:rPr>
      </w:pPr>
      <w:r w:rsidRPr="00F558FD">
        <w:rPr>
          <w:lang w:val="en-US"/>
        </w:rPr>
        <w:t xml:space="preserve">d) În rîndul </w:t>
      </w:r>
      <w:r w:rsidRPr="00F558FD">
        <w:rPr>
          <w:b/>
          <w:bCs/>
          <w:lang w:val="en-US"/>
        </w:rPr>
        <w:t xml:space="preserve">2.4 Datorii subordonate cu scadenţă şi acţiuni preferenţiale cu termen limitat </w:t>
      </w:r>
      <w:r w:rsidRPr="00F558FD">
        <w:rPr>
          <w:lang w:val="en-US"/>
        </w:rPr>
        <w:t xml:space="preserve">se reflectă suma totală a datoriilor subordonate cu scadenţă şi acţiunile preferenţiale, răscumpărarea şi/sau convertirea cărora este prevăzută prin decizia de emitere a lor, recuperabile cu termen limitat cu condiţia că, corespund cerinţelor stipulate în Regulamentul cu privire la suficienţa capitalului ponderat la risc. </w:t>
      </w:r>
    </w:p>
    <w:p w:rsidR="00635D9A" w:rsidRPr="00F558FD" w:rsidRDefault="00635D9A" w:rsidP="00552C6A">
      <w:pPr>
        <w:pStyle w:val="NormalWeb"/>
        <w:rPr>
          <w:lang w:val="en-US"/>
        </w:rPr>
      </w:pPr>
      <w:r w:rsidRPr="00F558FD">
        <w:rPr>
          <w:lang w:val="en-US"/>
        </w:rPr>
        <w:t xml:space="preserve">Parţial conturile 2820, 2830, 3003 (în mărime nu mai mare de 50% din capitalul de gr.I şi în ultimii 5 ani pînă la scadenţă, anual se va efectua o amortizare de 20%), contra-contul 3006. </w:t>
      </w:r>
    </w:p>
    <w:p w:rsidR="00635D9A" w:rsidRPr="00F558FD" w:rsidRDefault="00635D9A" w:rsidP="00552C6A">
      <w:pPr>
        <w:pStyle w:val="NormalWeb"/>
        <w:rPr>
          <w:lang w:val="en-US"/>
        </w:rPr>
      </w:pPr>
      <w:r w:rsidRPr="00F558FD">
        <w:rPr>
          <w:lang w:val="en-US"/>
        </w:rPr>
        <w:t>e) Rezultatul rîndului</w:t>
      </w:r>
      <w:r w:rsidRPr="00F558FD">
        <w:rPr>
          <w:b/>
          <w:bCs/>
          <w:lang w:val="en-US"/>
        </w:rPr>
        <w:t xml:space="preserve"> 2.5 Minus mărimea capitalului de gradul II care depăşeşte mărimea capitalului de gradul I</w:t>
      </w:r>
      <w:r w:rsidRPr="00F558FD">
        <w:rPr>
          <w:lang w:val="en-US"/>
        </w:rPr>
        <w:t xml:space="preserve"> se obţine prin suma rîndurilor 2.1-2.4 minus suma rîndului 1.9. În cazul în care mărimea capitalului de gradul II nu depăşeşte mărimea capitalului de gradul I, în acest rînd se înscrie cifra zero. </w:t>
      </w:r>
    </w:p>
    <w:p w:rsidR="00635D9A" w:rsidRPr="00F558FD" w:rsidRDefault="00635D9A" w:rsidP="00552C6A">
      <w:pPr>
        <w:pStyle w:val="NormalWeb"/>
        <w:rPr>
          <w:lang w:val="en-US"/>
        </w:rPr>
      </w:pPr>
      <w:r w:rsidRPr="00F558FD">
        <w:rPr>
          <w:b/>
          <w:bCs/>
          <w:lang w:val="en-US"/>
        </w:rPr>
        <w:t xml:space="preserve">4. </w:t>
      </w:r>
      <w:r w:rsidRPr="00F558FD">
        <w:rPr>
          <w:lang w:val="en-US"/>
        </w:rPr>
        <w:t>În rîndul</w:t>
      </w:r>
      <w:r w:rsidRPr="00F558FD">
        <w:rPr>
          <w:b/>
          <w:bCs/>
          <w:lang w:val="en-US"/>
        </w:rPr>
        <w:t xml:space="preserve"> 3.0 Total capital de gradul I şi capital de gradul II </w:t>
      </w:r>
      <w:r w:rsidRPr="00F558FD">
        <w:rPr>
          <w:lang w:val="en-US"/>
        </w:rPr>
        <w:t>se reflectă suma rîndurilor 1.</w:t>
      </w:r>
      <w:r>
        <w:rPr>
          <w:lang w:val="en-US"/>
        </w:rPr>
        <w:t>0</w:t>
      </w:r>
      <w:r w:rsidRPr="00F558FD">
        <w:rPr>
          <w:lang w:val="en-US"/>
        </w:rPr>
        <w:t xml:space="preserve"> şi 2.</w:t>
      </w:r>
      <w:r>
        <w:rPr>
          <w:lang w:val="en-US"/>
        </w:rPr>
        <w:t>0</w:t>
      </w:r>
      <w:r w:rsidRPr="00F558FD">
        <w:rPr>
          <w:lang w:val="en-US"/>
        </w:rPr>
        <w:t xml:space="preserve">. </w:t>
      </w:r>
    </w:p>
    <w:p w:rsidR="00635D9A" w:rsidRPr="00F558FD" w:rsidRDefault="00635D9A" w:rsidP="00552C6A">
      <w:pPr>
        <w:pStyle w:val="NormalWeb"/>
        <w:rPr>
          <w:lang w:val="en-US"/>
        </w:rPr>
      </w:pPr>
      <w:r w:rsidRPr="00F558FD">
        <w:rPr>
          <w:b/>
          <w:bCs/>
          <w:lang w:val="en-US"/>
        </w:rPr>
        <w:t xml:space="preserve">5. </w:t>
      </w:r>
      <w:r w:rsidRPr="00F558FD">
        <w:rPr>
          <w:lang w:val="en-US"/>
        </w:rPr>
        <w:t>În rîndul</w:t>
      </w:r>
      <w:r w:rsidRPr="00F558FD">
        <w:rPr>
          <w:b/>
          <w:bCs/>
          <w:lang w:val="en-US"/>
        </w:rPr>
        <w:t xml:space="preserve"> 4.0 Minus cotele de participare în capitalul altor bănci </w:t>
      </w:r>
      <w:r w:rsidRPr="00F558FD">
        <w:rPr>
          <w:lang w:val="en-US"/>
        </w:rPr>
        <w:t xml:space="preserve">se reflectă cotele de participare în capitalul altor bănci, care reprezintă suma investiţiilor în capitalul băncilor care deţin licenţa Băncii Naţionale. </w:t>
      </w:r>
    </w:p>
    <w:p w:rsidR="00635D9A" w:rsidRPr="00F558FD" w:rsidRDefault="00635D9A" w:rsidP="00552C6A">
      <w:pPr>
        <w:pStyle w:val="NormalWeb"/>
        <w:rPr>
          <w:lang w:val="en-US"/>
        </w:rPr>
      </w:pPr>
      <w:r w:rsidRPr="00F558FD">
        <w:rPr>
          <w:lang w:val="en-US"/>
        </w:rPr>
        <w:t>Parţial conturile 1152, 1162,</w:t>
      </w:r>
      <w:r w:rsidRPr="000A197C">
        <w:rPr>
          <w:lang w:val="en-US"/>
        </w:rPr>
        <w:t xml:space="preserve"> 1168 (în partea reevaluărilor cotelor de participare în capitalul altor bănci),</w:t>
      </w:r>
      <w:r w:rsidRPr="00F558FD">
        <w:rPr>
          <w:lang w:val="en-US"/>
        </w:rPr>
        <w:t xml:space="preserve"> 1186 (în partea investiţiilor în alte bănci), conturile 1561, 1562, 1563, contul 1811 (în partea investiţiilor în alte bănci), minus reducerile pentru pierderi la activele/angajamentele condiţionale respective, calculate conform Regulamentului cu privire la clasificarea activelor şi angajamentelor condiţionale (parţial conturile din grupa de conturi 7210). </w:t>
      </w:r>
    </w:p>
    <w:p w:rsidR="00635D9A" w:rsidRPr="00F558FD" w:rsidRDefault="00635D9A" w:rsidP="00552C6A">
      <w:pPr>
        <w:pStyle w:val="NormalWeb"/>
        <w:rPr>
          <w:lang w:val="en-US"/>
        </w:rPr>
      </w:pPr>
      <w:r w:rsidRPr="00F558FD">
        <w:rPr>
          <w:b/>
          <w:bCs/>
          <w:lang w:val="en-US"/>
        </w:rPr>
        <w:t xml:space="preserve">6. </w:t>
      </w:r>
      <w:r w:rsidRPr="00F558FD">
        <w:rPr>
          <w:lang w:val="en-US"/>
        </w:rPr>
        <w:t>Rezultatul rîndului</w:t>
      </w:r>
      <w:r w:rsidRPr="00F558FD">
        <w:rPr>
          <w:b/>
          <w:bCs/>
          <w:lang w:val="en-US"/>
        </w:rPr>
        <w:t xml:space="preserve"> 5.0 Capitalul normativ total</w:t>
      </w:r>
      <w:r w:rsidRPr="00F558FD">
        <w:rPr>
          <w:lang w:val="en-US"/>
        </w:rPr>
        <w:t xml:space="preserve"> se obţine prin diferenţa rîndurilor 3.0 şi 4.0. </w:t>
      </w:r>
    </w:p>
    <w:p w:rsidR="00635D9A" w:rsidRDefault="00635D9A" w:rsidP="00552C6A">
      <w:pPr>
        <w:pStyle w:val="NormalWeb"/>
        <w:rPr>
          <w:lang w:val="en-US"/>
        </w:rPr>
      </w:pPr>
      <w:r w:rsidRPr="00F558FD">
        <w:rPr>
          <w:b/>
          <w:bCs/>
          <w:lang w:val="en-US"/>
        </w:rPr>
        <w:t xml:space="preserve">7. </w:t>
      </w:r>
      <w:r w:rsidRPr="00F558FD">
        <w:rPr>
          <w:lang w:val="en-US"/>
        </w:rPr>
        <w:t>Suma rîndurilor 1.3 şi 2.2 trebuie să fie egală cu suma reflectată în poziţia 410 din FIN 1 lunar. Suma rîndului 1.6. trebuie să fie egală cu suma reflectată în poziţia 100 din FIN 1 lunar.</w:t>
      </w:r>
    </w:p>
    <w:p w:rsidR="00635D9A" w:rsidRDefault="00635D9A" w:rsidP="00552C6A">
      <w:pPr>
        <w:pStyle w:val="NormalWeb"/>
        <w:rPr>
          <w:lang w:val="en-US"/>
        </w:rPr>
      </w:pPr>
      <w:r w:rsidRPr="000A197C">
        <w:rPr>
          <w:b/>
        </w:rPr>
        <w:t>8.</w:t>
      </w:r>
      <w:r>
        <w:t xml:space="preserve"> Periodicitatea prezentării raportului – lunar.</w:t>
      </w:r>
    </w:p>
    <w:p w:rsidR="00635D9A" w:rsidRPr="000A197C" w:rsidRDefault="00635D9A" w:rsidP="00F558FD">
      <w:pPr>
        <w:pStyle w:val="NormalWeb"/>
        <w:rPr>
          <w:lang w:val="en-US"/>
        </w:rPr>
      </w:pPr>
    </w:p>
    <w:p w:rsidR="00635D9A" w:rsidRDefault="00635D9A" w:rsidP="000A197C">
      <w:pPr>
        <w:ind w:firstLine="708"/>
        <w:jc w:val="both"/>
        <w:rPr>
          <w:rStyle w:val="docblue"/>
          <w:i/>
          <w:iCs/>
          <w:color w:val="0000FF"/>
          <w:lang w:val="ro-RO"/>
        </w:rPr>
      </w:pPr>
    </w:p>
    <w:p w:rsidR="00635D9A" w:rsidRDefault="00635D9A" w:rsidP="000A197C">
      <w:pPr>
        <w:ind w:firstLine="708"/>
        <w:jc w:val="both"/>
        <w:rPr>
          <w:rStyle w:val="docblue"/>
          <w:i/>
          <w:iCs/>
          <w:color w:val="0000FF"/>
          <w:lang w:val="ro-RO"/>
        </w:rPr>
      </w:pPr>
    </w:p>
    <w:p w:rsidR="00635D9A" w:rsidRPr="000A197C" w:rsidRDefault="00635D9A" w:rsidP="00552C6A">
      <w:pPr>
        <w:ind w:firstLine="540"/>
        <w:jc w:val="both"/>
        <w:rPr>
          <w:rStyle w:val="docblue"/>
          <w:lang w:val="en-US"/>
        </w:rPr>
      </w:pPr>
      <w:r w:rsidRPr="004F0416">
        <w:rPr>
          <w:rStyle w:val="docblue"/>
          <w:i/>
          <w:iCs/>
          <w:color w:val="0000FF"/>
          <w:lang w:val="ro-RO"/>
        </w:rPr>
        <w:t>[A</w:t>
      </w:r>
      <w:r w:rsidRPr="004F0416">
        <w:rPr>
          <w:rStyle w:val="docblue"/>
          <w:i/>
          <w:iCs/>
          <w:color w:val="0000FF"/>
          <w:lang w:val="en-US"/>
        </w:rPr>
        <w:t>nexa nr.</w:t>
      </w:r>
      <w:r>
        <w:rPr>
          <w:rStyle w:val="docblue"/>
          <w:i/>
          <w:iCs/>
          <w:color w:val="0000FF"/>
          <w:lang w:val="en-US"/>
        </w:rPr>
        <w:t>5</w:t>
      </w:r>
      <w:r w:rsidRPr="004F0416">
        <w:rPr>
          <w:rStyle w:val="docblue"/>
          <w:i/>
          <w:iCs/>
          <w:color w:val="0000FF"/>
          <w:lang w:val="en-US"/>
        </w:rPr>
        <w:t xml:space="preserve"> modificat</w:t>
      </w:r>
      <w:r w:rsidRPr="004F0416">
        <w:rPr>
          <w:rStyle w:val="docblue"/>
          <w:i/>
          <w:iCs/>
          <w:color w:val="0000FF"/>
          <w:lang w:val="ro-RO"/>
        </w:rPr>
        <w:t xml:space="preserve">ă prin </w:t>
      </w:r>
      <w:r w:rsidRPr="004F0416">
        <w:rPr>
          <w:rStyle w:val="docblue0"/>
          <w:i/>
          <w:iCs/>
          <w:color w:val="0000FF"/>
          <w:lang w:val="en-US"/>
        </w:rPr>
        <w:t>HBN1 din 16.01.14, MO17-23/24.01.14 art.98; în vigoare 30.03.14</w:t>
      </w:r>
      <w:r w:rsidRPr="00BE4801">
        <w:rPr>
          <w:rStyle w:val="docblue"/>
          <w:i/>
          <w:iCs/>
          <w:color w:val="0000FF"/>
          <w:lang w:val="ro-RO"/>
        </w:rPr>
        <w:t>]</w:t>
      </w:r>
    </w:p>
    <w:p w:rsidR="00635D9A" w:rsidRPr="00BE4801" w:rsidRDefault="00635D9A" w:rsidP="00552C6A">
      <w:pPr>
        <w:ind w:firstLine="540"/>
        <w:jc w:val="both"/>
        <w:rPr>
          <w:color w:val="0000FF"/>
          <w:lang w:val="en-US"/>
        </w:rPr>
      </w:pPr>
      <w:r w:rsidRPr="00BE4801">
        <w:rPr>
          <w:rStyle w:val="docblue"/>
          <w:i/>
          <w:iCs/>
          <w:color w:val="0000FF"/>
          <w:lang w:val="ro-RO"/>
        </w:rPr>
        <w:t>[A</w:t>
      </w:r>
      <w:r w:rsidRPr="00BE4801">
        <w:rPr>
          <w:rStyle w:val="docblue"/>
          <w:i/>
          <w:iCs/>
          <w:color w:val="0000FF"/>
          <w:lang w:val="en-US"/>
        </w:rPr>
        <w:t>nexa nr.5 modificat</w:t>
      </w:r>
      <w:r w:rsidRPr="00BE4801">
        <w:rPr>
          <w:rStyle w:val="docblue"/>
          <w:i/>
          <w:iCs/>
          <w:color w:val="0000FF"/>
          <w:lang w:val="ro-RO"/>
        </w:rPr>
        <w:t>ă prin HBN64 din 04.04.13, MO83-90/19.04.13 art.444]</w:t>
      </w:r>
    </w:p>
    <w:sectPr w:rsidR="00635D9A" w:rsidRPr="00BE4801" w:rsidSect="008E2D36">
      <w:pgSz w:w="11906" w:h="16838"/>
      <w:pgMar w:top="899" w:right="851" w:bottom="89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8FD"/>
    <w:rsid w:val="000A197C"/>
    <w:rsid w:val="000B2655"/>
    <w:rsid w:val="001621FF"/>
    <w:rsid w:val="001943B2"/>
    <w:rsid w:val="004F0416"/>
    <w:rsid w:val="0050562E"/>
    <w:rsid w:val="00552C6A"/>
    <w:rsid w:val="00635D9A"/>
    <w:rsid w:val="007B5370"/>
    <w:rsid w:val="007E12A0"/>
    <w:rsid w:val="007E3CE2"/>
    <w:rsid w:val="00856B03"/>
    <w:rsid w:val="008E2D36"/>
    <w:rsid w:val="00BE4801"/>
    <w:rsid w:val="00C23F7F"/>
    <w:rsid w:val="00E05B19"/>
    <w:rsid w:val="00F558FD"/>
    <w:rsid w:val="00F815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8FD"/>
    <w:rPr>
      <w:rFonts w:ascii="Times New Roman" w:eastAsia="Times New Roman" w:hAnsi="Times New Roman"/>
      <w:sz w:val="24"/>
      <w:szCs w:val="24"/>
    </w:rPr>
  </w:style>
  <w:style w:type="paragraph" w:styleId="Heading2">
    <w:name w:val="heading 2"/>
    <w:basedOn w:val="Normal"/>
    <w:next w:val="Normal"/>
    <w:link w:val="Heading2Char"/>
    <w:uiPriority w:val="99"/>
    <w:qFormat/>
    <w:rsid w:val="000A197C"/>
    <w:pPr>
      <w:keepNext/>
      <w:spacing w:before="240" w:after="60"/>
      <w:outlineLvl w:val="1"/>
    </w:pPr>
    <w:rPr>
      <w:rFonts w:ascii="Arial" w:hAnsi="Arial" w:cs="Arial"/>
      <w:b/>
      <w:bCs/>
      <w:i/>
      <w:iCs/>
      <w:sz w:val="28"/>
      <w:szCs w:val="28"/>
      <w:lang w:val="ro-MO" w:eastAsia="en-US"/>
    </w:rPr>
  </w:style>
  <w:style w:type="paragraph" w:styleId="Heading3">
    <w:name w:val="heading 3"/>
    <w:basedOn w:val="Normal"/>
    <w:next w:val="Normal"/>
    <w:link w:val="Heading3Char"/>
    <w:uiPriority w:val="99"/>
    <w:qFormat/>
    <w:rsid w:val="000A197C"/>
    <w:pPr>
      <w:keepNext/>
      <w:spacing w:before="240" w:after="60"/>
      <w:outlineLvl w:val="2"/>
    </w:pPr>
    <w:rPr>
      <w:rFonts w:ascii="Arial" w:hAnsi="Arial" w:cs="Arial"/>
      <w:b/>
      <w:bCs/>
      <w:sz w:val="26"/>
      <w:szCs w:val="26"/>
      <w:lang w:val="ro-MO"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A197C"/>
    <w:rPr>
      <w:rFonts w:ascii="Arial" w:hAnsi="Arial" w:cs="Arial"/>
      <w:b/>
      <w:bCs/>
      <w:i/>
      <w:iCs/>
      <w:sz w:val="28"/>
      <w:szCs w:val="28"/>
      <w:lang w:val="ro-MO"/>
    </w:rPr>
  </w:style>
  <w:style w:type="character" w:customStyle="1" w:styleId="Heading3Char">
    <w:name w:val="Heading 3 Char"/>
    <w:basedOn w:val="DefaultParagraphFont"/>
    <w:link w:val="Heading3"/>
    <w:uiPriority w:val="99"/>
    <w:locked/>
    <w:rsid w:val="000A197C"/>
    <w:rPr>
      <w:rFonts w:ascii="Arial" w:hAnsi="Arial" w:cs="Arial"/>
      <w:b/>
      <w:bCs/>
      <w:sz w:val="26"/>
      <w:szCs w:val="26"/>
      <w:lang w:val="ro-MO"/>
    </w:rPr>
  </w:style>
  <w:style w:type="paragraph" w:customStyle="1" w:styleId="cn">
    <w:name w:val="cn"/>
    <w:basedOn w:val="Normal"/>
    <w:uiPriority w:val="99"/>
    <w:rsid w:val="00F558FD"/>
    <w:pPr>
      <w:jc w:val="center"/>
    </w:pPr>
  </w:style>
  <w:style w:type="paragraph" w:styleId="NormalWeb">
    <w:name w:val="Normal (Web)"/>
    <w:basedOn w:val="Normal"/>
    <w:uiPriority w:val="99"/>
    <w:rsid w:val="00F558FD"/>
    <w:pPr>
      <w:ind w:firstLine="567"/>
      <w:jc w:val="both"/>
    </w:pPr>
  </w:style>
  <w:style w:type="paragraph" w:customStyle="1" w:styleId="cp">
    <w:name w:val="cp"/>
    <w:basedOn w:val="Normal"/>
    <w:uiPriority w:val="99"/>
    <w:rsid w:val="00F558FD"/>
    <w:pPr>
      <w:jc w:val="center"/>
    </w:pPr>
    <w:rPr>
      <w:b/>
      <w:bCs/>
    </w:rPr>
  </w:style>
  <w:style w:type="paragraph" w:customStyle="1" w:styleId="rg">
    <w:name w:val="rg"/>
    <w:basedOn w:val="Normal"/>
    <w:uiPriority w:val="99"/>
    <w:rsid w:val="00F558FD"/>
    <w:pPr>
      <w:jc w:val="right"/>
    </w:pPr>
  </w:style>
  <w:style w:type="paragraph" w:customStyle="1" w:styleId="lf">
    <w:name w:val="lf"/>
    <w:basedOn w:val="Normal"/>
    <w:uiPriority w:val="99"/>
    <w:rsid w:val="00F558FD"/>
  </w:style>
  <w:style w:type="paragraph" w:customStyle="1" w:styleId="cb">
    <w:name w:val="cb"/>
    <w:basedOn w:val="Normal"/>
    <w:uiPriority w:val="99"/>
    <w:rsid w:val="00F558FD"/>
    <w:pPr>
      <w:jc w:val="center"/>
    </w:pPr>
    <w:rPr>
      <w:b/>
      <w:bCs/>
    </w:rPr>
  </w:style>
  <w:style w:type="character" w:customStyle="1" w:styleId="docblue">
    <w:name w:val="docblue"/>
    <w:basedOn w:val="DefaultParagraphFont"/>
    <w:uiPriority w:val="99"/>
    <w:rsid w:val="00BE4801"/>
    <w:rPr>
      <w:rFonts w:cs="Times New Roman"/>
    </w:rPr>
  </w:style>
  <w:style w:type="character" w:customStyle="1" w:styleId="docblue0">
    <w:name w:val="doc_blue"/>
    <w:basedOn w:val="DefaultParagraphFont"/>
    <w:uiPriority w:val="99"/>
    <w:rsid w:val="000A197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3</Pages>
  <Words>1300</Words>
  <Characters>7412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User</cp:lastModifiedBy>
  <cp:revision>8</cp:revision>
  <dcterms:created xsi:type="dcterms:W3CDTF">2014-02-04T10:44:00Z</dcterms:created>
  <dcterms:modified xsi:type="dcterms:W3CDTF">2014-02-20T10:20:00Z</dcterms:modified>
</cp:coreProperties>
</file>