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C6" w:rsidRPr="00363EA5" w:rsidRDefault="002148C6" w:rsidP="00A61956">
      <w:pPr>
        <w:pStyle w:val="rg"/>
        <w:rPr>
          <w:lang w:val="en-US"/>
        </w:rPr>
      </w:pPr>
      <w:r w:rsidRPr="00363EA5">
        <w:rPr>
          <w:lang w:val="en-US"/>
        </w:rPr>
        <w:t xml:space="preserve">Anexa nr.8 </w:t>
      </w:r>
    </w:p>
    <w:p w:rsidR="002148C6" w:rsidRPr="00363EA5" w:rsidRDefault="002148C6" w:rsidP="00A61956">
      <w:pPr>
        <w:pStyle w:val="rg"/>
        <w:rPr>
          <w:lang w:val="en-US"/>
        </w:rPr>
      </w:pPr>
      <w:smartTag w:uri="urn:schemas-microsoft-com:office:smarttags" w:element="PersonName">
        <w:smartTagPr>
          <w:attr w:name="ProductID" w:val="la Instrucţiunea"/>
        </w:smartTagPr>
        <w:r w:rsidRPr="00363EA5">
          <w:rPr>
            <w:lang w:val="en-US"/>
          </w:rPr>
          <w:t>la Instrucţiunea</w:t>
        </w:r>
      </w:smartTag>
      <w:r w:rsidRPr="00363EA5">
        <w:rPr>
          <w:lang w:val="en-US"/>
        </w:rPr>
        <w:t xml:space="preserve"> privind modul de întocmire </w:t>
      </w:r>
    </w:p>
    <w:p w:rsidR="002148C6" w:rsidRPr="00363EA5" w:rsidRDefault="002148C6" w:rsidP="00A61956">
      <w:pPr>
        <w:pStyle w:val="rg"/>
        <w:rPr>
          <w:lang w:val="en-US"/>
        </w:rPr>
      </w:pPr>
      <w:r w:rsidRPr="00363EA5">
        <w:rPr>
          <w:lang w:val="en-US"/>
        </w:rPr>
        <w:t xml:space="preserve">şi prezentare de către bănci a rapoartelor </w:t>
      </w:r>
    </w:p>
    <w:p w:rsidR="002148C6" w:rsidRDefault="002148C6" w:rsidP="00A61956">
      <w:pPr>
        <w:pStyle w:val="NormalWeb"/>
        <w:jc w:val="right"/>
        <w:rPr>
          <w:lang w:val="en-US"/>
        </w:rPr>
      </w:pPr>
      <w:r w:rsidRPr="00363EA5">
        <w:rPr>
          <w:lang w:val="en-US"/>
        </w:rPr>
        <w:t>în scopuri prudenţiale</w:t>
      </w:r>
    </w:p>
    <w:p w:rsidR="002148C6" w:rsidRDefault="002148C6" w:rsidP="00A61956">
      <w:pPr>
        <w:pStyle w:val="NormalWeb"/>
        <w:jc w:val="right"/>
        <w:rPr>
          <w:lang w:val="en-US"/>
        </w:rPr>
      </w:pPr>
    </w:p>
    <w:p w:rsidR="002148C6" w:rsidRDefault="002148C6" w:rsidP="00A61956">
      <w:pPr>
        <w:pStyle w:val="NormalWeb"/>
        <w:jc w:val="right"/>
        <w:rPr>
          <w:lang w:val="en-US"/>
        </w:rPr>
      </w:pPr>
    </w:p>
    <w:p w:rsidR="002148C6" w:rsidRPr="00856B03" w:rsidRDefault="002148C6" w:rsidP="00A61956">
      <w:pPr>
        <w:tabs>
          <w:tab w:val="left" w:pos="1008"/>
          <w:tab w:val="left" w:pos="8208"/>
          <w:tab w:val="left" w:pos="9828"/>
        </w:tabs>
        <w:ind w:left="7380"/>
        <w:jc w:val="right"/>
        <w:rPr>
          <w:b/>
          <w:bCs/>
          <w:color w:val="000000"/>
          <w:sz w:val="20"/>
          <w:szCs w:val="20"/>
        </w:rPr>
      </w:pPr>
      <w:r w:rsidRPr="00856B03">
        <w:rPr>
          <w:b/>
          <w:bCs/>
          <w:color w:val="000000"/>
          <w:sz w:val="20"/>
          <w:szCs w:val="20"/>
        </w:rPr>
        <w:t>ORD0314</w:t>
      </w:r>
    </w:p>
    <w:p w:rsidR="002148C6" w:rsidRPr="00856B03" w:rsidRDefault="002148C6" w:rsidP="00A61956">
      <w:pPr>
        <w:tabs>
          <w:tab w:val="left" w:pos="1008"/>
          <w:tab w:val="left" w:pos="1446"/>
          <w:tab w:val="left" w:pos="8208"/>
          <w:tab w:val="left" w:pos="9828"/>
        </w:tabs>
        <w:ind w:left="7380"/>
        <w:jc w:val="right"/>
        <w:rPr>
          <w:b/>
          <w:bCs/>
          <w:color w:val="000000"/>
          <w:sz w:val="20"/>
          <w:szCs w:val="20"/>
        </w:rPr>
      </w:pPr>
      <w:r w:rsidRPr="00856B03">
        <w:rPr>
          <w:b/>
          <w:bCs/>
          <w:color w:val="000000"/>
          <w:sz w:val="20"/>
          <w:szCs w:val="20"/>
        </w:rPr>
        <w:t>Codul formularului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tblGrid>
      <w:tr w:rsidR="002148C6" w:rsidRPr="00856B03" w:rsidTr="00552BC1">
        <w:tc>
          <w:tcPr>
            <w:tcW w:w="1368" w:type="dxa"/>
          </w:tcPr>
          <w:p w:rsidR="002148C6" w:rsidRPr="00856B03" w:rsidRDefault="002148C6" w:rsidP="00552BC1">
            <w:pPr>
              <w:tabs>
                <w:tab w:val="left" w:pos="1008"/>
                <w:tab w:val="left" w:pos="1446"/>
                <w:tab w:val="left" w:pos="8208"/>
                <w:tab w:val="left" w:pos="9828"/>
              </w:tabs>
              <w:rPr>
                <w:color w:val="000000"/>
                <w:sz w:val="18"/>
                <w:szCs w:val="18"/>
              </w:rPr>
            </w:pPr>
          </w:p>
        </w:tc>
      </w:tr>
    </w:tbl>
    <w:p w:rsidR="002148C6" w:rsidRPr="00856B03" w:rsidRDefault="002148C6" w:rsidP="00A61956">
      <w:pPr>
        <w:tabs>
          <w:tab w:val="left" w:pos="1008"/>
          <w:tab w:val="left" w:pos="1446"/>
          <w:tab w:val="left" w:pos="8208"/>
          <w:tab w:val="left" w:pos="9828"/>
        </w:tabs>
        <w:rPr>
          <w:color w:val="000000"/>
          <w:sz w:val="18"/>
          <w:szCs w:val="18"/>
        </w:rPr>
      </w:pPr>
      <w:r w:rsidRPr="00856B03">
        <w:rPr>
          <w:color w:val="000000"/>
          <w:sz w:val="18"/>
          <w:szCs w:val="18"/>
        </w:rPr>
        <w:t>codul băncii</w:t>
      </w:r>
    </w:p>
    <w:p w:rsidR="002148C6" w:rsidRPr="00856B03" w:rsidRDefault="002148C6" w:rsidP="00A61956">
      <w:pPr>
        <w:jc w:val="center"/>
        <w:rPr>
          <w:sz w:val="20"/>
          <w:szCs w:val="20"/>
        </w:rPr>
      </w:pPr>
    </w:p>
    <w:p w:rsidR="002148C6" w:rsidRPr="00A61956" w:rsidRDefault="002148C6" w:rsidP="00A61956">
      <w:pPr>
        <w:jc w:val="center"/>
        <w:rPr>
          <w:b/>
          <w:bCs/>
          <w:lang w:val="en-US"/>
        </w:rPr>
      </w:pPr>
      <w:r w:rsidRPr="00A61956">
        <w:rPr>
          <w:b/>
          <w:lang w:val="en-US"/>
        </w:rPr>
        <w:t xml:space="preserve">ORD 3.14 </w:t>
      </w:r>
      <w:r w:rsidRPr="00A61956">
        <w:rPr>
          <w:b/>
          <w:bCs/>
          <w:lang w:val="en-US"/>
        </w:rPr>
        <w:t>Informaţia operativă</w:t>
      </w:r>
    </w:p>
    <w:p w:rsidR="002148C6" w:rsidRDefault="002148C6" w:rsidP="00A61956">
      <w:pPr>
        <w:tabs>
          <w:tab w:val="left" w:pos="4020"/>
        </w:tabs>
        <w:ind w:left="5760" w:hanging="5760"/>
        <w:jc w:val="center"/>
        <w:rPr>
          <w:lang w:val="en-US"/>
        </w:rPr>
      </w:pPr>
      <w:r w:rsidRPr="00A61956">
        <w:rPr>
          <w:lang w:val="en-US"/>
        </w:rPr>
        <w:t xml:space="preserve">la situaţia din ____________20_ </w:t>
      </w:r>
    </w:p>
    <w:p w:rsidR="002148C6" w:rsidRPr="00A61956" w:rsidRDefault="002148C6" w:rsidP="00A61956">
      <w:pPr>
        <w:tabs>
          <w:tab w:val="left" w:pos="4020"/>
        </w:tabs>
        <w:ind w:left="5760" w:hanging="5760"/>
        <w:jc w:val="center"/>
        <w:rPr>
          <w:lang w:val="en-US"/>
        </w:rPr>
      </w:pPr>
    </w:p>
    <w:p w:rsidR="002148C6" w:rsidRPr="00856B03" w:rsidRDefault="002148C6" w:rsidP="00A61956">
      <w:pPr>
        <w:tabs>
          <w:tab w:val="left" w:pos="0"/>
        </w:tabs>
        <w:ind w:right="-366"/>
        <w:rPr>
          <w:sz w:val="20"/>
          <w:szCs w:val="20"/>
        </w:rPr>
      </w:pPr>
      <w:r w:rsidRPr="00A61956">
        <w:rPr>
          <w:sz w:val="20"/>
          <w:szCs w:val="20"/>
          <w:lang w:val="en-US"/>
        </w:rPr>
        <w:tab/>
      </w:r>
      <w:r w:rsidRPr="00A61956">
        <w:rPr>
          <w:sz w:val="20"/>
          <w:szCs w:val="20"/>
          <w:lang w:val="en-US"/>
        </w:rPr>
        <w:tab/>
      </w:r>
      <w:r w:rsidRPr="00A61956">
        <w:rPr>
          <w:sz w:val="20"/>
          <w:szCs w:val="20"/>
          <w:lang w:val="en-US"/>
        </w:rPr>
        <w:tab/>
      </w:r>
      <w:r w:rsidRPr="00A61956">
        <w:rPr>
          <w:sz w:val="20"/>
          <w:szCs w:val="20"/>
          <w:lang w:val="en-US"/>
        </w:rPr>
        <w:tab/>
      </w:r>
      <w:r w:rsidRPr="00A61956">
        <w:rPr>
          <w:sz w:val="20"/>
          <w:szCs w:val="20"/>
          <w:lang w:val="en-US"/>
        </w:rPr>
        <w:tab/>
      </w:r>
      <w:r w:rsidRPr="00A61956">
        <w:rPr>
          <w:sz w:val="20"/>
          <w:szCs w:val="20"/>
          <w:lang w:val="en-US"/>
        </w:rPr>
        <w:tab/>
      </w:r>
      <w:r w:rsidRPr="00A61956">
        <w:rPr>
          <w:sz w:val="20"/>
          <w:szCs w:val="20"/>
          <w:lang w:val="en-US"/>
        </w:rPr>
        <w:tab/>
        <w:t xml:space="preserve">                             </w:t>
      </w:r>
      <w:r w:rsidRPr="00A61956">
        <w:rPr>
          <w:sz w:val="20"/>
          <w:szCs w:val="20"/>
          <w:lang w:val="en-US"/>
        </w:rPr>
        <w:tab/>
        <w:t xml:space="preserve"> </w:t>
      </w:r>
      <w:r w:rsidRPr="00856B03">
        <w:rPr>
          <w:sz w:val="20"/>
          <w:szCs w:val="20"/>
        </w:rPr>
        <w:t>(001-lei)</w:t>
      </w:r>
    </w:p>
    <w:tbl>
      <w:tblPr>
        <w:tblW w:w="9214" w:type="dxa"/>
        <w:tblInd w:w="-73" w:type="dxa"/>
        <w:tblLayout w:type="fixed"/>
        <w:tblCellMar>
          <w:left w:w="107" w:type="dxa"/>
          <w:right w:w="107" w:type="dxa"/>
        </w:tblCellMar>
        <w:tblLook w:val="0000"/>
      </w:tblPr>
      <w:tblGrid>
        <w:gridCol w:w="1080"/>
        <w:gridCol w:w="1080"/>
        <w:gridCol w:w="5243"/>
        <w:gridCol w:w="1811"/>
      </w:tblGrid>
      <w:tr w:rsidR="002148C6" w:rsidRPr="00856B03" w:rsidTr="00710AF9">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Cs/>
                <w:sz w:val="20"/>
                <w:szCs w:val="20"/>
              </w:rPr>
            </w:pPr>
            <w:r w:rsidRPr="00856B03">
              <w:rPr>
                <w:bCs/>
                <w:sz w:val="20"/>
                <w:szCs w:val="20"/>
              </w:rPr>
              <w:t>Nr.</w:t>
            </w:r>
          </w:p>
          <w:p w:rsidR="002148C6" w:rsidRPr="00856B03" w:rsidRDefault="002148C6" w:rsidP="00552BC1">
            <w:pPr>
              <w:jc w:val="center"/>
              <w:rPr>
                <w:bCs/>
                <w:sz w:val="20"/>
                <w:szCs w:val="20"/>
              </w:rPr>
            </w:pPr>
            <w:r w:rsidRPr="00856B03">
              <w:rPr>
                <w:bCs/>
                <w:sz w:val="20"/>
                <w:szCs w:val="20"/>
              </w:rPr>
              <w:t>compar-timen-tului</w:t>
            </w:r>
          </w:p>
        </w:tc>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Cs/>
                <w:sz w:val="20"/>
                <w:szCs w:val="20"/>
              </w:rPr>
            </w:pPr>
            <w:r w:rsidRPr="00856B03">
              <w:rPr>
                <w:bCs/>
                <w:sz w:val="20"/>
                <w:szCs w:val="20"/>
              </w:rPr>
              <w:t>Nr.</w:t>
            </w:r>
          </w:p>
          <w:p w:rsidR="002148C6" w:rsidRPr="00856B03" w:rsidRDefault="002148C6" w:rsidP="00552BC1">
            <w:pPr>
              <w:jc w:val="center"/>
              <w:rPr>
                <w:bCs/>
                <w:sz w:val="20"/>
                <w:szCs w:val="20"/>
              </w:rPr>
            </w:pPr>
            <w:r w:rsidRPr="00856B03">
              <w:rPr>
                <w:bCs/>
                <w:sz w:val="20"/>
                <w:szCs w:val="20"/>
              </w:rPr>
              <w:t>d/o</w:t>
            </w:r>
          </w:p>
        </w:tc>
        <w:tc>
          <w:tcPr>
            <w:tcW w:w="5243"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Cs/>
                <w:sz w:val="20"/>
                <w:szCs w:val="20"/>
              </w:rPr>
            </w:pPr>
            <w:r w:rsidRPr="00856B03">
              <w:rPr>
                <w:bCs/>
                <w:sz w:val="20"/>
                <w:szCs w:val="20"/>
              </w:rPr>
              <w:t>Denumirea indicatorilor</w:t>
            </w:r>
          </w:p>
        </w:tc>
        <w:tc>
          <w:tcPr>
            <w:tcW w:w="1811"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pStyle w:val="Heading2"/>
              <w:jc w:val="center"/>
              <w:rPr>
                <w:rFonts w:ascii="Times New Roman" w:hAnsi="Times New Roman" w:cs="Times New Roman"/>
                <w:b w:val="0"/>
                <w:i w:val="0"/>
                <w:sz w:val="20"/>
                <w:szCs w:val="20"/>
              </w:rPr>
            </w:pPr>
            <w:r w:rsidRPr="00856B03">
              <w:rPr>
                <w:rFonts w:ascii="Times New Roman" w:hAnsi="Times New Roman" w:cs="Times New Roman"/>
                <w:b w:val="0"/>
                <w:i w:val="0"/>
                <w:sz w:val="20"/>
                <w:szCs w:val="20"/>
              </w:rPr>
              <w:t>Suma</w:t>
            </w:r>
          </w:p>
        </w:tc>
      </w:tr>
      <w:tr w:rsidR="002148C6" w:rsidRPr="00856B03" w:rsidTr="00710AF9">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Cs/>
                <w:sz w:val="20"/>
                <w:szCs w:val="20"/>
              </w:rPr>
            </w:pPr>
            <w:r w:rsidRPr="00856B03">
              <w:rPr>
                <w:bCs/>
                <w:sz w:val="20"/>
                <w:szCs w:val="20"/>
              </w:rPr>
              <w:t>A</w:t>
            </w:r>
          </w:p>
        </w:tc>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Cs/>
                <w:sz w:val="20"/>
                <w:szCs w:val="20"/>
              </w:rPr>
            </w:pPr>
            <w:r w:rsidRPr="00856B03">
              <w:rPr>
                <w:bCs/>
                <w:sz w:val="20"/>
                <w:szCs w:val="20"/>
              </w:rPr>
              <w:t>B</w:t>
            </w:r>
          </w:p>
        </w:tc>
        <w:tc>
          <w:tcPr>
            <w:tcW w:w="5243"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Cs/>
                <w:sz w:val="20"/>
                <w:szCs w:val="20"/>
              </w:rPr>
            </w:pPr>
            <w:r w:rsidRPr="00856B03">
              <w:rPr>
                <w:bCs/>
                <w:sz w:val="20"/>
                <w:szCs w:val="20"/>
              </w:rPr>
              <w:t>C</w:t>
            </w:r>
          </w:p>
        </w:tc>
        <w:tc>
          <w:tcPr>
            <w:tcW w:w="1811"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Cs/>
                <w:sz w:val="20"/>
                <w:szCs w:val="20"/>
              </w:rPr>
            </w:pPr>
            <w:r w:rsidRPr="00856B03">
              <w:rPr>
                <w:bCs/>
                <w:sz w:val="20"/>
                <w:szCs w:val="20"/>
              </w:rPr>
              <w:t>1</w:t>
            </w:r>
          </w:p>
        </w:tc>
      </w:tr>
      <w:tr w:rsidR="002148C6" w:rsidRPr="00856B03" w:rsidTr="00710AF9">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Cs/>
                <w:sz w:val="20"/>
                <w:szCs w:val="20"/>
              </w:rPr>
            </w:pPr>
          </w:p>
        </w:tc>
        <w:tc>
          <w:tcPr>
            <w:tcW w:w="5243"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rPr>
                <w:bCs/>
                <w:sz w:val="20"/>
                <w:szCs w:val="20"/>
              </w:rPr>
            </w:pPr>
            <w:r w:rsidRPr="00856B03">
              <w:rPr>
                <w:b/>
                <w:iCs/>
                <w:sz w:val="20"/>
                <w:szCs w:val="20"/>
              </w:rPr>
              <w:t>PRINCIPIUL II (lichiditatea curentă)</w:t>
            </w:r>
          </w:p>
        </w:tc>
        <w:tc>
          <w:tcPr>
            <w:tcW w:w="1811"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r w:rsidRPr="00856B03">
              <w:rPr>
                <w:b/>
                <w:sz w:val="20"/>
                <w:szCs w:val="20"/>
              </w:rPr>
              <w:t>x</w:t>
            </w:r>
          </w:p>
        </w:tc>
      </w:tr>
      <w:tr w:rsidR="002148C6" w:rsidRPr="00856B03" w:rsidTr="00710AF9">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iCs/>
                <w:sz w:val="20"/>
                <w:szCs w:val="20"/>
              </w:rPr>
            </w:pPr>
            <w:r w:rsidRPr="00856B03">
              <w:rPr>
                <w:b/>
                <w:iCs/>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iCs/>
                <w:sz w:val="20"/>
                <w:szCs w:val="20"/>
              </w:rPr>
            </w:pPr>
            <w:r w:rsidRPr="00856B03">
              <w:rPr>
                <w:b/>
                <w:iCs/>
                <w:sz w:val="20"/>
                <w:szCs w:val="20"/>
              </w:rPr>
              <w:t>0</w:t>
            </w:r>
          </w:p>
        </w:tc>
        <w:tc>
          <w:tcPr>
            <w:tcW w:w="5243"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rPr>
                <w:b/>
                <w:i/>
                <w:iCs/>
                <w:sz w:val="20"/>
                <w:szCs w:val="20"/>
              </w:rPr>
            </w:pPr>
            <w:r w:rsidRPr="00856B03">
              <w:rPr>
                <w:b/>
                <w:iCs/>
                <w:sz w:val="20"/>
                <w:szCs w:val="20"/>
              </w:rPr>
              <w:t>Active lichide (AL)</w:t>
            </w:r>
          </w:p>
        </w:tc>
        <w:tc>
          <w:tcPr>
            <w:tcW w:w="1811"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pStyle w:val="Heading3"/>
              <w:spacing w:before="0"/>
              <w:jc w:val="center"/>
              <w:rPr>
                <w:rFonts w:ascii="Times New Roman" w:hAnsi="Times New Roman" w:cs="Times New Roman"/>
                <w:strike/>
                <w:sz w:val="20"/>
                <w:szCs w:val="20"/>
              </w:rPr>
            </w:pPr>
          </w:p>
        </w:tc>
      </w:tr>
      <w:tr w:rsidR="002148C6" w:rsidRPr="00856B03" w:rsidTr="00710AF9">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iCs/>
                <w:sz w:val="20"/>
                <w:szCs w:val="20"/>
              </w:rPr>
            </w:pPr>
            <w:r w:rsidRPr="00856B03">
              <w:rPr>
                <w:iCs/>
                <w:sz w:val="20"/>
                <w:szCs w:val="20"/>
              </w:rPr>
              <w:t>1</w:t>
            </w:r>
          </w:p>
        </w:tc>
        <w:tc>
          <w:tcPr>
            <w:tcW w:w="5243"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rPr>
                <w:sz w:val="20"/>
                <w:szCs w:val="20"/>
              </w:rPr>
            </w:pPr>
            <w:r w:rsidRPr="00856B03">
              <w:rPr>
                <w:sz w:val="20"/>
                <w:szCs w:val="20"/>
              </w:rPr>
              <w:t xml:space="preserve">Numerar </w:t>
            </w:r>
          </w:p>
        </w:tc>
        <w:tc>
          <w:tcPr>
            <w:tcW w:w="1811"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Cs/>
                <w:iCs/>
                <w:sz w:val="20"/>
                <w:szCs w:val="20"/>
              </w:rPr>
            </w:pPr>
          </w:p>
        </w:tc>
      </w:tr>
      <w:tr w:rsidR="002148C6" w:rsidRPr="00A61956" w:rsidTr="00710AF9">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sz w:val="20"/>
                <w:szCs w:val="20"/>
              </w:rPr>
            </w:pPr>
            <w:r w:rsidRPr="00856B03">
              <w:rPr>
                <w:sz w:val="20"/>
                <w:szCs w:val="20"/>
              </w:rPr>
              <w:t>2</w:t>
            </w:r>
          </w:p>
        </w:tc>
        <w:tc>
          <w:tcPr>
            <w:tcW w:w="5243" w:type="dxa"/>
            <w:tcBorders>
              <w:top w:val="single" w:sz="4" w:space="0" w:color="auto"/>
              <w:left w:val="single" w:sz="4" w:space="0" w:color="auto"/>
              <w:bottom w:val="single" w:sz="4" w:space="0" w:color="auto"/>
              <w:right w:val="single" w:sz="4" w:space="0" w:color="auto"/>
            </w:tcBorders>
          </w:tcPr>
          <w:p w:rsidR="002148C6" w:rsidRPr="00A61956" w:rsidRDefault="002148C6" w:rsidP="00552BC1">
            <w:pPr>
              <w:rPr>
                <w:sz w:val="20"/>
                <w:szCs w:val="20"/>
                <w:lang w:val="en-US"/>
              </w:rPr>
            </w:pPr>
            <w:r w:rsidRPr="00A61956">
              <w:rPr>
                <w:sz w:val="20"/>
                <w:szCs w:val="20"/>
                <w:lang w:val="en-US"/>
              </w:rPr>
              <w:t xml:space="preserve">Depozite </w:t>
            </w:r>
            <w:smartTag w:uri="urn:schemas-microsoft-com:office:smarttags" w:element="PersonName">
              <w:smartTagPr>
                <w:attr w:name="ProductID" w:val="la Banca Naţională"/>
              </w:smartTagPr>
              <w:r w:rsidRPr="00A61956">
                <w:rPr>
                  <w:sz w:val="20"/>
                  <w:szCs w:val="20"/>
                  <w:lang w:val="en-US"/>
                </w:rPr>
                <w:t>la Banca Naţională</w:t>
              </w:r>
            </w:smartTag>
            <w:r w:rsidRPr="00A61956">
              <w:rPr>
                <w:sz w:val="20"/>
                <w:szCs w:val="20"/>
                <w:lang w:val="en-US"/>
              </w:rPr>
              <w:t xml:space="preserve"> a Moldovei</w:t>
            </w:r>
          </w:p>
        </w:tc>
        <w:tc>
          <w:tcPr>
            <w:tcW w:w="1811" w:type="dxa"/>
            <w:tcBorders>
              <w:top w:val="single" w:sz="4" w:space="0" w:color="auto"/>
              <w:left w:val="single" w:sz="4" w:space="0" w:color="auto"/>
              <w:bottom w:val="single" w:sz="4" w:space="0" w:color="auto"/>
              <w:right w:val="single" w:sz="4" w:space="0" w:color="auto"/>
            </w:tcBorders>
          </w:tcPr>
          <w:p w:rsidR="002148C6" w:rsidRPr="00A61956" w:rsidRDefault="002148C6" w:rsidP="00552BC1">
            <w:pPr>
              <w:jc w:val="center"/>
              <w:rPr>
                <w:sz w:val="20"/>
                <w:szCs w:val="20"/>
                <w:lang w:val="en-US"/>
              </w:rPr>
            </w:pPr>
          </w:p>
        </w:tc>
      </w:tr>
      <w:tr w:rsidR="002148C6" w:rsidRPr="00856B03" w:rsidTr="00710AF9">
        <w:tc>
          <w:tcPr>
            <w:tcW w:w="1080" w:type="dxa"/>
            <w:tcBorders>
              <w:top w:val="single" w:sz="4" w:space="0" w:color="auto"/>
              <w:left w:val="single" w:sz="4" w:space="0" w:color="auto"/>
              <w:bottom w:val="single" w:sz="4" w:space="0" w:color="auto"/>
              <w:right w:val="single" w:sz="4" w:space="0" w:color="auto"/>
            </w:tcBorders>
          </w:tcPr>
          <w:p w:rsidR="002148C6" w:rsidRPr="00A61956" w:rsidRDefault="002148C6" w:rsidP="00552BC1">
            <w:pPr>
              <w:jc w:val="center"/>
              <w:rPr>
                <w:b/>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sz w:val="20"/>
                <w:szCs w:val="20"/>
              </w:rPr>
            </w:pPr>
            <w:r w:rsidRPr="00856B03">
              <w:rPr>
                <w:sz w:val="20"/>
                <w:szCs w:val="20"/>
              </w:rPr>
              <w:t>3</w:t>
            </w:r>
          </w:p>
        </w:tc>
        <w:tc>
          <w:tcPr>
            <w:tcW w:w="5243"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rPr>
                <w:sz w:val="20"/>
                <w:szCs w:val="20"/>
              </w:rPr>
            </w:pPr>
            <w:r w:rsidRPr="00856B03">
              <w:rPr>
                <w:sz w:val="20"/>
                <w:szCs w:val="20"/>
              </w:rPr>
              <w:t>Valori mobiliare lichide</w:t>
            </w:r>
          </w:p>
        </w:tc>
        <w:tc>
          <w:tcPr>
            <w:tcW w:w="1811"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sz w:val="20"/>
                <w:szCs w:val="20"/>
              </w:rPr>
            </w:pPr>
          </w:p>
        </w:tc>
      </w:tr>
      <w:tr w:rsidR="002148C6" w:rsidRPr="00A61956" w:rsidTr="00710AF9">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sz w:val="20"/>
                <w:szCs w:val="20"/>
              </w:rPr>
            </w:pPr>
            <w:r w:rsidRPr="00856B03">
              <w:rPr>
                <w:sz w:val="20"/>
                <w:szCs w:val="20"/>
              </w:rPr>
              <w:t>4</w:t>
            </w:r>
          </w:p>
        </w:tc>
        <w:tc>
          <w:tcPr>
            <w:tcW w:w="5243" w:type="dxa"/>
            <w:tcBorders>
              <w:top w:val="single" w:sz="4" w:space="0" w:color="auto"/>
              <w:left w:val="single" w:sz="4" w:space="0" w:color="auto"/>
              <w:bottom w:val="single" w:sz="4" w:space="0" w:color="auto"/>
              <w:right w:val="single" w:sz="4" w:space="0" w:color="auto"/>
            </w:tcBorders>
          </w:tcPr>
          <w:p w:rsidR="002148C6" w:rsidRPr="00A61956" w:rsidRDefault="002148C6" w:rsidP="00552BC1">
            <w:pPr>
              <w:rPr>
                <w:sz w:val="20"/>
                <w:szCs w:val="20"/>
                <w:lang w:val="en-US"/>
              </w:rPr>
            </w:pPr>
            <w:r w:rsidRPr="00A61956">
              <w:rPr>
                <w:sz w:val="20"/>
                <w:szCs w:val="20"/>
                <w:lang w:val="en-US"/>
              </w:rPr>
              <w:t>Plus/minus mijloace interbancare nete curente</w:t>
            </w:r>
          </w:p>
        </w:tc>
        <w:tc>
          <w:tcPr>
            <w:tcW w:w="1811" w:type="dxa"/>
            <w:tcBorders>
              <w:top w:val="single" w:sz="4" w:space="0" w:color="auto"/>
              <w:left w:val="single" w:sz="4" w:space="0" w:color="auto"/>
              <w:bottom w:val="single" w:sz="4" w:space="0" w:color="auto"/>
              <w:right w:val="single" w:sz="4" w:space="0" w:color="auto"/>
            </w:tcBorders>
          </w:tcPr>
          <w:p w:rsidR="002148C6" w:rsidRPr="00A61956" w:rsidRDefault="002148C6" w:rsidP="00552BC1">
            <w:pPr>
              <w:jc w:val="center"/>
              <w:rPr>
                <w:sz w:val="20"/>
                <w:szCs w:val="20"/>
                <w:lang w:val="en-US"/>
              </w:rPr>
            </w:pPr>
          </w:p>
        </w:tc>
      </w:tr>
      <w:tr w:rsidR="002148C6" w:rsidRPr="00856B03" w:rsidTr="00710AF9">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r w:rsidRPr="00856B03">
              <w:rPr>
                <w:b/>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r w:rsidRPr="00856B03">
              <w:rPr>
                <w:b/>
                <w:sz w:val="20"/>
                <w:szCs w:val="20"/>
              </w:rPr>
              <w:t>0</w:t>
            </w:r>
          </w:p>
        </w:tc>
        <w:tc>
          <w:tcPr>
            <w:tcW w:w="5243"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rPr>
                <w:b/>
                <w:bCs/>
                <w:sz w:val="20"/>
                <w:szCs w:val="20"/>
              </w:rPr>
            </w:pPr>
            <w:r w:rsidRPr="00856B03">
              <w:rPr>
                <w:b/>
                <w:bCs/>
                <w:sz w:val="20"/>
                <w:szCs w:val="20"/>
              </w:rPr>
              <w:t>Total Active (A)</w:t>
            </w:r>
          </w:p>
        </w:tc>
        <w:tc>
          <w:tcPr>
            <w:tcW w:w="1811"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sz w:val="20"/>
                <w:szCs w:val="20"/>
              </w:rPr>
            </w:pPr>
          </w:p>
        </w:tc>
      </w:tr>
      <w:tr w:rsidR="002148C6" w:rsidRPr="00856B03" w:rsidTr="00710AF9">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r w:rsidRPr="00856B03">
              <w:rPr>
                <w:b/>
                <w:sz w:val="20"/>
                <w:szCs w:val="20"/>
              </w:rPr>
              <w:t>3</w:t>
            </w:r>
          </w:p>
        </w:tc>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r w:rsidRPr="00856B03">
              <w:rPr>
                <w:b/>
                <w:sz w:val="20"/>
                <w:szCs w:val="20"/>
              </w:rPr>
              <w:t>0</w:t>
            </w:r>
          </w:p>
        </w:tc>
        <w:tc>
          <w:tcPr>
            <w:tcW w:w="5243"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rPr>
                <w:sz w:val="20"/>
                <w:szCs w:val="20"/>
              </w:rPr>
            </w:pPr>
            <w:r w:rsidRPr="00856B03">
              <w:rPr>
                <w:sz w:val="20"/>
                <w:szCs w:val="20"/>
              </w:rPr>
              <w:t>K</w:t>
            </w:r>
            <w:r w:rsidRPr="00856B03">
              <w:rPr>
                <w:sz w:val="20"/>
                <w:szCs w:val="20"/>
                <w:vertAlign w:val="subscript"/>
              </w:rPr>
              <w:t>PII</w:t>
            </w:r>
            <w:r w:rsidRPr="00856B03">
              <w:rPr>
                <w:sz w:val="20"/>
                <w:szCs w:val="20"/>
              </w:rPr>
              <w:t xml:space="preserve"> = AL / Ax100</w:t>
            </w:r>
          </w:p>
        </w:tc>
        <w:tc>
          <w:tcPr>
            <w:tcW w:w="1811"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sz w:val="20"/>
                <w:szCs w:val="20"/>
              </w:rPr>
            </w:pPr>
          </w:p>
        </w:tc>
      </w:tr>
      <w:tr w:rsidR="002148C6" w:rsidRPr="00856B03" w:rsidTr="00710AF9">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p>
        </w:tc>
        <w:tc>
          <w:tcPr>
            <w:tcW w:w="5243"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rPr>
                <w:b/>
                <w:bCs/>
                <w:sz w:val="20"/>
                <w:szCs w:val="20"/>
              </w:rPr>
            </w:pPr>
            <w:r w:rsidRPr="00856B03">
              <w:rPr>
                <w:b/>
                <w:bCs/>
                <w:sz w:val="20"/>
                <w:szCs w:val="20"/>
              </w:rPr>
              <w:t>DEPOZITE ŞI ÎMPRUMUTURI</w:t>
            </w:r>
          </w:p>
        </w:tc>
        <w:tc>
          <w:tcPr>
            <w:tcW w:w="1811"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sz w:val="20"/>
                <w:szCs w:val="20"/>
              </w:rPr>
            </w:pPr>
            <w:r w:rsidRPr="00856B03">
              <w:rPr>
                <w:b/>
                <w:sz w:val="20"/>
                <w:szCs w:val="20"/>
              </w:rPr>
              <w:t>x</w:t>
            </w:r>
          </w:p>
        </w:tc>
      </w:tr>
      <w:tr w:rsidR="002148C6" w:rsidRPr="00856B03" w:rsidTr="00710AF9">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r w:rsidRPr="00856B03">
              <w:rPr>
                <w:b/>
                <w:sz w:val="20"/>
                <w:szCs w:val="20"/>
              </w:rPr>
              <w:t>4</w:t>
            </w:r>
          </w:p>
        </w:tc>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r w:rsidRPr="00856B03">
              <w:rPr>
                <w:b/>
                <w:sz w:val="20"/>
                <w:szCs w:val="20"/>
              </w:rPr>
              <w:t>0</w:t>
            </w:r>
          </w:p>
        </w:tc>
        <w:tc>
          <w:tcPr>
            <w:tcW w:w="5243"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rPr>
                <w:b/>
                <w:sz w:val="20"/>
                <w:szCs w:val="20"/>
              </w:rPr>
            </w:pPr>
            <w:r w:rsidRPr="00856B03">
              <w:rPr>
                <w:b/>
                <w:iCs/>
                <w:sz w:val="20"/>
                <w:szCs w:val="20"/>
              </w:rPr>
              <w:t>Depozite fără dobîndă</w:t>
            </w:r>
          </w:p>
        </w:tc>
        <w:tc>
          <w:tcPr>
            <w:tcW w:w="1811"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trike/>
                <w:sz w:val="20"/>
                <w:szCs w:val="20"/>
              </w:rPr>
            </w:pPr>
          </w:p>
        </w:tc>
      </w:tr>
      <w:tr w:rsidR="002148C6" w:rsidRPr="00856B03" w:rsidTr="00710AF9">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sz w:val="20"/>
                <w:szCs w:val="20"/>
              </w:rPr>
            </w:pPr>
            <w:r w:rsidRPr="00856B03">
              <w:rPr>
                <w:sz w:val="20"/>
                <w:szCs w:val="20"/>
              </w:rPr>
              <w:t>1</w:t>
            </w:r>
          </w:p>
        </w:tc>
        <w:tc>
          <w:tcPr>
            <w:tcW w:w="5243"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rPr>
                <w:sz w:val="20"/>
                <w:szCs w:val="20"/>
              </w:rPr>
            </w:pPr>
            <w:r w:rsidRPr="00856B03">
              <w:rPr>
                <w:sz w:val="20"/>
                <w:szCs w:val="20"/>
              </w:rPr>
              <w:t>Mijloace băneşti datorate băncilor</w:t>
            </w:r>
          </w:p>
        </w:tc>
        <w:tc>
          <w:tcPr>
            <w:tcW w:w="1811"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sz w:val="20"/>
                <w:szCs w:val="20"/>
              </w:rPr>
            </w:pPr>
          </w:p>
        </w:tc>
      </w:tr>
      <w:tr w:rsidR="002148C6" w:rsidRPr="00856B03" w:rsidTr="00710AF9">
        <w:trPr>
          <w:trHeight w:val="215"/>
        </w:trPr>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sz w:val="20"/>
                <w:szCs w:val="20"/>
              </w:rPr>
            </w:pPr>
            <w:r w:rsidRPr="00856B03">
              <w:rPr>
                <w:sz w:val="20"/>
                <w:szCs w:val="20"/>
              </w:rPr>
              <w:t>2</w:t>
            </w:r>
          </w:p>
        </w:tc>
        <w:tc>
          <w:tcPr>
            <w:tcW w:w="5243"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rPr>
                <w:sz w:val="20"/>
                <w:szCs w:val="20"/>
              </w:rPr>
            </w:pPr>
            <w:r w:rsidRPr="00856B03">
              <w:rPr>
                <w:sz w:val="20"/>
                <w:szCs w:val="20"/>
              </w:rPr>
              <w:t>Depozite ale persoanelor fizice</w:t>
            </w:r>
          </w:p>
        </w:tc>
        <w:tc>
          <w:tcPr>
            <w:tcW w:w="1811"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p>
        </w:tc>
      </w:tr>
      <w:tr w:rsidR="002148C6" w:rsidRPr="00A61956" w:rsidTr="00710AF9">
        <w:trPr>
          <w:trHeight w:val="157"/>
        </w:trPr>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sz w:val="20"/>
                <w:szCs w:val="20"/>
              </w:rPr>
            </w:pPr>
            <w:r w:rsidRPr="00856B03">
              <w:rPr>
                <w:sz w:val="20"/>
                <w:szCs w:val="20"/>
              </w:rPr>
              <w:t>3</w:t>
            </w:r>
          </w:p>
        </w:tc>
        <w:tc>
          <w:tcPr>
            <w:tcW w:w="5243" w:type="dxa"/>
            <w:tcBorders>
              <w:top w:val="single" w:sz="4" w:space="0" w:color="auto"/>
              <w:left w:val="single" w:sz="4" w:space="0" w:color="auto"/>
              <w:bottom w:val="single" w:sz="4" w:space="0" w:color="auto"/>
              <w:right w:val="single" w:sz="4" w:space="0" w:color="auto"/>
            </w:tcBorders>
          </w:tcPr>
          <w:p w:rsidR="002148C6" w:rsidRPr="00A61956" w:rsidRDefault="002148C6" w:rsidP="00552BC1">
            <w:pPr>
              <w:rPr>
                <w:sz w:val="20"/>
                <w:szCs w:val="20"/>
                <w:lang w:val="en-US"/>
              </w:rPr>
            </w:pPr>
            <w:r w:rsidRPr="00A61956">
              <w:rPr>
                <w:sz w:val="20"/>
                <w:szCs w:val="20"/>
                <w:lang w:val="en-US"/>
              </w:rPr>
              <w:t>Depozite ale persoanelor juridice, cu excepţia băncilor</w:t>
            </w:r>
          </w:p>
        </w:tc>
        <w:tc>
          <w:tcPr>
            <w:tcW w:w="1811" w:type="dxa"/>
            <w:tcBorders>
              <w:top w:val="single" w:sz="4" w:space="0" w:color="auto"/>
              <w:left w:val="single" w:sz="4" w:space="0" w:color="auto"/>
              <w:bottom w:val="single" w:sz="4" w:space="0" w:color="auto"/>
              <w:right w:val="single" w:sz="4" w:space="0" w:color="auto"/>
            </w:tcBorders>
          </w:tcPr>
          <w:p w:rsidR="002148C6" w:rsidRPr="00A61956" w:rsidRDefault="002148C6" w:rsidP="00552BC1">
            <w:pPr>
              <w:jc w:val="center"/>
              <w:rPr>
                <w:b/>
                <w:sz w:val="20"/>
                <w:szCs w:val="20"/>
                <w:lang w:val="en-US"/>
              </w:rPr>
            </w:pPr>
          </w:p>
        </w:tc>
      </w:tr>
      <w:tr w:rsidR="002148C6" w:rsidRPr="00856B03" w:rsidTr="00710AF9">
        <w:trPr>
          <w:trHeight w:val="150"/>
        </w:trPr>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r w:rsidRPr="00856B03">
              <w:rPr>
                <w:b/>
                <w:sz w:val="20"/>
                <w:szCs w:val="20"/>
              </w:rPr>
              <w:t>5</w:t>
            </w:r>
          </w:p>
        </w:tc>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r w:rsidRPr="00856B03">
              <w:rPr>
                <w:b/>
                <w:sz w:val="20"/>
                <w:szCs w:val="20"/>
              </w:rPr>
              <w:t>0</w:t>
            </w:r>
          </w:p>
        </w:tc>
        <w:tc>
          <w:tcPr>
            <w:tcW w:w="5243"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rPr>
                <w:b/>
                <w:sz w:val="20"/>
                <w:szCs w:val="20"/>
              </w:rPr>
            </w:pPr>
            <w:r w:rsidRPr="00856B03">
              <w:rPr>
                <w:b/>
                <w:sz w:val="20"/>
                <w:szCs w:val="20"/>
              </w:rPr>
              <w:t>Depozite cu dobîndă</w:t>
            </w:r>
          </w:p>
        </w:tc>
        <w:tc>
          <w:tcPr>
            <w:tcW w:w="1811"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trike/>
                <w:sz w:val="20"/>
                <w:szCs w:val="20"/>
              </w:rPr>
            </w:pPr>
          </w:p>
        </w:tc>
      </w:tr>
      <w:tr w:rsidR="002148C6" w:rsidRPr="00856B03" w:rsidTr="00710AF9">
        <w:trPr>
          <w:trHeight w:val="291"/>
        </w:trPr>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sz w:val="20"/>
                <w:szCs w:val="20"/>
              </w:rPr>
            </w:pPr>
            <w:r w:rsidRPr="00856B03">
              <w:rPr>
                <w:sz w:val="20"/>
                <w:szCs w:val="20"/>
              </w:rPr>
              <w:t>1</w:t>
            </w:r>
          </w:p>
        </w:tc>
        <w:tc>
          <w:tcPr>
            <w:tcW w:w="5243"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rPr>
                <w:sz w:val="20"/>
                <w:szCs w:val="20"/>
              </w:rPr>
            </w:pPr>
            <w:r w:rsidRPr="00856B03">
              <w:rPr>
                <w:sz w:val="20"/>
                <w:szCs w:val="20"/>
              </w:rPr>
              <w:t>Mijloace băneşti datorate băncilor</w:t>
            </w:r>
          </w:p>
        </w:tc>
        <w:tc>
          <w:tcPr>
            <w:tcW w:w="1811"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p>
        </w:tc>
      </w:tr>
      <w:tr w:rsidR="002148C6" w:rsidRPr="00856B03" w:rsidTr="00710AF9">
        <w:trPr>
          <w:trHeight w:val="305"/>
        </w:trPr>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sz w:val="20"/>
                <w:szCs w:val="20"/>
              </w:rPr>
            </w:pPr>
            <w:r w:rsidRPr="00856B03">
              <w:rPr>
                <w:sz w:val="20"/>
                <w:szCs w:val="20"/>
              </w:rPr>
              <w:t>2</w:t>
            </w:r>
          </w:p>
        </w:tc>
        <w:tc>
          <w:tcPr>
            <w:tcW w:w="5243"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rPr>
                <w:sz w:val="20"/>
                <w:szCs w:val="20"/>
              </w:rPr>
            </w:pPr>
            <w:r w:rsidRPr="00856B03">
              <w:rPr>
                <w:sz w:val="20"/>
                <w:szCs w:val="20"/>
              </w:rPr>
              <w:t>Depozite ale persoanelor fizice</w:t>
            </w:r>
          </w:p>
        </w:tc>
        <w:tc>
          <w:tcPr>
            <w:tcW w:w="1811"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p>
        </w:tc>
      </w:tr>
      <w:tr w:rsidR="002148C6" w:rsidRPr="00A61956" w:rsidTr="00710AF9">
        <w:trPr>
          <w:trHeight w:val="305"/>
        </w:trPr>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sz w:val="20"/>
                <w:szCs w:val="20"/>
              </w:rPr>
            </w:pPr>
            <w:r w:rsidRPr="00856B03">
              <w:rPr>
                <w:sz w:val="20"/>
                <w:szCs w:val="20"/>
              </w:rPr>
              <w:t>3</w:t>
            </w:r>
          </w:p>
        </w:tc>
        <w:tc>
          <w:tcPr>
            <w:tcW w:w="5243" w:type="dxa"/>
            <w:tcBorders>
              <w:top w:val="single" w:sz="4" w:space="0" w:color="auto"/>
              <w:left w:val="single" w:sz="4" w:space="0" w:color="auto"/>
              <w:bottom w:val="single" w:sz="4" w:space="0" w:color="auto"/>
              <w:right w:val="single" w:sz="4" w:space="0" w:color="auto"/>
            </w:tcBorders>
          </w:tcPr>
          <w:p w:rsidR="002148C6" w:rsidRPr="00A61956" w:rsidRDefault="002148C6" w:rsidP="00552BC1">
            <w:pPr>
              <w:rPr>
                <w:sz w:val="20"/>
                <w:szCs w:val="20"/>
                <w:lang w:val="en-US"/>
              </w:rPr>
            </w:pPr>
            <w:r w:rsidRPr="00A61956">
              <w:rPr>
                <w:sz w:val="20"/>
                <w:szCs w:val="20"/>
                <w:lang w:val="en-US"/>
              </w:rPr>
              <w:t>Depozite ale persoanelor juridice, cu excepţia băncilor</w:t>
            </w:r>
          </w:p>
        </w:tc>
        <w:tc>
          <w:tcPr>
            <w:tcW w:w="1811" w:type="dxa"/>
            <w:tcBorders>
              <w:top w:val="single" w:sz="4" w:space="0" w:color="auto"/>
              <w:left w:val="single" w:sz="4" w:space="0" w:color="auto"/>
              <w:bottom w:val="single" w:sz="4" w:space="0" w:color="auto"/>
              <w:right w:val="single" w:sz="4" w:space="0" w:color="auto"/>
            </w:tcBorders>
          </w:tcPr>
          <w:p w:rsidR="002148C6" w:rsidRPr="00A61956" w:rsidRDefault="002148C6" w:rsidP="00552BC1">
            <w:pPr>
              <w:jc w:val="center"/>
              <w:rPr>
                <w:b/>
                <w:sz w:val="20"/>
                <w:szCs w:val="20"/>
                <w:lang w:val="en-US"/>
              </w:rPr>
            </w:pPr>
          </w:p>
        </w:tc>
      </w:tr>
      <w:tr w:rsidR="002148C6" w:rsidRPr="00A61956" w:rsidTr="00710AF9">
        <w:trPr>
          <w:trHeight w:val="305"/>
        </w:trPr>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r w:rsidRPr="00856B03">
              <w:rPr>
                <w:b/>
                <w:sz w:val="20"/>
                <w:szCs w:val="20"/>
              </w:rPr>
              <w:t>6</w:t>
            </w:r>
          </w:p>
        </w:tc>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r w:rsidRPr="00856B03">
              <w:rPr>
                <w:b/>
                <w:sz w:val="20"/>
                <w:szCs w:val="20"/>
              </w:rPr>
              <w:t>0</w:t>
            </w:r>
          </w:p>
        </w:tc>
        <w:tc>
          <w:tcPr>
            <w:tcW w:w="5243" w:type="dxa"/>
            <w:tcBorders>
              <w:top w:val="single" w:sz="4" w:space="0" w:color="auto"/>
              <w:left w:val="single" w:sz="4" w:space="0" w:color="auto"/>
              <w:bottom w:val="single" w:sz="4" w:space="0" w:color="auto"/>
              <w:right w:val="single" w:sz="4" w:space="0" w:color="auto"/>
            </w:tcBorders>
          </w:tcPr>
          <w:p w:rsidR="002148C6" w:rsidRPr="00A61956" w:rsidRDefault="002148C6" w:rsidP="00552BC1">
            <w:pPr>
              <w:rPr>
                <w:b/>
                <w:sz w:val="20"/>
                <w:szCs w:val="20"/>
                <w:lang w:val="en-US"/>
              </w:rPr>
            </w:pPr>
            <w:r w:rsidRPr="00A61956">
              <w:rPr>
                <w:b/>
                <w:bCs/>
                <w:sz w:val="20"/>
                <w:szCs w:val="20"/>
                <w:lang w:val="en-US"/>
              </w:rPr>
              <w:t>Total depozite, altele decît overnight</w:t>
            </w:r>
          </w:p>
        </w:tc>
        <w:tc>
          <w:tcPr>
            <w:tcW w:w="1811" w:type="dxa"/>
            <w:tcBorders>
              <w:top w:val="single" w:sz="4" w:space="0" w:color="auto"/>
              <w:left w:val="single" w:sz="4" w:space="0" w:color="auto"/>
              <w:bottom w:val="single" w:sz="4" w:space="0" w:color="auto"/>
              <w:right w:val="single" w:sz="4" w:space="0" w:color="auto"/>
            </w:tcBorders>
          </w:tcPr>
          <w:p w:rsidR="002148C6" w:rsidRPr="00A61956" w:rsidRDefault="002148C6" w:rsidP="00552BC1">
            <w:pPr>
              <w:jc w:val="center"/>
              <w:rPr>
                <w:b/>
                <w:sz w:val="20"/>
                <w:szCs w:val="20"/>
                <w:lang w:val="en-US"/>
              </w:rPr>
            </w:pPr>
          </w:p>
        </w:tc>
      </w:tr>
      <w:tr w:rsidR="002148C6" w:rsidRPr="00856B03" w:rsidTr="00710AF9">
        <w:trPr>
          <w:trHeight w:val="305"/>
        </w:trPr>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r w:rsidRPr="00856B03">
              <w:rPr>
                <w:b/>
                <w:sz w:val="20"/>
                <w:szCs w:val="20"/>
              </w:rPr>
              <w:t>7</w:t>
            </w:r>
          </w:p>
        </w:tc>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r w:rsidRPr="00856B03">
              <w:rPr>
                <w:b/>
                <w:sz w:val="20"/>
                <w:szCs w:val="20"/>
              </w:rPr>
              <w:t>0</w:t>
            </w:r>
          </w:p>
        </w:tc>
        <w:tc>
          <w:tcPr>
            <w:tcW w:w="5243"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rPr>
                <w:b/>
                <w:bCs/>
                <w:sz w:val="20"/>
                <w:szCs w:val="20"/>
              </w:rPr>
            </w:pPr>
            <w:r w:rsidRPr="00856B03">
              <w:rPr>
                <w:b/>
                <w:sz w:val="20"/>
                <w:szCs w:val="20"/>
              </w:rPr>
              <w:t>Depozite şi împrumuturi overnight</w:t>
            </w:r>
          </w:p>
        </w:tc>
        <w:tc>
          <w:tcPr>
            <w:tcW w:w="1811"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sz w:val="20"/>
                <w:szCs w:val="20"/>
              </w:rPr>
            </w:pPr>
          </w:p>
        </w:tc>
      </w:tr>
      <w:tr w:rsidR="002148C6" w:rsidRPr="00856B03" w:rsidTr="00710AF9">
        <w:trPr>
          <w:trHeight w:val="305"/>
        </w:trPr>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r w:rsidRPr="00856B03">
              <w:rPr>
                <w:b/>
                <w:sz w:val="20"/>
                <w:szCs w:val="20"/>
              </w:rPr>
              <w:t>8</w:t>
            </w:r>
          </w:p>
        </w:tc>
        <w:tc>
          <w:tcPr>
            <w:tcW w:w="1080"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b/>
                <w:sz w:val="20"/>
                <w:szCs w:val="20"/>
              </w:rPr>
            </w:pPr>
            <w:r w:rsidRPr="00856B03">
              <w:rPr>
                <w:b/>
                <w:sz w:val="20"/>
                <w:szCs w:val="20"/>
              </w:rPr>
              <w:t>0</w:t>
            </w:r>
          </w:p>
        </w:tc>
        <w:tc>
          <w:tcPr>
            <w:tcW w:w="5243"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rPr>
                <w:b/>
                <w:bCs/>
                <w:sz w:val="20"/>
                <w:szCs w:val="20"/>
              </w:rPr>
            </w:pPr>
            <w:r w:rsidRPr="00856B03">
              <w:rPr>
                <w:b/>
                <w:bCs/>
                <w:sz w:val="20"/>
                <w:szCs w:val="20"/>
              </w:rPr>
              <w:t>Împrumuturi, altele decît overnight</w:t>
            </w:r>
          </w:p>
        </w:tc>
        <w:tc>
          <w:tcPr>
            <w:tcW w:w="1811" w:type="dxa"/>
            <w:tcBorders>
              <w:top w:val="single" w:sz="4" w:space="0" w:color="auto"/>
              <w:left w:val="single" w:sz="4" w:space="0" w:color="auto"/>
              <w:bottom w:val="single" w:sz="4" w:space="0" w:color="auto"/>
              <w:right w:val="single" w:sz="4" w:space="0" w:color="auto"/>
            </w:tcBorders>
          </w:tcPr>
          <w:p w:rsidR="002148C6" w:rsidRPr="00856B03" w:rsidRDefault="002148C6" w:rsidP="00552BC1">
            <w:pPr>
              <w:jc w:val="center"/>
              <w:rPr>
                <w:sz w:val="20"/>
                <w:szCs w:val="20"/>
              </w:rPr>
            </w:pPr>
          </w:p>
        </w:tc>
      </w:tr>
    </w:tbl>
    <w:p w:rsidR="002148C6" w:rsidRPr="00856B03" w:rsidRDefault="002148C6" w:rsidP="00A61956">
      <w:pPr>
        <w:rPr>
          <w:sz w:val="20"/>
          <w:szCs w:val="20"/>
        </w:rPr>
      </w:pPr>
    </w:p>
    <w:p w:rsidR="002148C6" w:rsidRPr="00A61956" w:rsidRDefault="002148C6" w:rsidP="00A61956">
      <w:pPr>
        <w:ind w:left="540"/>
        <w:rPr>
          <w:sz w:val="20"/>
          <w:szCs w:val="20"/>
          <w:lang w:val="en-US"/>
        </w:rPr>
      </w:pPr>
      <w:r w:rsidRPr="00A61956">
        <w:rPr>
          <w:sz w:val="20"/>
          <w:szCs w:val="20"/>
          <w:lang w:val="en-US"/>
        </w:rPr>
        <w:t>Executorul şi numărul de telefon  ____________</w:t>
      </w:r>
    </w:p>
    <w:p w:rsidR="002148C6" w:rsidRPr="00A61956" w:rsidRDefault="002148C6" w:rsidP="00A61956">
      <w:pPr>
        <w:ind w:left="540"/>
        <w:rPr>
          <w:sz w:val="16"/>
          <w:lang w:val="en-US"/>
        </w:rPr>
      </w:pPr>
    </w:p>
    <w:p w:rsidR="002148C6" w:rsidRPr="00710AF9" w:rsidRDefault="002148C6" w:rsidP="00710AF9">
      <w:pPr>
        <w:jc w:val="both"/>
        <w:rPr>
          <w:sz w:val="18"/>
          <w:szCs w:val="18"/>
          <w:lang w:val="en-US"/>
        </w:rPr>
      </w:pPr>
      <w:r w:rsidRPr="00710AF9">
        <w:rPr>
          <w:sz w:val="18"/>
          <w:szCs w:val="18"/>
          <w:lang w:val="en-US"/>
        </w:rPr>
        <w:t>NOTĂ: Raportul este întocmit în conformitate cu Instrucţiunea cu  privire la modul de întocmire şi prezentare de către bănci a rapoartelor în scopuri prudenţiale, HCA BNM nr..279 din 1 decembrie 2011</w:t>
      </w:r>
    </w:p>
    <w:p w:rsidR="002148C6" w:rsidRPr="00A61956" w:rsidRDefault="002148C6" w:rsidP="00A61956">
      <w:pPr>
        <w:jc w:val="both"/>
        <w:rPr>
          <w:lang w:val="en-US" w:bidi="or-IN"/>
        </w:rPr>
      </w:pPr>
    </w:p>
    <w:p w:rsidR="002148C6" w:rsidRPr="00A61956" w:rsidRDefault="002148C6" w:rsidP="00A61956">
      <w:pPr>
        <w:rPr>
          <w:lang w:val="en-US"/>
        </w:rPr>
      </w:pPr>
    </w:p>
    <w:p w:rsidR="002148C6" w:rsidRDefault="002148C6" w:rsidP="00A61956">
      <w:pPr>
        <w:pStyle w:val="NormalWeb"/>
        <w:jc w:val="right"/>
        <w:rPr>
          <w:lang w:val="en-US"/>
        </w:rPr>
      </w:pPr>
    </w:p>
    <w:p w:rsidR="002148C6" w:rsidRDefault="002148C6" w:rsidP="00363EA5">
      <w:pPr>
        <w:pStyle w:val="NormalWeb"/>
        <w:rPr>
          <w:lang w:val="en-US"/>
        </w:rPr>
      </w:pPr>
    </w:p>
    <w:p w:rsidR="002148C6" w:rsidRDefault="002148C6" w:rsidP="00363EA5">
      <w:pPr>
        <w:pStyle w:val="NormalWeb"/>
        <w:rPr>
          <w:lang w:val="en-US"/>
        </w:rPr>
      </w:pPr>
    </w:p>
    <w:p w:rsidR="002148C6" w:rsidRDefault="002148C6" w:rsidP="00363EA5">
      <w:pPr>
        <w:pStyle w:val="NormalWeb"/>
        <w:rPr>
          <w:lang w:val="en-US"/>
        </w:rPr>
      </w:pPr>
    </w:p>
    <w:p w:rsidR="002148C6" w:rsidRDefault="002148C6" w:rsidP="00363EA5">
      <w:pPr>
        <w:pStyle w:val="NormalWeb"/>
        <w:rPr>
          <w:lang w:val="en-US"/>
        </w:rPr>
      </w:pPr>
    </w:p>
    <w:p w:rsidR="002148C6" w:rsidRDefault="002148C6" w:rsidP="00363EA5">
      <w:pPr>
        <w:pStyle w:val="NormalWeb"/>
        <w:rPr>
          <w:lang w:val="en-US"/>
        </w:rPr>
      </w:pPr>
    </w:p>
    <w:p w:rsidR="002148C6" w:rsidRDefault="002148C6" w:rsidP="00363EA5">
      <w:pPr>
        <w:pStyle w:val="NormalWeb"/>
        <w:rPr>
          <w:lang w:val="en-US"/>
        </w:rPr>
      </w:pPr>
    </w:p>
    <w:p w:rsidR="002148C6" w:rsidRDefault="002148C6" w:rsidP="00363EA5">
      <w:pPr>
        <w:pStyle w:val="NormalWeb"/>
        <w:rPr>
          <w:lang w:val="en-US"/>
        </w:rPr>
      </w:pPr>
    </w:p>
    <w:p w:rsidR="002148C6" w:rsidRDefault="002148C6" w:rsidP="00363EA5">
      <w:pPr>
        <w:pStyle w:val="NormalWeb"/>
        <w:rPr>
          <w:lang w:val="en-US"/>
        </w:rPr>
      </w:pPr>
    </w:p>
    <w:p w:rsidR="002148C6" w:rsidRDefault="002148C6" w:rsidP="00363EA5">
      <w:pPr>
        <w:pStyle w:val="NormalWeb"/>
        <w:rPr>
          <w:lang w:val="en-US"/>
        </w:rPr>
      </w:pPr>
    </w:p>
    <w:p w:rsidR="002148C6" w:rsidRDefault="002148C6" w:rsidP="00363EA5">
      <w:pPr>
        <w:pStyle w:val="NormalWeb"/>
        <w:rPr>
          <w:lang w:val="en-US"/>
        </w:rPr>
      </w:pPr>
    </w:p>
    <w:p w:rsidR="002148C6" w:rsidRDefault="002148C6" w:rsidP="00363EA5">
      <w:pPr>
        <w:pStyle w:val="NormalWeb"/>
        <w:rPr>
          <w:lang w:val="en-US"/>
        </w:rPr>
      </w:pPr>
    </w:p>
    <w:p w:rsidR="002148C6" w:rsidRDefault="002148C6" w:rsidP="00363EA5">
      <w:pPr>
        <w:pStyle w:val="NormalWeb"/>
        <w:rPr>
          <w:lang w:val="en-US"/>
        </w:rPr>
      </w:pPr>
    </w:p>
    <w:p w:rsidR="002148C6" w:rsidRPr="00363EA5" w:rsidRDefault="002148C6" w:rsidP="00A61956">
      <w:pPr>
        <w:pStyle w:val="cp"/>
        <w:rPr>
          <w:lang w:val="en-US"/>
        </w:rPr>
      </w:pPr>
      <w:r w:rsidRPr="00363EA5">
        <w:rPr>
          <w:lang w:val="en-US"/>
        </w:rPr>
        <w:t xml:space="preserve">Modul de întocmire </w:t>
      </w:r>
    </w:p>
    <w:p w:rsidR="002148C6" w:rsidRPr="00363EA5" w:rsidRDefault="002148C6" w:rsidP="00A61956">
      <w:pPr>
        <w:pStyle w:val="cp"/>
        <w:rPr>
          <w:lang w:val="en-US"/>
        </w:rPr>
      </w:pPr>
      <w:r w:rsidRPr="00363EA5">
        <w:rPr>
          <w:lang w:val="en-US"/>
        </w:rPr>
        <w:t xml:space="preserve">a Raportului privind informaţia operativă </w:t>
      </w:r>
    </w:p>
    <w:p w:rsidR="002148C6" w:rsidRPr="00363EA5" w:rsidRDefault="002148C6" w:rsidP="00A61956">
      <w:pPr>
        <w:pStyle w:val="NormalWeb"/>
        <w:rPr>
          <w:lang w:val="en-US"/>
        </w:rPr>
      </w:pPr>
      <w:r w:rsidRPr="00363EA5">
        <w:rPr>
          <w:lang w:val="en-US"/>
        </w:rPr>
        <w:t> </w:t>
      </w:r>
    </w:p>
    <w:p w:rsidR="002148C6" w:rsidRPr="00363EA5" w:rsidRDefault="002148C6" w:rsidP="00A61956">
      <w:pPr>
        <w:pStyle w:val="NormalWeb"/>
        <w:rPr>
          <w:lang w:val="en-US"/>
        </w:rPr>
      </w:pPr>
      <w:r w:rsidRPr="00363EA5">
        <w:rPr>
          <w:b/>
          <w:bCs/>
          <w:lang w:val="en-US"/>
        </w:rPr>
        <w:t xml:space="preserve">1. </w:t>
      </w:r>
      <w:r w:rsidRPr="00363EA5">
        <w:rPr>
          <w:lang w:val="en-US"/>
        </w:rPr>
        <w:t xml:space="preserve">În acest raport se reflectă informaţia operativă zilnică cu privire la activitatea băncii. </w:t>
      </w:r>
    </w:p>
    <w:p w:rsidR="002148C6" w:rsidRPr="00E21193" w:rsidRDefault="002148C6" w:rsidP="00A61956">
      <w:pPr>
        <w:pStyle w:val="NormalWeb"/>
        <w:rPr>
          <w:lang w:val="en-US"/>
        </w:rPr>
      </w:pPr>
      <w:r w:rsidRPr="004B771C">
        <w:rPr>
          <w:b/>
          <w:bCs/>
          <w:lang w:val="en-US"/>
        </w:rPr>
        <w:t>2.</w:t>
      </w:r>
      <w:r w:rsidRPr="004B771C">
        <w:rPr>
          <w:lang w:val="en-US"/>
        </w:rPr>
        <w:t xml:space="preserve"> În rîndul </w:t>
      </w:r>
      <w:r w:rsidRPr="004B771C">
        <w:rPr>
          <w:b/>
          <w:bCs/>
          <w:lang w:val="en-US"/>
        </w:rPr>
        <w:t>1.0 Active lichide (</w:t>
      </w:r>
      <w:smartTag w:uri="urn:schemas-microsoft-com:office:smarttags" w:element="metricconverter">
        <w:smartTagPr>
          <w:attr w:name="ProductID" w:val="13.00 a"/>
        </w:smartTagPr>
        <w:r w:rsidRPr="004B771C">
          <w:rPr>
            <w:b/>
            <w:bCs/>
            <w:lang w:val="en-US"/>
          </w:rPr>
          <w:t>AL</w:t>
        </w:r>
      </w:smartTag>
      <w:r w:rsidRPr="004B771C">
        <w:rPr>
          <w:b/>
          <w:bCs/>
          <w:lang w:val="en-US"/>
        </w:rPr>
        <w:t>)</w:t>
      </w:r>
      <w:r w:rsidRPr="004B771C">
        <w:rPr>
          <w:lang w:val="en-US"/>
        </w:rPr>
        <w:t xml:space="preserve"> se reflectă toate activele lichide - numerar, metale preţioase monetare, depozite </w:t>
      </w:r>
      <w:smartTag w:uri="urn:schemas-microsoft-com:office:smarttags" w:element="metricconverter">
        <w:smartTagPr>
          <w:attr w:name="ProductID" w:val="13.00 a"/>
        </w:smartTagPr>
        <w:r w:rsidRPr="004B771C">
          <w:rPr>
            <w:lang w:val="en-US"/>
          </w:rPr>
          <w:t>la Banca Naţională</w:t>
        </w:r>
      </w:smartTag>
      <w:r w:rsidRPr="004B771C">
        <w:rPr>
          <w:lang w:val="en-US"/>
        </w:rPr>
        <w:t xml:space="preserve"> a Moldovei, valori mobiliare lichide, precum şi mijloacele interbancare nete curente. Rezultatul acestui rând se obţine prin însumarea valori</w:t>
      </w:r>
      <w:r>
        <w:rPr>
          <w:lang w:val="en-US"/>
        </w:rPr>
        <w:t>lor indicate în rândurile 1.1 -1.4.</w:t>
      </w:r>
      <w:r w:rsidRPr="004B771C">
        <w:rPr>
          <w:lang w:val="en-US"/>
        </w:rPr>
        <w:t xml:space="preserve"> </w:t>
      </w:r>
    </w:p>
    <w:p w:rsidR="002148C6" w:rsidRDefault="002148C6" w:rsidP="00A61956">
      <w:pPr>
        <w:pStyle w:val="NormalWeb"/>
        <w:rPr>
          <w:lang w:val="en-US"/>
        </w:rPr>
      </w:pPr>
      <w:r w:rsidRPr="004B771C">
        <w:rPr>
          <w:lang w:val="en-US"/>
        </w:rPr>
        <w:t>a</w:t>
      </w:r>
      <w:r w:rsidRPr="00A61956">
        <w:rPr>
          <w:lang w:val="en-US"/>
        </w:rPr>
        <w:t>) î</w:t>
      </w:r>
      <w:r w:rsidRPr="004B771C">
        <w:rPr>
          <w:lang w:val="en-US"/>
        </w:rPr>
        <w:t>n</w:t>
      </w:r>
      <w:r w:rsidRPr="00A61956">
        <w:rPr>
          <w:lang w:val="en-US"/>
        </w:rPr>
        <w:t xml:space="preserve"> </w:t>
      </w:r>
      <w:r w:rsidRPr="004B771C">
        <w:rPr>
          <w:lang w:val="en-US"/>
        </w:rPr>
        <w:t>r</w:t>
      </w:r>
      <w:r w:rsidRPr="00A61956">
        <w:rPr>
          <w:lang w:val="en-US"/>
        </w:rPr>
        <w:t>î</w:t>
      </w:r>
      <w:r w:rsidRPr="004B771C">
        <w:rPr>
          <w:lang w:val="en-US"/>
        </w:rPr>
        <w:t>ndul</w:t>
      </w:r>
      <w:r w:rsidRPr="00A61956">
        <w:rPr>
          <w:lang w:val="en-US"/>
        </w:rPr>
        <w:t xml:space="preserve"> </w:t>
      </w:r>
      <w:r w:rsidRPr="00A61956">
        <w:rPr>
          <w:b/>
          <w:bCs/>
          <w:lang w:val="en-US"/>
        </w:rPr>
        <w:t xml:space="preserve">1.1 </w:t>
      </w:r>
      <w:r w:rsidRPr="004B771C">
        <w:rPr>
          <w:b/>
          <w:bCs/>
          <w:lang w:val="en-US"/>
        </w:rPr>
        <w:t>Numerar</w:t>
      </w:r>
      <w:r w:rsidRPr="00A61956">
        <w:rPr>
          <w:lang w:val="en-US"/>
        </w:rPr>
        <w:t xml:space="preserve"> </w:t>
      </w:r>
      <w:r w:rsidRPr="004B771C">
        <w:rPr>
          <w:lang w:val="en-US"/>
        </w:rPr>
        <w:t>se</w:t>
      </w:r>
      <w:r w:rsidRPr="00A61956">
        <w:rPr>
          <w:lang w:val="en-US"/>
        </w:rPr>
        <w:t xml:space="preserve"> </w:t>
      </w:r>
      <w:r w:rsidRPr="004B771C">
        <w:rPr>
          <w:lang w:val="en-US"/>
        </w:rPr>
        <w:t>reflect</w:t>
      </w:r>
      <w:r w:rsidRPr="00A61956">
        <w:rPr>
          <w:lang w:val="en-US"/>
        </w:rPr>
        <w:t xml:space="preserve">ă </w:t>
      </w:r>
      <w:r w:rsidRPr="004B771C">
        <w:rPr>
          <w:lang w:val="en-US"/>
        </w:rPr>
        <w:t>numerarul</w:t>
      </w:r>
      <w:r w:rsidRPr="00A61956">
        <w:rPr>
          <w:lang w:val="en-US"/>
        </w:rPr>
        <w:t xml:space="preserve"> î</w:t>
      </w:r>
      <w:r w:rsidRPr="004B771C">
        <w:rPr>
          <w:lang w:val="en-US"/>
        </w:rPr>
        <w:t>n</w:t>
      </w:r>
      <w:r w:rsidRPr="00A61956">
        <w:rPr>
          <w:lang w:val="en-US"/>
        </w:rPr>
        <w:t xml:space="preserve"> </w:t>
      </w:r>
      <w:r w:rsidRPr="004B771C">
        <w:rPr>
          <w:lang w:val="en-US"/>
        </w:rPr>
        <w:t>moned</w:t>
      </w:r>
      <w:r w:rsidRPr="00A61956">
        <w:rPr>
          <w:lang w:val="en-US"/>
        </w:rPr>
        <w:t xml:space="preserve">ă </w:t>
      </w:r>
      <w:r w:rsidRPr="004B771C">
        <w:rPr>
          <w:lang w:val="en-US"/>
        </w:rPr>
        <w:t>na</w:t>
      </w:r>
      <w:r w:rsidRPr="00A61956">
        <w:rPr>
          <w:lang w:val="en-US"/>
        </w:rPr>
        <w:t>ţ</w:t>
      </w:r>
      <w:r w:rsidRPr="004B771C">
        <w:rPr>
          <w:lang w:val="en-US"/>
        </w:rPr>
        <w:t>ional</w:t>
      </w:r>
      <w:r w:rsidRPr="00A61956">
        <w:rPr>
          <w:lang w:val="en-US"/>
        </w:rPr>
        <w:t>ă ş</w:t>
      </w:r>
      <w:r w:rsidRPr="004B771C">
        <w:rPr>
          <w:lang w:val="en-US"/>
        </w:rPr>
        <w:t>i</w:t>
      </w:r>
      <w:r w:rsidRPr="00A61956">
        <w:rPr>
          <w:lang w:val="en-US"/>
        </w:rPr>
        <w:t xml:space="preserve"> </w:t>
      </w:r>
      <w:r w:rsidRPr="004B771C">
        <w:rPr>
          <w:lang w:val="en-US"/>
        </w:rPr>
        <w:t>valut</w:t>
      </w:r>
      <w:r w:rsidRPr="00A61956">
        <w:rPr>
          <w:lang w:val="en-US"/>
        </w:rPr>
        <w:t xml:space="preserve">ă </w:t>
      </w:r>
      <w:r w:rsidRPr="004B771C">
        <w:rPr>
          <w:lang w:val="en-US"/>
        </w:rPr>
        <w:t>str</w:t>
      </w:r>
      <w:r w:rsidRPr="00A61956">
        <w:rPr>
          <w:lang w:val="en-US"/>
        </w:rPr>
        <w:t>ă</w:t>
      </w:r>
      <w:r w:rsidRPr="004B771C">
        <w:rPr>
          <w:lang w:val="en-US"/>
        </w:rPr>
        <w:t>in</w:t>
      </w:r>
      <w:r w:rsidRPr="00A61956">
        <w:rPr>
          <w:lang w:val="en-US"/>
        </w:rPr>
        <w:t xml:space="preserve">ă </w:t>
      </w:r>
      <w:r w:rsidRPr="004B771C">
        <w:rPr>
          <w:lang w:val="en-US"/>
        </w:rPr>
        <w:t>aflat</w:t>
      </w:r>
      <w:r w:rsidRPr="00A61956">
        <w:rPr>
          <w:lang w:val="en-US"/>
        </w:rPr>
        <w:t>ă î</w:t>
      </w:r>
      <w:r w:rsidRPr="004B771C">
        <w:rPr>
          <w:lang w:val="en-US"/>
        </w:rPr>
        <w:t>n</w:t>
      </w:r>
      <w:r w:rsidRPr="00A61956">
        <w:rPr>
          <w:lang w:val="en-US"/>
        </w:rPr>
        <w:t xml:space="preserve"> </w:t>
      </w:r>
      <w:r w:rsidRPr="004B771C">
        <w:rPr>
          <w:lang w:val="en-US"/>
        </w:rPr>
        <w:t>casa</w:t>
      </w:r>
      <w:r w:rsidRPr="00A61956">
        <w:rPr>
          <w:lang w:val="en-US"/>
        </w:rPr>
        <w:t xml:space="preserve"> </w:t>
      </w:r>
      <w:r w:rsidRPr="004B771C">
        <w:rPr>
          <w:lang w:val="en-US"/>
        </w:rPr>
        <w:t>b</w:t>
      </w:r>
      <w:r w:rsidRPr="00A61956">
        <w:rPr>
          <w:lang w:val="en-US"/>
        </w:rPr>
        <w:t>ă</w:t>
      </w:r>
      <w:r w:rsidRPr="004B771C">
        <w:rPr>
          <w:lang w:val="en-US"/>
        </w:rPr>
        <w:t>ncii</w:t>
      </w:r>
      <w:r w:rsidRPr="00A61956">
        <w:rPr>
          <w:lang w:val="en-US"/>
        </w:rPr>
        <w:t xml:space="preserve">, </w:t>
      </w:r>
      <w:r w:rsidRPr="004B771C">
        <w:rPr>
          <w:lang w:val="en-US"/>
        </w:rPr>
        <w:t>inclusiv</w:t>
      </w:r>
      <w:r w:rsidRPr="00A61956">
        <w:rPr>
          <w:lang w:val="en-US"/>
        </w:rPr>
        <w:t xml:space="preserve"> î</w:t>
      </w:r>
      <w:r w:rsidRPr="004B771C">
        <w:rPr>
          <w:lang w:val="en-US"/>
        </w:rPr>
        <w:t>n</w:t>
      </w:r>
      <w:r w:rsidRPr="00A61956">
        <w:rPr>
          <w:lang w:val="en-US"/>
        </w:rPr>
        <w:t xml:space="preserve"> </w:t>
      </w:r>
      <w:r w:rsidRPr="004B771C">
        <w:rPr>
          <w:lang w:val="en-US"/>
        </w:rPr>
        <w:t>filialele</w:t>
      </w:r>
      <w:r w:rsidRPr="00A61956">
        <w:rPr>
          <w:lang w:val="en-US"/>
        </w:rPr>
        <w:t xml:space="preserve"> ş</w:t>
      </w:r>
      <w:r w:rsidRPr="004B771C">
        <w:rPr>
          <w:lang w:val="en-US"/>
        </w:rPr>
        <w:t>i</w:t>
      </w:r>
      <w:r w:rsidRPr="00A61956">
        <w:rPr>
          <w:lang w:val="en-US"/>
        </w:rPr>
        <w:t xml:space="preserve"> </w:t>
      </w:r>
      <w:r w:rsidRPr="004B771C">
        <w:rPr>
          <w:lang w:val="en-US"/>
        </w:rPr>
        <w:t>oficiile</w:t>
      </w:r>
      <w:r w:rsidRPr="00A61956">
        <w:rPr>
          <w:lang w:val="en-US"/>
        </w:rPr>
        <w:t xml:space="preserve"> </w:t>
      </w:r>
      <w:r w:rsidRPr="004B771C">
        <w:rPr>
          <w:lang w:val="en-US"/>
        </w:rPr>
        <w:t>secundare</w:t>
      </w:r>
      <w:r w:rsidRPr="00A61956">
        <w:rPr>
          <w:lang w:val="en-US"/>
        </w:rPr>
        <w:t xml:space="preserve"> </w:t>
      </w:r>
      <w:r w:rsidRPr="004B771C">
        <w:rPr>
          <w:lang w:val="en-US"/>
        </w:rPr>
        <w:t>ale</w:t>
      </w:r>
      <w:r w:rsidRPr="00A61956">
        <w:rPr>
          <w:lang w:val="en-US"/>
        </w:rPr>
        <w:t xml:space="preserve"> </w:t>
      </w:r>
      <w:r w:rsidRPr="004B771C">
        <w:rPr>
          <w:lang w:val="en-US"/>
        </w:rPr>
        <w:t>b</w:t>
      </w:r>
      <w:r w:rsidRPr="00A61956">
        <w:rPr>
          <w:lang w:val="en-US"/>
        </w:rPr>
        <w:t>ă</w:t>
      </w:r>
      <w:r w:rsidRPr="004B771C">
        <w:rPr>
          <w:lang w:val="en-US"/>
        </w:rPr>
        <w:t>ncii</w:t>
      </w:r>
      <w:r w:rsidRPr="00A61956">
        <w:rPr>
          <w:lang w:val="en-US"/>
        </w:rPr>
        <w:t xml:space="preserve">. </w:t>
      </w:r>
      <w:r w:rsidRPr="004B771C">
        <w:rPr>
          <w:lang w:val="en-US"/>
        </w:rPr>
        <w:t>De asemenea se reflectă categoriile de numerar în drum, aflat în bancomate şi în alte dispozitive, cecuri de călătorie, monede comemorative şi jubil</w:t>
      </w:r>
      <w:r>
        <w:rPr>
          <w:lang w:val="en-US"/>
        </w:rPr>
        <w:t>iare.</w:t>
      </w:r>
    </w:p>
    <w:p w:rsidR="002148C6" w:rsidRPr="00E21193" w:rsidRDefault="002148C6" w:rsidP="00A61956">
      <w:pPr>
        <w:pStyle w:val="NormalWeb"/>
        <w:rPr>
          <w:lang w:val="en-US"/>
        </w:rPr>
      </w:pPr>
      <w:r>
        <w:rPr>
          <w:lang w:val="en-US"/>
        </w:rPr>
        <w:t>Grupa de conturi 1000.</w:t>
      </w:r>
    </w:p>
    <w:p w:rsidR="002148C6" w:rsidRPr="004B771C" w:rsidRDefault="002148C6" w:rsidP="00A61956">
      <w:pPr>
        <w:pStyle w:val="NormalWeb"/>
        <w:rPr>
          <w:lang w:val="en-US"/>
        </w:rPr>
      </w:pPr>
      <w:r w:rsidRPr="004B771C">
        <w:rPr>
          <w:lang w:val="en-US"/>
        </w:rPr>
        <w:t xml:space="preserve"> b) în rîndul </w:t>
      </w:r>
      <w:r w:rsidRPr="004B771C">
        <w:rPr>
          <w:b/>
          <w:bCs/>
          <w:lang w:val="en-US"/>
        </w:rPr>
        <w:t xml:space="preserve">1.2 Depozite </w:t>
      </w:r>
      <w:smartTag w:uri="urn:schemas-microsoft-com:office:smarttags" w:element="metricconverter">
        <w:smartTagPr>
          <w:attr w:name="ProductID" w:val="13.00 a"/>
        </w:smartTagPr>
        <w:r w:rsidRPr="004B771C">
          <w:rPr>
            <w:b/>
            <w:bCs/>
            <w:lang w:val="en-US"/>
          </w:rPr>
          <w:t>la Banca Naţională</w:t>
        </w:r>
      </w:smartTag>
      <w:r w:rsidRPr="004B771C">
        <w:rPr>
          <w:b/>
          <w:bCs/>
          <w:lang w:val="en-US"/>
        </w:rPr>
        <w:t xml:space="preserve"> a Moldovei </w:t>
      </w:r>
      <w:r w:rsidRPr="004B771C">
        <w:rPr>
          <w:lang w:val="en-US"/>
        </w:rPr>
        <w:t xml:space="preserve">se reflectă soldul mijloacelor băneşti în contul “Nostro”, mijloacele plasate overnight, mijloacele pieţei monetare plasate pe termen scurt, precum şi rezervele obligatorii plasate </w:t>
      </w:r>
      <w:smartTag w:uri="urn:schemas-microsoft-com:office:smarttags" w:element="metricconverter">
        <w:smartTagPr>
          <w:attr w:name="ProductID" w:val="13.00 a"/>
        </w:smartTagPr>
        <w:r w:rsidRPr="004B771C">
          <w:rPr>
            <w:lang w:val="en-US"/>
          </w:rPr>
          <w:t>la BNM.</w:t>
        </w:r>
      </w:smartTag>
      <w:r w:rsidRPr="004B771C">
        <w:rPr>
          <w:lang w:val="en-US"/>
        </w:rPr>
        <w:t xml:space="preserve"> </w:t>
      </w:r>
    </w:p>
    <w:p w:rsidR="002148C6" w:rsidRPr="00E21193" w:rsidRDefault="002148C6" w:rsidP="00A61956">
      <w:pPr>
        <w:pStyle w:val="NormalWeb"/>
        <w:rPr>
          <w:lang w:val="en-US"/>
        </w:rPr>
      </w:pPr>
      <w:r w:rsidRPr="004B771C">
        <w:rPr>
          <w:lang w:val="en-US"/>
        </w:rPr>
        <w:t>Conturile 1031, 10</w:t>
      </w:r>
      <w:r>
        <w:rPr>
          <w:lang w:val="en-US"/>
        </w:rPr>
        <w:t>36, 1061, 1091, 1092, 1097.</w:t>
      </w:r>
    </w:p>
    <w:p w:rsidR="002148C6" w:rsidRPr="00E21193" w:rsidRDefault="002148C6" w:rsidP="00A61956">
      <w:pPr>
        <w:pStyle w:val="NormalWeb"/>
        <w:rPr>
          <w:lang w:val="en-US"/>
        </w:rPr>
      </w:pPr>
      <w:r w:rsidRPr="004B771C">
        <w:rPr>
          <w:lang w:val="en-US"/>
        </w:rPr>
        <w:t xml:space="preserve">c) în rîndul </w:t>
      </w:r>
      <w:r w:rsidRPr="004B771C">
        <w:rPr>
          <w:b/>
          <w:bCs/>
          <w:lang w:val="en-US"/>
        </w:rPr>
        <w:t xml:space="preserve">1.3 Valori mobiliare lichide </w:t>
      </w:r>
      <w:r w:rsidRPr="004B771C">
        <w:rPr>
          <w:lang w:val="en-US"/>
        </w:rPr>
        <w:t xml:space="preserve">se reflectă valorile mobiliare lichide ce reprezintă valorile mobiliare de stat emise de Ministerul Finanţelor al Republicii Moldova şi valorile mobiliare emise de Banca Naţională a Moldovei, care nu sunt grevate cu sarcini şi sunt libere de interdicţii, precum şi valorile mobiliare de stat cumpărate conform acordurilor „REPO invers” minus valorile mobiliare de stat vândute conform acordurilor „REPO” şi la obţinerea </w:t>
      </w:r>
      <w:r>
        <w:rPr>
          <w:lang w:val="en-US"/>
        </w:rPr>
        <w:t>facilităţilor de „lombard”.</w:t>
      </w:r>
    </w:p>
    <w:p w:rsidR="002148C6" w:rsidRPr="004B771C" w:rsidRDefault="002148C6" w:rsidP="00A61956">
      <w:pPr>
        <w:pStyle w:val="NormalWeb"/>
        <w:rPr>
          <w:lang w:val="en-US"/>
        </w:rPr>
      </w:pPr>
      <w:r w:rsidRPr="004B771C">
        <w:rPr>
          <w:lang w:val="en-US"/>
        </w:rPr>
        <w:t xml:space="preserve"> Parţial conturile (în partea valorilor mobiliare care nu sunt grevate cu sarcini şi sunt libere de interdicţii) 1151, 1153 (în partea valorilor mobiliare emise de BNM) , 1161, 1163 (în partea valorilor mobiliare emise de BNM), 1181, 1182, 1183, 1184, precum şi parţial contul 1220</w:t>
      </w:r>
      <w:r>
        <w:rPr>
          <w:lang w:val="en-US"/>
        </w:rPr>
        <w:t xml:space="preserve"> minus parţial contul 2150. </w:t>
      </w:r>
    </w:p>
    <w:p w:rsidR="002148C6" w:rsidRPr="00E21193" w:rsidRDefault="002148C6" w:rsidP="00A61956">
      <w:pPr>
        <w:pStyle w:val="NormalWeb"/>
        <w:rPr>
          <w:lang w:val="en-US"/>
        </w:rPr>
      </w:pPr>
      <w:r w:rsidRPr="004B771C">
        <w:rPr>
          <w:lang w:val="en-US"/>
        </w:rPr>
        <w:t>d</w:t>
      </w:r>
      <w:r w:rsidRPr="00E21193">
        <w:rPr>
          <w:lang w:val="en-US"/>
        </w:rPr>
        <w:t>) î</w:t>
      </w:r>
      <w:r w:rsidRPr="004B771C">
        <w:rPr>
          <w:lang w:val="en-US"/>
        </w:rPr>
        <w:t>n</w:t>
      </w:r>
      <w:r w:rsidRPr="00E21193">
        <w:rPr>
          <w:lang w:val="en-US"/>
        </w:rPr>
        <w:t xml:space="preserve"> </w:t>
      </w:r>
      <w:r w:rsidRPr="004B771C">
        <w:rPr>
          <w:lang w:val="en-US"/>
        </w:rPr>
        <w:t>r</w:t>
      </w:r>
      <w:r w:rsidRPr="00E21193">
        <w:rPr>
          <w:lang w:val="en-US"/>
        </w:rPr>
        <w:t>î</w:t>
      </w:r>
      <w:r w:rsidRPr="004B771C">
        <w:rPr>
          <w:lang w:val="en-US"/>
        </w:rPr>
        <w:t>ndul</w:t>
      </w:r>
      <w:r w:rsidRPr="00E21193">
        <w:rPr>
          <w:lang w:val="en-US"/>
        </w:rPr>
        <w:t xml:space="preserve"> </w:t>
      </w:r>
      <w:r w:rsidRPr="00E21193">
        <w:rPr>
          <w:b/>
          <w:bCs/>
          <w:lang w:val="en-US"/>
        </w:rPr>
        <w:t xml:space="preserve">1.4 </w:t>
      </w:r>
      <w:r w:rsidRPr="004B771C">
        <w:rPr>
          <w:b/>
          <w:bCs/>
          <w:lang w:val="en-US"/>
        </w:rPr>
        <w:t>Plus</w:t>
      </w:r>
      <w:r w:rsidRPr="00E21193">
        <w:rPr>
          <w:b/>
          <w:bCs/>
          <w:lang w:val="en-US"/>
        </w:rPr>
        <w:t>/</w:t>
      </w:r>
      <w:r w:rsidRPr="004B771C">
        <w:rPr>
          <w:b/>
          <w:bCs/>
          <w:lang w:val="en-US"/>
        </w:rPr>
        <w:t>minus</w:t>
      </w:r>
      <w:r w:rsidRPr="00E21193">
        <w:rPr>
          <w:b/>
          <w:bCs/>
          <w:lang w:val="en-US"/>
        </w:rPr>
        <w:t xml:space="preserve"> </w:t>
      </w:r>
      <w:r w:rsidRPr="004B771C">
        <w:rPr>
          <w:b/>
          <w:bCs/>
          <w:lang w:val="en-US"/>
        </w:rPr>
        <w:t>mijloace</w:t>
      </w:r>
      <w:r w:rsidRPr="00E21193">
        <w:rPr>
          <w:b/>
          <w:bCs/>
          <w:lang w:val="en-US"/>
        </w:rPr>
        <w:t xml:space="preserve"> </w:t>
      </w:r>
      <w:r w:rsidRPr="004B771C">
        <w:rPr>
          <w:b/>
          <w:bCs/>
          <w:lang w:val="en-US"/>
        </w:rPr>
        <w:t>interbancare</w:t>
      </w:r>
      <w:r w:rsidRPr="00E21193">
        <w:rPr>
          <w:b/>
          <w:bCs/>
          <w:lang w:val="en-US"/>
        </w:rPr>
        <w:t xml:space="preserve"> </w:t>
      </w:r>
      <w:r w:rsidRPr="004B771C">
        <w:rPr>
          <w:b/>
          <w:bCs/>
          <w:lang w:val="en-US"/>
        </w:rPr>
        <w:t>nete</w:t>
      </w:r>
      <w:r w:rsidRPr="00E21193">
        <w:rPr>
          <w:b/>
          <w:bCs/>
          <w:lang w:val="en-US"/>
        </w:rPr>
        <w:t xml:space="preserve"> </w:t>
      </w:r>
      <w:r w:rsidRPr="004B771C">
        <w:rPr>
          <w:b/>
          <w:bCs/>
          <w:lang w:val="en-US"/>
        </w:rPr>
        <w:t>curente</w:t>
      </w:r>
      <w:r w:rsidRPr="00E21193">
        <w:rPr>
          <w:lang w:val="en-US"/>
        </w:rPr>
        <w:t xml:space="preserve"> </w:t>
      </w:r>
      <w:r w:rsidRPr="004B771C">
        <w:rPr>
          <w:lang w:val="en-US"/>
        </w:rPr>
        <w:t>se</w:t>
      </w:r>
      <w:r w:rsidRPr="00E21193">
        <w:rPr>
          <w:lang w:val="en-US"/>
        </w:rPr>
        <w:t xml:space="preserve"> </w:t>
      </w:r>
      <w:r w:rsidRPr="004B771C">
        <w:rPr>
          <w:lang w:val="en-US"/>
        </w:rPr>
        <w:t>reflect</w:t>
      </w:r>
      <w:r w:rsidRPr="00E21193">
        <w:rPr>
          <w:lang w:val="en-US"/>
        </w:rPr>
        <w:t xml:space="preserve">ă </w:t>
      </w:r>
      <w:r w:rsidRPr="004B771C">
        <w:rPr>
          <w:lang w:val="en-US"/>
        </w:rPr>
        <w:t>mijloacele</w:t>
      </w:r>
      <w:r w:rsidRPr="00E21193">
        <w:rPr>
          <w:lang w:val="en-US"/>
        </w:rPr>
        <w:t xml:space="preserve"> </w:t>
      </w:r>
      <w:r w:rsidRPr="004B771C">
        <w:rPr>
          <w:lang w:val="en-US"/>
        </w:rPr>
        <w:t>interbancare</w:t>
      </w:r>
      <w:r w:rsidRPr="00E21193">
        <w:rPr>
          <w:lang w:val="en-US"/>
        </w:rPr>
        <w:t xml:space="preserve"> </w:t>
      </w:r>
      <w:r w:rsidRPr="004B771C">
        <w:rPr>
          <w:lang w:val="en-US"/>
        </w:rPr>
        <w:t>nete</w:t>
      </w:r>
      <w:r w:rsidRPr="00E21193">
        <w:rPr>
          <w:lang w:val="en-US"/>
        </w:rPr>
        <w:t xml:space="preserve"> </w:t>
      </w:r>
      <w:r w:rsidRPr="004B771C">
        <w:rPr>
          <w:lang w:val="en-US"/>
        </w:rPr>
        <w:t>curente</w:t>
      </w:r>
      <w:r w:rsidRPr="00E21193">
        <w:rPr>
          <w:lang w:val="en-US"/>
        </w:rPr>
        <w:t xml:space="preserve"> </w:t>
      </w:r>
      <w:r w:rsidRPr="004B771C">
        <w:rPr>
          <w:lang w:val="en-US"/>
        </w:rPr>
        <w:t>care</w:t>
      </w:r>
      <w:r w:rsidRPr="00E21193">
        <w:rPr>
          <w:lang w:val="en-US"/>
        </w:rPr>
        <w:t xml:space="preserve"> </w:t>
      </w:r>
      <w:r w:rsidRPr="004B771C">
        <w:rPr>
          <w:lang w:val="en-US"/>
        </w:rPr>
        <w:t>reprezint</w:t>
      </w:r>
      <w:r w:rsidRPr="00E21193">
        <w:rPr>
          <w:lang w:val="en-US"/>
        </w:rPr>
        <w:t xml:space="preserve">ă </w:t>
      </w:r>
      <w:r w:rsidRPr="004B771C">
        <w:rPr>
          <w:lang w:val="en-US"/>
        </w:rPr>
        <w:t>diferen</w:t>
      </w:r>
      <w:r w:rsidRPr="00E21193">
        <w:rPr>
          <w:lang w:val="en-US"/>
        </w:rPr>
        <w:t>ţ</w:t>
      </w:r>
      <w:r w:rsidRPr="004B771C">
        <w:rPr>
          <w:lang w:val="en-US"/>
        </w:rPr>
        <w:t>a</w:t>
      </w:r>
      <w:r w:rsidRPr="00E21193">
        <w:rPr>
          <w:lang w:val="en-US"/>
        </w:rPr>
        <w:t xml:space="preserve"> </w:t>
      </w:r>
      <w:r w:rsidRPr="004B771C">
        <w:rPr>
          <w:lang w:val="en-US"/>
        </w:rPr>
        <w:t>dintre</w:t>
      </w:r>
      <w:r w:rsidRPr="00E21193">
        <w:rPr>
          <w:lang w:val="en-US"/>
        </w:rPr>
        <w:t xml:space="preserve"> </w:t>
      </w:r>
      <w:r w:rsidRPr="004B771C">
        <w:rPr>
          <w:lang w:val="en-US"/>
        </w:rPr>
        <w:t>suma</w:t>
      </w:r>
      <w:r w:rsidRPr="00E21193">
        <w:rPr>
          <w:lang w:val="en-US"/>
        </w:rPr>
        <w:t xml:space="preserve"> </w:t>
      </w:r>
      <w:r w:rsidRPr="004B771C">
        <w:rPr>
          <w:lang w:val="en-US"/>
        </w:rPr>
        <w:t>creditelor</w:t>
      </w:r>
      <w:r w:rsidRPr="00E21193">
        <w:rPr>
          <w:lang w:val="en-US"/>
        </w:rPr>
        <w:t xml:space="preserve"> </w:t>
      </w:r>
      <w:r w:rsidRPr="004B771C">
        <w:rPr>
          <w:lang w:val="en-US"/>
        </w:rPr>
        <w:t>acordate</w:t>
      </w:r>
      <w:r w:rsidRPr="00E21193">
        <w:rPr>
          <w:lang w:val="en-US"/>
        </w:rPr>
        <w:t xml:space="preserve"> </w:t>
      </w:r>
      <w:r w:rsidRPr="004B771C">
        <w:rPr>
          <w:lang w:val="en-US"/>
        </w:rPr>
        <w:t>altor</w:t>
      </w:r>
      <w:r w:rsidRPr="00E21193">
        <w:rPr>
          <w:lang w:val="en-US"/>
        </w:rPr>
        <w:t xml:space="preserve"> </w:t>
      </w:r>
      <w:r w:rsidRPr="004B771C">
        <w:rPr>
          <w:lang w:val="en-US"/>
        </w:rPr>
        <w:t>b</w:t>
      </w:r>
      <w:r w:rsidRPr="00E21193">
        <w:rPr>
          <w:lang w:val="en-US"/>
        </w:rPr>
        <w:t>ă</w:t>
      </w:r>
      <w:r w:rsidRPr="004B771C">
        <w:rPr>
          <w:lang w:val="en-US"/>
        </w:rPr>
        <w:t>nci</w:t>
      </w:r>
      <w:r w:rsidRPr="00E21193">
        <w:rPr>
          <w:lang w:val="en-US"/>
        </w:rPr>
        <w:t xml:space="preserve"> ş</w:t>
      </w:r>
      <w:r w:rsidRPr="004B771C">
        <w:rPr>
          <w:lang w:val="en-US"/>
        </w:rPr>
        <w:t>i</w:t>
      </w:r>
      <w:r w:rsidRPr="00E21193">
        <w:rPr>
          <w:lang w:val="en-US"/>
        </w:rPr>
        <w:t xml:space="preserve"> </w:t>
      </w:r>
      <w:r w:rsidRPr="004B771C">
        <w:rPr>
          <w:lang w:val="en-US"/>
        </w:rPr>
        <w:t>a</w:t>
      </w:r>
      <w:r w:rsidRPr="00E21193">
        <w:rPr>
          <w:lang w:val="en-US"/>
        </w:rPr>
        <w:t xml:space="preserve"> </w:t>
      </w:r>
      <w:r w:rsidRPr="004B771C">
        <w:rPr>
          <w:lang w:val="en-US"/>
        </w:rPr>
        <w:t>mijloacelor</w:t>
      </w:r>
      <w:r w:rsidRPr="00E21193">
        <w:rPr>
          <w:lang w:val="en-US"/>
        </w:rPr>
        <w:t xml:space="preserve"> </w:t>
      </w:r>
      <w:r w:rsidRPr="004B771C">
        <w:rPr>
          <w:lang w:val="en-US"/>
        </w:rPr>
        <w:t>b</w:t>
      </w:r>
      <w:r w:rsidRPr="00E21193">
        <w:rPr>
          <w:lang w:val="en-US"/>
        </w:rPr>
        <w:t>ă</w:t>
      </w:r>
      <w:r w:rsidRPr="004B771C">
        <w:rPr>
          <w:lang w:val="en-US"/>
        </w:rPr>
        <w:t>ne</w:t>
      </w:r>
      <w:r w:rsidRPr="00E21193">
        <w:rPr>
          <w:lang w:val="en-US"/>
        </w:rPr>
        <w:t>ş</w:t>
      </w:r>
      <w:r w:rsidRPr="004B771C">
        <w:rPr>
          <w:lang w:val="en-US"/>
        </w:rPr>
        <w:t>ti</w:t>
      </w:r>
      <w:r w:rsidRPr="00E21193">
        <w:rPr>
          <w:lang w:val="en-US"/>
        </w:rPr>
        <w:t xml:space="preserve"> </w:t>
      </w:r>
      <w:r w:rsidRPr="004B771C">
        <w:rPr>
          <w:lang w:val="en-US"/>
        </w:rPr>
        <w:t>datorate</w:t>
      </w:r>
      <w:r w:rsidRPr="00E21193">
        <w:rPr>
          <w:lang w:val="en-US"/>
        </w:rPr>
        <w:t xml:space="preserve"> </w:t>
      </w:r>
      <w:r w:rsidRPr="004B771C">
        <w:rPr>
          <w:lang w:val="en-US"/>
        </w:rPr>
        <w:t>de</w:t>
      </w:r>
      <w:r w:rsidRPr="00E21193">
        <w:rPr>
          <w:lang w:val="en-US"/>
        </w:rPr>
        <w:t xml:space="preserve"> </w:t>
      </w:r>
      <w:r w:rsidRPr="004B771C">
        <w:rPr>
          <w:lang w:val="en-US"/>
        </w:rPr>
        <w:t>b</w:t>
      </w:r>
      <w:r w:rsidRPr="00E21193">
        <w:rPr>
          <w:lang w:val="en-US"/>
        </w:rPr>
        <w:t>ă</w:t>
      </w:r>
      <w:r w:rsidRPr="004B771C">
        <w:rPr>
          <w:lang w:val="en-US"/>
        </w:rPr>
        <w:t>nci</w:t>
      </w:r>
      <w:r w:rsidRPr="00E21193">
        <w:rPr>
          <w:lang w:val="en-US"/>
        </w:rPr>
        <w:t xml:space="preserve"> </w:t>
      </w:r>
      <w:r w:rsidRPr="004B771C">
        <w:rPr>
          <w:lang w:val="en-US"/>
        </w:rPr>
        <w:t>cu</w:t>
      </w:r>
      <w:r w:rsidRPr="00E21193">
        <w:rPr>
          <w:lang w:val="en-US"/>
        </w:rPr>
        <w:t xml:space="preserve"> </w:t>
      </w:r>
      <w:r w:rsidRPr="004B771C">
        <w:rPr>
          <w:lang w:val="en-US"/>
        </w:rPr>
        <w:t>termenul</w:t>
      </w:r>
      <w:r w:rsidRPr="00E21193">
        <w:rPr>
          <w:lang w:val="en-US"/>
        </w:rPr>
        <w:t xml:space="preserve"> </w:t>
      </w:r>
      <w:r w:rsidRPr="004B771C">
        <w:rPr>
          <w:lang w:val="en-US"/>
        </w:rPr>
        <w:t>r</w:t>
      </w:r>
      <w:r w:rsidRPr="00E21193">
        <w:rPr>
          <w:lang w:val="en-US"/>
        </w:rPr>
        <w:t>ă</w:t>
      </w:r>
      <w:r w:rsidRPr="004B771C">
        <w:rPr>
          <w:lang w:val="en-US"/>
        </w:rPr>
        <w:t>mas</w:t>
      </w:r>
      <w:r w:rsidRPr="00E21193">
        <w:rPr>
          <w:lang w:val="en-US"/>
        </w:rPr>
        <w:t xml:space="preserve"> </w:t>
      </w:r>
      <w:r w:rsidRPr="004B771C">
        <w:rPr>
          <w:lang w:val="en-US"/>
        </w:rPr>
        <w:t>p</w:t>
      </w:r>
      <w:r w:rsidRPr="00E21193">
        <w:rPr>
          <w:lang w:val="en-US"/>
        </w:rPr>
        <w:t>î</w:t>
      </w:r>
      <w:r w:rsidRPr="004B771C">
        <w:rPr>
          <w:lang w:val="en-US"/>
        </w:rPr>
        <w:t>n</w:t>
      </w:r>
      <w:r w:rsidRPr="00E21193">
        <w:rPr>
          <w:lang w:val="en-US"/>
        </w:rPr>
        <w:t xml:space="preserve">ă </w:t>
      </w:r>
      <w:r w:rsidRPr="004B771C">
        <w:rPr>
          <w:lang w:val="en-US"/>
        </w:rPr>
        <w:t>la</w:t>
      </w:r>
      <w:r w:rsidRPr="00E21193">
        <w:rPr>
          <w:lang w:val="en-US"/>
        </w:rPr>
        <w:t xml:space="preserve"> </w:t>
      </w:r>
      <w:r w:rsidRPr="004B771C">
        <w:rPr>
          <w:lang w:val="en-US"/>
        </w:rPr>
        <w:t>rambursare</w:t>
      </w:r>
      <w:r w:rsidRPr="00E21193">
        <w:rPr>
          <w:lang w:val="en-US"/>
        </w:rPr>
        <w:t xml:space="preserve"> </w:t>
      </w:r>
      <w:r w:rsidRPr="004B771C">
        <w:rPr>
          <w:lang w:val="en-US"/>
        </w:rPr>
        <w:t>de</w:t>
      </w:r>
      <w:r w:rsidRPr="00E21193">
        <w:rPr>
          <w:lang w:val="en-US"/>
        </w:rPr>
        <w:t xml:space="preserve"> 1 </w:t>
      </w:r>
      <w:r w:rsidRPr="004B771C">
        <w:rPr>
          <w:lang w:val="en-US"/>
        </w:rPr>
        <w:t>lun</w:t>
      </w:r>
      <w:r w:rsidRPr="00E21193">
        <w:rPr>
          <w:lang w:val="en-US"/>
        </w:rPr>
        <w:t>ă ş</w:t>
      </w:r>
      <w:r w:rsidRPr="004B771C">
        <w:rPr>
          <w:lang w:val="en-US"/>
        </w:rPr>
        <w:t>i</w:t>
      </w:r>
      <w:r w:rsidRPr="00E21193">
        <w:rPr>
          <w:lang w:val="en-US"/>
        </w:rPr>
        <w:t xml:space="preserve"> </w:t>
      </w:r>
      <w:r w:rsidRPr="004B771C">
        <w:rPr>
          <w:lang w:val="en-US"/>
        </w:rPr>
        <w:t>mai</w:t>
      </w:r>
      <w:r w:rsidRPr="00E21193">
        <w:rPr>
          <w:lang w:val="en-US"/>
        </w:rPr>
        <w:t xml:space="preserve"> </w:t>
      </w:r>
      <w:r w:rsidRPr="004B771C">
        <w:rPr>
          <w:lang w:val="en-US"/>
        </w:rPr>
        <w:t>pu</w:t>
      </w:r>
      <w:r w:rsidRPr="00E21193">
        <w:rPr>
          <w:lang w:val="en-US"/>
        </w:rPr>
        <w:t>ţ</w:t>
      </w:r>
      <w:r w:rsidRPr="004B771C">
        <w:rPr>
          <w:lang w:val="en-US"/>
        </w:rPr>
        <w:t>in</w:t>
      </w:r>
      <w:r w:rsidRPr="00E21193">
        <w:rPr>
          <w:lang w:val="en-US"/>
        </w:rPr>
        <w:t xml:space="preserve"> ş</w:t>
      </w:r>
      <w:r w:rsidRPr="004B771C">
        <w:rPr>
          <w:lang w:val="en-US"/>
        </w:rPr>
        <w:t>i</w:t>
      </w:r>
      <w:r w:rsidRPr="00E21193">
        <w:rPr>
          <w:lang w:val="en-US"/>
        </w:rPr>
        <w:t xml:space="preserve"> </w:t>
      </w:r>
      <w:r w:rsidRPr="004B771C">
        <w:rPr>
          <w:lang w:val="en-US"/>
        </w:rPr>
        <w:t>suma</w:t>
      </w:r>
      <w:r w:rsidRPr="00E21193">
        <w:rPr>
          <w:lang w:val="en-US"/>
        </w:rPr>
        <w:t xml:space="preserve"> î</w:t>
      </w:r>
      <w:r w:rsidRPr="004B771C">
        <w:rPr>
          <w:lang w:val="en-US"/>
        </w:rPr>
        <w:t>mprumuturilor</w:t>
      </w:r>
      <w:r w:rsidRPr="00E21193">
        <w:rPr>
          <w:lang w:val="en-US"/>
        </w:rPr>
        <w:t xml:space="preserve"> ş</w:t>
      </w:r>
      <w:r w:rsidRPr="004B771C">
        <w:rPr>
          <w:lang w:val="en-US"/>
        </w:rPr>
        <w:t>i</w:t>
      </w:r>
      <w:r w:rsidRPr="00E21193">
        <w:rPr>
          <w:lang w:val="en-US"/>
        </w:rPr>
        <w:t xml:space="preserve"> </w:t>
      </w:r>
      <w:r w:rsidRPr="004B771C">
        <w:rPr>
          <w:lang w:val="en-US"/>
        </w:rPr>
        <w:t>a</w:t>
      </w:r>
      <w:r w:rsidRPr="00E21193">
        <w:rPr>
          <w:lang w:val="en-US"/>
        </w:rPr>
        <w:t xml:space="preserve"> </w:t>
      </w:r>
      <w:r w:rsidRPr="004B771C">
        <w:rPr>
          <w:lang w:val="en-US"/>
        </w:rPr>
        <w:t>mijloacelor</w:t>
      </w:r>
      <w:r w:rsidRPr="00E21193">
        <w:rPr>
          <w:lang w:val="en-US"/>
        </w:rPr>
        <w:t xml:space="preserve"> </w:t>
      </w:r>
      <w:r w:rsidRPr="004B771C">
        <w:rPr>
          <w:lang w:val="en-US"/>
        </w:rPr>
        <w:t>b</w:t>
      </w:r>
      <w:r w:rsidRPr="00E21193">
        <w:rPr>
          <w:lang w:val="en-US"/>
        </w:rPr>
        <w:t>ă</w:t>
      </w:r>
      <w:r w:rsidRPr="004B771C">
        <w:rPr>
          <w:lang w:val="en-US"/>
        </w:rPr>
        <w:t>ne</w:t>
      </w:r>
      <w:r w:rsidRPr="00E21193">
        <w:rPr>
          <w:lang w:val="en-US"/>
        </w:rPr>
        <w:t>ş</w:t>
      </w:r>
      <w:r w:rsidRPr="004B771C">
        <w:rPr>
          <w:lang w:val="en-US"/>
        </w:rPr>
        <w:t>ti</w:t>
      </w:r>
      <w:r w:rsidRPr="00E21193">
        <w:rPr>
          <w:lang w:val="en-US"/>
        </w:rPr>
        <w:t xml:space="preserve"> </w:t>
      </w:r>
      <w:r w:rsidRPr="004B771C">
        <w:rPr>
          <w:lang w:val="en-US"/>
        </w:rPr>
        <w:t>datorate</w:t>
      </w:r>
      <w:r w:rsidRPr="00E21193">
        <w:rPr>
          <w:lang w:val="en-US"/>
        </w:rPr>
        <w:t xml:space="preserve"> </w:t>
      </w:r>
      <w:r w:rsidRPr="004B771C">
        <w:rPr>
          <w:lang w:val="en-US"/>
        </w:rPr>
        <w:t>b</w:t>
      </w:r>
      <w:r w:rsidRPr="00E21193">
        <w:rPr>
          <w:lang w:val="en-US"/>
        </w:rPr>
        <w:t>ă</w:t>
      </w:r>
      <w:r w:rsidRPr="004B771C">
        <w:rPr>
          <w:lang w:val="en-US"/>
        </w:rPr>
        <w:t>ncilor</w:t>
      </w:r>
      <w:r w:rsidRPr="00E21193">
        <w:rPr>
          <w:lang w:val="en-US"/>
        </w:rPr>
        <w:t xml:space="preserve"> </w:t>
      </w:r>
      <w:r w:rsidRPr="004B771C">
        <w:rPr>
          <w:lang w:val="en-US"/>
        </w:rPr>
        <w:t>cu</w:t>
      </w:r>
      <w:r w:rsidRPr="00E21193">
        <w:rPr>
          <w:lang w:val="en-US"/>
        </w:rPr>
        <w:t xml:space="preserve"> </w:t>
      </w:r>
      <w:r w:rsidRPr="004B771C">
        <w:rPr>
          <w:lang w:val="en-US"/>
        </w:rPr>
        <w:t>termenul</w:t>
      </w:r>
      <w:r w:rsidRPr="00E21193">
        <w:rPr>
          <w:lang w:val="en-US"/>
        </w:rPr>
        <w:t xml:space="preserve"> </w:t>
      </w:r>
      <w:r w:rsidRPr="004B771C">
        <w:rPr>
          <w:lang w:val="en-US"/>
        </w:rPr>
        <w:t>r</w:t>
      </w:r>
      <w:r w:rsidRPr="00E21193">
        <w:rPr>
          <w:lang w:val="en-US"/>
        </w:rPr>
        <w:t>ă</w:t>
      </w:r>
      <w:r w:rsidRPr="004B771C">
        <w:rPr>
          <w:lang w:val="en-US"/>
        </w:rPr>
        <w:t>mas</w:t>
      </w:r>
      <w:r w:rsidRPr="00E21193">
        <w:rPr>
          <w:lang w:val="en-US"/>
        </w:rPr>
        <w:t xml:space="preserve"> </w:t>
      </w:r>
      <w:r w:rsidRPr="004B771C">
        <w:rPr>
          <w:lang w:val="en-US"/>
        </w:rPr>
        <w:t>p</w:t>
      </w:r>
      <w:r w:rsidRPr="00E21193">
        <w:rPr>
          <w:lang w:val="en-US"/>
        </w:rPr>
        <w:t>î</w:t>
      </w:r>
      <w:r w:rsidRPr="004B771C">
        <w:rPr>
          <w:lang w:val="en-US"/>
        </w:rPr>
        <w:t>n</w:t>
      </w:r>
      <w:r w:rsidRPr="00E21193">
        <w:rPr>
          <w:lang w:val="en-US"/>
        </w:rPr>
        <w:t xml:space="preserve">ă </w:t>
      </w:r>
      <w:r w:rsidRPr="004B771C">
        <w:rPr>
          <w:lang w:val="en-US"/>
        </w:rPr>
        <w:t>la</w:t>
      </w:r>
      <w:r w:rsidRPr="00E21193">
        <w:rPr>
          <w:lang w:val="en-US"/>
        </w:rPr>
        <w:t xml:space="preserve"> </w:t>
      </w:r>
      <w:r w:rsidRPr="004B771C">
        <w:rPr>
          <w:lang w:val="en-US"/>
        </w:rPr>
        <w:t>rambursare</w:t>
      </w:r>
      <w:r w:rsidRPr="00E21193">
        <w:rPr>
          <w:lang w:val="en-US"/>
        </w:rPr>
        <w:t xml:space="preserve"> </w:t>
      </w:r>
      <w:r w:rsidRPr="004B771C">
        <w:rPr>
          <w:lang w:val="en-US"/>
        </w:rPr>
        <w:t>de</w:t>
      </w:r>
      <w:r w:rsidRPr="00E21193">
        <w:rPr>
          <w:lang w:val="en-US"/>
        </w:rPr>
        <w:t xml:space="preserve"> 1 </w:t>
      </w:r>
      <w:r w:rsidRPr="004B771C">
        <w:rPr>
          <w:lang w:val="en-US"/>
        </w:rPr>
        <w:t>lun</w:t>
      </w:r>
      <w:r w:rsidRPr="00E21193">
        <w:rPr>
          <w:lang w:val="en-US"/>
        </w:rPr>
        <w:t>ă ş</w:t>
      </w:r>
      <w:r w:rsidRPr="004B771C">
        <w:rPr>
          <w:lang w:val="en-US"/>
        </w:rPr>
        <w:t>i</w:t>
      </w:r>
      <w:r w:rsidRPr="00E21193">
        <w:rPr>
          <w:lang w:val="en-US"/>
        </w:rPr>
        <w:t xml:space="preserve"> </w:t>
      </w:r>
      <w:r w:rsidRPr="004B771C">
        <w:rPr>
          <w:lang w:val="en-US"/>
        </w:rPr>
        <w:t>mai</w:t>
      </w:r>
      <w:r w:rsidRPr="00E21193">
        <w:rPr>
          <w:lang w:val="en-US"/>
        </w:rPr>
        <w:t xml:space="preserve"> </w:t>
      </w:r>
      <w:r w:rsidRPr="004B771C">
        <w:rPr>
          <w:lang w:val="en-US"/>
        </w:rPr>
        <w:t>pu</w:t>
      </w:r>
      <w:r w:rsidRPr="00E21193">
        <w:rPr>
          <w:lang w:val="en-US"/>
        </w:rPr>
        <w:t>ţ</w:t>
      </w:r>
      <w:r w:rsidRPr="004B771C">
        <w:rPr>
          <w:lang w:val="en-US"/>
        </w:rPr>
        <w:t>in</w:t>
      </w:r>
      <w:r w:rsidRPr="00E21193">
        <w:rPr>
          <w:lang w:val="en-US"/>
        </w:rPr>
        <w:t xml:space="preserve">. </w:t>
      </w:r>
      <w:r w:rsidRPr="004B771C">
        <w:rPr>
          <w:lang w:val="en-US"/>
        </w:rPr>
        <w:t xml:space="preserve">În acest rînd nu se includ mijloacele băneşti în conturile deschise de bancă în alte bănci care nu pot fi utilizate de către aceasta (de ex., mijloacele băneşti interbancare care sunt grevate de sarcini şi nu sunt libere de interdicţii, care sunt plasate în contul unei bănci căreia i-a </w:t>
      </w:r>
      <w:r>
        <w:rPr>
          <w:lang w:val="en-US"/>
        </w:rPr>
        <w:t>fost retrasă licenţa etc.).</w:t>
      </w:r>
      <w:r w:rsidRPr="004B771C">
        <w:rPr>
          <w:lang w:val="en-US"/>
        </w:rPr>
        <w:t xml:space="preserve"> </w:t>
      </w:r>
    </w:p>
    <w:p w:rsidR="002148C6" w:rsidRPr="00E21193" w:rsidRDefault="002148C6" w:rsidP="00A61956">
      <w:pPr>
        <w:pStyle w:val="NormalWeb"/>
        <w:rPr>
          <w:lang w:val="en-US"/>
        </w:rPr>
      </w:pPr>
      <w:r w:rsidRPr="004B771C">
        <w:rPr>
          <w:lang w:val="en-US"/>
        </w:rPr>
        <w:t>Parţial conturile 1032, 1034, 1035, 1062, 1063, 1093-1096, 1102-1106, 1331, 1332, 1341, 1351-1356, 1531, 1806, minus parţial conturile 2032, 2033, 2034, 2035, 2062, 2095-2098, 2331, 2332, 2341-2349, 2531, 2806, minus parţial conturile 1154, 1164, 1185 (în partea valorilor mobiliare de stat puse în gaj pentru datoriile faţă de bănci).</w:t>
      </w:r>
    </w:p>
    <w:p w:rsidR="002148C6" w:rsidRPr="00363EA5" w:rsidRDefault="002148C6" w:rsidP="00A61956">
      <w:pPr>
        <w:pStyle w:val="NormalWeb"/>
        <w:rPr>
          <w:lang w:val="en-US"/>
        </w:rPr>
      </w:pPr>
      <w:r w:rsidRPr="00363EA5">
        <w:rPr>
          <w:b/>
          <w:bCs/>
          <w:lang w:val="en-US"/>
        </w:rPr>
        <w:t xml:space="preserve">4. </w:t>
      </w:r>
      <w:r w:rsidRPr="00363EA5">
        <w:rPr>
          <w:lang w:val="en-US"/>
        </w:rPr>
        <w:t>În rîndul</w:t>
      </w:r>
      <w:r w:rsidRPr="00363EA5">
        <w:rPr>
          <w:b/>
          <w:bCs/>
          <w:lang w:val="en-US"/>
        </w:rPr>
        <w:t xml:space="preserve"> 2.0 Total active (A).</w:t>
      </w:r>
      <w:r w:rsidRPr="00363EA5">
        <w:rPr>
          <w:lang w:val="en-US"/>
        </w:rPr>
        <w:t xml:space="preserve"> În acest rînd se reflectă suma activelor totale din bilanţul băncii. </w:t>
      </w:r>
    </w:p>
    <w:p w:rsidR="002148C6" w:rsidRPr="00363EA5" w:rsidRDefault="002148C6" w:rsidP="00A61956">
      <w:pPr>
        <w:pStyle w:val="NormalWeb"/>
        <w:rPr>
          <w:lang w:val="en-US"/>
        </w:rPr>
      </w:pPr>
      <w:r w:rsidRPr="00363EA5">
        <w:rPr>
          <w:b/>
          <w:bCs/>
          <w:lang w:val="en-US"/>
        </w:rPr>
        <w:t xml:space="preserve">5. </w:t>
      </w:r>
      <w:r w:rsidRPr="00363EA5">
        <w:rPr>
          <w:lang w:val="en-US"/>
        </w:rPr>
        <w:t xml:space="preserve">Rezultatul rîndului </w:t>
      </w:r>
      <w:r w:rsidRPr="00363EA5">
        <w:rPr>
          <w:b/>
          <w:bCs/>
          <w:lang w:val="en-US"/>
        </w:rPr>
        <w:t>3.0 K</w:t>
      </w:r>
      <w:r w:rsidRPr="00363EA5">
        <w:rPr>
          <w:b/>
          <w:bCs/>
          <w:vertAlign w:val="subscript"/>
          <w:lang w:val="en-US"/>
        </w:rPr>
        <w:t>PII</w:t>
      </w:r>
      <w:r w:rsidRPr="00363EA5">
        <w:rPr>
          <w:b/>
          <w:bCs/>
          <w:lang w:val="en-US"/>
        </w:rPr>
        <w:t xml:space="preserve"> = (</w:t>
      </w:r>
      <w:smartTag w:uri="urn:schemas-microsoft-com:office:smarttags" w:element="metricconverter">
        <w:smartTagPr>
          <w:attr w:name="ProductID" w:val="13.00 a"/>
        </w:smartTagPr>
        <w:r w:rsidRPr="00363EA5">
          <w:rPr>
            <w:b/>
            <w:bCs/>
            <w:lang w:val="en-US"/>
          </w:rPr>
          <w:t>AL</w:t>
        </w:r>
      </w:smartTag>
      <w:r w:rsidRPr="00363EA5">
        <w:rPr>
          <w:b/>
          <w:bCs/>
          <w:lang w:val="en-US"/>
        </w:rPr>
        <w:t xml:space="preserve">/A) </w:t>
      </w:r>
      <w:r w:rsidRPr="00363EA5">
        <w:rPr>
          <w:lang w:val="en-US"/>
        </w:rPr>
        <w:t>×</w:t>
      </w:r>
      <w:r w:rsidRPr="00363EA5">
        <w:rPr>
          <w:b/>
          <w:bCs/>
          <w:lang w:val="en-US"/>
        </w:rPr>
        <w:t xml:space="preserve"> 100</w:t>
      </w:r>
      <w:r w:rsidRPr="00363EA5">
        <w:rPr>
          <w:lang w:val="en-US"/>
        </w:rPr>
        <w:t xml:space="preserve"> se obţine prin împărţirea sumei rîndului 1.9 la suma rîndului 2.0 şi înmulţirea la 100. </w:t>
      </w:r>
    </w:p>
    <w:p w:rsidR="002148C6" w:rsidRPr="00363EA5" w:rsidRDefault="002148C6" w:rsidP="00A61956">
      <w:pPr>
        <w:pStyle w:val="NormalWeb"/>
        <w:rPr>
          <w:lang w:val="en-US"/>
        </w:rPr>
      </w:pPr>
      <w:r w:rsidRPr="004B771C">
        <w:rPr>
          <w:b/>
          <w:bCs/>
          <w:lang w:val="en-US"/>
        </w:rPr>
        <w:t>6.</w:t>
      </w:r>
      <w:r w:rsidRPr="004B771C">
        <w:rPr>
          <w:lang w:val="en-US"/>
        </w:rPr>
        <w:t xml:space="preserve"> În rîndul </w:t>
      </w:r>
      <w:r w:rsidRPr="004B771C">
        <w:rPr>
          <w:b/>
          <w:bCs/>
          <w:lang w:val="en-US"/>
        </w:rPr>
        <w:t>4.0 Depozite fără dobîndă</w:t>
      </w:r>
      <w:r w:rsidRPr="004B771C">
        <w:rPr>
          <w:lang w:val="en-US"/>
        </w:rPr>
        <w:t xml:space="preserve"> se reflectă suma tuturor depozitelor atrase de către bancă de la persoanele fizice, juridice, cu excepţia depozitelor overnight ale băncilor, inclusiv ale statului şi ale altor organe ale statului pentru care nu se plăteşte dobânda. Suma acestui rînd pentru ultima zi lucrătoare a lunii gestionare trebuie să fie egală cu suma rîndului 1.0 şi 3.0. din Raportul privind depozitele.</w:t>
      </w:r>
      <w:r w:rsidRPr="00363EA5">
        <w:rPr>
          <w:lang w:val="en-US"/>
        </w:rPr>
        <w:t xml:space="preserve"> </w:t>
      </w:r>
    </w:p>
    <w:p w:rsidR="002148C6" w:rsidRPr="00363EA5" w:rsidRDefault="002148C6" w:rsidP="00A61956">
      <w:pPr>
        <w:pStyle w:val="NormalWeb"/>
        <w:rPr>
          <w:lang w:val="en-US"/>
        </w:rPr>
      </w:pPr>
      <w:r w:rsidRPr="00363EA5">
        <w:rPr>
          <w:b/>
          <w:bCs/>
          <w:lang w:val="en-US"/>
        </w:rPr>
        <w:t xml:space="preserve">7. </w:t>
      </w:r>
      <w:r w:rsidRPr="00363EA5">
        <w:rPr>
          <w:lang w:val="en-US"/>
        </w:rPr>
        <w:t>În rîndul</w:t>
      </w:r>
      <w:r w:rsidRPr="00363EA5">
        <w:rPr>
          <w:b/>
          <w:bCs/>
          <w:lang w:val="en-US"/>
        </w:rPr>
        <w:t xml:space="preserve"> 4.1 Mijloace băneşti datorate băncilor</w:t>
      </w:r>
      <w:r w:rsidRPr="00363EA5">
        <w:rPr>
          <w:lang w:val="en-US"/>
        </w:rPr>
        <w:t xml:space="preserve"> se reflectă suma mijloacelor băneşti la conturile “Loro” ale băncilor, rezidente şi nerezidente, pentru care banca nu plăteşte dobînda, indiferent de data scadenţei. </w:t>
      </w:r>
    </w:p>
    <w:p w:rsidR="002148C6" w:rsidRPr="00363EA5" w:rsidRDefault="002148C6" w:rsidP="00A61956">
      <w:pPr>
        <w:pStyle w:val="NormalWeb"/>
        <w:rPr>
          <w:lang w:val="en-US"/>
        </w:rPr>
      </w:pPr>
      <w:r w:rsidRPr="00363EA5">
        <w:rPr>
          <w:b/>
          <w:bCs/>
          <w:lang w:val="en-US"/>
        </w:rPr>
        <w:t xml:space="preserve">8. </w:t>
      </w:r>
      <w:r w:rsidRPr="00363EA5">
        <w:rPr>
          <w:lang w:val="en-US"/>
        </w:rPr>
        <w:t>În rîndul</w:t>
      </w:r>
      <w:r w:rsidRPr="00363EA5">
        <w:rPr>
          <w:b/>
          <w:bCs/>
          <w:lang w:val="en-US"/>
        </w:rPr>
        <w:t xml:space="preserve"> 4.2 Depozite ale persoanelor fizice</w:t>
      </w:r>
      <w:r w:rsidRPr="00363EA5">
        <w:rPr>
          <w:lang w:val="en-US"/>
        </w:rPr>
        <w:t xml:space="preserve"> se reflectă suma depozitelor fără dobîndă ale persoanelor fizice consumator, indiferent de data scadenţei. </w:t>
      </w:r>
    </w:p>
    <w:p w:rsidR="002148C6" w:rsidRPr="00363EA5" w:rsidRDefault="002148C6" w:rsidP="00A61956">
      <w:pPr>
        <w:pStyle w:val="NormalWeb"/>
        <w:rPr>
          <w:lang w:val="en-US"/>
        </w:rPr>
      </w:pPr>
      <w:r w:rsidRPr="00363EA5">
        <w:rPr>
          <w:b/>
          <w:bCs/>
          <w:lang w:val="en-US"/>
        </w:rPr>
        <w:t xml:space="preserve">9. </w:t>
      </w:r>
      <w:r w:rsidRPr="00363EA5">
        <w:rPr>
          <w:lang w:val="en-US"/>
        </w:rPr>
        <w:t>În rîndul</w:t>
      </w:r>
      <w:r w:rsidRPr="00363EA5">
        <w:rPr>
          <w:b/>
          <w:bCs/>
          <w:lang w:val="en-US"/>
        </w:rPr>
        <w:t xml:space="preserve"> 4.3 Depozite ale persoanelor juridice</w:t>
      </w:r>
      <w:r w:rsidRPr="00E21193">
        <w:rPr>
          <w:lang w:val="en-US"/>
        </w:rPr>
        <w:t>, cu excepţia băncilor</w:t>
      </w:r>
      <w:r w:rsidRPr="00363EA5">
        <w:rPr>
          <w:lang w:val="en-US"/>
        </w:rPr>
        <w:t xml:space="preserve"> se reflectă suma depozitelor fără dobîndă ale persoanelor juridice</w:t>
      </w:r>
      <w:r w:rsidRPr="004B771C">
        <w:rPr>
          <w:lang w:val="en-US"/>
        </w:rPr>
        <w:t>, cu excepţia băncilor</w:t>
      </w:r>
      <w:r w:rsidRPr="00363EA5">
        <w:rPr>
          <w:lang w:val="en-US"/>
        </w:rPr>
        <w:t xml:space="preserve"> şi ale persoanelor fizice care practică activitate de întreprinzător sau alt gen de activitate, indiferent de data scadenţei. </w:t>
      </w:r>
    </w:p>
    <w:p w:rsidR="002148C6" w:rsidRPr="00E21193" w:rsidRDefault="002148C6" w:rsidP="00A61956">
      <w:pPr>
        <w:pStyle w:val="NormalWeb"/>
        <w:rPr>
          <w:lang w:val="en-US"/>
        </w:rPr>
      </w:pPr>
      <w:r w:rsidRPr="004B771C">
        <w:rPr>
          <w:b/>
          <w:bCs/>
          <w:lang w:val="en-US"/>
        </w:rPr>
        <w:t>11.</w:t>
      </w:r>
      <w:r w:rsidRPr="004B771C">
        <w:rPr>
          <w:lang w:val="en-US"/>
        </w:rPr>
        <w:t xml:space="preserve"> În rândul </w:t>
      </w:r>
      <w:r w:rsidRPr="004B771C">
        <w:rPr>
          <w:b/>
          <w:bCs/>
          <w:lang w:val="en-US"/>
        </w:rPr>
        <w:t>5.0 Depozite cu dobîndă</w:t>
      </w:r>
      <w:r w:rsidRPr="004B771C">
        <w:rPr>
          <w:lang w:val="en-US"/>
        </w:rPr>
        <w:t xml:space="preserve"> se reflectă suma tuturor depozitelor atrase de către bancă de la persoanele fizice, juridice, cu excepţia depozitelor overnight ale băncilor, inclusiv ale statului şi ale altor organe ale statului pentru care se plăteşte dobânda. Suma acestui rînd pentru ultima zi lucrătoare a lunii gestionare trebuie să fie egală cu suma rîndului 2.0 şi 4.0. din Raportul privind depozitele.</w:t>
      </w:r>
    </w:p>
    <w:p w:rsidR="002148C6" w:rsidRPr="00E21193" w:rsidRDefault="002148C6" w:rsidP="00A61956">
      <w:pPr>
        <w:pStyle w:val="NormalWeb"/>
        <w:rPr>
          <w:lang w:val="en-US"/>
        </w:rPr>
      </w:pPr>
      <w:r w:rsidRPr="00E21193">
        <w:rPr>
          <w:b/>
          <w:bCs/>
          <w:lang w:val="en-US"/>
        </w:rPr>
        <w:t xml:space="preserve">12. </w:t>
      </w:r>
      <w:r w:rsidRPr="00E21193">
        <w:rPr>
          <w:lang w:val="en-US"/>
        </w:rPr>
        <w:t>Î</w:t>
      </w:r>
      <w:r w:rsidRPr="00363EA5">
        <w:rPr>
          <w:lang w:val="en-US"/>
        </w:rPr>
        <w:t>n</w:t>
      </w:r>
      <w:r w:rsidRPr="00E21193">
        <w:rPr>
          <w:lang w:val="en-US"/>
        </w:rPr>
        <w:t xml:space="preserve"> </w:t>
      </w:r>
      <w:r w:rsidRPr="00363EA5">
        <w:rPr>
          <w:lang w:val="en-US"/>
        </w:rPr>
        <w:t>r</w:t>
      </w:r>
      <w:r w:rsidRPr="00E21193">
        <w:rPr>
          <w:lang w:val="en-US"/>
        </w:rPr>
        <w:t>î</w:t>
      </w:r>
      <w:r w:rsidRPr="00363EA5">
        <w:rPr>
          <w:lang w:val="en-US"/>
        </w:rPr>
        <w:t>ndul</w:t>
      </w:r>
      <w:r w:rsidRPr="00E21193">
        <w:rPr>
          <w:b/>
          <w:bCs/>
          <w:lang w:val="en-US"/>
        </w:rPr>
        <w:t xml:space="preserve"> 5.1 </w:t>
      </w:r>
      <w:r w:rsidRPr="00363EA5">
        <w:rPr>
          <w:b/>
          <w:bCs/>
          <w:lang w:val="en-US"/>
        </w:rPr>
        <w:t>Mijloace</w:t>
      </w:r>
      <w:r w:rsidRPr="00E21193">
        <w:rPr>
          <w:b/>
          <w:bCs/>
          <w:lang w:val="en-US"/>
        </w:rPr>
        <w:t xml:space="preserve"> </w:t>
      </w:r>
      <w:r w:rsidRPr="00363EA5">
        <w:rPr>
          <w:b/>
          <w:bCs/>
          <w:lang w:val="en-US"/>
        </w:rPr>
        <w:t>b</w:t>
      </w:r>
      <w:r w:rsidRPr="00E21193">
        <w:rPr>
          <w:b/>
          <w:bCs/>
          <w:lang w:val="en-US"/>
        </w:rPr>
        <w:t>ă</w:t>
      </w:r>
      <w:r w:rsidRPr="00363EA5">
        <w:rPr>
          <w:b/>
          <w:bCs/>
          <w:lang w:val="en-US"/>
        </w:rPr>
        <w:t>ne</w:t>
      </w:r>
      <w:r w:rsidRPr="00E21193">
        <w:rPr>
          <w:b/>
          <w:bCs/>
          <w:lang w:val="en-US"/>
        </w:rPr>
        <w:t>ş</w:t>
      </w:r>
      <w:r w:rsidRPr="00363EA5">
        <w:rPr>
          <w:b/>
          <w:bCs/>
          <w:lang w:val="en-US"/>
        </w:rPr>
        <w:t>ti</w:t>
      </w:r>
      <w:r w:rsidRPr="00E21193">
        <w:rPr>
          <w:b/>
          <w:bCs/>
          <w:lang w:val="en-US"/>
        </w:rPr>
        <w:t xml:space="preserve"> </w:t>
      </w:r>
      <w:r w:rsidRPr="00363EA5">
        <w:rPr>
          <w:b/>
          <w:bCs/>
          <w:lang w:val="en-US"/>
        </w:rPr>
        <w:t>datorate</w:t>
      </w:r>
      <w:r w:rsidRPr="00E21193">
        <w:rPr>
          <w:b/>
          <w:bCs/>
          <w:lang w:val="en-US"/>
        </w:rPr>
        <w:t xml:space="preserve"> </w:t>
      </w:r>
      <w:r w:rsidRPr="00363EA5">
        <w:rPr>
          <w:b/>
          <w:bCs/>
          <w:lang w:val="en-US"/>
        </w:rPr>
        <w:t>b</w:t>
      </w:r>
      <w:r w:rsidRPr="00E21193">
        <w:rPr>
          <w:b/>
          <w:bCs/>
          <w:lang w:val="en-US"/>
        </w:rPr>
        <w:t>ă</w:t>
      </w:r>
      <w:r w:rsidRPr="00363EA5">
        <w:rPr>
          <w:b/>
          <w:bCs/>
          <w:lang w:val="en-US"/>
        </w:rPr>
        <w:t>ncilor</w:t>
      </w:r>
      <w:r w:rsidRPr="00E21193">
        <w:rPr>
          <w:lang w:val="en-US"/>
        </w:rPr>
        <w:t xml:space="preserve"> </w:t>
      </w:r>
      <w:r w:rsidRPr="00363EA5">
        <w:rPr>
          <w:lang w:val="en-US"/>
        </w:rPr>
        <w:t>se</w:t>
      </w:r>
      <w:r w:rsidRPr="00E21193">
        <w:rPr>
          <w:lang w:val="en-US"/>
        </w:rPr>
        <w:t xml:space="preserve"> </w:t>
      </w:r>
      <w:r w:rsidRPr="00363EA5">
        <w:rPr>
          <w:lang w:val="en-US"/>
        </w:rPr>
        <w:t>reflect</w:t>
      </w:r>
      <w:r w:rsidRPr="00E21193">
        <w:rPr>
          <w:lang w:val="en-US"/>
        </w:rPr>
        <w:t xml:space="preserve">ă </w:t>
      </w:r>
      <w:r w:rsidRPr="00363EA5">
        <w:rPr>
          <w:lang w:val="en-US"/>
        </w:rPr>
        <w:t>suma</w:t>
      </w:r>
      <w:r w:rsidRPr="00E21193">
        <w:rPr>
          <w:lang w:val="en-US"/>
        </w:rPr>
        <w:t xml:space="preserve"> </w:t>
      </w:r>
      <w:r w:rsidRPr="00363EA5">
        <w:rPr>
          <w:lang w:val="en-US"/>
        </w:rPr>
        <w:t>mijloacelor</w:t>
      </w:r>
      <w:r w:rsidRPr="00E21193">
        <w:rPr>
          <w:lang w:val="en-US"/>
        </w:rPr>
        <w:t xml:space="preserve"> </w:t>
      </w:r>
      <w:r w:rsidRPr="00363EA5">
        <w:rPr>
          <w:lang w:val="en-US"/>
        </w:rPr>
        <w:t>b</w:t>
      </w:r>
      <w:r w:rsidRPr="00E21193">
        <w:rPr>
          <w:lang w:val="en-US"/>
        </w:rPr>
        <w:t>ă</w:t>
      </w:r>
      <w:r w:rsidRPr="00363EA5">
        <w:rPr>
          <w:lang w:val="en-US"/>
        </w:rPr>
        <w:t>ne</w:t>
      </w:r>
      <w:r w:rsidRPr="00E21193">
        <w:rPr>
          <w:lang w:val="en-US"/>
        </w:rPr>
        <w:t>ş</w:t>
      </w:r>
      <w:r w:rsidRPr="00363EA5">
        <w:rPr>
          <w:lang w:val="en-US"/>
        </w:rPr>
        <w:t>ti</w:t>
      </w:r>
      <w:r w:rsidRPr="00E21193">
        <w:rPr>
          <w:lang w:val="en-US"/>
        </w:rPr>
        <w:t xml:space="preserve"> </w:t>
      </w:r>
      <w:r w:rsidRPr="00363EA5">
        <w:rPr>
          <w:lang w:val="en-US"/>
        </w:rPr>
        <w:t>la</w:t>
      </w:r>
      <w:r w:rsidRPr="00E21193">
        <w:rPr>
          <w:lang w:val="en-US"/>
        </w:rPr>
        <w:t xml:space="preserve"> </w:t>
      </w:r>
      <w:r w:rsidRPr="00363EA5">
        <w:rPr>
          <w:lang w:val="en-US"/>
        </w:rPr>
        <w:t>conturi</w:t>
      </w:r>
      <w:r w:rsidRPr="00E21193">
        <w:rPr>
          <w:lang w:val="en-US"/>
        </w:rPr>
        <w:t xml:space="preserve"> “</w:t>
      </w:r>
      <w:r w:rsidRPr="00363EA5">
        <w:rPr>
          <w:lang w:val="en-US"/>
        </w:rPr>
        <w:t>Loro</w:t>
      </w:r>
      <w:r w:rsidRPr="00E21193">
        <w:rPr>
          <w:lang w:val="en-US"/>
        </w:rPr>
        <w:t xml:space="preserve">”, </w:t>
      </w:r>
      <w:r w:rsidRPr="00363EA5">
        <w:rPr>
          <w:lang w:val="en-US"/>
        </w:rPr>
        <w:t>precum</w:t>
      </w:r>
      <w:r w:rsidRPr="00E21193">
        <w:rPr>
          <w:lang w:val="en-US"/>
        </w:rPr>
        <w:t xml:space="preserve"> ş</w:t>
      </w:r>
      <w:r w:rsidRPr="00363EA5">
        <w:rPr>
          <w:lang w:val="en-US"/>
        </w:rPr>
        <w:t>i</w:t>
      </w:r>
      <w:r w:rsidRPr="00E21193">
        <w:rPr>
          <w:lang w:val="en-US"/>
        </w:rPr>
        <w:t xml:space="preserve"> </w:t>
      </w:r>
      <w:r w:rsidRPr="00363EA5">
        <w:rPr>
          <w:lang w:val="en-US"/>
        </w:rPr>
        <w:t>depozitele</w:t>
      </w:r>
      <w:r w:rsidRPr="00E21193">
        <w:rPr>
          <w:lang w:val="en-US"/>
        </w:rPr>
        <w:t xml:space="preserve"> </w:t>
      </w:r>
      <w:r w:rsidRPr="00363EA5">
        <w:rPr>
          <w:lang w:val="en-US"/>
        </w:rPr>
        <w:t>pe</w:t>
      </w:r>
      <w:r w:rsidRPr="00E21193">
        <w:rPr>
          <w:lang w:val="en-US"/>
        </w:rPr>
        <w:t xml:space="preserve"> </w:t>
      </w:r>
      <w:r w:rsidRPr="00363EA5">
        <w:rPr>
          <w:lang w:val="en-US"/>
        </w:rPr>
        <w:t>termen</w:t>
      </w:r>
      <w:r w:rsidRPr="00E21193">
        <w:rPr>
          <w:lang w:val="en-US"/>
        </w:rPr>
        <w:t xml:space="preserve"> </w:t>
      </w:r>
      <w:r w:rsidRPr="00363EA5">
        <w:rPr>
          <w:lang w:val="en-US"/>
        </w:rPr>
        <w:t>primite</w:t>
      </w:r>
      <w:r w:rsidRPr="00E21193">
        <w:rPr>
          <w:lang w:val="en-US"/>
        </w:rPr>
        <w:t xml:space="preserve"> </w:t>
      </w:r>
      <w:r w:rsidRPr="00363EA5">
        <w:rPr>
          <w:lang w:val="en-US"/>
        </w:rPr>
        <w:t>de</w:t>
      </w:r>
      <w:r w:rsidRPr="00E21193">
        <w:rPr>
          <w:lang w:val="en-US"/>
        </w:rPr>
        <w:t xml:space="preserve"> </w:t>
      </w:r>
      <w:r w:rsidRPr="00363EA5">
        <w:rPr>
          <w:lang w:val="en-US"/>
        </w:rPr>
        <w:t>la</w:t>
      </w:r>
      <w:r w:rsidRPr="00E21193">
        <w:rPr>
          <w:lang w:val="en-US"/>
        </w:rPr>
        <w:t xml:space="preserve"> </w:t>
      </w:r>
      <w:r w:rsidRPr="00363EA5">
        <w:rPr>
          <w:lang w:val="en-US"/>
        </w:rPr>
        <w:t>b</w:t>
      </w:r>
      <w:r w:rsidRPr="00E21193">
        <w:rPr>
          <w:lang w:val="en-US"/>
        </w:rPr>
        <w:t>ă</w:t>
      </w:r>
      <w:r w:rsidRPr="00363EA5">
        <w:rPr>
          <w:lang w:val="en-US"/>
        </w:rPr>
        <w:t>nci</w:t>
      </w:r>
      <w:r w:rsidRPr="00E21193">
        <w:rPr>
          <w:lang w:val="en-US"/>
        </w:rPr>
        <w:t xml:space="preserve">, </w:t>
      </w:r>
      <w:r w:rsidRPr="00363EA5">
        <w:rPr>
          <w:lang w:val="en-US"/>
        </w:rPr>
        <w:t>rezidente</w:t>
      </w:r>
      <w:r w:rsidRPr="00E21193">
        <w:rPr>
          <w:lang w:val="en-US"/>
        </w:rPr>
        <w:t xml:space="preserve"> ş</w:t>
      </w:r>
      <w:r w:rsidRPr="00363EA5">
        <w:rPr>
          <w:lang w:val="en-US"/>
        </w:rPr>
        <w:t>i</w:t>
      </w:r>
      <w:r w:rsidRPr="00E21193">
        <w:rPr>
          <w:lang w:val="en-US"/>
        </w:rPr>
        <w:t xml:space="preserve"> </w:t>
      </w:r>
      <w:r w:rsidRPr="00363EA5">
        <w:rPr>
          <w:lang w:val="en-US"/>
        </w:rPr>
        <w:t>nerezidente</w:t>
      </w:r>
      <w:r w:rsidRPr="00E21193">
        <w:rPr>
          <w:lang w:val="en-US"/>
        </w:rPr>
        <w:t xml:space="preserve">, </w:t>
      </w:r>
      <w:r w:rsidRPr="00363EA5">
        <w:rPr>
          <w:lang w:val="en-US"/>
        </w:rPr>
        <w:t>pentru</w:t>
      </w:r>
      <w:r w:rsidRPr="00E21193">
        <w:rPr>
          <w:lang w:val="en-US"/>
        </w:rPr>
        <w:t xml:space="preserve"> </w:t>
      </w:r>
      <w:r w:rsidRPr="00363EA5">
        <w:rPr>
          <w:lang w:val="en-US"/>
        </w:rPr>
        <w:t>care</w:t>
      </w:r>
      <w:r w:rsidRPr="00E21193">
        <w:rPr>
          <w:lang w:val="en-US"/>
        </w:rPr>
        <w:t xml:space="preserve"> </w:t>
      </w:r>
      <w:r w:rsidRPr="00363EA5">
        <w:rPr>
          <w:lang w:val="en-US"/>
        </w:rPr>
        <w:t>se</w:t>
      </w:r>
      <w:r w:rsidRPr="00E21193">
        <w:rPr>
          <w:lang w:val="en-US"/>
        </w:rPr>
        <w:t xml:space="preserve"> </w:t>
      </w:r>
      <w:r w:rsidRPr="00363EA5">
        <w:rPr>
          <w:lang w:val="en-US"/>
        </w:rPr>
        <w:t>pl</w:t>
      </w:r>
      <w:r w:rsidRPr="00E21193">
        <w:rPr>
          <w:lang w:val="en-US"/>
        </w:rPr>
        <w:t>ă</w:t>
      </w:r>
      <w:r w:rsidRPr="00363EA5">
        <w:rPr>
          <w:lang w:val="en-US"/>
        </w:rPr>
        <w:t>te</w:t>
      </w:r>
      <w:r w:rsidRPr="00E21193">
        <w:rPr>
          <w:lang w:val="en-US"/>
        </w:rPr>
        <w:t>ş</w:t>
      </w:r>
      <w:r w:rsidRPr="00363EA5">
        <w:rPr>
          <w:lang w:val="en-US"/>
        </w:rPr>
        <w:t>te</w:t>
      </w:r>
      <w:r w:rsidRPr="00E21193">
        <w:rPr>
          <w:lang w:val="en-US"/>
        </w:rPr>
        <w:t xml:space="preserve"> </w:t>
      </w:r>
      <w:r w:rsidRPr="00363EA5">
        <w:rPr>
          <w:lang w:val="en-US"/>
        </w:rPr>
        <w:t>dob</w:t>
      </w:r>
      <w:r w:rsidRPr="00E21193">
        <w:rPr>
          <w:lang w:val="en-US"/>
        </w:rPr>
        <w:t>î</w:t>
      </w:r>
      <w:r w:rsidRPr="00363EA5">
        <w:rPr>
          <w:lang w:val="en-US"/>
        </w:rPr>
        <w:t>nd</w:t>
      </w:r>
      <w:r w:rsidRPr="00E21193">
        <w:rPr>
          <w:lang w:val="en-US"/>
        </w:rPr>
        <w:t xml:space="preserve">ă, </w:t>
      </w:r>
      <w:r w:rsidRPr="00363EA5">
        <w:rPr>
          <w:lang w:val="en-US"/>
        </w:rPr>
        <w:t>indiferent</w:t>
      </w:r>
      <w:r w:rsidRPr="00E21193">
        <w:rPr>
          <w:lang w:val="en-US"/>
        </w:rPr>
        <w:t xml:space="preserve"> </w:t>
      </w:r>
      <w:r w:rsidRPr="00363EA5">
        <w:rPr>
          <w:lang w:val="en-US"/>
        </w:rPr>
        <w:t>de</w:t>
      </w:r>
      <w:r w:rsidRPr="00E21193">
        <w:rPr>
          <w:lang w:val="en-US"/>
        </w:rPr>
        <w:t xml:space="preserve"> </w:t>
      </w:r>
      <w:r w:rsidRPr="00363EA5">
        <w:rPr>
          <w:lang w:val="en-US"/>
        </w:rPr>
        <w:t>scaden</w:t>
      </w:r>
      <w:r w:rsidRPr="00E21193">
        <w:rPr>
          <w:lang w:val="en-US"/>
        </w:rPr>
        <w:t xml:space="preserve">ţă. </w:t>
      </w:r>
    </w:p>
    <w:p w:rsidR="002148C6" w:rsidRPr="00363EA5" w:rsidRDefault="002148C6" w:rsidP="00A61956">
      <w:pPr>
        <w:pStyle w:val="NormalWeb"/>
        <w:rPr>
          <w:lang w:val="en-US"/>
        </w:rPr>
      </w:pPr>
      <w:r w:rsidRPr="00363EA5">
        <w:rPr>
          <w:b/>
          <w:bCs/>
          <w:lang w:val="en-US"/>
        </w:rPr>
        <w:t xml:space="preserve">13. </w:t>
      </w:r>
      <w:r w:rsidRPr="00363EA5">
        <w:rPr>
          <w:lang w:val="en-US"/>
        </w:rPr>
        <w:t>În rîndul</w:t>
      </w:r>
      <w:r w:rsidRPr="00363EA5">
        <w:rPr>
          <w:b/>
          <w:bCs/>
          <w:lang w:val="en-US"/>
        </w:rPr>
        <w:t xml:space="preserve"> 5.2 Depozite ale persoanelor fizice</w:t>
      </w:r>
      <w:r w:rsidRPr="00363EA5">
        <w:rPr>
          <w:lang w:val="en-US"/>
        </w:rPr>
        <w:t xml:space="preserve"> se reflectă suma depozitelor cu dobîndă ale persoanelor fizice consumator, indiferent de scadenţă. </w:t>
      </w:r>
    </w:p>
    <w:p w:rsidR="002148C6" w:rsidRPr="00363EA5" w:rsidRDefault="002148C6" w:rsidP="00A61956">
      <w:pPr>
        <w:pStyle w:val="NormalWeb"/>
        <w:rPr>
          <w:lang w:val="en-US"/>
        </w:rPr>
      </w:pPr>
      <w:r w:rsidRPr="00363EA5">
        <w:rPr>
          <w:b/>
          <w:bCs/>
          <w:lang w:val="en-US"/>
        </w:rPr>
        <w:t xml:space="preserve">14. </w:t>
      </w:r>
      <w:r w:rsidRPr="00363EA5">
        <w:rPr>
          <w:lang w:val="en-US"/>
        </w:rPr>
        <w:t>În rîndul</w:t>
      </w:r>
      <w:r w:rsidRPr="00363EA5">
        <w:rPr>
          <w:b/>
          <w:bCs/>
          <w:lang w:val="en-US"/>
        </w:rPr>
        <w:t xml:space="preserve"> 5.3 Depozite ale persoanelor juridice</w:t>
      </w:r>
      <w:r w:rsidRPr="004B771C">
        <w:rPr>
          <w:lang w:val="en-US"/>
        </w:rPr>
        <w:t>, cu excepţia băncilor</w:t>
      </w:r>
      <w:r w:rsidRPr="00363EA5">
        <w:rPr>
          <w:lang w:val="en-US"/>
        </w:rPr>
        <w:t xml:space="preserve"> se reflectă suma depozitelor cu dobîndă ale persoanelor juridice</w:t>
      </w:r>
      <w:r w:rsidRPr="004B771C">
        <w:rPr>
          <w:lang w:val="en-US"/>
        </w:rPr>
        <w:t>, cu excepţia băncilor</w:t>
      </w:r>
      <w:r w:rsidRPr="00363EA5">
        <w:rPr>
          <w:lang w:val="en-US"/>
        </w:rPr>
        <w:t xml:space="preserve"> şi ale persoanelor fizice care practică activitate de întreprinzător sau alt gen de activitate, indiferent de scadenţă. </w:t>
      </w:r>
    </w:p>
    <w:p w:rsidR="002148C6" w:rsidRPr="004B771C" w:rsidRDefault="002148C6" w:rsidP="00A61956">
      <w:pPr>
        <w:pStyle w:val="NormalWeb"/>
        <w:rPr>
          <w:lang w:val="en-US"/>
        </w:rPr>
      </w:pPr>
      <w:r w:rsidRPr="004B771C">
        <w:rPr>
          <w:b/>
          <w:bCs/>
          <w:lang w:val="en-US"/>
        </w:rPr>
        <w:t>15.</w:t>
      </w:r>
      <w:r w:rsidRPr="004B771C">
        <w:rPr>
          <w:lang w:val="en-US"/>
        </w:rPr>
        <w:t xml:space="preserve"> Suma rîndului </w:t>
      </w:r>
      <w:r w:rsidRPr="004B771C">
        <w:rPr>
          <w:b/>
          <w:bCs/>
          <w:lang w:val="en-US"/>
        </w:rPr>
        <w:t>6.0 Total depozite, altele decît overnight</w:t>
      </w:r>
      <w:r w:rsidRPr="004B771C">
        <w:rPr>
          <w:lang w:val="en-US"/>
        </w:rPr>
        <w:t xml:space="preserve"> este egală cu suma rîndurilor 4.0 şi 5.0 din prezentul raport. Suma acestui rând pentru ultima zi lucrătoare a lunii gestionare trebuie să fie egală cu suma rândului 9.9. din R</w:t>
      </w:r>
      <w:r>
        <w:rPr>
          <w:lang w:val="en-US"/>
        </w:rPr>
        <w:t>aportul privind depozitele.</w:t>
      </w:r>
    </w:p>
    <w:p w:rsidR="002148C6" w:rsidRDefault="002148C6" w:rsidP="00A61956">
      <w:pPr>
        <w:pStyle w:val="NormalWeb"/>
        <w:rPr>
          <w:lang w:val="en-US"/>
        </w:rPr>
      </w:pPr>
      <w:r w:rsidRPr="004B771C">
        <w:rPr>
          <w:b/>
          <w:bCs/>
          <w:lang w:val="en-US"/>
        </w:rPr>
        <w:t>16.</w:t>
      </w:r>
      <w:r w:rsidRPr="004B771C">
        <w:rPr>
          <w:lang w:val="en-US"/>
        </w:rPr>
        <w:t xml:space="preserve"> În rîndul </w:t>
      </w:r>
      <w:r w:rsidRPr="004B771C">
        <w:rPr>
          <w:b/>
          <w:bCs/>
          <w:lang w:val="en-US"/>
        </w:rPr>
        <w:t xml:space="preserve">7.0. Depozite şi împrumuturi overnight </w:t>
      </w:r>
      <w:r w:rsidRPr="004B771C">
        <w:rPr>
          <w:lang w:val="en-US"/>
        </w:rPr>
        <w:t xml:space="preserve">se reflectă suma depozitelor overnight plasate de bănci, precum şi a împrumuturilor overnight obţinute de </w:t>
      </w:r>
      <w:smartTag w:uri="urn:schemas-microsoft-com:office:smarttags" w:element="metricconverter">
        <w:smartTagPr>
          <w:attr w:name="ProductID" w:val="13.00 a"/>
        </w:smartTagPr>
        <w:r w:rsidRPr="004B771C">
          <w:rPr>
            <w:lang w:val="en-US"/>
          </w:rPr>
          <w:t>la BNM</w:t>
        </w:r>
      </w:smartTag>
      <w:r w:rsidRPr="004B771C">
        <w:rPr>
          <w:lang w:val="en-US"/>
        </w:rPr>
        <w:t xml:space="preserve"> şi de la alte bănci.</w:t>
      </w:r>
    </w:p>
    <w:p w:rsidR="002148C6" w:rsidRPr="00363EA5" w:rsidRDefault="002148C6" w:rsidP="00A61956">
      <w:pPr>
        <w:pStyle w:val="NormalWeb"/>
        <w:rPr>
          <w:lang w:val="en-US"/>
        </w:rPr>
      </w:pPr>
      <w:r w:rsidRPr="004B771C">
        <w:rPr>
          <w:lang w:val="en-US"/>
        </w:rPr>
        <w:t>Conturile din grupele de conturi 2060 şi 2330.</w:t>
      </w:r>
    </w:p>
    <w:p w:rsidR="002148C6" w:rsidRPr="00363EA5" w:rsidRDefault="002148C6" w:rsidP="00A61956">
      <w:pPr>
        <w:pStyle w:val="NormalWeb"/>
        <w:rPr>
          <w:lang w:val="en-US"/>
        </w:rPr>
      </w:pPr>
      <w:r w:rsidRPr="00363EA5">
        <w:rPr>
          <w:b/>
          <w:bCs/>
          <w:lang w:val="en-US"/>
        </w:rPr>
        <w:t xml:space="preserve">17. </w:t>
      </w:r>
      <w:r w:rsidRPr="00363EA5">
        <w:rPr>
          <w:lang w:val="en-US"/>
        </w:rPr>
        <w:t>În rîndul</w:t>
      </w:r>
      <w:r w:rsidRPr="00363EA5">
        <w:rPr>
          <w:b/>
          <w:bCs/>
          <w:lang w:val="en-US"/>
        </w:rPr>
        <w:t xml:space="preserve"> </w:t>
      </w:r>
      <w:r w:rsidRPr="004B771C">
        <w:rPr>
          <w:b/>
          <w:bCs/>
          <w:lang w:val="en-US"/>
        </w:rPr>
        <w:t>8</w:t>
      </w:r>
      <w:r w:rsidRPr="00363EA5">
        <w:rPr>
          <w:b/>
          <w:bCs/>
          <w:lang w:val="en-US"/>
        </w:rPr>
        <w:t>.0 Împrumuturi, altele decît overnight</w:t>
      </w:r>
      <w:r w:rsidRPr="00363EA5">
        <w:rPr>
          <w:lang w:val="en-US"/>
        </w:rPr>
        <w:t xml:space="preserve"> se reflectă împrumuturile pe termen scurt, mediu şi lung de </w:t>
      </w:r>
      <w:smartTag w:uri="urn:schemas-microsoft-com:office:smarttags" w:element="metricconverter">
        <w:smartTagPr>
          <w:attr w:name="ProductID" w:val="13.00 a"/>
        </w:smartTagPr>
        <w:r w:rsidRPr="00363EA5">
          <w:rPr>
            <w:lang w:val="en-US"/>
          </w:rPr>
          <w:t>la BNM</w:t>
        </w:r>
      </w:smartTag>
      <w:r w:rsidRPr="00363EA5">
        <w:rPr>
          <w:lang w:val="en-US"/>
        </w:rPr>
        <w:t xml:space="preserve">, împrumuturile pe termen scurt, mediu şi lung de la alte bănci, împrumuturile obţinute de </w:t>
      </w:r>
      <w:smartTag w:uri="urn:schemas-microsoft-com:office:smarttags" w:element="metricconverter">
        <w:smartTagPr>
          <w:attr w:name="ProductID" w:val="13.00 a"/>
        </w:smartTagPr>
        <w:r w:rsidRPr="00363EA5">
          <w:rPr>
            <w:lang w:val="en-US"/>
          </w:rPr>
          <w:t>la Guvern</w:t>
        </w:r>
      </w:smartTag>
      <w:r w:rsidRPr="00363EA5">
        <w:rPr>
          <w:lang w:val="en-US"/>
        </w:rPr>
        <w:t xml:space="preserve"> cu scop de recreditare, de la organizaţii financiare internaţionale şi de la alţi creditori, valorile mobiliare emise cu rata dobînzii fixă, cambiile, creanţele şi alte valori emise de către bancă, sconturile şi primele la aceste valori mobiliare. </w:t>
      </w:r>
    </w:p>
    <w:p w:rsidR="002148C6" w:rsidRPr="00363EA5" w:rsidRDefault="002148C6" w:rsidP="00A61956">
      <w:pPr>
        <w:pStyle w:val="NormalWeb"/>
        <w:rPr>
          <w:lang w:val="en-US"/>
        </w:rPr>
      </w:pPr>
      <w:r w:rsidRPr="00363EA5">
        <w:rPr>
          <w:lang w:val="en-US"/>
        </w:rPr>
        <w:t xml:space="preserve">Conturile din grupele de conturi 2030, 2090, 2100, 2110, 2120, 2150, 2180. </w:t>
      </w:r>
    </w:p>
    <w:p w:rsidR="002148C6" w:rsidRPr="00363EA5" w:rsidRDefault="002148C6" w:rsidP="00A61956">
      <w:pPr>
        <w:pStyle w:val="NormalWeb"/>
        <w:rPr>
          <w:lang w:val="en-US"/>
        </w:rPr>
      </w:pPr>
      <w:r w:rsidRPr="00363EA5">
        <w:rPr>
          <w:lang w:val="en-US"/>
        </w:rPr>
        <w:t xml:space="preserve">Sumele reflectate în acest rînd nu vor fi diminuate cu sumele respective aferente ajustărilor de valoare, reducerilor pentru pierderi din depreciere (pierderea de valoare) şi suma calculată a reducerilor pentru pierderi la active/angajamente condiţionale calculate în conformitate cu Regulamentul cu privire la clasificarea activelor şi angajamentelor condiţionale. </w:t>
      </w:r>
    </w:p>
    <w:p w:rsidR="002148C6" w:rsidRPr="00E21193" w:rsidRDefault="002148C6" w:rsidP="00A61956">
      <w:pPr>
        <w:pStyle w:val="NormalWeb"/>
        <w:rPr>
          <w:lang w:val="en-US"/>
        </w:rPr>
      </w:pPr>
      <w:r w:rsidRPr="00363EA5">
        <w:rPr>
          <w:b/>
          <w:bCs/>
          <w:lang w:val="en-US"/>
        </w:rPr>
        <w:t xml:space="preserve">19. </w:t>
      </w:r>
      <w:r w:rsidRPr="00363EA5">
        <w:rPr>
          <w:lang w:val="en-US"/>
        </w:rPr>
        <w:t xml:space="preserve">Total active </w:t>
      </w:r>
      <w:r w:rsidRPr="004B771C">
        <w:rPr>
          <w:lang w:val="en-US"/>
        </w:rPr>
        <w:t xml:space="preserve">raportate conform prezentului raport </w:t>
      </w:r>
      <w:r w:rsidRPr="00363EA5">
        <w:rPr>
          <w:lang w:val="en-US"/>
        </w:rPr>
        <w:t xml:space="preserve">la ultima zi lucrătoare a lunii gestionare se consideră date lunare. În cazul în care în bilanţul băncii la ultima zi lucrătoare a lunii gestionare au fost introduse modificări, care au condus la modificarea activelor totale, banca este obligată să introducă modificările respective în raportul privind informaţia operativă zilnică a băncii pentru ziua corespunzătoare şi </w:t>
      </w:r>
      <w:r w:rsidRPr="004B771C">
        <w:rPr>
          <w:lang w:val="en-US"/>
        </w:rPr>
        <w:t xml:space="preserve">în decurs de cel mult 3 zile lucrătoare din data efectuării modificărilor </w:t>
      </w:r>
      <w:r w:rsidRPr="00363EA5">
        <w:rPr>
          <w:lang w:val="en-US"/>
        </w:rPr>
        <w:t>să prezinte la Banca Naţională a Moldovei raportul modificat.</w:t>
      </w:r>
    </w:p>
    <w:p w:rsidR="002148C6" w:rsidRPr="00E21193" w:rsidRDefault="002148C6" w:rsidP="00A61956">
      <w:pPr>
        <w:pStyle w:val="NormalWeb"/>
        <w:rPr>
          <w:lang w:val="en-US"/>
        </w:rPr>
      </w:pPr>
      <w:r w:rsidRPr="004B771C">
        <w:rPr>
          <w:b/>
          <w:bCs/>
          <w:lang w:val="en-US"/>
        </w:rPr>
        <w:t>20.</w:t>
      </w:r>
      <w:r w:rsidRPr="004B771C">
        <w:rPr>
          <w:lang w:val="en-US"/>
        </w:rPr>
        <w:t xml:space="preserve"> Periodicitatea prezentării raportului – zilnic, nu mai tîrziu de ora 13.00 a următoarei zile lucrătoare.</w:t>
      </w:r>
    </w:p>
    <w:p w:rsidR="002148C6" w:rsidRDefault="002148C6">
      <w:pPr>
        <w:rPr>
          <w:lang w:val="en-US"/>
        </w:rPr>
      </w:pPr>
    </w:p>
    <w:p w:rsidR="002148C6" w:rsidRPr="004B771C" w:rsidRDefault="002148C6" w:rsidP="00710AF9">
      <w:pPr>
        <w:ind w:firstLine="540"/>
        <w:jc w:val="both"/>
        <w:rPr>
          <w:i/>
          <w:lang w:val="en-US"/>
        </w:rPr>
      </w:pPr>
      <w:r w:rsidRPr="004B771C">
        <w:rPr>
          <w:rStyle w:val="docblue"/>
          <w:i/>
          <w:color w:val="0000FF"/>
          <w:lang w:val="ro-RO"/>
        </w:rPr>
        <w:t>[A</w:t>
      </w:r>
      <w:r w:rsidRPr="004B771C">
        <w:rPr>
          <w:rStyle w:val="docblue"/>
          <w:i/>
          <w:color w:val="0000FF"/>
          <w:lang w:val="en-US"/>
        </w:rPr>
        <w:t>nexa nr.</w:t>
      </w:r>
      <w:r w:rsidRPr="00E21193">
        <w:rPr>
          <w:rStyle w:val="docblue"/>
          <w:i/>
          <w:color w:val="0000FF"/>
          <w:lang w:val="en-US"/>
        </w:rPr>
        <w:t>8</w:t>
      </w:r>
      <w:r w:rsidRPr="004B771C">
        <w:rPr>
          <w:rStyle w:val="docblue"/>
          <w:i/>
          <w:color w:val="0000FF"/>
          <w:lang w:val="en-US"/>
        </w:rPr>
        <w:t xml:space="preserve"> modificat</w:t>
      </w:r>
      <w:r w:rsidRPr="004B771C">
        <w:rPr>
          <w:rStyle w:val="docblue"/>
          <w:i/>
          <w:color w:val="0000FF"/>
          <w:lang w:val="ro-RO"/>
        </w:rPr>
        <w:t xml:space="preserve">ă prin </w:t>
      </w:r>
      <w:r w:rsidRPr="004B771C">
        <w:rPr>
          <w:rStyle w:val="docblue0"/>
          <w:i/>
          <w:iCs/>
          <w:color w:val="0000FF"/>
          <w:lang w:val="en-US"/>
        </w:rPr>
        <w:t>HBN1 din 16.01.14, MO17-23/24.01.14 art.98; în vigoare 30.03.14</w:t>
      </w:r>
      <w:r w:rsidRPr="004B771C">
        <w:rPr>
          <w:rStyle w:val="docblue"/>
          <w:i/>
          <w:color w:val="0000FF"/>
          <w:lang w:val="ro-RO"/>
        </w:rPr>
        <w:t>]</w:t>
      </w:r>
      <w:r w:rsidRPr="004B771C">
        <w:rPr>
          <w:i/>
          <w:lang w:val="en-US"/>
        </w:rPr>
        <w:t> </w:t>
      </w:r>
    </w:p>
    <w:p w:rsidR="002148C6" w:rsidRPr="00363EA5" w:rsidRDefault="002148C6">
      <w:pPr>
        <w:rPr>
          <w:lang w:val="en-US"/>
        </w:rPr>
      </w:pPr>
    </w:p>
    <w:sectPr w:rsidR="002148C6" w:rsidRPr="00363EA5" w:rsidSect="00A61956">
      <w:pgSz w:w="11906" w:h="16838"/>
      <w:pgMar w:top="899"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CC0C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350B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4A477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74C1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C044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6EAA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BAF3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822C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0EA2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A042E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EA5"/>
    <w:rsid w:val="0001378D"/>
    <w:rsid w:val="002148C6"/>
    <w:rsid w:val="00254819"/>
    <w:rsid w:val="00363EA5"/>
    <w:rsid w:val="00480ECD"/>
    <w:rsid w:val="004B771C"/>
    <w:rsid w:val="00552BC1"/>
    <w:rsid w:val="006A1E9A"/>
    <w:rsid w:val="00710AF9"/>
    <w:rsid w:val="00734A3C"/>
    <w:rsid w:val="007E3CE2"/>
    <w:rsid w:val="00856B03"/>
    <w:rsid w:val="00A61956"/>
    <w:rsid w:val="00CA47CC"/>
    <w:rsid w:val="00E21193"/>
    <w:rsid w:val="00F815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A5"/>
    <w:rPr>
      <w:rFonts w:ascii="Times New Roman" w:eastAsia="Times New Roman" w:hAnsi="Times New Roman"/>
      <w:sz w:val="24"/>
      <w:szCs w:val="24"/>
    </w:rPr>
  </w:style>
  <w:style w:type="paragraph" w:styleId="Heading2">
    <w:name w:val="heading 2"/>
    <w:basedOn w:val="Normal"/>
    <w:next w:val="Normal"/>
    <w:link w:val="Heading2Char"/>
    <w:uiPriority w:val="99"/>
    <w:qFormat/>
    <w:rsid w:val="004B771C"/>
    <w:pPr>
      <w:keepNext/>
      <w:spacing w:before="240" w:after="60"/>
      <w:outlineLvl w:val="1"/>
    </w:pPr>
    <w:rPr>
      <w:rFonts w:ascii="Arial" w:hAnsi="Arial" w:cs="Arial"/>
      <w:b/>
      <w:bCs/>
      <w:i/>
      <w:iCs/>
      <w:sz w:val="28"/>
      <w:szCs w:val="28"/>
      <w:lang w:val="ro-MO" w:eastAsia="en-US"/>
    </w:rPr>
  </w:style>
  <w:style w:type="paragraph" w:styleId="Heading3">
    <w:name w:val="heading 3"/>
    <w:basedOn w:val="Normal"/>
    <w:next w:val="Normal"/>
    <w:link w:val="Heading3Char"/>
    <w:uiPriority w:val="99"/>
    <w:qFormat/>
    <w:rsid w:val="004B771C"/>
    <w:pPr>
      <w:keepNext/>
      <w:spacing w:before="240" w:after="60"/>
      <w:outlineLvl w:val="2"/>
    </w:pPr>
    <w:rPr>
      <w:rFonts w:ascii="Arial" w:hAnsi="Arial" w:cs="Arial"/>
      <w:b/>
      <w:bCs/>
      <w:sz w:val="26"/>
      <w:szCs w:val="26"/>
      <w:lang w:val="ro-M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B771C"/>
    <w:rPr>
      <w:rFonts w:ascii="Arial" w:hAnsi="Arial" w:cs="Arial"/>
      <w:b/>
      <w:bCs/>
      <w:i/>
      <w:iCs/>
      <w:sz w:val="28"/>
      <w:szCs w:val="28"/>
      <w:lang w:val="ro-MO"/>
    </w:rPr>
  </w:style>
  <w:style w:type="character" w:customStyle="1" w:styleId="Heading3Char">
    <w:name w:val="Heading 3 Char"/>
    <w:basedOn w:val="DefaultParagraphFont"/>
    <w:link w:val="Heading3"/>
    <w:uiPriority w:val="99"/>
    <w:locked/>
    <w:rsid w:val="004B771C"/>
    <w:rPr>
      <w:rFonts w:ascii="Arial" w:hAnsi="Arial" w:cs="Arial"/>
      <w:b/>
      <w:bCs/>
      <w:sz w:val="26"/>
      <w:szCs w:val="26"/>
      <w:lang w:val="ro-MO"/>
    </w:rPr>
  </w:style>
  <w:style w:type="paragraph" w:customStyle="1" w:styleId="cn">
    <w:name w:val="cn"/>
    <w:basedOn w:val="Normal"/>
    <w:uiPriority w:val="99"/>
    <w:rsid w:val="00363EA5"/>
    <w:pPr>
      <w:jc w:val="center"/>
    </w:pPr>
  </w:style>
  <w:style w:type="paragraph" w:styleId="NormalWeb">
    <w:name w:val="Normal (Web)"/>
    <w:basedOn w:val="Normal"/>
    <w:uiPriority w:val="99"/>
    <w:rsid w:val="00363EA5"/>
    <w:pPr>
      <w:ind w:firstLine="567"/>
      <w:jc w:val="both"/>
    </w:pPr>
  </w:style>
  <w:style w:type="paragraph" w:customStyle="1" w:styleId="cp">
    <w:name w:val="cp"/>
    <w:basedOn w:val="Normal"/>
    <w:uiPriority w:val="99"/>
    <w:rsid w:val="00363EA5"/>
    <w:pPr>
      <w:jc w:val="center"/>
    </w:pPr>
    <w:rPr>
      <w:b/>
      <w:bCs/>
    </w:rPr>
  </w:style>
  <w:style w:type="paragraph" w:customStyle="1" w:styleId="rg">
    <w:name w:val="rg"/>
    <w:basedOn w:val="Normal"/>
    <w:uiPriority w:val="99"/>
    <w:rsid w:val="00363EA5"/>
    <w:pPr>
      <w:jc w:val="right"/>
    </w:pPr>
  </w:style>
  <w:style w:type="paragraph" w:customStyle="1" w:styleId="lf">
    <w:name w:val="lf"/>
    <w:basedOn w:val="Normal"/>
    <w:uiPriority w:val="99"/>
    <w:rsid w:val="00363EA5"/>
  </w:style>
  <w:style w:type="paragraph" w:customStyle="1" w:styleId="cb">
    <w:name w:val="cb"/>
    <w:basedOn w:val="Normal"/>
    <w:uiPriority w:val="99"/>
    <w:rsid w:val="00363EA5"/>
    <w:pPr>
      <w:jc w:val="center"/>
    </w:pPr>
    <w:rPr>
      <w:b/>
      <w:bCs/>
    </w:rPr>
  </w:style>
  <w:style w:type="character" w:customStyle="1" w:styleId="docblue">
    <w:name w:val="docblue"/>
    <w:basedOn w:val="DefaultParagraphFont"/>
    <w:uiPriority w:val="99"/>
    <w:rsid w:val="004B771C"/>
    <w:rPr>
      <w:rFonts w:cs="Times New Roman"/>
    </w:rPr>
  </w:style>
  <w:style w:type="character" w:customStyle="1" w:styleId="docblue0">
    <w:name w:val="doc_blue"/>
    <w:basedOn w:val="DefaultParagraphFont"/>
    <w:uiPriority w:val="99"/>
    <w:rsid w:val="004B771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1332</Words>
  <Characters>7596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User</cp:lastModifiedBy>
  <cp:revision>8</cp:revision>
  <dcterms:created xsi:type="dcterms:W3CDTF">2014-02-04T10:47:00Z</dcterms:created>
  <dcterms:modified xsi:type="dcterms:W3CDTF">2014-02-20T12:39:00Z</dcterms:modified>
</cp:coreProperties>
</file>