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B" w:rsidRPr="00856B03" w:rsidRDefault="006E25EB" w:rsidP="006E25EB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 w:rsidRPr="004856A4">
        <w:rPr>
          <w:bCs/>
          <w:color w:val="000000"/>
        </w:rPr>
        <w:t>„</w:t>
      </w:r>
      <w:r w:rsidRPr="00856B03">
        <w:rPr>
          <w:b/>
          <w:bCs/>
          <w:color w:val="000000"/>
          <w:sz w:val="20"/>
          <w:szCs w:val="20"/>
        </w:rPr>
        <w:t>ORD 0313</w:t>
      </w:r>
    </w:p>
    <w:p w:rsidR="006E25EB" w:rsidRPr="00856B03" w:rsidRDefault="006E25EB" w:rsidP="006E25EB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 w:rsidRPr="00856B03">
        <w:rPr>
          <w:b/>
          <w:bCs/>
          <w:color w:val="000000"/>
          <w:sz w:val="20"/>
          <w:szCs w:val="20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6E25EB" w:rsidRPr="00856B03" w:rsidTr="000534CD">
        <w:tc>
          <w:tcPr>
            <w:tcW w:w="1368" w:type="dxa"/>
            <w:shd w:val="clear" w:color="auto" w:fill="auto"/>
          </w:tcPr>
          <w:p w:rsidR="006E25EB" w:rsidRPr="00856B03" w:rsidRDefault="006E25EB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6E25EB" w:rsidRPr="00856B03" w:rsidRDefault="006E25EB" w:rsidP="006E25EB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6E25EB" w:rsidRPr="00856B03" w:rsidRDefault="006E25EB" w:rsidP="006E25EB">
      <w:pPr>
        <w:jc w:val="center"/>
        <w:rPr>
          <w:b/>
          <w:bCs/>
        </w:rPr>
      </w:pPr>
      <w:r w:rsidRPr="00856B03">
        <w:rPr>
          <w:b/>
        </w:rPr>
        <w:t xml:space="preserve">ORD 3.13 </w:t>
      </w:r>
      <w:r w:rsidRPr="00856B03">
        <w:rPr>
          <w:b/>
          <w:bCs/>
        </w:rPr>
        <w:t xml:space="preserve"> Lichiditatea pe termen lung (principiul I)</w:t>
      </w:r>
    </w:p>
    <w:p w:rsidR="006E25EB" w:rsidRPr="00856B03" w:rsidRDefault="006E25EB" w:rsidP="006E25EB">
      <w:pPr>
        <w:jc w:val="center"/>
        <w:rPr>
          <w:bCs/>
        </w:rPr>
      </w:pPr>
      <w:r w:rsidRPr="00856B03">
        <w:rPr>
          <w:bCs/>
        </w:rPr>
        <w:t>la situaţia din ____________ anul 20_</w:t>
      </w:r>
    </w:p>
    <w:p w:rsidR="006E25EB" w:rsidRPr="00856B03" w:rsidRDefault="006E25EB" w:rsidP="006E25EB">
      <w:pPr>
        <w:jc w:val="right"/>
        <w:rPr>
          <w:sz w:val="20"/>
          <w:szCs w:val="20"/>
        </w:rPr>
      </w:pPr>
      <w:r w:rsidRPr="00856B03">
        <w:rPr>
          <w:sz w:val="20"/>
          <w:szCs w:val="20"/>
        </w:rPr>
        <w:t xml:space="preserve">(001-lei)  </w:t>
      </w:r>
    </w:p>
    <w:tbl>
      <w:tblPr>
        <w:tblW w:w="9582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873"/>
        <w:gridCol w:w="683"/>
        <w:gridCol w:w="6660"/>
        <w:gridCol w:w="1366"/>
      </w:tblGrid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Nr.</w:t>
            </w:r>
          </w:p>
          <w:p w:rsidR="006E25EB" w:rsidRPr="00856B03" w:rsidRDefault="006E25EB" w:rsidP="000534CD">
            <w:pPr>
              <w:ind w:left="-171" w:right="-70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Compar-timen</w:t>
            </w:r>
            <w:r w:rsidRPr="00856B03">
              <w:rPr>
                <w:b/>
                <w:sz w:val="20"/>
                <w:szCs w:val="20"/>
              </w:rPr>
              <w:sym w:font="Playbill" w:char="00AD"/>
            </w:r>
          </w:p>
          <w:p w:rsidR="006E25EB" w:rsidRPr="00856B03" w:rsidRDefault="006E25EB" w:rsidP="000534CD">
            <w:pPr>
              <w:ind w:hanging="85"/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tului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Nr.</w:t>
            </w:r>
          </w:p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d/o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</w:p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Denumirea indicatorilor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</w:p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Suma</w:t>
            </w: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bCs/>
                <w:sz w:val="20"/>
                <w:szCs w:val="20"/>
              </w:rPr>
            </w:pPr>
            <w:r w:rsidRPr="00856B03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 xml:space="preserve">Active cu </w:t>
            </w:r>
            <w:r w:rsidRPr="00856B03">
              <w:rPr>
                <w:b/>
                <w:sz w:val="20"/>
                <w:szCs w:val="20"/>
              </w:rPr>
              <w:t>termenul rămas pînă la rambursare de 2 ani şi mai mult</w:t>
            </w:r>
            <w:r w:rsidRPr="00856B03">
              <w:rPr>
                <w:b/>
                <w:iCs/>
                <w:sz w:val="20"/>
                <w:szCs w:val="20"/>
              </w:rPr>
              <w:t xml:space="preserve"> (A)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Credite acordate băncilor şi plasări în alte bănci cu termenul rămas până la rambursare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Credite şi plăţi cu avans acordate clienţilor cu termenul rămas pînă la rambursare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Leasing financiar cu termenul rămas pînă la rambursare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Cote de participare în capitalul persoanelor juridice (inclusiv a băncilor) cu termenul rămas pînă la rambursare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Active financiare păstrate pînă la scadenţă cu termenul rămas pînă la scadenţă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Imobilizări corporale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bCs/>
                <w:sz w:val="20"/>
                <w:szCs w:val="20"/>
              </w:rPr>
            </w:pPr>
            <w:r w:rsidRPr="00856B03">
              <w:rPr>
                <w:bCs/>
                <w:sz w:val="20"/>
                <w:szCs w:val="20"/>
              </w:rPr>
              <w:t>Minus mărimea calculată a reducerilor pentru pierderi la active, diferenţele din reevaluare şi amortizarea imobilizărilor corporale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b/>
                <w:iCs/>
                <w:sz w:val="20"/>
                <w:szCs w:val="20"/>
              </w:rPr>
            </w:pPr>
            <w:r w:rsidRPr="00856B03">
              <w:rPr>
                <w:b/>
                <w:iCs/>
                <w:sz w:val="20"/>
                <w:szCs w:val="20"/>
              </w:rPr>
              <w:t>Resurse financiare (P)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Capitalul normativ total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Pasivele obţinute de la bănci şi pasivele obţinute de la clienţi cu termenul rămas pînă la rambursare de 2 ani şi mai mult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50 % ale pasivelor obţinute de la bănci şi ale pasivelor obţinute de la clienţi cu termenul rămas pînă la rambursare de la 1 pînă la 2 ani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10 % ale pasivelor la vedere obţinute de la clienţi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Depozitele de economii ale persoanelor fizice cu termenul rămas până la rambursare 2 ani şi mai mult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60 % ale depozitelor de economii ale persoanelor fizice cu termenul rămas până la rambursare de la 1 până la 2 ani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30 % ale depozitelor de economii ale persoanelor fizice la vedere şi cu termenul rămas până la rambursare mai mic de 1 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Obligaţiuni în circulaţie şi alte valori mobiliare emise de bancă cu termenul rămas până la scadenţă 2 ani şi mai mult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50 % ale obligaţiunilor în circulaţie şi altor valori mobiliare emise de bancă cu termenul rămas până la scadenţă până la 2 ani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 xml:space="preserve">60 % ale rezervelor pentru pensiile lucrătorilor băncii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  <w:tr w:rsidR="006E25EB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b/>
                <w:sz w:val="20"/>
                <w:szCs w:val="20"/>
              </w:rPr>
            </w:pPr>
            <w:r w:rsidRPr="00856B0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</w:rPr>
              <w:t>K</w:t>
            </w:r>
            <w:r w:rsidRPr="00856B03">
              <w:rPr>
                <w:sz w:val="20"/>
                <w:szCs w:val="20"/>
                <w:vertAlign w:val="subscript"/>
              </w:rPr>
              <w:t>PI</w:t>
            </w:r>
            <w:r w:rsidRPr="00856B03">
              <w:rPr>
                <w:sz w:val="20"/>
                <w:szCs w:val="20"/>
              </w:rPr>
              <w:t xml:space="preserve"> = A / P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B" w:rsidRPr="00856B03" w:rsidRDefault="006E25EB" w:rsidP="000534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5EB" w:rsidRPr="00856B03" w:rsidRDefault="006E25EB" w:rsidP="006E25EB">
      <w:pPr>
        <w:ind w:right="567"/>
        <w:rPr>
          <w:sz w:val="22"/>
        </w:rPr>
      </w:pPr>
    </w:p>
    <w:p w:rsidR="006E25EB" w:rsidRPr="00856B03" w:rsidRDefault="006E25EB" w:rsidP="006E25EB">
      <w:pPr>
        <w:rPr>
          <w:sz w:val="20"/>
          <w:szCs w:val="20"/>
        </w:rPr>
      </w:pPr>
      <w:r w:rsidRPr="00856B03">
        <w:rPr>
          <w:sz w:val="20"/>
          <w:szCs w:val="20"/>
        </w:rPr>
        <w:t>Executorul şi numărul de telefon</w:t>
      </w:r>
      <w:r w:rsidRPr="00856B03">
        <w:rPr>
          <w:sz w:val="20"/>
          <w:szCs w:val="20"/>
        </w:rPr>
        <w:tab/>
        <w:t>____________</w:t>
      </w:r>
    </w:p>
    <w:p w:rsidR="006E25EB" w:rsidRPr="00856B03" w:rsidRDefault="006E25EB" w:rsidP="006E25EB">
      <w:pPr>
        <w:rPr>
          <w:sz w:val="20"/>
          <w:szCs w:val="20"/>
        </w:rPr>
      </w:pPr>
    </w:p>
    <w:p w:rsidR="006E25EB" w:rsidRPr="00856B03" w:rsidRDefault="006E25EB" w:rsidP="006E25E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6B03">
        <w:rPr>
          <w:sz w:val="20"/>
          <w:szCs w:val="20"/>
        </w:rPr>
        <w:t>NOTĂ: Raportul este întocmit în conformitate cu Instrucţiunea cu  privire la modul de întocmire şi prezentare de către bănci a rapoartelor în scopuri prudenţiale, HCA BNM nr..279 din 1 decembrie 2011.</w:t>
      </w:r>
      <w:r w:rsidRPr="004856A4">
        <w:t>”;</w:t>
      </w:r>
    </w:p>
    <w:p w:rsidR="00340E55" w:rsidRDefault="00340E55"/>
    <w:sectPr w:rsidR="00340E55" w:rsidSect="003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EB"/>
    <w:rsid w:val="00340E55"/>
    <w:rsid w:val="006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Home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2014-01-27T12:03:00Z</dcterms:created>
  <dcterms:modified xsi:type="dcterms:W3CDTF">2014-01-27T12:03:00Z</dcterms:modified>
</cp:coreProperties>
</file>