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30" w:rsidRPr="009A5651" w:rsidRDefault="00046A30" w:rsidP="00E00674">
      <w:pPr>
        <w:spacing w:after="0" w:line="240" w:lineRule="auto"/>
        <w:jc w:val="right"/>
        <w:rPr>
          <w:rFonts w:ascii="Times New Roman" w:hAnsi="Times New Roman"/>
          <w:sz w:val="24"/>
          <w:szCs w:val="24"/>
          <w:lang w:val="ro-RO"/>
        </w:rPr>
      </w:pPr>
      <w:r w:rsidRPr="009A5651">
        <w:rPr>
          <w:rFonts w:ascii="Times New Roman" w:hAnsi="Times New Roman"/>
          <w:sz w:val="24"/>
          <w:szCs w:val="24"/>
          <w:lang w:val="ro-RO"/>
        </w:rPr>
        <w:t>Anexa nr.2</w:t>
      </w:r>
    </w:p>
    <w:p w:rsidR="00046A30" w:rsidRPr="009A5651" w:rsidRDefault="00046A30" w:rsidP="00E00674">
      <w:pPr>
        <w:spacing w:after="0" w:line="240" w:lineRule="auto"/>
        <w:jc w:val="right"/>
        <w:rPr>
          <w:rFonts w:ascii="Times New Roman" w:hAnsi="Times New Roman"/>
          <w:sz w:val="24"/>
          <w:szCs w:val="24"/>
          <w:lang w:val="ro-RO"/>
        </w:rPr>
      </w:pPr>
      <w:smartTag w:uri="urn:schemas-microsoft-com:office:smarttags" w:element="PersonName">
        <w:smartTagPr>
          <w:attr w:name="ProductID" w:val="la Hotărîrea Guvernului"/>
        </w:smartTagPr>
        <w:r w:rsidRPr="009A5651">
          <w:rPr>
            <w:rFonts w:ascii="Times New Roman" w:hAnsi="Times New Roman"/>
            <w:sz w:val="24"/>
            <w:szCs w:val="24"/>
            <w:lang w:val="ro-RO"/>
          </w:rPr>
          <w:t>la Hotărîrea Guvernului</w:t>
        </w:r>
      </w:smartTag>
      <w:r w:rsidRPr="009A5651">
        <w:rPr>
          <w:rFonts w:ascii="Times New Roman" w:hAnsi="Times New Roman"/>
          <w:sz w:val="24"/>
          <w:szCs w:val="24"/>
          <w:lang w:val="ro-RO"/>
        </w:rPr>
        <w:t xml:space="preserve"> </w:t>
      </w:r>
    </w:p>
    <w:p w:rsidR="00046A30" w:rsidRPr="009A5651" w:rsidRDefault="00046A30" w:rsidP="00E00674">
      <w:pPr>
        <w:spacing w:after="0" w:line="240" w:lineRule="auto"/>
        <w:jc w:val="right"/>
        <w:rPr>
          <w:rFonts w:ascii="Times New Roman" w:hAnsi="Times New Roman"/>
          <w:sz w:val="24"/>
          <w:szCs w:val="24"/>
          <w:lang w:val="ro-RO"/>
        </w:rPr>
      </w:pPr>
      <w:r w:rsidRPr="009A5651">
        <w:rPr>
          <w:rFonts w:ascii="Times New Roman" w:hAnsi="Times New Roman"/>
          <w:sz w:val="24"/>
          <w:szCs w:val="24"/>
          <w:lang w:val="ro-RO"/>
        </w:rPr>
        <w:t>nr.246 din 8 aprilie 2010</w:t>
      </w:r>
    </w:p>
    <w:p w:rsidR="00046A30" w:rsidRPr="009A5651" w:rsidRDefault="00046A30" w:rsidP="00E00674">
      <w:pPr>
        <w:spacing w:after="0" w:line="240" w:lineRule="auto"/>
        <w:ind w:firstLine="567"/>
        <w:jc w:val="both"/>
        <w:rPr>
          <w:rFonts w:ascii="Times New Roman" w:hAnsi="Times New Roman"/>
          <w:sz w:val="24"/>
          <w:szCs w:val="24"/>
          <w:lang w:val="ro-RO"/>
        </w:rPr>
      </w:pPr>
      <w:r w:rsidRPr="009A5651">
        <w:rPr>
          <w:rFonts w:ascii="Times New Roman" w:hAnsi="Times New Roman"/>
          <w:sz w:val="24"/>
          <w:szCs w:val="24"/>
          <w:lang w:val="ro-RO"/>
        </w:rPr>
        <w:t> </w:t>
      </w:r>
    </w:p>
    <w:p w:rsidR="00046A30" w:rsidRPr="009A5651" w:rsidRDefault="00046A30" w:rsidP="00E00674">
      <w:pPr>
        <w:spacing w:after="0" w:line="240" w:lineRule="auto"/>
        <w:jc w:val="center"/>
        <w:rPr>
          <w:rFonts w:ascii="Times New Roman" w:hAnsi="Times New Roman"/>
          <w:b/>
          <w:bCs/>
          <w:sz w:val="24"/>
          <w:szCs w:val="24"/>
          <w:lang w:val="ro-RO"/>
        </w:rPr>
      </w:pPr>
      <w:r w:rsidRPr="009A5651">
        <w:rPr>
          <w:rFonts w:ascii="Times New Roman" w:hAnsi="Times New Roman"/>
          <w:b/>
          <w:bCs/>
          <w:sz w:val="24"/>
          <w:szCs w:val="24"/>
          <w:lang w:val="ro-RO"/>
        </w:rPr>
        <w:t>LISTA</w:t>
      </w:r>
    </w:p>
    <w:p w:rsidR="00046A30" w:rsidRPr="009A5651" w:rsidRDefault="00046A30" w:rsidP="00E00674">
      <w:pPr>
        <w:spacing w:after="0" w:line="240" w:lineRule="auto"/>
        <w:jc w:val="center"/>
        <w:rPr>
          <w:rFonts w:ascii="Times New Roman" w:hAnsi="Times New Roman"/>
          <w:b/>
          <w:bCs/>
          <w:sz w:val="24"/>
          <w:szCs w:val="24"/>
          <w:lang w:val="ro-RO"/>
        </w:rPr>
      </w:pPr>
      <w:r w:rsidRPr="009A5651">
        <w:rPr>
          <w:rFonts w:ascii="Times New Roman" w:hAnsi="Times New Roman"/>
          <w:b/>
          <w:bCs/>
          <w:sz w:val="24"/>
          <w:szCs w:val="24"/>
          <w:lang w:val="ro-RO"/>
        </w:rPr>
        <w:t xml:space="preserve">împrumuturilor şi granturilor acordate Guvernului Republicii Moldova </w:t>
      </w:r>
    </w:p>
    <w:p w:rsidR="00046A30" w:rsidRPr="009A5651" w:rsidRDefault="00046A30" w:rsidP="00E00674">
      <w:pPr>
        <w:spacing w:after="0" w:line="240" w:lineRule="auto"/>
        <w:jc w:val="center"/>
        <w:rPr>
          <w:rFonts w:ascii="Times New Roman" w:hAnsi="Times New Roman"/>
          <w:b/>
          <w:bCs/>
          <w:sz w:val="24"/>
          <w:szCs w:val="24"/>
          <w:lang w:val="ro-RO"/>
        </w:rPr>
      </w:pPr>
      <w:r w:rsidRPr="009A5651">
        <w:rPr>
          <w:rFonts w:ascii="Times New Roman" w:hAnsi="Times New Roman"/>
          <w:b/>
          <w:bCs/>
          <w:sz w:val="24"/>
          <w:szCs w:val="24"/>
          <w:lang w:val="ro-RO"/>
        </w:rPr>
        <w:t>sau acordate cugaranţie de stat, din contul împrumuturilor acordate de organismele financiare internaţionale(inclusiv din cota-parte a Guvernului), din contul granturilor acordate instituţiilor finanţate</w:t>
      </w:r>
    </w:p>
    <w:p w:rsidR="00046A30" w:rsidRPr="009A5651" w:rsidRDefault="00046A30" w:rsidP="00E00674">
      <w:pPr>
        <w:spacing w:after="0" w:line="240" w:lineRule="auto"/>
        <w:jc w:val="center"/>
        <w:rPr>
          <w:rFonts w:ascii="Times New Roman" w:hAnsi="Times New Roman"/>
          <w:b/>
          <w:bCs/>
          <w:sz w:val="24"/>
          <w:szCs w:val="24"/>
          <w:lang w:val="ro-RO"/>
        </w:rPr>
      </w:pPr>
      <w:r w:rsidRPr="009A5651">
        <w:rPr>
          <w:rFonts w:ascii="Times New Roman" w:hAnsi="Times New Roman"/>
          <w:b/>
          <w:bCs/>
          <w:sz w:val="24"/>
          <w:szCs w:val="24"/>
          <w:lang w:val="ro-RO"/>
        </w:rPr>
        <w:t>de la buget, destinate realizării proiectelor de asistenţă investiţională, din contul căroravor fi importate sau achiziţionate mărfuri (lucrări, servicii) scutite de accize,plata taxei vamale, taxei pentru efectuarea procedurilor vamale,impozitate la cota zero a TVA</w:t>
      </w:r>
    </w:p>
    <w:p w:rsidR="00046A30" w:rsidRDefault="00046A30" w:rsidP="00E00674">
      <w:pPr>
        <w:spacing w:after="0" w:line="240" w:lineRule="auto"/>
        <w:jc w:val="center"/>
        <w:rPr>
          <w:rFonts w:ascii="Times New Roman" w:hAnsi="Times New Roman"/>
          <w:b/>
          <w:bCs/>
          <w:sz w:val="28"/>
          <w:szCs w:val="28"/>
          <w:lang w:val="ro-RO"/>
        </w:rPr>
      </w:pPr>
    </w:p>
    <w:tbl>
      <w:tblPr>
        <w:tblW w:w="4984" w:type="pct"/>
        <w:jc w:val="center"/>
        <w:tblLook w:val="00A0"/>
      </w:tblPr>
      <w:tblGrid>
        <w:gridCol w:w="397"/>
        <w:gridCol w:w="2627"/>
        <w:gridCol w:w="4807"/>
        <w:gridCol w:w="1584"/>
      </w:tblGrid>
      <w:tr w:rsidR="00046A30" w:rsidRPr="00200D31" w:rsidTr="00767200">
        <w:trPr>
          <w:jc w:val="center"/>
        </w:trPr>
        <w:tc>
          <w:tcPr>
            <w:tcW w:w="21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46A30" w:rsidRPr="00200D31" w:rsidRDefault="00046A30" w:rsidP="00767200">
            <w:pPr>
              <w:spacing w:after="0" w:line="240" w:lineRule="auto"/>
              <w:jc w:val="center"/>
              <w:rPr>
                <w:rFonts w:ascii="Times New Roman" w:hAnsi="Times New Roman"/>
                <w:b/>
                <w:bCs/>
                <w:sz w:val="20"/>
                <w:szCs w:val="20"/>
                <w:lang w:val="ro-RO"/>
              </w:rPr>
            </w:pPr>
            <w:r w:rsidRPr="00200D31">
              <w:rPr>
                <w:rFonts w:ascii="Times New Roman" w:hAnsi="Times New Roman"/>
                <w:b/>
                <w:bCs/>
                <w:sz w:val="20"/>
                <w:szCs w:val="20"/>
                <w:lang w:val="ro-RO"/>
              </w:rPr>
              <w:t>Nr. d/o</w:t>
            </w:r>
          </w:p>
        </w:tc>
        <w:tc>
          <w:tcPr>
            <w:tcW w:w="13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46A30" w:rsidRPr="00200D31" w:rsidRDefault="00046A30" w:rsidP="00767200">
            <w:pPr>
              <w:spacing w:after="0" w:line="240" w:lineRule="auto"/>
              <w:jc w:val="center"/>
              <w:rPr>
                <w:rFonts w:ascii="Times New Roman" w:hAnsi="Times New Roman"/>
                <w:b/>
                <w:bCs/>
                <w:sz w:val="20"/>
                <w:szCs w:val="20"/>
                <w:lang w:val="ro-RO"/>
              </w:rPr>
            </w:pPr>
            <w:r w:rsidRPr="00200D31">
              <w:rPr>
                <w:rFonts w:ascii="Times New Roman" w:hAnsi="Times New Roman"/>
                <w:b/>
                <w:bCs/>
                <w:sz w:val="20"/>
                <w:szCs w:val="20"/>
                <w:lang w:val="ro-RO"/>
              </w:rPr>
              <w:t>Donatorul/ proiectul/ instituţia beneficiară</w:t>
            </w:r>
          </w:p>
        </w:tc>
        <w:tc>
          <w:tcPr>
            <w:tcW w:w="255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46A30" w:rsidRPr="00200D31" w:rsidRDefault="00046A30" w:rsidP="00767200">
            <w:pPr>
              <w:spacing w:after="0" w:line="240" w:lineRule="auto"/>
              <w:jc w:val="center"/>
              <w:rPr>
                <w:rFonts w:ascii="Times New Roman" w:hAnsi="Times New Roman"/>
                <w:b/>
                <w:bCs/>
                <w:sz w:val="20"/>
                <w:szCs w:val="20"/>
                <w:lang w:val="ro-RO"/>
              </w:rPr>
            </w:pPr>
            <w:r w:rsidRPr="00200D31">
              <w:rPr>
                <w:rFonts w:ascii="Times New Roman" w:hAnsi="Times New Roman"/>
                <w:b/>
                <w:bCs/>
                <w:sz w:val="20"/>
                <w:szCs w:val="20"/>
                <w:lang w:val="ro-RO"/>
              </w:rPr>
              <w:t>Baza legală</w:t>
            </w:r>
          </w:p>
        </w:tc>
        <w:tc>
          <w:tcPr>
            <w:tcW w:w="8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046A30" w:rsidRPr="00200D31" w:rsidRDefault="00046A30" w:rsidP="00767200">
            <w:pPr>
              <w:spacing w:after="0" w:line="240" w:lineRule="auto"/>
              <w:jc w:val="center"/>
              <w:rPr>
                <w:rFonts w:ascii="Times New Roman" w:hAnsi="Times New Roman"/>
                <w:b/>
                <w:bCs/>
                <w:sz w:val="20"/>
                <w:szCs w:val="20"/>
                <w:lang w:val="ro-RO"/>
              </w:rPr>
            </w:pPr>
            <w:r w:rsidRPr="00200D31">
              <w:rPr>
                <w:rFonts w:ascii="Times New Roman" w:hAnsi="Times New Roman"/>
                <w:b/>
                <w:bCs/>
                <w:sz w:val="20"/>
                <w:szCs w:val="20"/>
                <w:lang w:val="ro-RO"/>
              </w:rPr>
              <w:t>Componentele scutite</w:t>
            </w:r>
          </w:p>
        </w:tc>
      </w:tr>
    </w:tbl>
    <w:p w:rsidR="00046A30" w:rsidRPr="00B50BE2" w:rsidRDefault="00046A30" w:rsidP="00E00674">
      <w:pPr>
        <w:spacing w:after="0" w:line="240" w:lineRule="auto"/>
        <w:rPr>
          <w:sz w:val="2"/>
          <w:szCs w:val="2"/>
        </w:rPr>
      </w:pPr>
    </w:p>
    <w:tbl>
      <w:tblPr>
        <w:tblW w:w="4984" w:type="pct"/>
        <w:jc w:val="center"/>
        <w:tblLook w:val="00A0"/>
      </w:tblPr>
      <w:tblGrid>
        <w:gridCol w:w="15"/>
        <w:gridCol w:w="382"/>
        <w:gridCol w:w="8"/>
        <w:gridCol w:w="2619"/>
        <w:gridCol w:w="21"/>
        <w:gridCol w:w="4787"/>
        <w:gridCol w:w="13"/>
        <w:gridCol w:w="1570"/>
      </w:tblGrid>
      <w:tr w:rsidR="00046A30" w:rsidRPr="00200D31" w:rsidTr="00767200">
        <w:trPr>
          <w:tblHeade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b/>
                <w:bCs/>
                <w:sz w:val="20"/>
                <w:szCs w:val="20"/>
                <w:lang w:val="ro-RO"/>
              </w:rPr>
            </w:pPr>
            <w:r w:rsidRPr="00200D31">
              <w:rPr>
                <w:rFonts w:ascii="Times New Roman" w:hAnsi="Times New Roman"/>
                <w:b/>
                <w:bCs/>
                <w:sz w:val="20"/>
                <w:szCs w:val="20"/>
                <w:lang w:val="ro-RO"/>
              </w:rPr>
              <w:t>1</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b/>
                <w:bCs/>
                <w:sz w:val="20"/>
                <w:szCs w:val="20"/>
                <w:lang w:val="ro-RO"/>
              </w:rPr>
            </w:pPr>
            <w:r w:rsidRPr="00200D31">
              <w:rPr>
                <w:rFonts w:ascii="Times New Roman" w:hAnsi="Times New Roman"/>
                <w:b/>
                <w:bCs/>
                <w:sz w:val="20"/>
                <w:szCs w:val="20"/>
                <w:lang w:val="ro-RO"/>
              </w:rPr>
              <w:t>2</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b/>
                <w:bCs/>
                <w:sz w:val="20"/>
                <w:szCs w:val="20"/>
                <w:lang w:val="ro-RO"/>
              </w:rPr>
            </w:pPr>
            <w:r w:rsidRPr="00200D31">
              <w:rPr>
                <w:rFonts w:ascii="Times New Roman" w:hAnsi="Times New Roman"/>
                <w:b/>
                <w:bCs/>
                <w:sz w:val="20"/>
                <w:szCs w:val="20"/>
                <w:lang w:val="ro-RO"/>
              </w:rPr>
              <w:t>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b/>
                <w:bCs/>
                <w:sz w:val="20"/>
                <w:szCs w:val="20"/>
                <w:lang w:val="ro-RO"/>
              </w:rPr>
            </w:pPr>
            <w:r w:rsidRPr="00200D31">
              <w:rPr>
                <w:rFonts w:ascii="Times New Roman" w:hAnsi="Times New Roman"/>
                <w:b/>
                <w:bCs/>
                <w:sz w:val="20"/>
                <w:szCs w:val="20"/>
                <w:lang w:val="ro-RO"/>
              </w:rPr>
              <w:t>4</w:t>
            </w:r>
          </w:p>
        </w:tc>
      </w:tr>
      <w:tr w:rsidR="00046A30" w:rsidRPr="00200D31" w:rsidTr="00767200">
        <w:trPr>
          <w:trHeight w:val="791"/>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1.</w:t>
            </w:r>
          </w:p>
        </w:tc>
        <w:tc>
          <w:tcPr>
            <w:tcW w:w="1395"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Unitatea consolidată pentru implementarea şi monitorizarea proiectelor în domeniul agriculturii</w:t>
            </w:r>
          </w:p>
        </w:tc>
        <w:tc>
          <w:tcPr>
            <w:tcW w:w="2553"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trike/>
                <w:color w:val="FF0000"/>
                <w:sz w:val="20"/>
                <w:szCs w:val="20"/>
                <w:lang w:val="ro-RO"/>
              </w:rPr>
            </w:pPr>
            <w:r w:rsidRPr="00200D31">
              <w:rPr>
                <w:rFonts w:ascii="Times New Roman" w:hAnsi="Times New Roman"/>
                <w:sz w:val="20"/>
                <w:szCs w:val="20"/>
                <w:lang w:val="ro-RO"/>
              </w:rPr>
              <w:t>Grantul TF 012145</w:t>
            </w:r>
          </w:p>
        </w:tc>
        <w:tc>
          <w:tcPr>
            <w:tcW w:w="841"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Agricultura Competitivă”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finanţare dintre Republica Moldova şi Asociaţia Internaţională pentru Dezvoltare în vederea realizării Proiectului „Agricultura Competitivă”, nr.5095-MD, Legea nr.176 din 11 iulie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nr.TF 014946</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“Suport de urgenţă pentru agricultura Moldovei”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finanţare dintre Republica Moldova şi Asociaţia Internaţională de Dezvoltare în vederea realizării proiectului „Suport de urgenţă pentru agricultura Moldovei”, semnat la  29 mai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2.</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Fondul de investiţii sociale din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dintre Republica Moldova şi Asociaţia Internaţională pentru Dezvoltare cu privire la finanţarea suplimentară a proiectului II al Fondului de Investiţii Sociale nr.4555-MD, Legea nr.21-XVII din 12 iunie 2009</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left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nr.TF 014855</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 xml:space="preserve">Integral </w:t>
            </w:r>
          </w:p>
        </w:tc>
      </w:tr>
      <w:tr w:rsidR="00046A30" w:rsidRPr="00200D31" w:rsidTr="00767200">
        <w:trPr>
          <w:jc w:val="center"/>
        </w:trPr>
        <w:tc>
          <w:tcPr>
            <w:tcW w:w="0" w:type="auto"/>
            <w:gridSpan w:val="2"/>
            <w:vMerge/>
            <w:tcBorders>
              <w:left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Finanţare şi de proiect între KfW, Republica Moldova şi Fondul de Investiţii Sociale din 15 decembrie,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left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II al Fondului de Investiţii Sociale dintre Republica Moldova şi Asociaţia Internaţională pentru Dezvoltare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cu privire la finanţarea suplimentară a Acordului de credit pentru dezvoltare, nr.4682-MD din 22 februarie 2010, Legea nr.58 din 25 martie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left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left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Contract de grant – Acţiuni externe ale Uniunii Europene – 2010/219-911, semnat la 14 decembrie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left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left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 nr.TF 011810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 xml:space="preserve">Integral </w:t>
            </w:r>
          </w:p>
        </w:tc>
      </w:tr>
      <w:tr w:rsidR="00046A30" w:rsidRPr="00200D31" w:rsidTr="00767200">
        <w:trPr>
          <w:jc w:val="center"/>
        </w:trPr>
        <w:tc>
          <w:tcPr>
            <w:tcW w:w="0" w:type="auto"/>
            <w:gridSpan w:val="2"/>
            <w:vMerge/>
            <w:tcBorders>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9A5651" w:rsidRDefault="00046A30" w:rsidP="00767200">
            <w:pPr>
              <w:spacing w:after="0" w:line="240" w:lineRule="auto"/>
              <w:rPr>
                <w:rFonts w:ascii="Times New Roman" w:hAnsi="Times New Roman"/>
                <w:sz w:val="20"/>
                <w:szCs w:val="20"/>
                <w:lang w:val="ro-RO"/>
              </w:rPr>
            </w:pPr>
            <w:r w:rsidRPr="009A5651">
              <w:rPr>
                <w:rFonts w:ascii="Times New Roman" w:hAnsi="Times New Roman"/>
                <w:sz w:val="20"/>
                <w:szCs w:val="20"/>
                <w:lang w:val="ro-RO"/>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9A5651" w:rsidTr="00767200">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3.</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Unitatea de implementare a proiectelor de aprovizionare cu apă şi canalizare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CE/FEN/ Proiectul dezvoltării regionale şi protecţiei sociale din Moldova, partea D</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Contractul nr.1/3029-4315 din 2 aprilie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4.</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Echipa de management al proiectelor (EMP) în domeniul poluanţilor organici persistenţi (POP), Serviciul Hidrometeorologic de Stat, Serviciul Protecţiei Civile şi Situaţiilor Excepţionale al Ministerului Afacerilor Interne, Ministerul Agriculturii şi Industriei Alimentare, Proiectul „Managementul dezastrelor şi riscurilor climatice în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finanţare dintre Republica Moldova şi Asociaţia Internaţională pentru Dezvoltare în vederea realizării</w:t>
            </w:r>
            <w:r w:rsidRPr="00200D31">
              <w:rPr>
                <w:rFonts w:ascii="Times New Roman" w:hAnsi="Times New Roman"/>
                <w:sz w:val="20"/>
                <w:szCs w:val="20"/>
                <w:lang w:val="ro-RO"/>
              </w:rPr>
              <w:br/>
              <w:t>Proiectului „Managementul dezastrelor şi riscurile climatice în Moldova”, creditul nr.4794 MD, Legea nr.224 din 17 septembrie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5.</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Unitatea consolidată de implementare a proiectelor de mediu</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nr.TF 099602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6.</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Ministerul Mediului </w:t>
            </w:r>
            <w:r w:rsidRPr="00200D31">
              <w:rPr>
                <w:rFonts w:ascii="Times New Roman" w:hAnsi="Times New Roman"/>
                <w:sz w:val="20"/>
                <w:szCs w:val="20"/>
                <w:lang w:val="ro-RO"/>
              </w:rPr>
              <w:br/>
              <w:t>“Programul de dezvoltare a Serviciilor de Aprovizionare cu Apă Potabilă”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Acordul de împrumut dintre Republica Moldova şi Banca Europeană pentru Reconstrucţie şi Dezvoltare (Programul de Dezvoltare a Serviciilor de Aprovizionare cu Apă Potabilă), semnat </w:t>
            </w:r>
            <w:smartTag w:uri="urn:schemas-microsoft-com:office:smarttags" w:element="PersonName">
              <w:smartTagPr>
                <w:attr w:name="ProductID" w:val="la Chişinău"/>
              </w:smartTagPr>
              <w:r w:rsidRPr="00200D31">
                <w:rPr>
                  <w:rFonts w:ascii="Times New Roman" w:hAnsi="Times New Roman"/>
                  <w:sz w:val="20"/>
                  <w:szCs w:val="20"/>
                  <w:lang w:val="ro-RO"/>
                </w:rPr>
                <w:t>la Chişinău</w:t>
              </w:r>
            </w:smartTag>
            <w:r w:rsidRPr="00200D31">
              <w:rPr>
                <w:rFonts w:ascii="Times New Roman" w:hAnsi="Times New Roman"/>
                <w:sz w:val="20"/>
                <w:szCs w:val="20"/>
                <w:lang w:val="ro-RO"/>
              </w:rPr>
              <w:t xml:space="preserve"> la 16 iunie 2010, Legea nr.203 din 16 iulie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ENPI/2010/019549-MD-04</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Programul de dezvoltare a reţelei de regii apă-canal în Republica Moldova (contribuţia NIF)</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Contractul de finanţare între Republica Moldova şi Banca Europeană de Investiţii pentru realizarea Programului de dezvoltare a serviciilor de aprovizionare cu apă potabilă, semnat la 16 septembrie 2010, ratificat prin Legea nr.13 </w:t>
            </w:r>
          </w:p>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din 11 februarie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7.</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Agenţia “Apele Moldovei” </w:t>
            </w:r>
            <w:r w:rsidRPr="00200D31">
              <w:rPr>
                <w:rFonts w:ascii="Times New Roman" w:hAnsi="Times New Roman"/>
                <w:sz w:val="20"/>
                <w:szCs w:val="20"/>
                <w:lang w:val="ro-RO"/>
              </w:rPr>
              <w:br/>
              <w:t>Proiectul de îmbunătăţire a sistemelor de aprovizionare cu apă în şase localităţi ale Republicii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Acordul de credit dintre Republica Moldova şi Fondul Kuweitian de Dezvoltare Economică Arabă </w:t>
            </w:r>
            <w:smartTag w:uri="urn:schemas-microsoft-com:office:smarttags" w:element="PersonName">
              <w:smartTagPr>
                <w:attr w:name="ProductID" w:val="la Proiectul"/>
              </w:smartTagPr>
              <w:r w:rsidRPr="00200D31">
                <w:rPr>
                  <w:rFonts w:ascii="Times New Roman" w:hAnsi="Times New Roman"/>
                  <w:sz w:val="20"/>
                  <w:szCs w:val="20"/>
                  <w:lang w:val="ro-RO"/>
                </w:rPr>
                <w:t>la Proiectul</w:t>
              </w:r>
            </w:smartTag>
            <w:r w:rsidRPr="00200D31">
              <w:rPr>
                <w:rFonts w:ascii="Times New Roman" w:hAnsi="Times New Roman"/>
                <w:sz w:val="20"/>
                <w:szCs w:val="20"/>
                <w:lang w:val="ro-RO"/>
              </w:rPr>
              <w:t xml:space="preserve"> de îmbunătăţire a sistemelor de aprovizionare cu apă în şase localităţi ale Republicii Moldova, Legea nr.381-XV din 18 noiembrie 2004</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8.</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Ministerul Finanţelor </w:t>
            </w:r>
            <w:r w:rsidRPr="00200D31">
              <w:rPr>
                <w:rFonts w:ascii="Times New Roman" w:hAnsi="Times New Roman"/>
                <w:sz w:val="20"/>
                <w:szCs w:val="20"/>
                <w:lang w:val="ro-RO"/>
              </w:rPr>
              <w:br/>
              <w:t>Proiectul “Managementul finanţelor publice”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Acordului de Credit pentru Dezvoltare (proiectul „Managementul finanţelor publice”) dintre Republica Moldova şi Asociaţia Internaţională pentru Dezvoltare, nr.4082-MD, Legea nr.293-XVl din 16 noiembrie 2005</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Agenţia Achiziţii Publice </w:t>
            </w:r>
            <w:r w:rsidRPr="00200D31">
              <w:rPr>
                <w:rFonts w:ascii="Times New Roman" w:hAnsi="Times New Roman"/>
                <w:sz w:val="20"/>
                <w:szCs w:val="20"/>
                <w:lang w:val="ro-RO"/>
              </w:rPr>
              <w:br/>
              <w:t>Proiectul “Consolidarea sistemului de achiziţii publice”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KGS10/MD/3/1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TF 012004</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9.</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Ministerul Economiei</w:t>
            </w:r>
            <w:r w:rsidRPr="00200D31">
              <w:rPr>
                <w:rFonts w:ascii="Times New Roman" w:hAnsi="Times New Roman"/>
                <w:sz w:val="20"/>
                <w:szCs w:val="20"/>
                <w:lang w:val="ro-RO"/>
              </w:rPr>
              <w:br/>
              <w:t>Proiectul “Promovarea eforturilor privind ajustările structurale economice”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Notele de schimb dintre Guvernul Republicii Moldova şi Guvernul Japoniei din 9 martie 2005</w:t>
            </w:r>
          </w:p>
        </w:tc>
        <w:tc>
          <w:tcPr>
            <w:tcW w:w="84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Notele de schimb dintre Guvernul Republicii Moldova şi Guvernul Japoniei din 3 martie 2006</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Notele de schimb dintre Guvernul Republicii Moldova şi Guvernul Japoniei din 5 martie 2007</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Notele de schimb dintre Guvernul Republicii Moldova şi Guvernul Japoniei din 5 martie 2008</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9A565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Contractele de leasing privind vînzarea utilajului, achiziţionat din mijloacele fondului de partener, încheiate cu beneficiarii pînă la data de 31 decembrie 2014</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dintre Guvernul Republicii Moldova şi Guvernul Republicii Populare Chineze cu privire la acordarea de către Guvernul Chinei Guvernului Moldovei a unui ajutor nerambursabil, semnat la 14 noiembrie 2007</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Contractul nr.1 privind crearea Centrului de medicină tradiţională chineză, încheiat la 18 ianuarie 2010 între Universitatea de Stat de Medicină şi Farmacie „Nicolae Testemiţanu” şi Compania Internaţională Chineză de Inginerie IPPR</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cooperare în domeniul economic şi tehnic dintre Guvernul Republicii Moldova şi Guvernul Republicii Populare Chineze, semnat la 17 decembrie 2009</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10.</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„Autoevaluarea pentru comunicarea naţională II”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UNEP: GFL-2328-2724-4769</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11.</w:t>
            </w:r>
          </w:p>
        </w:tc>
        <w:tc>
          <w:tcPr>
            <w:tcW w:w="1395"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Ministerul Apărării</w:t>
            </w:r>
            <w:r w:rsidRPr="00200D31">
              <w:rPr>
                <w:rFonts w:ascii="Times New Roman" w:hAnsi="Times New Roman"/>
                <w:sz w:val="20"/>
                <w:szCs w:val="20"/>
                <w:lang w:val="ro-RO"/>
              </w:rPr>
              <w:br/>
              <w:t>Proiectul „Distrugerea pesticidelor şi a produselor chimice periculoase în Republica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Memorandumul de înţelegere dintre Guvernul Republicii Moldova şi Organizaţia pentru Întreţinere şi Aprovizionare a Alianţei Nord-Atlantice (NAMSO) privind cooperarea în domeniul suportului logistic, ratificat prin Legea nr.541-XV din 12 octombrie 2001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tcBorders>
              <w:top w:val="nil"/>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„Programul complex în domeniul armelor de calibru mic şi armament uşor (SALW) şi al armamentului convenţional în Republica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Memorandumul de înţelegere între Ministerul Apărării al Republicii Moldova şi Misiunea Organizaţiei pentru Securitate şi Cooperare în Europa în Republica Moldova cu privire la implementarea Programului complex în domeniul armelor de calibru mic şi armament uşor (SALW) şi al armamentului convenţional în Republica Moldova, semnat </w:t>
            </w:r>
            <w:smartTag w:uri="urn:schemas-microsoft-com:office:smarttags" w:element="PersonName">
              <w:smartTagPr>
                <w:attr w:name="ProductID" w:val="la Chişinău"/>
              </w:smartTagPr>
              <w:r w:rsidRPr="00200D31">
                <w:rPr>
                  <w:rFonts w:ascii="Times New Roman" w:hAnsi="Times New Roman"/>
                  <w:sz w:val="20"/>
                  <w:szCs w:val="20"/>
                  <w:lang w:val="ro-RO"/>
                </w:rPr>
                <w:t>la Chişinău</w:t>
              </w:r>
            </w:smartTag>
            <w:r w:rsidRPr="00200D31">
              <w:rPr>
                <w:rFonts w:ascii="Times New Roman" w:hAnsi="Times New Roman"/>
                <w:sz w:val="20"/>
                <w:szCs w:val="20"/>
                <w:lang w:val="ro-RO"/>
              </w:rPr>
              <w:t xml:space="preserve"> la 28 octombrie 2010, Hotărîrea Guvernului nr.990 din 19 octombrie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tcBorders>
              <w:top w:val="nil"/>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Ministerul Apărării, Ministerul Afacerilor Interne, Poliţia de Frontieră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Memorandumul de înţelegere nr.3100071/2010 între Misiunea OSCE în Moldova, care reprezintă Organizaţia pentru Securitate şi Cooperare în Europa şi Guvernul Republicii Moldova cu privire la reconversia profesională şi adaptarea socială a militarilor care îndeplinesc serviciul prin contract şi a cetăţenilor trecuţi în rezervă (retragere) din Republica Moldova, semnat </w:t>
            </w:r>
            <w:smartTag w:uri="urn:schemas-microsoft-com:office:smarttags" w:element="PersonName">
              <w:smartTagPr>
                <w:attr w:name="ProductID" w:val="la Chişinău"/>
              </w:smartTagPr>
              <w:r w:rsidRPr="00200D31">
                <w:rPr>
                  <w:rFonts w:ascii="Times New Roman" w:hAnsi="Times New Roman"/>
                  <w:sz w:val="20"/>
                  <w:szCs w:val="20"/>
                  <w:lang w:val="ro-RO"/>
                </w:rPr>
                <w:t>la Chişinău</w:t>
              </w:r>
            </w:smartTag>
            <w:r w:rsidRPr="00200D31">
              <w:rPr>
                <w:rFonts w:ascii="Times New Roman" w:hAnsi="Times New Roman"/>
                <w:sz w:val="20"/>
                <w:szCs w:val="20"/>
                <w:lang w:val="ro-RO"/>
              </w:rPr>
              <w:t xml:space="preserve"> la 24 iunie 2010, Hotărîrea Guvernului nr.51 din 3 februarie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„Reîncadrarea în cîmpul muncii a militarilor care îndeplinesc serviciul prin contract şi a cetăţenilor trecuţi în rezervă (retragere) din Republica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 între Ministerul Apărării al Republicii Moldova şi Ministerul Apărării Naţionale al Republicii Populare Chineze privind acordarea de către Republica Populară Chineză a unui ajutor militar nerambursabil Republicii Moldova, semnat la Beijing la 13 septembrie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12.</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Distrugerea surplusului şi stocurilor învechite de muniţii în Republica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implementare nr.3100031/2007 între Misiunea Organizaţiei pentru Securitate şi Cooperare în Europa şi Ministerul Apărării al Republicii Moldova, semnat la Chişinău, la 22 iunie 2007</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13.</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Unitatea de coordonare, implementare şi monitorizare a proiectului de restructurare a sistemului sănătăţii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MOL-H-PCIMU</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MOL-T-PCIMU</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F/D 29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9A565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Memorandumul de înţelegere între Ministerul Sănătăţii al Republicii Moldova şi Ministerul Afacerilor Externe al României în domeniul asistenţei oficiale pentru dezvoltare privind implementarea proiectului de reabilitare a sediului în care va funcţiona Centrul Regional de Transfuzie a Sîngelui Cahul, semnat la 13 noiembrie 2012 la Chişinău</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MOL-CFUND-1303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p>
        </w:tc>
      </w:tr>
      <w:tr w:rsidR="00046A30" w:rsidRPr="00200D31" w:rsidTr="00767200">
        <w:trPr>
          <w:trHeight w:val="1228"/>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14.</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Unitatea consolidată pentru implementarea Programelor Fondului Internaţional pentru Dezvoltare Agricolă</w:t>
            </w:r>
          </w:p>
        </w:tc>
        <w:tc>
          <w:tcPr>
            <w:tcW w:w="2553"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trike/>
                <w:color w:val="FF0000"/>
                <w:sz w:val="20"/>
                <w:szCs w:val="20"/>
                <w:lang w:val="ro-RO"/>
              </w:rPr>
            </w:pPr>
            <w:r w:rsidRPr="00200D31">
              <w:rPr>
                <w:rFonts w:ascii="Times New Roman" w:hAnsi="Times New Roman"/>
                <w:sz w:val="20"/>
                <w:szCs w:val="20"/>
                <w:lang w:val="ro-RO"/>
              </w:rPr>
              <w:t>Acordul de finanţare (împrumut şi grant) dintre Republica Moldova şi Fondul Internaţional pentru Dezvoltare Agricolă (IFAD), în scopul implementării în Moldova a Programului de Servicii Financiare Rurale şi Marketing, Legea nr.282-XVI din 18 decembrie 2008</w:t>
            </w:r>
          </w:p>
        </w:tc>
        <w:tc>
          <w:tcPr>
            <w:tcW w:w="841"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finanţare dintre Republica Moldova şi Fondul Internaţional pentru Dezvoltare Agricolă, în scopul implementării în Moldova a Proiectului de servicii financiare rurale şi dezvoltare a businessului agricol (împrumut nr.L-I-832-MD, grant nr.G-I-C-832 MD), Legea nr.108 din 19 mai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finanţare dintre Republica Moldova şi Fondul Internaţional pentru Dezvoltare Agricolă, în scopul implementării în Moldova a Proiectului de servicii financiare rurale şi dezvoltare a businessului agricol (Grant nr.C DE 832 MD)</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15.</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Ministerul Educaţiei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 nr.TF 011810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9A565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Acordul de finanţare între Republica Moldova şi Asociaţia Internaţională pentru Dezvoltare (Proiectul reformei învăţămîntului în Moldova) nr.5196-MD din </w:t>
            </w:r>
          </w:p>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7 februarie 2013, Legea nr.89 din 19 aprilie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16.</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Oficiul de suport administrativ pentru asistenţă la implementarea Strategiei de reformă a administraţiei publice centrale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nr.TF 056601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17.</w:t>
            </w:r>
          </w:p>
        </w:tc>
        <w:tc>
          <w:tcPr>
            <w:tcW w:w="1395" w:type="pct"/>
            <w:gridSpan w:val="2"/>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Unitatea consolidată pentru implementarea şi monitorizarea proiectelor în domeniul energeticii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credit pentru dezvoltare (Proiectul Energetic II) dintre Republica Moldova şi Asociaţia Internaţională pentru Dezvoltare nr.3833MD, semnat la Washington la 4 decembrie 2003, Legea nr.567-XV din 25 decembrie 2003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specific dintre Suedia şi Republica Moldova referitor la susţinerea Programului privind crearea capacităţii Ministerului Economiei în domeniul eficienţii energetice şi energiei renovabile în Moldova, nr.53040015 din 30 iunie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9A565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Contractul de grant nr.MIS-ETC CODE nr.2739  privind proiectul „Studii de Fezabilitate privind interconectarea Sistemelor electroenergetice ale Republicii Moldova și Ucrainei la Comunitatea Europeană a Operatorilor de Rețelele Electroenergetice (ENTSO - E)”</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nr.TF 099139</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vMerge w:val="restar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„Conducta de interconectare a sistemului naţional de transport gaze din România cu sistemul de transport gaze din Republica Moldova pe direcţia rîul Prut – satul Todireşti, raionul Ungheni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Contractul de grant privind acţiunile externe ale Comunităţii Europene, nr.MIS ETC CODE 993, semnat la data de 8 august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9A565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p>
        </w:tc>
      </w:tr>
      <w:tr w:rsidR="00046A30" w:rsidRPr="00200D31" w:rsidTr="00767200">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18.</w:t>
            </w:r>
          </w:p>
        </w:tc>
        <w:tc>
          <w:tcPr>
            <w:tcW w:w="1395" w:type="pct"/>
            <w:gridSpan w:val="2"/>
            <w:vMerge w:val="restar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Unitatea de Implementare şi Administrare a Proiectului Creşterii Producţiei Alimentare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Notele de schimb dintre Guvernul Republicii Moldova şi Guvernul Japoniei din 11 martie 2004</w:t>
            </w:r>
          </w:p>
        </w:tc>
        <w:tc>
          <w:tcPr>
            <w:tcW w:w="84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4" w:space="0" w:color="auto"/>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Notele de schimb dintre Guvernul Republicii Moldova şi Guvernul Japoniei din 3 martie 2006</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9A5651" w:rsidTr="00767200">
        <w:trPr>
          <w:jc w:val="center"/>
        </w:trPr>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vMerge w:val="restart"/>
            <w:tcBorders>
              <w:top w:val="single" w:sz="4" w:space="0" w:color="auto"/>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de Asistenţă pentru Fermierii Neprivilegiaţi 2KR</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Notele de schimb dintre Guvernul Republicii Moldova şi Guvernul Japoniei din 11 ianuarie 2007</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Notele de schimb dintre Guvernul Republicii Moldova şi Guvernul Japoniei din 5 martie 2008</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vMerge w:val="restar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Programul dezvoltării sistemului de irigare la scară mică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Notele de schimb dintre Guvernul Republicii Moldova şi Guvernul Japoniei din 7 octombrie 2009</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finanţare, semnat cu Comisia Europeană la 18 august 2006</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9A565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Contractele de vînzare-cumpărare în rate a tehnicii şi utilajului agricol, achiziţionate din mijloacele fondului de partener, fondului circulant, încheiate cu beneficiarii pînă la data de 31 decembrie 2014</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grant, întocmit prin schimb de note, între Guvernul Republicii Moldova şi Guvernul Japoniei referitor la extinderea Proiectului de asistenţă tehnică pentru fermierii neprivilegiaţi (2KR) din 17 aprilie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“Ciclul combustibilului facilitat prin intermediul mecanismului de cumpărare cu plata în rate pentru furnizori locali de combustibil”</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Acordul vizînd Partea Responsabilă nr.1/MEBP din 7 iunie 2012 dintre Ministerul Economiei şi „Unitatea de Implementare şi Administrare a Proiectului Creşterii Producţiei Alimentare” (semnat în baza Documentului de Proiect între PNUD şi Ministerul Economiei din </w:t>
            </w:r>
            <w:r w:rsidRPr="00200D31">
              <w:rPr>
                <w:rFonts w:ascii="Times New Roman" w:hAnsi="Times New Roman"/>
                <w:sz w:val="20"/>
                <w:szCs w:val="20"/>
                <w:lang w:val="ro-RO"/>
              </w:rPr>
              <w:br/>
              <w:t>29 decembrie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„Utilizarea eficientă a combustibilului solid din biomasă”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grant, întocmit prin schimb de note, între Guvernul Republicii Moldova şi Guvernul Japoniei în vederea realizării proiectului „Utilizarea eficientă a combustibilului solid din biomasă”, semnat la 26 iunie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19.</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Instituţia Publică „Centrul de Perfecţionare în Domeniul Mecanizării Agriculturii”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Notele de schimb dintre Guvernul Republicii Moldova şi Guvernul Japoniei din 12 noiembrie 2007</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20.</w:t>
            </w:r>
          </w:p>
        </w:tc>
        <w:tc>
          <w:tcPr>
            <w:tcW w:w="1395"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Ministerul Sănătăţii</w:t>
            </w:r>
            <w:r w:rsidRPr="00200D31">
              <w:rPr>
                <w:rFonts w:ascii="Times New Roman" w:hAnsi="Times New Roman"/>
                <w:sz w:val="20"/>
                <w:szCs w:val="20"/>
                <w:lang w:val="ro-RO"/>
              </w:rPr>
              <w:br/>
              <w:t>Ministerul Muncii, Protecţiei Sociale şi Familiei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finanţare dintre Republica Moldova şi Asociaţia Internaţională pentru Dezvoltare (Proiectul „Servicii de Sănătate şi Asistenţă Socială”) nr.4320-MD, Legea nr.194-XVI din 26 iulie 2007</w:t>
            </w:r>
          </w:p>
        </w:tc>
        <w:tc>
          <w:tcPr>
            <w:tcW w:w="84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9A565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„Servicii de Sănătate şi Asistenţă Socială”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Acordul de finanţare între Republica Moldova şi Asociaţia Internaţională de Dezvoltare privind finanţarea suplimentară în scopul realizării proiectului „Servicii de Sănătate şi Asistenţă Socială”, nr.5023-MD din </w:t>
            </w:r>
            <w:r w:rsidRPr="00200D31">
              <w:rPr>
                <w:rFonts w:ascii="Times New Roman" w:hAnsi="Times New Roman"/>
                <w:sz w:val="20"/>
                <w:szCs w:val="20"/>
                <w:lang w:val="ro-RO"/>
              </w:rPr>
              <w:br/>
              <w:t>20 decembrie 2011, Legea nr.79 din 12 aprilie 2012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200D31" w:rsidTr="00767200">
        <w:trPr>
          <w:trHeight w:val="723"/>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19"/>
                <w:szCs w:val="19"/>
                <w:lang w:val="ro-RO"/>
              </w:rPr>
            </w:pPr>
            <w:r w:rsidRPr="00200D31">
              <w:rPr>
                <w:rFonts w:ascii="Times New Roman" w:hAnsi="Times New Roman"/>
                <w:sz w:val="19"/>
                <w:szCs w:val="19"/>
                <w:lang w:val="ro-RO"/>
              </w:rPr>
              <w:t>21.</w:t>
            </w:r>
          </w:p>
        </w:tc>
        <w:tc>
          <w:tcPr>
            <w:tcW w:w="1395"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19"/>
                <w:szCs w:val="19"/>
                <w:lang w:val="ro-RO"/>
              </w:rPr>
            </w:pPr>
            <w:r w:rsidRPr="00200D31">
              <w:rPr>
                <w:rFonts w:ascii="Times New Roman" w:hAnsi="Times New Roman"/>
                <w:sz w:val="19"/>
                <w:szCs w:val="19"/>
                <w:lang w:val="ro-RO"/>
              </w:rPr>
              <w:t xml:space="preserve">Ministerul Sănătăţii </w:t>
            </w:r>
            <w:r w:rsidRPr="00200D31">
              <w:rPr>
                <w:rFonts w:ascii="Times New Roman" w:hAnsi="Times New Roman"/>
                <w:sz w:val="19"/>
                <w:szCs w:val="19"/>
                <w:lang w:val="ro-RO"/>
              </w:rPr>
              <w:br/>
              <w:t>Proiectul „Evaluarea capacităţii şi modernizarea Spitalului Clinic Republican”</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19"/>
                <w:szCs w:val="19"/>
                <w:lang w:val="ro-RO"/>
              </w:rPr>
            </w:pPr>
            <w:r w:rsidRPr="00200D31">
              <w:rPr>
                <w:rFonts w:ascii="Times New Roman" w:hAnsi="Times New Roman"/>
                <w:sz w:val="19"/>
                <w:szCs w:val="19"/>
                <w:lang w:val="ro-RO"/>
              </w:rPr>
              <w:t>Acordul-cadru de împrumut între Guvernul Republicii Moldova şi Banca de Dezvoltare a Consiliului Europei, semnat la 16 octombrie 2008</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19"/>
                <w:szCs w:val="19"/>
                <w:lang w:val="ro-RO"/>
              </w:rPr>
            </w:pPr>
            <w:r w:rsidRPr="00200D31">
              <w:rPr>
                <w:rFonts w:ascii="Times New Roman" w:hAnsi="Times New Roman"/>
                <w:sz w:val="19"/>
                <w:szCs w:val="19"/>
                <w:lang w:val="ro-RO"/>
              </w:rPr>
              <w:t>Integral</w:t>
            </w:r>
          </w:p>
        </w:tc>
      </w:tr>
      <w:tr w:rsidR="00046A30" w:rsidRPr="009A565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19"/>
                <w:szCs w:val="19"/>
                <w:lang w:val="ro-RO"/>
              </w:rPr>
            </w:pPr>
          </w:p>
        </w:tc>
        <w:tc>
          <w:tcPr>
            <w:tcW w:w="1395" w:type="pct"/>
            <w:gridSpan w:val="2"/>
            <w:tcBorders>
              <w:top w:val="nil"/>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19"/>
                <w:szCs w:val="19"/>
                <w:lang w:val="ro-RO"/>
              </w:rPr>
            </w:pPr>
            <w:r w:rsidRPr="00200D31">
              <w:rPr>
                <w:rFonts w:ascii="Times New Roman" w:hAnsi="Times New Roman"/>
                <w:sz w:val="19"/>
                <w:szCs w:val="19"/>
                <w:lang w:val="ro-RO"/>
              </w:rPr>
              <w:t>Proiectul „Îmbunătăţirea serviciilor medicale în Spitalul Clinic Republican din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19"/>
                <w:szCs w:val="19"/>
                <w:lang w:val="ro-RO"/>
              </w:rPr>
            </w:pPr>
            <w:r w:rsidRPr="00200D31">
              <w:rPr>
                <w:rFonts w:ascii="Times New Roman" w:hAnsi="Times New Roman"/>
                <w:sz w:val="19"/>
                <w:szCs w:val="19"/>
                <w:lang w:val="ro-RO"/>
              </w:rPr>
              <w:t>Acordul de credit-export dintre Republica Moldova şi UniCredit Bank Austria AG privind finanţarea Proiectului „Îmbunătăţirea serviciilor medicale în Spitalul Clinic Republican din Moldova”, nr.232.171, Legea nr.181 din 11 iulie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19"/>
                <w:szCs w:val="19"/>
                <w:lang w:val="ro-RO"/>
              </w:rPr>
            </w:pP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19"/>
                <w:szCs w:val="19"/>
                <w:lang w:val="ro-RO"/>
              </w:rPr>
            </w:pPr>
          </w:p>
        </w:tc>
        <w:tc>
          <w:tcPr>
            <w:tcW w:w="1395" w:type="pct"/>
            <w:gridSpan w:val="2"/>
            <w:vMerge w:val="restart"/>
            <w:tcBorders>
              <w:top w:val="nil"/>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19"/>
                <w:szCs w:val="19"/>
                <w:lang w:val="ro-RO"/>
              </w:rPr>
            </w:pPr>
            <w:r w:rsidRPr="00200D31">
              <w:rPr>
                <w:rFonts w:ascii="Times New Roman" w:hAnsi="Times New Roman"/>
                <w:sz w:val="19"/>
                <w:szCs w:val="19"/>
                <w:lang w:val="ro-RO"/>
              </w:rPr>
              <w:t>Proiectul „Introducerea energiei curate prin intermediul sistemului solar de generare a energiei electrice”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19"/>
                <w:szCs w:val="19"/>
                <w:lang w:val="ro-RO"/>
              </w:rPr>
            </w:pPr>
            <w:r w:rsidRPr="00200D31">
              <w:rPr>
                <w:rFonts w:ascii="Times New Roman" w:hAnsi="Times New Roman"/>
                <w:sz w:val="19"/>
                <w:szCs w:val="19"/>
                <w:lang w:val="ro-RO"/>
              </w:rPr>
              <w:t>Acord de grant privind Proiectul „Introducerea energiei curate prin intermediul sistemului solar de generare a energiei electrice” între Guvernul Republicii Moldova şi JICA, semnat la 18 iulie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19"/>
                <w:szCs w:val="19"/>
                <w:lang w:val="ro-RO"/>
              </w:rPr>
            </w:pPr>
            <w:r w:rsidRPr="00200D31">
              <w:rPr>
                <w:rFonts w:ascii="Times New Roman" w:hAnsi="Times New Roman"/>
                <w:sz w:val="19"/>
                <w:szCs w:val="19"/>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19"/>
                <w:szCs w:val="19"/>
                <w:lang w:val="ro-RO"/>
              </w:rPr>
            </w:pPr>
          </w:p>
        </w:tc>
        <w:tc>
          <w:tcPr>
            <w:tcW w:w="0" w:type="auto"/>
            <w:gridSpan w:val="2"/>
            <w:vMerge/>
            <w:tcBorders>
              <w:top w:val="nil"/>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19"/>
                <w:szCs w:val="19"/>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19"/>
                <w:szCs w:val="19"/>
                <w:lang w:val="ro-RO"/>
              </w:rPr>
            </w:pPr>
            <w:r w:rsidRPr="00200D31">
              <w:rPr>
                <w:rFonts w:ascii="Times New Roman" w:hAnsi="Times New Roman"/>
                <w:sz w:val="19"/>
                <w:szCs w:val="19"/>
                <w:lang w:val="ro-RO"/>
              </w:rPr>
              <w:t>Grantul nr.TF 012263-MD</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19"/>
                <w:szCs w:val="19"/>
                <w:lang w:val="ro-RO"/>
              </w:rPr>
            </w:pPr>
            <w:r w:rsidRPr="00200D31">
              <w:rPr>
                <w:rFonts w:ascii="Times New Roman" w:hAnsi="Times New Roman"/>
                <w:sz w:val="19"/>
                <w:szCs w:val="19"/>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19"/>
                <w:szCs w:val="19"/>
                <w:lang w:val="ro-RO"/>
              </w:rPr>
            </w:pPr>
          </w:p>
        </w:tc>
        <w:tc>
          <w:tcPr>
            <w:tcW w:w="1395"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19"/>
                <w:szCs w:val="19"/>
                <w:lang w:val="ro-RO"/>
              </w:rPr>
            </w:pPr>
            <w:r w:rsidRPr="00200D31">
              <w:rPr>
                <w:rFonts w:ascii="Times New Roman" w:hAnsi="Times New Roman"/>
                <w:sz w:val="19"/>
                <w:szCs w:val="19"/>
                <w:lang w:val="ro-RO"/>
              </w:rPr>
              <w:t xml:space="preserve">Proiectul „Îmbunătăţirea serviciilor medicale în Spitalul Clinic Republican din Moldova – faza II” </w:t>
            </w:r>
          </w:p>
        </w:tc>
        <w:tc>
          <w:tcPr>
            <w:tcW w:w="2553" w:type="pct"/>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19"/>
                <w:szCs w:val="19"/>
                <w:lang w:val="ro-RO"/>
              </w:rPr>
            </w:pPr>
            <w:r w:rsidRPr="00200D31">
              <w:rPr>
                <w:rFonts w:ascii="Times New Roman" w:hAnsi="Times New Roman"/>
                <w:sz w:val="19"/>
                <w:szCs w:val="19"/>
                <w:lang w:val="ro-RO"/>
              </w:rPr>
              <w:t xml:space="preserve">Acordul de credit export dintre Republica Moldova şi UniCredit Bank Austria AG privind finanţarea proiectului „Îmbunătăţirea serviciilor medicale în Spitalul Clinic Republican din Moldova – faza II”, nr.233.022, ratificat prin Legea nr.209 din 12 iulie 2013 </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19"/>
                <w:szCs w:val="19"/>
                <w:lang w:val="ro-RO"/>
              </w:rPr>
            </w:pPr>
            <w:r w:rsidRPr="00200D31">
              <w:rPr>
                <w:rFonts w:ascii="Times New Roman" w:hAnsi="Times New Roman"/>
                <w:sz w:val="19"/>
                <w:szCs w:val="19"/>
                <w:lang w:val="ro-RO"/>
              </w:rPr>
              <w:t xml:space="preserve">Integral </w:t>
            </w:r>
          </w:p>
        </w:tc>
      </w:tr>
      <w:tr w:rsidR="00046A30" w:rsidRPr="00200D3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vMerge w:val="restar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„Îmbunătăţirea serviciilor medicale”</w:t>
            </w:r>
          </w:p>
        </w:tc>
        <w:tc>
          <w:tcPr>
            <w:tcW w:w="2553"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Schimbul de Note între Guvernul Republicii Moldova şi Agenţia Japoneză de Cooperare Internaţională în baza Acordului de Credit pentru Proiectul „Îmbunătăţirera serviciilor medicale”, semnate ambele în data de 27 iunie 2013</w:t>
            </w:r>
          </w:p>
        </w:tc>
        <w:tc>
          <w:tcPr>
            <w:tcW w:w="84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 xml:space="preserve">Integral </w:t>
            </w:r>
          </w:p>
        </w:tc>
      </w:tr>
      <w:tr w:rsidR="00046A30" w:rsidRPr="009A565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împrumut dintre Guvernul Republicii Moldova şi Agenţia Japoneză de Cooperare Internaţională pentru realizarea proiectului „Îmbunătăţirea serviciilor medicale” nr.MDA-P1, Legea nr.188 din 12 iulie 2013</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200D31" w:rsidTr="00767200">
        <w:trPr>
          <w:jc w:val="center"/>
        </w:trPr>
        <w:tc>
          <w:tcPr>
            <w:tcW w:w="211" w:type="pct"/>
            <w:gridSpan w:val="2"/>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22.</w:t>
            </w:r>
          </w:p>
        </w:tc>
        <w:tc>
          <w:tcPr>
            <w:tcW w:w="1395" w:type="pct"/>
            <w:gridSpan w:val="2"/>
            <w:vMerge w:val="restar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ÎS „Administraţia de Stat a Drumurilor” Proiectul de Susţinere a Programului pentru Sectorul Drumurilor</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împrumut dintre Republica Moldova şi Banca Europeană pentru Reconstrucţie şi Dezvoltare (Proiectul de reabilitare a drumurilor în Moldova), nr.37671, Legea nr.216-XVI din 12 octombrie 2007</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finanţare dintre Republica Moldova şi Banca Europeană pentru Investiţii (Proiectul „Drumuri europene în Moldova”), nr.2006 0485, Legea nr.217-XVI din 12 octombrie 2007</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TF 094952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p>
        </w:tc>
      </w:tr>
      <w:tr w:rsidR="00046A30" w:rsidRPr="00200D31" w:rsidTr="00767200">
        <w:trPr>
          <w:jc w:val="center"/>
        </w:trPr>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nr.ENPI/2007/019549-MD-02 semnat la 9 decembrie 2008</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Contractul de finanţare dintre Republica Moldova şi Banca Europeană de Investiţii, pentru realizarea Proiectului de reabilitare a drumurilor din Republica Moldova, FI nr.25.852 Serapis nr.2010-0154, Legea nr.79 din 21 aprilie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Acordul de împrumut dintre Republica Moldova şi Banca Europeană pentru Reconstrucţie şi Dezvoltare, pentru realizarea Proiectului de reabilitare a drumurilor din Republica Moldova, nr.41442, Legea nr.77 din </w:t>
            </w:r>
            <w:r w:rsidRPr="00200D31">
              <w:rPr>
                <w:rFonts w:ascii="Times New Roman" w:hAnsi="Times New Roman"/>
                <w:sz w:val="20"/>
                <w:szCs w:val="20"/>
                <w:lang w:val="ro-RO"/>
              </w:rPr>
              <w:br/>
              <w:t>21 aprilie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nil"/>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nr.2011/19549/MD-05 (ENPI/2011/265-548)</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vMerge w:val="restar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Contractul de finanţare dintre Republica Moldova şi Banca Europeană de Investiţii, pentru realizarea Proiectului de reabilitare a drumurilor din republica Moldova, FI nr.81.723 Serapis nr.20110650, Legea nr.190 din 12 iulie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0" w:type="auto"/>
            <w:gridSpan w:val="2"/>
            <w:vMerge/>
            <w:tcBorders>
              <w:top w:val="nil"/>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nil"/>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Acordul de Împrumut dintre Republica Moldova şi Banca Europeană pentru Reconstrucţie şi dezvoltare, pentru realizarea Proiectului de reabilitare a drumurilor din Republica Moldova, nr.45094, Legea nr.191 din </w:t>
            </w:r>
            <w:r w:rsidRPr="00200D31">
              <w:rPr>
                <w:rFonts w:ascii="Times New Roman" w:hAnsi="Times New Roman"/>
                <w:sz w:val="20"/>
                <w:szCs w:val="20"/>
                <w:lang w:val="ro-RO"/>
              </w:rPr>
              <w:br/>
              <w:t>12 iulie 2013</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207" w:type="pct"/>
            <w:gridSpan w:val="2"/>
            <w:vMerge w:val="restart"/>
            <w:tcBorders>
              <w:top w:val="single" w:sz="4" w:space="0" w:color="000000"/>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23.</w:t>
            </w:r>
          </w:p>
        </w:tc>
        <w:tc>
          <w:tcPr>
            <w:tcW w:w="1402" w:type="pct"/>
            <w:gridSpan w:val="2"/>
            <w:vMerge w:val="restar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Asociaţia de Cercetare şi Dezvoltare din Moldova (MRDA)</w:t>
            </w: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nil"/>
              <w:left w:val="single" w:sz="4" w:space="0" w:color="auto"/>
              <w:bottom w:val="nil"/>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Granturi:</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nil"/>
              <w:left w:val="single" w:sz="4" w:space="0" w:color="auto"/>
              <w:bottom w:val="nil"/>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STEP Science Technology Entreprenership Program</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nil"/>
              <w:left w:val="single" w:sz="4" w:space="0" w:color="auto"/>
              <w:bottom w:val="nil"/>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GAP – Programul de asistenţă a granturilor</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nil"/>
              <w:left w:val="single" w:sz="4" w:space="0" w:color="auto"/>
              <w:bottom w:val="nil"/>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Nonproliferation Program, CRDF Global</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nil"/>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Preventing Nuclear Smuggling Program</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38"/>
          <w:jc w:val="center"/>
        </w:trPr>
        <w:tc>
          <w:tcPr>
            <w:tcW w:w="207" w:type="pct"/>
            <w:gridSpan w:val="2"/>
            <w:vMerge w:val="restar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24.</w:t>
            </w:r>
          </w:p>
        </w:tc>
        <w:tc>
          <w:tcPr>
            <w:tcW w:w="1402" w:type="pct"/>
            <w:gridSpan w:val="2"/>
            <w:vMerge w:val="restar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Fundaţia SUA de Cercetare şi Dezvoltare Civilă (CRDF)</w:t>
            </w: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 xml:space="preserve">Acordul de cooperare dintre Guvernul Republicii Moldova şi Fundaţia SUA în Domeniul Cercetării şi Dezvoltării Civile a Statelor Independente ale fostei Uniuni Sovietice, semnat la 28 martie 2000 şi ratificat prin </w:t>
            </w:r>
            <w:hyperlink r:id="rId5" w:history="1">
              <w:r w:rsidRPr="00200D31">
                <w:rPr>
                  <w:rStyle w:val="Hyperlink"/>
                  <w:rFonts w:ascii="Times New Roman" w:hAnsi="Times New Roman"/>
                  <w:color w:val="000000"/>
                  <w:sz w:val="20"/>
                  <w:szCs w:val="20"/>
                  <w:lang w:val="ro-RO"/>
                </w:rPr>
                <w:t>Legea nr.1222-XIV din 31 iulie 2000</w:t>
              </w:r>
            </w:hyperlink>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nil"/>
              <w:left w:val="single" w:sz="4" w:space="0" w:color="auto"/>
              <w:bottom w:val="nil"/>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Granturi:</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nil"/>
              <w:left w:val="single" w:sz="4" w:space="0" w:color="auto"/>
              <w:bottom w:val="nil"/>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GAP – Programul de asistenţă a granturilor</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nil"/>
              <w:left w:val="single" w:sz="4" w:space="0" w:color="auto"/>
              <w:bottom w:val="nil"/>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Nonproliferation Program, CRDF Global</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nil"/>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000000"/>
              <w:left w:val="single" w:sz="4" w:space="0" w:color="000000"/>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Preventing Nuclear Smuggling Program</w:t>
            </w:r>
          </w:p>
        </w:tc>
        <w:tc>
          <w:tcPr>
            <w:tcW w:w="834" w:type="pct"/>
            <w:tcBorders>
              <w:top w:val="single" w:sz="4" w:space="0" w:color="000000"/>
              <w:left w:val="single" w:sz="4" w:space="0" w:color="000000"/>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207" w:type="pct"/>
            <w:gridSpan w:val="2"/>
            <w:vMerge w:val="restar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25.</w:t>
            </w:r>
          </w:p>
        </w:tc>
        <w:tc>
          <w:tcPr>
            <w:tcW w:w="1402" w:type="pct"/>
            <w:gridSpan w:val="2"/>
            <w:vMerge w:val="restar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 xml:space="preserve">Academia de Ştiinţe a Moldovei </w:t>
            </w:r>
          </w:p>
          <w:p w:rsidR="00046A30" w:rsidRPr="00200D31" w:rsidRDefault="00046A30" w:rsidP="00767200">
            <w:pPr>
              <w:spacing w:after="0" w:line="240" w:lineRule="auto"/>
              <w:rPr>
                <w:rFonts w:ascii="Times New Roman" w:hAnsi="Times New Roman"/>
                <w:color w:val="000000"/>
                <w:sz w:val="20"/>
                <w:szCs w:val="20"/>
                <w:lang w:val="ro-RO"/>
              </w:rPr>
            </w:pPr>
          </w:p>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 xml:space="preserve">Acordul-cadru dintre Guvernul Republicii Moldova şi Comisia Comunităţii Europene privind asistenţa externă, semnat la 11 mai 2006 şi ratificat prin </w:t>
            </w:r>
            <w:hyperlink r:id="rId6" w:history="1">
              <w:r w:rsidRPr="00200D31">
                <w:rPr>
                  <w:rStyle w:val="Hyperlink"/>
                  <w:rFonts w:ascii="Times New Roman" w:hAnsi="Times New Roman"/>
                  <w:color w:val="000000"/>
                  <w:sz w:val="20"/>
                  <w:szCs w:val="20"/>
                  <w:lang w:val="ro-RO"/>
                </w:rPr>
                <w:t>Legea nr.426-XVI din 27 decembrie 2006</w:t>
              </w:r>
            </w:hyperlink>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99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FP7-INCO-2010-6, Project 266515 „Preparation for Moldova’s integration into the European Research Area and into the Community R&amp;D Framework Programs on the basis of scientific excellence – MOLD-ERA”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6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IncoNet EECA, nr.212226, „S&amp;T International Cooperation Network for Eastern European and Central Asian Countries”</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41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EXTEND, nr.231137, „Extending ICT research cooperation between the European Union, Eastern Europe and the Southern Caucasus”</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9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CHIRALIX nr.235018 „Heterometallic and mixed valence „Chirale magnetic bricks” in</w:t>
            </w:r>
          </w:p>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assembler of Single Molecule and Single Chain</w:t>
            </w:r>
          </w:p>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Magnets for nano-dimension magnetic materials”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6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IncoNet CA/SC, nr.244417, „International Cooperation Network for Central Asian and South Caucasus Countries”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9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*Academia de Ştiinţe a Moldovei FWC Ben-LOT nr.9: Culture, Education, Employment and Social Europe Aid/127054/C/SER/multi „Support to the Academy of Sciences of Moldova in better integration into the ERA”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4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*ERA-Net Rus Plus, nr.609556, „Further linking Russia to ERA”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52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FP7-INCO-2010-6, Project 266515 „Preparation for Moldova’s integration into the European Research Area and into the Community R&amp;D Framework Programs on the basis of scientific excellence – MOLD-ERA”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86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FP7-INCO-2010-6, Project 266515 „Preparation for Moldova’s integration into the European Research Area and into the Community R&amp;D Framework Programs on the basis of scientific excellence – MOLD-ERA”</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2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*FP7-PEOPLE-2012-IRSES NUTRILAB, nr.318946, „Nutritional Labeling Study in Black Sea Region Countries”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6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TransNEW, nr.234330, „Support for realising new Member and Associate States’ potentials in transport research”</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45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EEGS-2, nr.287179, EGNOS „Extinderea sistemului EGNOS în Europa de Est: Aplicaţii”</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80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FP7-ENERGY-2012-1-2STAG H2ESOT, nr.308768-2, „Waste Heat to Electrical Energy via Sustainable Organic Thermoelectric Devices”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80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*FP7-PEOPLE-2012-IRSES NUTRILAB, nr.318946, „Nutritional Labeling Study in Black Sea Region Countries”</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59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PCAP, nr.246902, „Photocatalytic Cluster Complexes for Artificial Photosynthesis Applications”</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24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*FP7-PEOPLE-2012-IRSES NanoBioMat, nr. 612484, „Nanostructured Biocompatible/Bioactive Materials”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6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TEMADEP, nr.247659, „Template-Assisted Deposition of Functional Materials and Devices”</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19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PVICOKEST, nr.269167, „International cooperative programme for photovoltaic kesterite based technologies”</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25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NANOALLOY nr.252407 „Induced</w:t>
            </w:r>
          </w:p>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electrodeposition of nanostructures as nanowires and nanotubes consisting of cobalt-based multilayers for MEMS applications”</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39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PEOPLE-IRSES, nr.295202, „Oil&amp;Sugar, Training and Collaboration on material developments and process improvement in oil and sugar production”</w:t>
            </w:r>
          </w:p>
        </w:tc>
        <w:tc>
          <w:tcPr>
            <w:tcW w:w="834" w:type="pct"/>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2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*FP7-COOPERATION-TIDE, nr.335091, „Tangential Impulse Detonation Engine”</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2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 FP7-INCO-2013-9, R2I-ENP/SECURE R2I, nr.609534, „Reinforcing cooperation with Eastern Partnership countries on bridging the gap between research and innovation for inclusive and secure societies”</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2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 FP7-2013-NMP-ICT-FOF, Support action 14MS-Gate, nr.608899, European Innovation Ecosystem as a gate for supporting FoF Research and Experimentation”</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3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EECAlink, nr.223359, „Promotion and facilitation of international cooperation with Eastern European and Central Asian countries”</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4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HEALTH ESPOIR, nr.278453, „European clinical study for the application of regenerative heart valves”</w:t>
            </w:r>
          </w:p>
        </w:tc>
        <w:tc>
          <w:tcPr>
            <w:tcW w:w="834" w:type="pct"/>
            <w:tcBorders>
              <w:top w:val="single" w:sz="4" w:space="0" w:color="auto"/>
              <w:left w:val="single" w:sz="4" w:space="0" w:color="auto"/>
              <w:bottom w:val="nil"/>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61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PROMIT-HEAS-4, nr.265182, „Knowledge transfer and research needs for preparing mitigation/adaptatition policy portfolios”</w:t>
            </w:r>
          </w:p>
        </w:tc>
        <w:tc>
          <w:tcPr>
            <w:tcW w:w="834" w:type="pct"/>
            <w:tcBorders>
              <w:top w:val="single" w:sz="4" w:space="0" w:color="000000"/>
              <w:left w:val="single" w:sz="4" w:space="0" w:color="auto"/>
              <w:bottom w:val="nil"/>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3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 7 EGI-InSPIRE, nr.261323, „European Grid Initiative: Integrated Sustainable Pan-European Infrastructure for Researchers in Europe”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24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FP7-HP-SEE CSA-INFRA, nr.261499, „High-Performance Computing Infrastructure for South East Europe”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24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*FP7-INFRASTRUCTURES-2013 GN3plus, nr.605243, „Multi-Gigabit European Research and Education Network and Associated Services”</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26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PICTURE. ICT-2011-7, nr.288279, 2Policy dialogue in ICT to an Upper level for Reinforced EU-EECA Cooperation”</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*EURAXESS, nr.295345, „Enhancing The Outreach and Effectiveness of the EURAXESS Network Partners. EURAXESS T.O.P II”</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 xml:space="preserve">*More4U-Moldovan Research for YOUth, Nr.609836, Researchers Night evenimentul pentru promovarea imaginei ştiinţei </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*FP7-INCO-2013-1-IncoNet EaP, nr.609528, „STI International Cooperation Network for EAP countries for the Eastern Partnership region ”</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*FP7-INCO-2013-1-Danube-INCO.NET, nr.609497, „International Cooperation Network for the Danube Region”</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35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*FP7-PEOPLE-MoNetAccess, nr.619163, „Set-up EURAXESS Services Network in Moldova”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*EECA-2-HORIZON, Nr.610793, „Bringing the EU_EECA cooperation and policy dialog in ICT in the HORIZON 2020 ERA”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*EAST-HORIZON, nr.611063, „Fostering Dialogue and Cooperation between the EU and EECA in the HORIZON 2020 perspective”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ICT. Idealist 2014, nr.288598, „Trans-national cooperation among ICT NCPs”</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79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MOLD-NANONET, nr.294953, „Enhancing the capacities of the ELIRI Research Institute in applied research to enable the integration of Moldova in the European Research Area on the basis of scientific excellence”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65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MOLD-NANONET, nr.294953, „Enhancing the capacities of the ELIRI Research Institute in applied research to enable the integration of Moldova in the European Research Area on the basis of scientific excellence”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4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*FP7-HEALTH-2012-INNIOVATION-1, nr.304810-2, „RAIDs-Ratyional molecular Assessments and Innovative Drugs Selection”</w:t>
            </w:r>
          </w:p>
        </w:tc>
        <w:tc>
          <w:tcPr>
            <w:tcW w:w="834" w:type="pct"/>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94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*FP7-PEOPLE-2012-IRSES DynSysAppl, nr.316338, „Valorificarea resurselor umane, naturale şi informaţionale pentru dezvoltarea durabilă a economiei ţării”</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1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*FP7-PEOPLE-2012-IRSES-EUPREACC, nr.318911, “Possibilities and limits, challenges and obstacles of transferring CEE EU pre-accession best practices and experience to Moldova’s and Georgia's preaccession process”</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51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*FP7-PEOPLE-IRSES-FLUMEN, nr.318969, „Procesele fluviale şi dinamica sedimentelor pe sistemul versanţi: Impactul modificărilor socioeconomice şi climatice asupra caracteristicilor bazinelor hidrografice şi a zonelor conexe”</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49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*FP7-SSH-2012-2, nr.320214, ARABTRANS „Political and Social Transformations in the Arab World”</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5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*FP7-INCO-2013-9-ENER2I, nr.609532, „Energy Research to Innovation”</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54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 RERAM-INCO-2013-9, nr. 609573 „Bridging gaps between R2I in Resource Efficiency and Raw Materials”</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55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*FP7-KBBE-2013-7, AGRICISTRADE nr.612755,”Exploring the potential for agricultural and biomass trade in the Commonwealth of Independent States”</w:t>
            </w:r>
          </w:p>
        </w:tc>
        <w:tc>
          <w:tcPr>
            <w:tcW w:w="834" w:type="pct"/>
            <w:tcBorders>
              <w:top w:val="single" w:sz="4" w:space="0" w:color="000000"/>
              <w:left w:val="single" w:sz="4" w:space="0" w:color="auto"/>
              <w:bottom w:val="nil"/>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 FP7-EUinDepth – IRSES, nr.612619, „European Identity, Cultural Diversity and Political Change”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No. 21370007 V4EaP Extended Standard Grant „Introducing EU standards in Moldova: towards a new model of cooperation and planning”</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2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 xml:space="preserve">Acordul dintre Guvernul Republicii Moldova şi Guvernul Confederaţiei Elveţiene privind asistenţa umanitară şi cooperarea tehnică, semnat la Chişinău la 20 septembrie 2001 şi ratificat prin </w:t>
            </w:r>
            <w:hyperlink r:id="rId7" w:history="1">
              <w:r w:rsidRPr="00200D31">
                <w:rPr>
                  <w:rStyle w:val="Hyperlink"/>
                  <w:rFonts w:ascii="Times New Roman" w:hAnsi="Times New Roman"/>
                  <w:color w:val="000000"/>
                  <w:sz w:val="20"/>
                  <w:szCs w:val="20"/>
                  <w:lang w:val="ro-RO"/>
                </w:rPr>
                <w:t>Legea nr.789-XV din 28 decembrie 2001</w:t>
              </w:r>
            </w:hyperlink>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2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IZ73ZO - 152734/1 „Spin-liquid and spin-ice states in frustrated rare-earth and transition metal spinels”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color w:val="000000"/>
                <w:sz w:val="20"/>
                <w:szCs w:val="20"/>
                <w:lang w:val="ro-RO"/>
              </w:rPr>
            </w:pPr>
            <w:r w:rsidRPr="00200D31">
              <w:rPr>
                <w:rFonts w:ascii="Times New Roman" w:hAnsi="Times New Roman"/>
                <w:color w:val="000000"/>
                <w:sz w:val="20"/>
                <w:szCs w:val="20"/>
                <w:lang w:val="ro-RO"/>
              </w:rPr>
              <w:t>Integral</w:t>
            </w:r>
          </w:p>
        </w:tc>
      </w:tr>
      <w:tr w:rsidR="00046A30" w:rsidRPr="00200D31" w:rsidTr="00767200">
        <w:trPr>
          <w:gridBefore w:val="1"/>
          <w:wBefore w:w="8" w:type="pct"/>
          <w:trHeight w:val="2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IZ73ZO-152404/1 „Synthesis, experimental and Theoretical Study of bistable magnetic materials based on 3d and 3d-4f exchange coupled clusters: prospects for practical applications”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color w:val="000000"/>
                <w:sz w:val="20"/>
                <w:szCs w:val="20"/>
                <w:lang w:val="ro-RO"/>
              </w:rPr>
            </w:pPr>
            <w:r w:rsidRPr="00200D31">
              <w:rPr>
                <w:rFonts w:ascii="Times New Roman" w:hAnsi="Times New Roman"/>
                <w:color w:val="000000"/>
                <w:sz w:val="20"/>
                <w:szCs w:val="20"/>
                <w:lang w:val="ro-RO"/>
              </w:rPr>
              <w:t>Integral</w:t>
            </w:r>
          </w:p>
        </w:tc>
      </w:tr>
      <w:tr w:rsidR="00046A30" w:rsidRPr="00200D31" w:rsidTr="00767200">
        <w:trPr>
          <w:gridBefore w:val="1"/>
          <w:wBefore w:w="8" w:type="pct"/>
          <w:trHeight w:val="2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IZ73ZO-152346/1 „Radical mediated modifications of natural products”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color w:val="000000"/>
                <w:sz w:val="20"/>
                <w:szCs w:val="20"/>
                <w:lang w:val="ro-RO"/>
              </w:rPr>
            </w:pPr>
            <w:r w:rsidRPr="00200D31">
              <w:rPr>
                <w:rFonts w:ascii="Times New Roman" w:hAnsi="Times New Roman"/>
                <w:color w:val="000000"/>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EST.CLG 982852 „Mitigation of water stress in agricultural soils by bio-indicators”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7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IZ74Z0-128381 „Violence and repression as discourse and practice in South Eastern Europe: an historical and comparative perspective”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„Modernizarea sistemului perinatologic în Republica Moldova”, faza a III-a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6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IZ73Z0-128019 „Coupled VCSEL arrays for gassensing and environmental control”</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3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IZ73Z0-127968 „Functional Nanowires”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IZ73Z0-128036 „Xenobiotic Input to the Prut River (XENOPRUT)”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101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IZ73Z0-128078 „Experimental and Theoretical Study of Magnetic Anisotropy in Linear Trimeric Single Molecule Magnets and Two-Dimensional Molecular Metamagnets: Prospects for Practical Applications”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79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IZ76ZO_147549/1”Connecting the scientific diaspora from the Republic of Moldova to the scientific and economic development of the home country”</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IZ73Z0-128042 „Markets for executives and nonexecutives in Western and Eastern Europe”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IZ73Z0-128158 „Connecting the scientific diaspora of the Republic of Moldova to the scientific and economic development of the home country”.</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IZ73Z0-128047 „Nanopatterned materials for the improvement of terahertz quantum cascade lasers andlaser-driven solid-state terahertz emitters”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IZ73Z0-128037 „Fabrication and investigation of carbon nanotube based sensors and (bio)nanocomposite materials”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IB7320-110720 „New priority disciplines and algorithms in queueing analysis”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IZ73Z0-127925 „Magnetic coordination polymers of the nanosized clusters”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3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 xml:space="preserve">Planul Individual de Acţiuni al Parteneriatului Republica Moldova – NATO, </w:t>
            </w:r>
            <w:hyperlink r:id="rId8" w:history="1">
              <w:r w:rsidRPr="00200D31">
                <w:rPr>
                  <w:rStyle w:val="Hyperlink"/>
                  <w:rFonts w:ascii="Times New Roman" w:hAnsi="Times New Roman"/>
                  <w:color w:val="000000"/>
                  <w:sz w:val="20"/>
                  <w:szCs w:val="20"/>
                  <w:lang w:val="ro-RO"/>
                </w:rPr>
                <w:t>Hotărîrea Guvernului nr.746 din 18 august 2010</w:t>
              </w:r>
            </w:hyperlink>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3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EAP.NIG 982517, „Silk Network Academies Alliance”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hyperlink r:id="rId9" w:history="1">
              <w:r w:rsidRPr="00200D31">
                <w:rPr>
                  <w:rStyle w:val="Hyperlink"/>
                  <w:rFonts w:ascii="Times New Roman" w:hAnsi="Times New Roman"/>
                  <w:color w:val="000000"/>
                  <w:sz w:val="20"/>
                  <w:szCs w:val="20"/>
                  <w:lang w:val="ro-RO"/>
                </w:rPr>
                <w:t>Legea nr.531-XV din 18 decembrie 2003</w:t>
              </w:r>
            </w:hyperlink>
            <w:r w:rsidRPr="00200D31">
              <w:rPr>
                <w:rFonts w:ascii="Times New Roman" w:hAnsi="Times New Roman"/>
                <w:color w:val="000000"/>
                <w:sz w:val="20"/>
                <w:szCs w:val="20"/>
                <w:lang w:val="ro-RO"/>
              </w:rPr>
              <w:t xml:space="preserve"> privind aderarea Republicii Moldova la Acordul de constituire a Centrului Ştiinţifico-Tehnologic din Ucraina</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Nr.5391 „Utilizarea compoziţiilor de microelemente şi microorganisme pentru ameliorarea fertilităţii solului în plantaţiile viticole”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48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 5845 Elaborarea unui sistem de combatere a bolilor şi dăunătorilor pentru producerea ecologică a viţei de vie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Nr.5344 „Technology improvement and synthesis of Tetrathiotetracene-iodile quasi-one-dimensional crystals with high thermoelectric performance”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44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 5833 Nanostructuri în bază de oxizi metalici pentru aplicaţii în dispozitive senzorice</w:t>
            </w:r>
          </w:p>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Universitatea Tehnică din Moldova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 5384 „Modele de calcul de înaltă performanţă bazate pe abordări biologice şi cuantice" </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 5800 Nano-încapsularea remediilor antituberculoase pentru transport la ţintă</w:t>
            </w:r>
          </w:p>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Institutul de Chimie</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5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 5807 Elaborararea suportului instrumental pentru implementarea aplicaţiilor complexe în infrastructura regională HPC</w:t>
            </w:r>
          </w:p>
        </w:tc>
        <w:tc>
          <w:tcPr>
            <w:tcW w:w="834" w:type="pct"/>
            <w:tcBorders>
              <w:top w:val="single" w:sz="4" w:space="0" w:color="auto"/>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39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 5832 Stimularea biochimică a proceselor anaerobe şi elaborarea reactorului miltifuncţional pentru obţinerea şi condiţionarea hidrogenului molecular şi a biometanului</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 5809 Prepararea şi caracterizarea cristalelor nano-stratificate bidimensionale ale dicalcogenizilor metalelor de tranziţie intercalate cu molecule de halogen</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 5854 Sisteme de aşteptare cu priorităţi, tranzacţii semi-Markov şi probleme de control în reţele complexe</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67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 xml:space="preserve">Nr. 5808 Dezvoltarea metodelor microscopiei holografice tradiţionale şi digitale pe baza fasciculelor coerente de lumină interferometric rasterizate </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65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 5841  Testarea dinamică ale generatoarelor de aerosoli de mărimea naturală al rachetelor utilizaţi pentru impact asupra proceselor atmosferice</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6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 5842 Convertoare Electronice de Putere cu Modulare Sincronizata  pentru Transport Electric şi pentru Sisteme Fotovoltaice</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6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 5929 Efecte orbitale în generaţia nouă a magneţilor monomoleculari: elaborarea criteriilor pentru designul raţional</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4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 5933 Dezvoltarea litografiei fără mască pentru nanostructurarea tridimensională a nitrurii de galiu (GaN)</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84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Nr. 5937 Convertarea termoelectrică eficientă a energiei în bază nanofirelor cristalin-amorfe cu secţiune transversală variabilă pentru asigurarea unei securităţi energetice</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6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 xml:space="preserve">Nr. 5948  Elaborarea unor metode biologice de protecţie a legumelor de seră împotriva nematodelor parazite periculoase </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3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P461</w:t>
            </w:r>
            <w:r w:rsidRPr="00200D31">
              <w:rPr>
                <w:color w:val="000000"/>
                <w:sz w:val="20"/>
                <w:szCs w:val="20"/>
                <w:lang w:val="ro-RO"/>
              </w:rPr>
              <w:t> </w:t>
            </w:r>
            <w:r w:rsidRPr="00200D31">
              <w:rPr>
                <w:rFonts w:ascii="Times New Roman" w:hAnsi="Times New Roman"/>
                <w:color w:val="000000"/>
                <w:sz w:val="20"/>
                <w:szCs w:val="20"/>
                <w:lang w:val="ro-RO"/>
              </w:rPr>
              <w:t>Enhancing National Capabilities and Expertise in Nuclear Forensics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BSEC-HDF / RES 2011-02. TESUWKERC „Technological system based on the utilization of water kinetikal energy for rural consumers”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BSEC/PDF/0025/08.2012 „Experimental Deployment of an Integrated Grid and Cloud Enabled Environment in BSEC Countries on the Base of g-Eclipse” - BSEC gEclipseGrid</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2.2.1.74459.339 “BSB Net-Eco” , „Research networking for the environmental monitoring and mitigation of adverse ecological effects in the Black Sea Basin”</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2.2.1 73767.309 BSB SciNetNatHazPrev, „A Scientific network for earthquake, landslide and flood hazard prevention”</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2.3.1. 77580.343, MIC-ETC 2632, BSB, Nr. 48956/ 18.06.2013, CULTURe EXchange Platform (CULTUR-EXP)</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2.2.3.72546.202 MIS-ETC 2177, 445238 CISWastewater „Continous improvement strategz for increasing the efficiencz of wastewaters treatment facilities in the Black Sea coastal states”</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MIS-ETC 937 nr.1/3/128, „Cross-border initiative for developing playful topiary art for education and leisure”</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MIS-ETC 933, „Cross-border educational exchanges in European studies-favourable framework in the diminishing of the border effects at the eastern frontier of the EU”</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MIS – ETC: 946, HES – CODE „Cross-border cooperation for common needs: Health, Environment, Sport”</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MIS ETC 1676 UE Cross border interdisciplinary cooperation for the prevention of natural disasters and mitigation of environmental pollution in Lower Danube Euroregion</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CE / 5203/ 675 Resources pilot centre for cross border preservation of the aquatic biodiversity of Prut River</w:t>
            </w:r>
          </w:p>
        </w:tc>
        <w:tc>
          <w:tcPr>
            <w:tcW w:w="834" w:type="pct"/>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MIS-ETC 2641Partajarea colectiva a competentelor de la cercetatori la fermieri pentru exploatarea durabila si ecologica a protectiei agricole si mediului (ECO-AGRI)”</w:t>
            </w:r>
          </w:p>
        </w:tc>
        <w:tc>
          <w:tcPr>
            <w:tcW w:w="834" w:type="pct"/>
            <w:tcBorders>
              <w:top w:val="single" w:sz="4" w:space="0" w:color="auto"/>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MIS-ETC 1549 „Promovarea productiei sustenabile si implementarea bunelor practice in fermele de bovine din regiunea transfrontaliera RO-MD-UK”</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SfP EAP.SFPP-9884403 „Technical Advances to Detect and Remove Contaminants in Water for Safety and Security”</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18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 xml:space="preserve">SFP-981186, Clean-up of Chemicals in Moldova </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SfP-983287 „Landslide Susceptibility Assessment in the Central Part of the Republic of Moldova”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FN 30633z „Development of an integrated transboundary River Basin Management Plan of the Prut Basin within the limits of Ukraine and Moldova”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*Parţial</w:t>
            </w:r>
          </w:p>
        </w:tc>
      </w:tr>
      <w:tr w:rsidR="00046A30" w:rsidRPr="00200D31" w:rsidTr="00767200">
        <w:trPr>
          <w:gridBefore w:val="1"/>
          <w:wBefore w:w="8" w:type="pct"/>
          <w:trHeight w:val="43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Dezvoltarea unui Laborator lingofonic în USMF „Nicolae Testemiţeanu”, 07/11/M</w:t>
            </w:r>
          </w:p>
        </w:tc>
        <w:tc>
          <w:tcPr>
            <w:tcW w:w="834" w:type="pct"/>
            <w:tcBorders>
              <w:top w:val="single" w:sz="4" w:space="0" w:color="000000"/>
              <w:left w:val="single" w:sz="4" w:space="0" w:color="auto"/>
              <w:bottom w:val="single" w:sz="4" w:space="0" w:color="auto"/>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Matra/MD/11/6 „Abordarea multidisciplinară şi atitudine adecvată către procesul de îmbătrînire în Republica Moldova”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CISCO SYSTEMS Inc., USA; Best Practice Sharing 3023643/02/14/01, „Supporting Ministry of Education Strategy for Developing ICT Education”</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gridBefore w:val="1"/>
          <w:wBefore w:w="8" w:type="pct"/>
          <w:trHeight w:val="5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0" w:type="auto"/>
            <w:gridSpan w:val="2"/>
            <w:vMerge/>
            <w:tcBorders>
              <w:top w:val="single" w:sz="4" w:space="0" w:color="auto"/>
              <w:left w:val="single" w:sz="4" w:space="0" w:color="auto"/>
              <w:bottom w:val="single" w:sz="4" w:space="0" w:color="auto"/>
              <w:right w:val="nil"/>
            </w:tcBorders>
            <w:vAlign w:val="center"/>
          </w:tcPr>
          <w:p w:rsidR="00046A30" w:rsidRPr="00200D31" w:rsidRDefault="00046A30" w:rsidP="00767200">
            <w:pPr>
              <w:spacing w:after="0" w:line="240" w:lineRule="auto"/>
              <w:rPr>
                <w:rFonts w:ascii="Times New Roman" w:hAnsi="Times New Roman"/>
                <w:color w:val="000000"/>
                <w:sz w:val="20"/>
                <w:szCs w:val="20"/>
                <w:lang w:val="ro-RO"/>
              </w:rPr>
            </w:pPr>
          </w:p>
        </w:tc>
        <w:tc>
          <w:tcPr>
            <w:tcW w:w="2549" w:type="pct"/>
            <w:gridSpan w:val="2"/>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CISCO SYSTEMS Inc., USA; Best Practice Sharing 3023643/02/14/02, „CCNA D Studies for IT Teachers in Underserved Zones (North and South of Moldova)”</w:t>
            </w:r>
          </w:p>
        </w:tc>
        <w:tc>
          <w:tcPr>
            <w:tcW w:w="834" w:type="pct"/>
            <w:tcBorders>
              <w:top w:val="single" w:sz="4" w:space="0" w:color="000000"/>
              <w:left w:val="single" w:sz="4" w:space="0" w:color="auto"/>
              <w:bottom w:val="single" w:sz="4" w:space="0" w:color="000000"/>
              <w:right w:val="single" w:sz="4" w:space="0" w:color="000000"/>
            </w:tcBorders>
            <w:tcMar>
              <w:top w:w="15" w:type="dxa"/>
              <w:left w:w="28" w:type="dxa"/>
              <w:bottom w:w="15" w:type="dxa"/>
              <w:right w:w="28"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tcBorders>
              <w:top w:val="single" w:sz="6" w:space="0" w:color="000000"/>
              <w:left w:val="single" w:sz="4" w:space="0" w:color="auto"/>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26.</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Institutul de Cercetări şi Amenajări Silvice</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color w:val="000000"/>
                <w:sz w:val="20"/>
                <w:szCs w:val="20"/>
                <w:lang w:val="ro-RO"/>
              </w:rPr>
            </w:pPr>
            <w:r w:rsidRPr="00200D31">
              <w:rPr>
                <w:rFonts w:ascii="Times New Roman" w:hAnsi="Times New Roman"/>
                <w:color w:val="000000"/>
                <w:sz w:val="20"/>
                <w:szCs w:val="20"/>
                <w:lang w:val="ro-RO"/>
              </w:rPr>
              <w:t>Grantul nr.TF093088</w:t>
            </w:r>
          </w:p>
        </w:tc>
        <w:tc>
          <w:tcPr>
            <w:tcW w:w="841" w:type="pct"/>
            <w:gridSpan w:val="2"/>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27.</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Guvernul României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dintre Guvernul Republicii Moldova şi Guvernul României privind implementarea programului de asistenţă tehnică şi financiară în baza unui ajutor financiar nerambursabil în valoare de 100 milioane de euro acordat de România Republicii Moldova, ratificat prin Legea nr.133 din 1 iulie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28.</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Cancelaria de Stat – Centrul de Guvernare Electronică</w:t>
            </w:r>
            <w:r w:rsidRPr="00200D31">
              <w:rPr>
                <w:rFonts w:ascii="Times New Roman" w:hAnsi="Times New Roman"/>
                <w:sz w:val="20"/>
                <w:szCs w:val="20"/>
                <w:lang w:val="ro-RO"/>
              </w:rPr>
              <w:br/>
              <w:t>Proiectul „e-Transformare a Guvernării”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finanţare dintre Republica Moldova şi Asociaţia Internaţională pentru Dezvoltare „Creditul nr.5000-MD, pentru realizarea Proiectului „e-Transformare a Guvernului”, Legea nr.173 din 28 iulie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29.</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Instituţia Publică „Unitatea consolidată pentru implementarea şi monitorizarea</w:t>
            </w:r>
            <w:r w:rsidRPr="00200D31">
              <w:rPr>
                <w:rFonts w:ascii="Times New Roman" w:hAnsi="Times New Roman"/>
                <w:sz w:val="20"/>
                <w:szCs w:val="20"/>
                <w:lang w:val="ro-RO"/>
              </w:rPr>
              <w:br/>
              <w:t>Programului de restructurare a sectorului vitivinicol”</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Contractul de finanţare dintre Republica Moldova şi Banca Europeană de Investiţii (Programul de restructurare a sectorului vitivinicol), FI nr.25.853 (MD) Serapis nr.2010-0484, Legea nr.70 din 7 aprilie 2011</w:t>
            </w:r>
            <w:r w:rsidRPr="00200D31">
              <w:rPr>
                <w:rFonts w:ascii="Times New Roman" w:hAnsi="Times New Roman"/>
                <w:sz w:val="20"/>
                <w:szCs w:val="20"/>
                <w:lang w:val="ro-RO"/>
              </w:rPr>
              <w:br/>
              <w:t>Acordul-memorandum dintre Ministerul Agriculturii şi Industriei Alimentare al Republicii Moldova şi Associazione Sviluppo Culturale &amp; Promozione Italianita din Republica Italiană, semnat la 30 iunie 2011 şi Amendamentul din 1 august 2011</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30.</w:t>
            </w:r>
          </w:p>
        </w:tc>
        <w:tc>
          <w:tcPr>
            <w:tcW w:w="1395"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Ministerul Muncii, Protecţiei Sociale şi Familiei</w:t>
            </w:r>
            <w:r w:rsidRPr="00200D31">
              <w:rPr>
                <w:rFonts w:ascii="Times New Roman" w:hAnsi="Times New Roman"/>
                <w:sz w:val="20"/>
                <w:szCs w:val="20"/>
                <w:lang w:val="ro-RO"/>
              </w:rPr>
              <w:br/>
              <w:t>Proiectul „Consolidarea eficacităţii reţelei de asistenţă socială”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 xml:space="preserve">Acordul de finanţare dintre Republica Moldova şi Asociaţia Internaţională pentru Dezvoltare în vederea realizării proiectului “Consolidarea eficacităţii reţelei de asistenţă socială” (credit nr.5001-MD), ratificat prin Legea nr.174 din 28 iulie 2011 </w:t>
            </w:r>
          </w:p>
        </w:tc>
        <w:tc>
          <w:tcPr>
            <w:tcW w:w="84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9A5651" w:rsidTr="00767200">
        <w:trPr>
          <w:trHeight w:val="1162"/>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13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„Îmbunătăţirea echipamentului în Casa-internat pentru copii cu deficienţe mintale din or.Orhei”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grant dintre Ambasada Japoniei în Republica Moldova şi Casa-internat pentru copii cu deficienţe mintale din or.Orhei din 27 ianuarie 2012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31.</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Ministerul Dezvoltării Regionale şi Construcţiilor</w:t>
            </w:r>
            <w:r w:rsidRPr="00200D31">
              <w:rPr>
                <w:rFonts w:ascii="Times New Roman" w:hAnsi="Times New Roman"/>
                <w:sz w:val="20"/>
                <w:szCs w:val="20"/>
                <w:lang w:val="ro-RO"/>
              </w:rPr>
              <w:br/>
              <w:t>Proiectul de construcţie a locuinţelor pentru păturile socialmente vulnerabile II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Acordul-cadru de împrumut dintre Republica Moldova şi Banca de Dezvoltare a Consiliului Europei întru realizarea Proiectului de construcţii a locuinţelor pentru păturile socialmente vulnerabile II (nr.F/P 1756(2011)), ratificat prin Legea nr.182 din 11 iulie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32.</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Întreprinderea de Stat „Moldelectrica” – Proiectul „Transportul energiei electrice de către „Moldelectrica”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Contractul de finanţare dintre Republica Moldova şi Banca Europeană de Investiţii în scopul realizării Proiectului „Transportul energiei electrice de către „Moldelectrica”, nr.FIN nr.81.208 Serapis nr.2011 0140, Legea nr.179 din 11 iulie 2012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33.</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„Dotarea cu calculatoare a căminelor studenţeşti”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cooperare în domeniul economic şi tehnic dintre Guvernul Republicii Moldova şi Guvernul Republicii Populare Chineze, semnat la 14 septembrie 2010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34.</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Ministerul Afacerilor Interne, proiectul „Sistemul de monitorizare a traficului rutier în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cooperare în domeniul economic şi tehnic dintre Guvernul Republicii Moldova şi Guvernul Republicii Populare Chineze, semnat la 17 noiembrie 2008</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trHeight w:val="1064"/>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Notele de schimb dintre Guvernul Republicii Moldova şi Guvernul Republicii Populare Chineze din 14 septembrie 2012 şi 19 noiembrie 2012 cu referire la dotarea cu echipament modern a Serviciului Poliţiei Rutiere</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35.</w:t>
            </w:r>
          </w:p>
        </w:tc>
        <w:tc>
          <w:tcPr>
            <w:tcW w:w="1395"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„Proiectul „Energie şi Biomasă Moldova”, Agenţia pentru Eficienţă în Energetică”</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Acordul de finanţare dintre Guvernul Republicii Moldova şi Comisia Europeană privind proiectul „Energie şi Biomasă”, semnat la 26 noiembrie 2010</w:t>
            </w:r>
          </w:p>
        </w:tc>
        <w:tc>
          <w:tcPr>
            <w:tcW w:w="841"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9A5651" w:rsidTr="00767200">
        <w:trPr>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Contractele de vînzare-cumpărare în rate a utilajului de producere a bricheţilor şi peleţilor, achiziţionate din mijloacele fondului de partener, fondului circulant, încheiate cu beneficiarii Programului de susţinere şi dezvoltare a sectorului producerii combustibilului din biomasă solidă în Republica Moldova, pînă la data de 31 decembrie 2014.</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46A30" w:rsidRPr="00200D31" w:rsidRDefault="00046A30" w:rsidP="00767200">
            <w:pPr>
              <w:spacing w:after="0" w:line="240" w:lineRule="auto"/>
              <w:rPr>
                <w:rFonts w:ascii="Times New Roman" w:hAnsi="Times New Roman"/>
                <w:sz w:val="20"/>
                <w:szCs w:val="20"/>
                <w:lang w:val="ro-RO"/>
              </w:rPr>
            </w:pP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36.</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Curtea de Conturi Proiectul „Consolidarea capacităţii Curţii de Conturi a Republicii Moldova”</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nr.TF 014332</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r w:rsidR="00046A30" w:rsidRPr="00200D31" w:rsidTr="00767200">
        <w:trPr>
          <w:jc w:val="center"/>
        </w:trPr>
        <w:tc>
          <w:tcPr>
            <w:tcW w:w="21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37.</w:t>
            </w:r>
          </w:p>
        </w:tc>
        <w:tc>
          <w:tcPr>
            <w:tcW w:w="139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Unitatea de implementare a proiectului Băncii Mondiale Proiectul de Ameliorare a Competivității II</w:t>
            </w:r>
          </w:p>
        </w:tc>
        <w:tc>
          <w:tcPr>
            <w:tcW w:w="255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46A30" w:rsidRPr="00200D31" w:rsidRDefault="00046A30" w:rsidP="00767200">
            <w:pPr>
              <w:spacing w:after="0" w:line="240" w:lineRule="auto"/>
              <w:rPr>
                <w:rFonts w:ascii="Times New Roman" w:hAnsi="Times New Roman"/>
                <w:sz w:val="20"/>
                <w:szCs w:val="20"/>
                <w:lang w:val="ro-RO"/>
              </w:rPr>
            </w:pPr>
            <w:r w:rsidRPr="00200D31">
              <w:rPr>
                <w:rFonts w:ascii="Times New Roman" w:hAnsi="Times New Roman"/>
                <w:sz w:val="20"/>
                <w:szCs w:val="20"/>
                <w:lang w:val="ro-RO"/>
              </w:rPr>
              <w:t>Grantul TF 016060</w:t>
            </w:r>
          </w:p>
        </w:tc>
        <w:tc>
          <w:tcPr>
            <w:tcW w:w="84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46A30" w:rsidRPr="00200D31" w:rsidRDefault="00046A30" w:rsidP="00767200">
            <w:pPr>
              <w:spacing w:after="0" w:line="240" w:lineRule="auto"/>
              <w:jc w:val="center"/>
              <w:rPr>
                <w:rFonts w:ascii="Times New Roman" w:hAnsi="Times New Roman"/>
                <w:sz w:val="20"/>
                <w:szCs w:val="20"/>
                <w:lang w:val="ro-RO"/>
              </w:rPr>
            </w:pPr>
            <w:r w:rsidRPr="00200D31">
              <w:rPr>
                <w:rFonts w:ascii="Times New Roman" w:hAnsi="Times New Roman"/>
                <w:sz w:val="20"/>
                <w:szCs w:val="20"/>
                <w:lang w:val="ro-RO"/>
              </w:rPr>
              <w:t>Integral”;</w:t>
            </w:r>
          </w:p>
        </w:tc>
      </w:tr>
    </w:tbl>
    <w:p w:rsidR="00046A30" w:rsidRDefault="00046A30">
      <w:pPr>
        <w:rPr>
          <w:lang w:val="en-US"/>
        </w:rPr>
      </w:pP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modificată prin HG545 din 09.07.14, MO178-184/11.07.14 art.581]</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în redacţia HG389 din 28.05.14, MO134-141/30.05.14 art.406]</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în redacţia HG123 din 19.02.14, MO47-48/25.02.14 art.144]</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modificată prin HG1064 din 26.12.13, MO311/27.12.13 art.1169]</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 xml:space="preserve">[Anexa nr.2 în redacţia HG953 din 27.11.13, MO281-283/30.11.13 art.1057] </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modificată prin HG770 din 02.10.13, MO216-220/04.10.13 art.874]</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modificată prin HG565 din 29.07.13, MO167-172/02.08.13 art.661]</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în redacţia HG322 din 30.05.13, MO125-129/14.06.13 art.402]</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modificată prin HG298 din 21.05.13, MO116-118/24.05.13 art.368]</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în redacţia HG205 din 18.03.13, MO60-63/22.03.13 art.259]</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în redacţia HG1028 din 28.12.12, MO6-9/11.01.13 art.38]</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în redacţia HG607 din 15.08.12, MO175-176/21.08.12 art.665]</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în redacţia HG202 din 06.04.12, MO76-80/20.04.12 art.250]</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în redacţia HG1 din 02.01.12, MO1-6/06.01.12 art.19]</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în redacţia HG643 din 26.08.11, MO148-151/09.09.11 art.722]</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modificată prin HG542 din 18.07.11, MO118-121/22.07.11 art.611]</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în redacţia HG367 din 23.05.11, MO87-90/27.05.11 art.427]</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în redacţia HG108 din 21.02.11, MO32-33/25.02.11 art.134]</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modificată prin HG1161 din 20.12.10, MO252-253/21.12.10 art.1276]</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în redacţia HG999 din 19.10.10, MO214-220/05.11.10 art.1123]</w:t>
      </w:r>
    </w:p>
    <w:p w:rsidR="00046A30" w:rsidRPr="009A5651" w:rsidRDefault="00046A30" w:rsidP="009A5651">
      <w:pPr>
        <w:spacing w:after="0" w:line="240" w:lineRule="auto"/>
        <w:ind w:firstLine="540"/>
        <w:rPr>
          <w:rFonts w:ascii="Times New Roman" w:hAnsi="Times New Roman"/>
          <w:i/>
          <w:color w:val="0000FF"/>
          <w:sz w:val="24"/>
          <w:szCs w:val="24"/>
          <w:lang w:val="en-US"/>
        </w:rPr>
      </w:pPr>
      <w:r w:rsidRPr="009A5651">
        <w:rPr>
          <w:rFonts w:ascii="Times New Roman" w:hAnsi="Times New Roman"/>
          <w:i/>
          <w:color w:val="0000FF"/>
          <w:sz w:val="24"/>
          <w:szCs w:val="24"/>
          <w:lang w:val="en-US"/>
        </w:rPr>
        <w:t>[Anexa nr.2 modificată prin HG658 din 22.07.10, MO129-130/27.07.10 art.742]</w:t>
      </w:r>
    </w:p>
    <w:sectPr w:rsidR="00046A30" w:rsidRPr="009A5651" w:rsidSect="00233C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D811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CCC9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59C2F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2686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28A7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A46D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EECB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CA35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CC67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604DA4"/>
    <w:lvl w:ilvl="0">
      <w:start w:val="1"/>
      <w:numFmt w:val="bullet"/>
      <w:lvlText w:val=""/>
      <w:lvlJc w:val="left"/>
      <w:pPr>
        <w:tabs>
          <w:tab w:val="num" w:pos="360"/>
        </w:tabs>
        <w:ind w:left="360" w:hanging="360"/>
      </w:pPr>
      <w:rPr>
        <w:rFonts w:ascii="Symbol" w:hAnsi="Symbol" w:hint="default"/>
      </w:rPr>
    </w:lvl>
  </w:abstractNum>
  <w:abstractNum w:abstractNumId="10">
    <w:nsid w:val="00E5713A"/>
    <w:multiLevelType w:val="hybridMultilevel"/>
    <w:tmpl w:val="EFD0C788"/>
    <w:lvl w:ilvl="0" w:tplc="108899BA">
      <w:start w:val="1"/>
      <w:numFmt w:val="decimal"/>
      <w:lvlText w:val="%1."/>
      <w:lvlJc w:val="center"/>
      <w:pPr>
        <w:tabs>
          <w:tab w:val="num" w:pos="720"/>
        </w:tabs>
        <w:ind w:left="680"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D9B303D"/>
    <w:multiLevelType w:val="multilevel"/>
    <w:tmpl w:val="5F8ABF04"/>
    <w:lvl w:ilvl="0">
      <w:start w:val="1"/>
      <w:numFmt w:val="decimal"/>
      <w:lvlText w:val="%1."/>
      <w:lvlJc w:val="center"/>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D863443"/>
    <w:multiLevelType w:val="multilevel"/>
    <w:tmpl w:val="1D2C676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25A5B59"/>
    <w:multiLevelType w:val="hybridMultilevel"/>
    <w:tmpl w:val="7E26E760"/>
    <w:lvl w:ilvl="0" w:tplc="AC7ED6EA">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73358B0"/>
    <w:multiLevelType w:val="multilevel"/>
    <w:tmpl w:val="4BECFEC4"/>
    <w:lvl w:ilvl="0">
      <w:start w:val="1"/>
      <w:numFmt w:val="decimal"/>
      <w:lvlText w:val="%1."/>
      <w:lvlJc w:val="center"/>
      <w:pPr>
        <w:tabs>
          <w:tab w:val="num" w:pos="720"/>
        </w:tabs>
        <w:ind w:left="680" w:hanging="39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4153E84"/>
    <w:multiLevelType w:val="hybridMultilevel"/>
    <w:tmpl w:val="3984CCB0"/>
    <w:lvl w:ilvl="0" w:tplc="8C8C5AD6">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13"/>
  </w:num>
  <w:num w:numId="2">
    <w:abstractNumId w:val="10"/>
  </w:num>
  <w:num w:numId="3">
    <w:abstractNumId w:val="12"/>
  </w:num>
  <w:num w:numId="4">
    <w:abstractNumId w:val="11"/>
  </w:num>
  <w:num w:numId="5">
    <w:abstractNumId w:val="14"/>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674"/>
    <w:rsid w:val="00046A30"/>
    <w:rsid w:val="00200D31"/>
    <w:rsid w:val="00233C05"/>
    <w:rsid w:val="003B5B28"/>
    <w:rsid w:val="0047505D"/>
    <w:rsid w:val="0059545E"/>
    <w:rsid w:val="00767200"/>
    <w:rsid w:val="009A5651"/>
    <w:rsid w:val="00B50BE2"/>
    <w:rsid w:val="00E00674"/>
    <w:rsid w:val="00E17FD0"/>
    <w:rsid w:val="00EB4438"/>
    <w:rsid w:val="00F33A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05"/>
    <w:pPr>
      <w:spacing w:after="200" w:line="276" w:lineRule="auto"/>
    </w:pPr>
  </w:style>
  <w:style w:type="paragraph" w:styleId="Heading2">
    <w:name w:val="heading 2"/>
    <w:basedOn w:val="Normal"/>
    <w:next w:val="Normal"/>
    <w:link w:val="Heading2Char"/>
    <w:uiPriority w:val="99"/>
    <w:qFormat/>
    <w:rsid w:val="00E00674"/>
    <w:pPr>
      <w:keepNext/>
      <w:spacing w:before="240" w:after="60" w:line="240" w:lineRule="auto"/>
      <w:outlineLvl w:val="1"/>
    </w:pPr>
    <w:rPr>
      <w:rFonts w:ascii="Cambria" w:hAnsi="Cambria"/>
      <w:b/>
      <w:bCs/>
      <w:i/>
      <w:i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00674"/>
    <w:rPr>
      <w:rFonts w:ascii="Cambria" w:hAnsi="Cambria" w:cs="Times New Roman"/>
      <w:b/>
      <w:bCs/>
      <w:i/>
      <w:iCs/>
      <w:sz w:val="28"/>
      <w:szCs w:val="28"/>
      <w:lang w:val="en-US" w:eastAsia="en-US"/>
    </w:rPr>
  </w:style>
  <w:style w:type="character" w:styleId="Hyperlink">
    <w:name w:val="Hyperlink"/>
    <w:basedOn w:val="DefaultParagraphFont"/>
    <w:uiPriority w:val="99"/>
    <w:rsid w:val="00E00674"/>
    <w:rPr>
      <w:rFonts w:cs="Times New Roman"/>
      <w:color w:val="0000FF"/>
      <w:u w:val="single"/>
    </w:rPr>
  </w:style>
  <w:style w:type="paragraph" w:styleId="ListParagraph">
    <w:name w:val="List Paragraph"/>
    <w:basedOn w:val="Normal"/>
    <w:uiPriority w:val="99"/>
    <w:qFormat/>
    <w:rsid w:val="00E00674"/>
    <w:pPr>
      <w:ind w:left="720"/>
      <w:contextualSpacing/>
    </w:pPr>
    <w:rPr>
      <w:lang w:eastAsia="zh-CN"/>
    </w:rPr>
  </w:style>
  <w:style w:type="paragraph" w:styleId="Header">
    <w:name w:val="header"/>
    <w:basedOn w:val="Normal"/>
    <w:link w:val="HeaderChar"/>
    <w:uiPriority w:val="99"/>
    <w:rsid w:val="00E00674"/>
    <w:pPr>
      <w:tabs>
        <w:tab w:val="center" w:pos="4680"/>
        <w:tab w:val="right" w:pos="9360"/>
      </w:tabs>
      <w:spacing w:after="0" w:line="240" w:lineRule="auto"/>
    </w:pPr>
    <w:rPr>
      <w:lang w:eastAsia="zh-CN"/>
    </w:rPr>
  </w:style>
  <w:style w:type="character" w:customStyle="1" w:styleId="HeaderChar">
    <w:name w:val="Header Char"/>
    <w:basedOn w:val="DefaultParagraphFont"/>
    <w:link w:val="Header"/>
    <w:uiPriority w:val="99"/>
    <w:locked/>
    <w:rsid w:val="00E00674"/>
    <w:rPr>
      <w:rFonts w:cs="Times New Roman"/>
      <w:lang w:eastAsia="zh-CN"/>
    </w:rPr>
  </w:style>
  <w:style w:type="paragraph" w:styleId="Footer">
    <w:name w:val="footer"/>
    <w:basedOn w:val="Normal"/>
    <w:link w:val="FooterChar"/>
    <w:uiPriority w:val="99"/>
    <w:rsid w:val="00E00674"/>
    <w:pPr>
      <w:tabs>
        <w:tab w:val="center" w:pos="4680"/>
        <w:tab w:val="right" w:pos="9360"/>
      </w:tabs>
      <w:spacing w:after="0" w:line="240" w:lineRule="auto"/>
    </w:pPr>
    <w:rPr>
      <w:lang w:eastAsia="zh-CN"/>
    </w:rPr>
  </w:style>
  <w:style w:type="character" w:customStyle="1" w:styleId="FooterChar">
    <w:name w:val="Footer Char"/>
    <w:basedOn w:val="DefaultParagraphFont"/>
    <w:link w:val="Footer"/>
    <w:uiPriority w:val="99"/>
    <w:locked/>
    <w:rsid w:val="00E00674"/>
    <w:rPr>
      <w:rFonts w:cs="Times New Roman"/>
      <w:lang w:eastAsia="zh-CN"/>
    </w:rPr>
  </w:style>
  <w:style w:type="paragraph" w:styleId="BalloonText">
    <w:name w:val="Balloon Text"/>
    <w:basedOn w:val="Normal"/>
    <w:link w:val="BalloonTextChar"/>
    <w:uiPriority w:val="99"/>
    <w:semiHidden/>
    <w:rsid w:val="00E00674"/>
    <w:pPr>
      <w:spacing w:after="0"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locked/>
    <w:rsid w:val="00E00674"/>
    <w:rPr>
      <w:rFonts w:ascii="Tahoma" w:hAnsi="Tahoma" w:cs="Tahoma"/>
      <w:sz w:val="16"/>
      <w:szCs w:val="16"/>
      <w:lang w:eastAsia="zh-CN"/>
    </w:rPr>
  </w:style>
  <w:style w:type="paragraph" w:styleId="NormalWeb">
    <w:name w:val="Normal (Web)"/>
    <w:basedOn w:val="Normal"/>
    <w:uiPriority w:val="99"/>
    <w:rsid w:val="00E00674"/>
    <w:pPr>
      <w:spacing w:after="0" w:line="240" w:lineRule="auto"/>
      <w:ind w:firstLine="567"/>
      <w:jc w:val="both"/>
    </w:pPr>
    <w:rPr>
      <w:rFonts w:ascii="Times New Roman" w:eastAsia="SimSun" w:hAnsi="Times New Roman"/>
      <w:sz w:val="24"/>
      <w:szCs w:val="24"/>
      <w:lang w:val="ro-RO"/>
    </w:rPr>
  </w:style>
  <w:style w:type="paragraph" w:customStyle="1" w:styleId="forma">
    <w:name w:val="forma"/>
    <w:basedOn w:val="Normal"/>
    <w:uiPriority w:val="99"/>
    <w:rsid w:val="00E00674"/>
    <w:pPr>
      <w:spacing w:after="0" w:line="240" w:lineRule="auto"/>
      <w:ind w:firstLine="567"/>
      <w:jc w:val="both"/>
    </w:pPr>
    <w:rPr>
      <w:rFonts w:ascii="Arial" w:eastAsia="SimSun" w:hAnsi="Arial" w:cs="Arial"/>
      <w:sz w:val="20"/>
      <w:szCs w:val="20"/>
      <w:lang w:val="ro-RO"/>
    </w:rPr>
  </w:style>
  <w:style w:type="paragraph" w:customStyle="1" w:styleId="tt">
    <w:name w:val="tt"/>
    <w:basedOn w:val="Normal"/>
    <w:uiPriority w:val="99"/>
    <w:rsid w:val="00E00674"/>
    <w:pPr>
      <w:spacing w:after="0" w:line="240" w:lineRule="auto"/>
      <w:jc w:val="center"/>
    </w:pPr>
    <w:rPr>
      <w:rFonts w:ascii="Times New Roman" w:eastAsia="SimSun" w:hAnsi="Times New Roman"/>
      <w:b/>
      <w:bCs/>
      <w:sz w:val="24"/>
      <w:szCs w:val="24"/>
      <w:lang w:val="ro-RO"/>
    </w:rPr>
  </w:style>
  <w:style w:type="paragraph" w:customStyle="1" w:styleId="pb">
    <w:name w:val="pb"/>
    <w:basedOn w:val="Normal"/>
    <w:uiPriority w:val="99"/>
    <w:rsid w:val="00E00674"/>
    <w:pPr>
      <w:spacing w:after="0" w:line="240" w:lineRule="auto"/>
      <w:jc w:val="center"/>
    </w:pPr>
    <w:rPr>
      <w:rFonts w:ascii="Times New Roman" w:eastAsia="SimSun" w:hAnsi="Times New Roman"/>
      <w:i/>
      <w:iCs/>
      <w:color w:val="663300"/>
      <w:sz w:val="20"/>
      <w:szCs w:val="20"/>
      <w:lang w:val="ro-RO"/>
    </w:rPr>
  </w:style>
  <w:style w:type="paragraph" w:customStyle="1" w:styleId="cu">
    <w:name w:val="cu"/>
    <w:basedOn w:val="Normal"/>
    <w:uiPriority w:val="99"/>
    <w:rsid w:val="00E00674"/>
    <w:pPr>
      <w:spacing w:before="45" w:after="0" w:line="240" w:lineRule="auto"/>
      <w:ind w:left="1134" w:right="567" w:hanging="567"/>
      <w:jc w:val="both"/>
    </w:pPr>
    <w:rPr>
      <w:rFonts w:ascii="Times New Roman" w:eastAsia="SimSun" w:hAnsi="Times New Roman"/>
      <w:sz w:val="20"/>
      <w:szCs w:val="20"/>
      <w:lang w:val="ro-RO"/>
    </w:rPr>
  </w:style>
  <w:style w:type="paragraph" w:customStyle="1" w:styleId="cut">
    <w:name w:val="cut"/>
    <w:basedOn w:val="Normal"/>
    <w:uiPriority w:val="99"/>
    <w:rsid w:val="00E00674"/>
    <w:pPr>
      <w:spacing w:after="0" w:line="240" w:lineRule="auto"/>
      <w:ind w:left="567" w:right="567" w:firstLine="567"/>
      <w:jc w:val="center"/>
    </w:pPr>
    <w:rPr>
      <w:rFonts w:ascii="Times New Roman" w:eastAsia="SimSun" w:hAnsi="Times New Roman"/>
      <w:b/>
      <w:bCs/>
      <w:sz w:val="20"/>
      <w:szCs w:val="20"/>
      <w:lang w:val="ro-RO"/>
    </w:rPr>
  </w:style>
  <w:style w:type="paragraph" w:customStyle="1" w:styleId="cp">
    <w:name w:val="cp"/>
    <w:basedOn w:val="Normal"/>
    <w:uiPriority w:val="99"/>
    <w:rsid w:val="00E00674"/>
    <w:pPr>
      <w:spacing w:after="0" w:line="240" w:lineRule="auto"/>
      <w:jc w:val="center"/>
    </w:pPr>
    <w:rPr>
      <w:rFonts w:ascii="Times New Roman" w:eastAsia="SimSun" w:hAnsi="Times New Roman"/>
      <w:b/>
      <w:bCs/>
      <w:sz w:val="24"/>
      <w:szCs w:val="24"/>
      <w:lang w:val="ro-RO"/>
    </w:rPr>
  </w:style>
  <w:style w:type="paragraph" w:customStyle="1" w:styleId="nt">
    <w:name w:val="nt"/>
    <w:basedOn w:val="Normal"/>
    <w:uiPriority w:val="99"/>
    <w:rsid w:val="00E00674"/>
    <w:pPr>
      <w:spacing w:after="0" w:line="240" w:lineRule="auto"/>
      <w:ind w:left="567" w:right="567" w:hanging="567"/>
      <w:jc w:val="both"/>
    </w:pPr>
    <w:rPr>
      <w:rFonts w:ascii="Times New Roman" w:eastAsia="SimSun" w:hAnsi="Times New Roman"/>
      <w:i/>
      <w:iCs/>
      <w:color w:val="663300"/>
      <w:sz w:val="20"/>
      <w:szCs w:val="20"/>
      <w:lang w:val="ro-RO"/>
    </w:rPr>
  </w:style>
  <w:style w:type="paragraph" w:customStyle="1" w:styleId="md">
    <w:name w:val="md"/>
    <w:basedOn w:val="Normal"/>
    <w:uiPriority w:val="99"/>
    <w:rsid w:val="00E00674"/>
    <w:pPr>
      <w:spacing w:after="0" w:line="240" w:lineRule="auto"/>
      <w:ind w:firstLine="567"/>
      <w:jc w:val="both"/>
    </w:pPr>
    <w:rPr>
      <w:rFonts w:ascii="Times New Roman" w:eastAsia="SimSun" w:hAnsi="Times New Roman"/>
      <w:i/>
      <w:iCs/>
      <w:color w:val="663300"/>
      <w:sz w:val="20"/>
      <w:szCs w:val="20"/>
      <w:lang w:val="ro-RO"/>
    </w:rPr>
  </w:style>
  <w:style w:type="paragraph" w:customStyle="1" w:styleId="sm">
    <w:name w:val="sm"/>
    <w:basedOn w:val="Normal"/>
    <w:uiPriority w:val="99"/>
    <w:rsid w:val="00E00674"/>
    <w:pPr>
      <w:spacing w:after="0" w:line="240" w:lineRule="auto"/>
      <w:ind w:firstLine="567"/>
    </w:pPr>
    <w:rPr>
      <w:rFonts w:ascii="Times New Roman" w:eastAsia="SimSun" w:hAnsi="Times New Roman"/>
      <w:b/>
      <w:bCs/>
      <w:sz w:val="20"/>
      <w:szCs w:val="20"/>
      <w:lang w:val="ro-RO"/>
    </w:rPr>
  </w:style>
  <w:style w:type="paragraph" w:customStyle="1" w:styleId="cn">
    <w:name w:val="cn"/>
    <w:basedOn w:val="Normal"/>
    <w:uiPriority w:val="99"/>
    <w:rsid w:val="00E00674"/>
    <w:pPr>
      <w:spacing w:after="0" w:line="240" w:lineRule="auto"/>
      <w:jc w:val="center"/>
    </w:pPr>
    <w:rPr>
      <w:rFonts w:ascii="Times New Roman" w:eastAsia="SimSun" w:hAnsi="Times New Roman"/>
      <w:sz w:val="24"/>
      <w:szCs w:val="24"/>
      <w:lang w:val="ro-RO"/>
    </w:rPr>
  </w:style>
  <w:style w:type="paragraph" w:customStyle="1" w:styleId="cb">
    <w:name w:val="cb"/>
    <w:basedOn w:val="Normal"/>
    <w:uiPriority w:val="99"/>
    <w:rsid w:val="00E00674"/>
    <w:pPr>
      <w:spacing w:after="0" w:line="240" w:lineRule="auto"/>
      <w:jc w:val="center"/>
    </w:pPr>
    <w:rPr>
      <w:rFonts w:ascii="Times New Roman" w:eastAsia="SimSun" w:hAnsi="Times New Roman"/>
      <w:b/>
      <w:bCs/>
      <w:sz w:val="24"/>
      <w:szCs w:val="24"/>
      <w:lang w:val="ro-RO"/>
    </w:rPr>
  </w:style>
  <w:style w:type="paragraph" w:customStyle="1" w:styleId="rg">
    <w:name w:val="rg"/>
    <w:basedOn w:val="Normal"/>
    <w:uiPriority w:val="99"/>
    <w:rsid w:val="00E00674"/>
    <w:pPr>
      <w:spacing w:after="0" w:line="240" w:lineRule="auto"/>
      <w:jc w:val="right"/>
    </w:pPr>
    <w:rPr>
      <w:rFonts w:ascii="Times New Roman" w:eastAsia="SimSun" w:hAnsi="Times New Roman"/>
      <w:sz w:val="24"/>
      <w:szCs w:val="24"/>
      <w:lang w:val="ro-RO"/>
    </w:rPr>
  </w:style>
  <w:style w:type="paragraph" w:customStyle="1" w:styleId="js">
    <w:name w:val="js"/>
    <w:basedOn w:val="Normal"/>
    <w:uiPriority w:val="99"/>
    <w:rsid w:val="00E00674"/>
    <w:pPr>
      <w:spacing w:after="0" w:line="240" w:lineRule="auto"/>
      <w:jc w:val="both"/>
    </w:pPr>
    <w:rPr>
      <w:rFonts w:ascii="Times New Roman" w:eastAsia="SimSun" w:hAnsi="Times New Roman"/>
      <w:sz w:val="24"/>
      <w:szCs w:val="24"/>
      <w:lang w:val="ro-RO"/>
    </w:rPr>
  </w:style>
  <w:style w:type="paragraph" w:customStyle="1" w:styleId="lf">
    <w:name w:val="lf"/>
    <w:basedOn w:val="Normal"/>
    <w:uiPriority w:val="99"/>
    <w:rsid w:val="00E00674"/>
    <w:pPr>
      <w:spacing w:after="0" w:line="240" w:lineRule="auto"/>
    </w:pPr>
    <w:rPr>
      <w:rFonts w:ascii="Times New Roman" w:eastAsia="SimSun" w:hAnsi="Times New Roman"/>
      <w:sz w:val="24"/>
      <w:szCs w:val="24"/>
      <w:lang w:val="ro-RO"/>
    </w:rPr>
  </w:style>
  <w:style w:type="character" w:styleId="PageNumber">
    <w:name w:val="page number"/>
    <w:basedOn w:val="DefaultParagraphFont"/>
    <w:uiPriority w:val="99"/>
    <w:rsid w:val="00E00674"/>
    <w:rPr>
      <w:rFonts w:cs="Times New Roman"/>
    </w:rPr>
  </w:style>
  <w:style w:type="paragraph" w:styleId="HTMLPreformatted">
    <w:name w:val="HTML Preformatted"/>
    <w:basedOn w:val="Normal"/>
    <w:link w:val="HTMLPreformattedChar"/>
    <w:uiPriority w:val="99"/>
    <w:rsid w:val="00E0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E00674"/>
    <w:rPr>
      <w:rFonts w:ascii="Courier New" w:hAnsi="Courier New" w:cs="Times New Roman"/>
      <w:sz w:val="20"/>
      <w:szCs w:val="20"/>
    </w:rPr>
  </w:style>
  <w:style w:type="character" w:customStyle="1" w:styleId="apple-converted-space">
    <w:name w:val="apple-converted-space"/>
    <w:basedOn w:val="DefaultParagraphFont"/>
    <w:uiPriority w:val="99"/>
    <w:rsid w:val="00E00674"/>
    <w:rPr>
      <w:rFonts w:cs="Times New Roman"/>
    </w:rPr>
  </w:style>
  <w:style w:type="character" w:customStyle="1" w:styleId="hps">
    <w:name w:val="hps"/>
    <w:basedOn w:val="DefaultParagraphFont"/>
    <w:uiPriority w:val="99"/>
    <w:rsid w:val="00E00674"/>
    <w:rPr>
      <w:rFonts w:cs="Times New Roman"/>
    </w:rPr>
  </w:style>
  <w:style w:type="paragraph" w:customStyle="1" w:styleId="news">
    <w:name w:val="news"/>
    <w:basedOn w:val="Normal"/>
    <w:uiPriority w:val="99"/>
    <w:rsid w:val="00E00674"/>
    <w:pPr>
      <w:spacing w:after="0" w:line="240" w:lineRule="auto"/>
    </w:pPr>
    <w:rPr>
      <w:rFonts w:ascii="Arial" w:hAnsi="Arial" w:cs="Arial"/>
      <w:sz w:val="20"/>
      <w:szCs w:val="20"/>
      <w:lang w:val="ro-RO"/>
    </w:rPr>
  </w:style>
  <w:style w:type="character" w:styleId="FollowedHyperlink">
    <w:name w:val="FollowedHyperlink"/>
    <w:basedOn w:val="DefaultParagraphFont"/>
    <w:uiPriority w:val="99"/>
    <w:semiHidden/>
    <w:rsid w:val="00E00674"/>
    <w:rPr>
      <w:rFonts w:cs="Times New Roman"/>
      <w:color w:val="800080"/>
      <w:u w:val="single"/>
    </w:rPr>
  </w:style>
  <w:style w:type="paragraph" w:customStyle="1" w:styleId="CharChar">
    <w:name w:val="Знак Знак Char Char Знак"/>
    <w:basedOn w:val="Normal"/>
    <w:uiPriority w:val="99"/>
    <w:rsid w:val="00767200"/>
    <w:pPr>
      <w:spacing w:after="160" w:line="240" w:lineRule="exact"/>
    </w:pPr>
    <w:rPr>
      <w:rFonts w:ascii="Arial" w:eastAsia="Batang" w:hAnsi="Arial" w:cs="Arial"/>
      <w:sz w:val="20"/>
      <w:szCs w:val="20"/>
      <w:lang w:val="ro-MO" w:eastAsia="en-US"/>
    </w:rPr>
  </w:style>
  <w:style w:type="character" w:customStyle="1" w:styleId="docblue">
    <w:name w:val="doc_blue"/>
    <w:basedOn w:val="DefaultParagraphFont"/>
    <w:uiPriority w:val="99"/>
    <w:rsid w:val="009A5651"/>
    <w:rPr>
      <w:rFonts w:cs="Times New Roman"/>
    </w:rPr>
  </w:style>
  <w:style w:type="character" w:styleId="Emphasis">
    <w:name w:val="Emphasis"/>
    <w:basedOn w:val="DefaultParagraphFont"/>
    <w:uiPriority w:val="99"/>
    <w:qFormat/>
    <w:locked/>
    <w:rsid w:val="009A5651"/>
    <w:rPr>
      <w:rFonts w:cs="Times New Roman"/>
      <w:i/>
      <w:iCs/>
    </w:rPr>
  </w:style>
</w:styles>
</file>

<file path=word/webSettings.xml><?xml version="1.0" encoding="utf-8"?>
<w:webSettings xmlns:r="http://schemas.openxmlformats.org/officeDocument/2006/relationships" xmlns:w="http://schemas.openxmlformats.org/wordprocessingml/2006/main">
  <w:divs>
    <w:div w:id="527181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1052;&#1086;&#1080;%20&#1076;&#1086;&#1082;&#1091;&#1084;&#1077;&#1085;&#1090;&#1099;\&#1052;&#1086;&#1080;%20&#1076;&#1086;&#1082;&#1091;&#1084;&#1077;&#1085;&#1090;&#1099;\&#1052;&#1086;&#1080;%20&#1076;&#1086;&#1082;&#1091;&#1084;&#1077;&#1085;&#1090;&#1099;\Downloads\TEXT=HGHG20100818746" TargetMode="External"/><Relationship Id="rId3" Type="http://schemas.openxmlformats.org/officeDocument/2006/relationships/settings" Target="settings.xml"/><Relationship Id="rId7" Type="http://schemas.openxmlformats.org/officeDocument/2006/relationships/hyperlink" Target="file:///C:\Documents%20and%20Settings\Admin\&#1052;&#1086;&#1080;%20&#1076;&#1086;&#1082;&#1091;&#1084;&#1077;&#1085;&#1090;&#1099;\&#1052;&#1086;&#1080;%20&#1076;&#1086;&#1082;&#1091;&#1084;&#1077;&#1085;&#1090;&#1099;\&#1052;&#1086;&#1080;%20&#1076;&#1086;&#1082;&#1091;&#1084;&#1077;&#1085;&#1090;&#1099;\&#1052;&#1086;&#1080;%20&#1076;&#1086;&#1082;&#1091;&#1084;&#1077;&#1085;&#1090;&#1099;\Downloads\TEXT=LPLP200112287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Admin\&#1052;&#1086;&#1080;%20&#1076;&#1086;&#1082;&#1091;&#1084;&#1077;&#1085;&#1090;&#1099;\&#1052;&#1086;&#1080;%20&#1076;&#1086;&#1082;&#1091;&#1084;&#1077;&#1085;&#1090;&#1099;\&#1052;&#1086;&#1080;%20&#1076;&#1086;&#1082;&#1091;&#1084;&#1077;&#1085;&#1090;&#1099;\&#1052;&#1086;&#1080;%20&#1076;&#1086;&#1082;&#1091;&#1084;&#1077;&#1085;&#1090;&#1099;\Downloads\TEXT=LPLP20061227426" TargetMode="External"/><Relationship Id="rId11" Type="http://schemas.openxmlformats.org/officeDocument/2006/relationships/theme" Target="theme/theme1.xml"/><Relationship Id="rId5" Type="http://schemas.openxmlformats.org/officeDocument/2006/relationships/hyperlink" Target="file:///C:\Documents%20and%20Settings\Admin\&#1052;&#1086;&#1080;%20&#1076;&#1086;&#1082;&#1091;&#1084;&#1077;&#1085;&#1090;&#1099;\&#1052;&#1086;&#1080;%20&#1076;&#1086;&#1082;&#1091;&#1084;&#1077;&#1085;&#1090;&#1099;\&#1052;&#1086;&#1080;%20&#1076;&#1086;&#1082;&#1091;&#1084;&#1077;&#1085;&#1090;&#1099;\&#1052;&#1086;&#1080;%20&#1076;&#1086;&#1082;&#1091;&#1084;&#1077;&#1085;&#1090;&#1099;\Downloads\TEXT=LPLP2000073112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Admin\&#1052;&#1086;&#1080;%20&#1076;&#1086;&#1082;&#1091;&#1084;&#1077;&#1085;&#1090;&#1099;\&#1052;&#1086;&#1080;%20&#1076;&#1086;&#1082;&#1091;&#1084;&#1077;&#1085;&#1090;&#1099;\&#1052;&#1086;&#1080;%20&#1076;&#1086;&#1082;&#1091;&#1084;&#1077;&#1085;&#1090;&#1099;\&#1052;&#1086;&#1080;%20&#1076;&#1086;&#1082;&#1091;&#1084;&#1077;&#1085;&#1090;&#1099;\Downloads\TEXT=LPLP20031218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6165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2014-07-16T08:05:00Z</dcterms:created>
  <dcterms:modified xsi:type="dcterms:W3CDTF">2014-09-16T08:51:00Z</dcterms:modified>
</cp:coreProperties>
</file>