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DA" w:rsidRDefault="00F84DDA" w:rsidP="009F72AA">
      <w:pPr>
        <w:spacing w:after="0" w:line="240" w:lineRule="auto"/>
        <w:ind w:hanging="142"/>
        <w:jc w:val="right"/>
        <w:rPr>
          <w:rFonts w:ascii="Times New Roman" w:hAnsi="Times New Roman"/>
          <w:sz w:val="24"/>
          <w:szCs w:val="24"/>
          <w:lang w:val="ro-RO"/>
        </w:rPr>
      </w:pPr>
      <w:r>
        <w:rPr>
          <w:rFonts w:ascii="Times New Roman" w:hAnsi="Times New Roman"/>
          <w:sz w:val="24"/>
          <w:szCs w:val="24"/>
          <w:lang w:val="ro-RO"/>
        </w:rPr>
        <w:t xml:space="preserve">Anexa nr.4 </w:t>
      </w:r>
    </w:p>
    <w:p w:rsidR="00F84DDA" w:rsidRDefault="00F84DDA" w:rsidP="009F72AA">
      <w:pPr>
        <w:tabs>
          <w:tab w:val="left" w:pos="810"/>
        </w:tabs>
        <w:spacing w:after="0" w:line="240" w:lineRule="auto"/>
        <w:ind w:hanging="142"/>
        <w:jc w:val="right"/>
        <w:rPr>
          <w:rFonts w:ascii="Times New Roman" w:hAnsi="Times New Roman"/>
          <w:sz w:val="24"/>
          <w:szCs w:val="24"/>
          <w:lang w:val="ro-RO"/>
        </w:rPr>
      </w:pPr>
      <w:smartTag w:uri="urn:schemas-microsoft-com:office:smarttags" w:element="PersonName">
        <w:smartTagPr>
          <w:attr w:name="ProductID" w:val="la Hotărîrea Guvernului"/>
        </w:smartTagPr>
        <w:r>
          <w:rPr>
            <w:rFonts w:ascii="Times New Roman" w:hAnsi="Times New Roman"/>
            <w:sz w:val="24"/>
            <w:szCs w:val="24"/>
            <w:lang w:val="ro-RO"/>
          </w:rPr>
          <w:t>la Hotărîrea Guvernului</w:t>
        </w:r>
      </w:smartTag>
      <w:r>
        <w:rPr>
          <w:rFonts w:ascii="Times New Roman" w:hAnsi="Times New Roman"/>
          <w:sz w:val="24"/>
          <w:szCs w:val="24"/>
          <w:lang w:val="ro-RO"/>
        </w:rPr>
        <w:t xml:space="preserve"> nr. 933 </w:t>
      </w:r>
    </w:p>
    <w:p w:rsidR="00F84DDA" w:rsidRDefault="00F84DDA" w:rsidP="009F72AA">
      <w:pPr>
        <w:spacing w:after="0" w:line="240" w:lineRule="auto"/>
        <w:ind w:hanging="142"/>
        <w:jc w:val="right"/>
        <w:rPr>
          <w:rFonts w:ascii="Times New Roman" w:hAnsi="Times New Roman"/>
          <w:sz w:val="24"/>
          <w:szCs w:val="24"/>
          <w:lang w:val="fr-BE"/>
        </w:rPr>
      </w:pPr>
      <w:r>
        <w:rPr>
          <w:rFonts w:ascii="Times New Roman" w:hAnsi="Times New Roman"/>
          <w:sz w:val="24"/>
          <w:szCs w:val="24"/>
          <w:lang w:val="ro-RO"/>
        </w:rPr>
        <w:t xml:space="preserve">din 31 decembrie 2009  </w:t>
      </w:r>
    </w:p>
    <w:p w:rsidR="00F84DDA" w:rsidRDefault="00F84DDA" w:rsidP="009F72AA">
      <w:pPr>
        <w:spacing w:after="0" w:line="240" w:lineRule="auto"/>
        <w:jc w:val="center"/>
        <w:rPr>
          <w:rFonts w:ascii="Times New Roman" w:hAnsi="Times New Roman"/>
          <w:b/>
          <w:color w:val="000000"/>
          <w:sz w:val="24"/>
          <w:szCs w:val="24"/>
          <w:lang w:val="ro-MO"/>
        </w:rPr>
      </w:pPr>
    </w:p>
    <w:p w:rsidR="00F84DDA" w:rsidRDefault="00F84DDA" w:rsidP="009F72AA">
      <w:pPr>
        <w:spacing w:after="0" w:line="240" w:lineRule="auto"/>
        <w:jc w:val="center"/>
        <w:rPr>
          <w:rFonts w:ascii="Times New Roman" w:hAnsi="Times New Roman"/>
          <w:b/>
          <w:color w:val="000000"/>
          <w:sz w:val="24"/>
          <w:szCs w:val="24"/>
          <w:lang w:val="ro-MO"/>
        </w:rPr>
      </w:pPr>
      <w:r>
        <w:rPr>
          <w:rFonts w:ascii="Times New Roman" w:hAnsi="Times New Roman"/>
          <w:b/>
          <w:color w:val="000000"/>
          <w:sz w:val="24"/>
          <w:szCs w:val="24"/>
          <w:lang w:val="ro-MO"/>
        </w:rPr>
        <w:t>PLANUL DE ACŢIUNI</w:t>
      </w:r>
    </w:p>
    <w:p w:rsidR="00F84DDA" w:rsidRDefault="00F84DDA" w:rsidP="009F72AA">
      <w:pPr>
        <w:spacing w:after="0" w:line="240" w:lineRule="auto"/>
        <w:jc w:val="center"/>
        <w:rPr>
          <w:rFonts w:ascii="Times New Roman" w:hAnsi="Times New Roman"/>
          <w:b/>
          <w:iCs/>
          <w:sz w:val="24"/>
          <w:szCs w:val="24"/>
          <w:lang w:val="ro-RO"/>
        </w:rPr>
      </w:pPr>
      <w:r>
        <w:rPr>
          <w:rFonts w:ascii="Times New Roman" w:hAnsi="Times New Roman"/>
          <w:b/>
          <w:color w:val="000000"/>
          <w:sz w:val="24"/>
          <w:szCs w:val="24"/>
          <w:lang w:val="ro-MO"/>
        </w:rPr>
        <w:t>pentru implementarea, în perioada</w:t>
      </w:r>
      <w:r>
        <w:rPr>
          <w:rStyle w:val="apple-converted-space"/>
          <w:b/>
          <w:color w:val="000000"/>
          <w:sz w:val="24"/>
          <w:szCs w:val="24"/>
          <w:lang w:val="ro-MO"/>
        </w:rPr>
        <w:t xml:space="preserve"> 2014-</w:t>
      </w:r>
      <w:smartTag w:uri="urn:schemas-microsoft-com:office:smarttags" w:element="metricconverter">
        <w:smartTagPr>
          <w:attr w:name="ProductID" w:val="2015, a"/>
        </w:smartTagPr>
        <w:r>
          <w:rPr>
            <w:rStyle w:val="apple-converted-space"/>
            <w:b/>
            <w:color w:val="000000"/>
            <w:sz w:val="24"/>
            <w:szCs w:val="24"/>
            <w:lang w:val="ro-MO"/>
          </w:rPr>
          <w:t>2015, a</w:t>
        </w:r>
      </w:smartTag>
      <w:r>
        <w:rPr>
          <w:rStyle w:val="apple-converted-space"/>
          <w:b/>
          <w:color w:val="000000"/>
          <w:sz w:val="24"/>
          <w:szCs w:val="24"/>
          <w:lang w:val="ro-MO"/>
        </w:rPr>
        <w:t xml:space="preserve"> Observaţiilor Finale ale Comitetului ONU pentru eliminarea discriminării împotriva femeilor, adoptate </w:t>
      </w:r>
      <w:smartTag w:uri="urn:schemas-microsoft-com:office:smarttags" w:element="PersonName">
        <w:smartTagPr>
          <w:attr w:name="ProductID" w:val="la Geneva"/>
        </w:smartTagPr>
        <w:r>
          <w:rPr>
            <w:rStyle w:val="apple-converted-space"/>
            <w:b/>
            <w:color w:val="000000"/>
            <w:sz w:val="24"/>
            <w:szCs w:val="24"/>
            <w:lang w:val="ro-MO"/>
          </w:rPr>
          <w:t>la Geneva</w:t>
        </w:r>
      </w:smartTag>
      <w:r>
        <w:rPr>
          <w:rStyle w:val="apple-converted-space"/>
          <w:b/>
          <w:color w:val="000000"/>
          <w:sz w:val="24"/>
          <w:szCs w:val="24"/>
          <w:lang w:val="ro-MO"/>
        </w:rPr>
        <w:t xml:space="preserve"> la 18 octombrie 2013, pe marginea Raportului periodic patru-cinci combinat al Republicii Moldova cu privire la implementarea </w:t>
      </w:r>
      <w:r>
        <w:rPr>
          <w:rFonts w:ascii="Times New Roman" w:hAnsi="Times New Roman"/>
          <w:b/>
          <w:iCs/>
          <w:sz w:val="24"/>
          <w:szCs w:val="24"/>
          <w:lang w:val="ro-RO"/>
        </w:rPr>
        <w:t>Convenţiei asupra eliminării tuturor formelor de discriminare faţă de femei</w:t>
      </w:r>
    </w:p>
    <w:p w:rsidR="00F84DDA" w:rsidRDefault="00F84DDA" w:rsidP="009F72AA">
      <w:pPr>
        <w:spacing w:after="0" w:line="240" w:lineRule="auto"/>
        <w:jc w:val="center"/>
        <w:rPr>
          <w:rFonts w:ascii="Times New Roman" w:hAnsi="Times New Roman"/>
          <w:b/>
          <w:sz w:val="28"/>
          <w:szCs w:val="28"/>
          <w:lang w:val="ro-RO"/>
        </w:rPr>
      </w:pPr>
    </w:p>
    <w:tbl>
      <w:tblPr>
        <w:tblW w:w="14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2"/>
        <w:gridCol w:w="1264"/>
        <w:gridCol w:w="3082"/>
        <w:gridCol w:w="2292"/>
        <w:gridCol w:w="1080"/>
        <w:gridCol w:w="1620"/>
        <w:gridCol w:w="1092"/>
        <w:gridCol w:w="1186"/>
        <w:gridCol w:w="1092"/>
        <w:gridCol w:w="990"/>
      </w:tblGrid>
      <w:tr w:rsidR="00F84DDA" w:rsidTr="009F72AA">
        <w:trPr>
          <w:trHeight w:val="758"/>
        </w:trPr>
        <w:tc>
          <w:tcPr>
            <w:tcW w:w="742" w:type="dxa"/>
            <w:vMerge w:val="restart"/>
            <w:vAlign w:val="center"/>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Nr. d/o</w:t>
            </w:r>
          </w:p>
        </w:tc>
        <w:tc>
          <w:tcPr>
            <w:tcW w:w="1264" w:type="dxa"/>
            <w:vMerge w:val="restart"/>
            <w:vAlign w:val="center"/>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Numărul Recoman-dării/ Observaţiei Comitetului</w:t>
            </w:r>
          </w:p>
        </w:tc>
        <w:tc>
          <w:tcPr>
            <w:tcW w:w="3082" w:type="dxa"/>
            <w:vMerge w:val="restart"/>
            <w:vAlign w:val="center"/>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Conţinutul Recomandării/Observaţiei Comitetului</w:t>
            </w:r>
          </w:p>
        </w:tc>
        <w:tc>
          <w:tcPr>
            <w:tcW w:w="2292" w:type="dxa"/>
            <w:vMerge w:val="restart"/>
            <w:vAlign w:val="center"/>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Denumirea acţiunilor</w:t>
            </w:r>
          </w:p>
        </w:tc>
        <w:tc>
          <w:tcPr>
            <w:tcW w:w="1080" w:type="dxa"/>
            <w:vMerge w:val="restart"/>
            <w:vAlign w:val="center"/>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Termenul de realizare</w:t>
            </w:r>
          </w:p>
        </w:tc>
        <w:tc>
          <w:tcPr>
            <w:tcW w:w="1620" w:type="dxa"/>
            <w:vMerge w:val="restart"/>
            <w:vAlign w:val="center"/>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Organizaţiile responsabile</w:t>
            </w:r>
          </w:p>
        </w:tc>
        <w:tc>
          <w:tcPr>
            <w:tcW w:w="1092" w:type="dxa"/>
            <w:vMerge w:val="restart"/>
            <w:vAlign w:val="center"/>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Partenerii</w:t>
            </w:r>
          </w:p>
        </w:tc>
        <w:tc>
          <w:tcPr>
            <w:tcW w:w="1186" w:type="dxa"/>
            <w:vMerge w:val="restart"/>
            <w:vAlign w:val="center"/>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Indicatorii de progres</w:t>
            </w:r>
          </w:p>
        </w:tc>
        <w:tc>
          <w:tcPr>
            <w:tcW w:w="2082" w:type="dxa"/>
            <w:gridSpan w:val="2"/>
          </w:tcPr>
          <w:p w:rsidR="00F84DDA" w:rsidRDefault="00F84DDA">
            <w:pPr>
              <w:spacing w:after="0" w:line="240" w:lineRule="auto"/>
              <w:ind w:hanging="142"/>
              <w:jc w:val="center"/>
              <w:rPr>
                <w:rFonts w:ascii="Times New Roman" w:hAnsi="Times New Roman"/>
                <w:b/>
                <w:sz w:val="20"/>
                <w:szCs w:val="20"/>
                <w:lang w:val="ro-RO"/>
              </w:rPr>
            </w:pPr>
            <w:r>
              <w:rPr>
                <w:rFonts w:ascii="Times New Roman" w:hAnsi="Times New Roman"/>
                <w:b/>
                <w:sz w:val="20"/>
                <w:szCs w:val="20"/>
                <w:lang w:val="ro-RO"/>
              </w:rPr>
              <w:t>Costurile implementării,</w:t>
            </w:r>
          </w:p>
          <w:p w:rsidR="00F84DDA" w:rsidRDefault="00F84DDA">
            <w:pPr>
              <w:spacing w:after="0" w:line="240" w:lineRule="auto"/>
              <w:ind w:hanging="142"/>
              <w:jc w:val="center"/>
              <w:rPr>
                <w:rFonts w:ascii="Times New Roman" w:hAnsi="Times New Roman"/>
                <w:b/>
                <w:sz w:val="20"/>
                <w:szCs w:val="20"/>
                <w:lang w:val="ro-RO"/>
              </w:rPr>
            </w:pPr>
            <w:r>
              <w:rPr>
                <w:rFonts w:ascii="Times New Roman" w:hAnsi="Times New Roman"/>
                <w:b/>
                <w:sz w:val="20"/>
                <w:szCs w:val="20"/>
                <w:lang w:val="ro-RO"/>
              </w:rPr>
              <w:t>mii lei</w:t>
            </w:r>
          </w:p>
          <w:p w:rsidR="00F84DDA" w:rsidRDefault="00F84DDA">
            <w:pPr>
              <w:spacing w:after="0" w:line="240" w:lineRule="auto"/>
              <w:jc w:val="center"/>
              <w:rPr>
                <w:rFonts w:ascii="Times New Roman" w:hAnsi="Times New Roman"/>
                <w:b/>
                <w:sz w:val="20"/>
                <w:szCs w:val="20"/>
                <w:lang w:val="ro-MO"/>
              </w:rPr>
            </w:pPr>
          </w:p>
        </w:tc>
      </w:tr>
      <w:tr w:rsidR="00F84DDA" w:rsidTr="009F72AA">
        <w:trPr>
          <w:trHeight w:val="287"/>
        </w:trPr>
        <w:tc>
          <w:tcPr>
            <w:tcW w:w="742" w:type="dxa"/>
            <w:vMerge/>
            <w:vAlign w:val="center"/>
          </w:tcPr>
          <w:p w:rsidR="00F84DDA" w:rsidRDefault="00F84DDA">
            <w:pPr>
              <w:spacing w:after="0" w:line="240" w:lineRule="auto"/>
              <w:rPr>
                <w:rFonts w:ascii="Times New Roman" w:hAnsi="Times New Roman"/>
                <w:b/>
                <w:sz w:val="20"/>
                <w:szCs w:val="20"/>
                <w:lang w:val="ro-MO"/>
              </w:rPr>
            </w:pPr>
          </w:p>
        </w:tc>
        <w:tc>
          <w:tcPr>
            <w:tcW w:w="1264" w:type="dxa"/>
            <w:vMerge/>
            <w:vAlign w:val="center"/>
          </w:tcPr>
          <w:p w:rsidR="00F84DDA" w:rsidRDefault="00F84DDA">
            <w:pPr>
              <w:spacing w:after="0" w:line="240" w:lineRule="auto"/>
              <w:rPr>
                <w:rFonts w:ascii="Times New Roman" w:hAnsi="Times New Roman"/>
                <w:b/>
                <w:sz w:val="20"/>
                <w:szCs w:val="20"/>
                <w:lang w:val="ro-MO"/>
              </w:rPr>
            </w:pPr>
          </w:p>
        </w:tc>
        <w:tc>
          <w:tcPr>
            <w:tcW w:w="3082" w:type="dxa"/>
            <w:vMerge/>
            <w:vAlign w:val="center"/>
          </w:tcPr>
          <w:p w:rsidR="00F84DDA" w:rsidRDefault="00F84DDA">
            <w:pPr>
              <w:spacing w:after="0" w:line="240" w:lineRule="auto"/>
              <w:rPr>
                <w:rFonts w:ascii="Times New Roman" w:hAnsi="Times New Roman"/>
                <w:b/>
                <w:sz w:val="20"/>
                <w:szCs w:val="20"/>
                <w:lang w:val="ro-MO"/>
              </w:rPr>
            </w:pPr>
          </w:p>
        </w:tc>
        <w:tc>
          <w:tcPr>
            <w:tcW w:w="2292" w:type="dxa"/>
            <w:vMerge/>
            <w:vAlign w:val="center"/>
          </w:tcPr>
          <w:p w:rsidR="00F84DDA" w:rsidRDefault="00F84DDA">
            <w:pPr>
              <w:spacing w:after="0" w:line="240" w:lineRule="auto"/>
              <w:rPr>
                <w:rFonts w:ascii="Times New Roman" w:hAnsi="Times New Roman"/>
                <w:b/>
                <w:sz w:val="20"/>
                <w:szCs w:val="20"/>
                <w:lang w:val="ro-MO"/>
              </w:rPr>
            </w:pPr>
          </w:p>
        </w:tc>
        <w:tc>
          <w:tcPr>
            <w:tcW w:w="1080" w:type="dxa"/>
            <w:vMerge/>
            <w:vAlign w:val="center"/>
          </w:tcPr>
          <w:p w:rsidR="00F84DDA" w:rsidRDefault="00F84DDA">
            <w:pPr>
              <w:spacing w:after="0" w:line="240" w:lineRule="auto"/>
              <w:rPr>
                <w:rFonts w:ascii="Times New Roman" w:hAnsi="Times New Roman"/>
                <w:b/>
                <w:sz w:val="20"/>
                <w:szCs w:val="20"/>
                <w:lang w:val="ro-MO"/>
              </w:rPr>
            </w:pPr>
          </w:p>
        </w:tc>
        <w:tc>
          <w:tcPr>
            <w:tcW w:w="1620" w:type="dxa"/>
            <w:vMerge/>
            <w:vAlign w:val="center"/>
          </w:tcPr>
          <w:p w:rsidR="00F84DDA" w:rsidRDefault="00F84DDA">
            <w:pPr>
              <w:spacing w:after="0" w:line="240" w:lineRule="auto"/>
              <w:rPr>
                <w:rFonts w:ascii="Times New Roman" w:hAnsi="Times New Roman"/>
                <w:b/>
                <w:sz w:val="20"/>
                <w:szCs w:val="20"/>
                <w:lang w:val="ro-MO"/>
              </w:rPr>
            </w:pPr>
          </w:p>
        </w:tc>
        <w:tc>
          <w:tcPr>
            <w:tcW w:w="1092" w:type="dxa"/>
            <w:vMerge/>
            <w:vAlign w:val="center"/>
          </w:tcPr>
          <w:p w:rsidR="00F84DDA" w:rsidRDefault="00F84DDA">
            <w:pPr>
              <w:spacing w:after="0" w:line="240" w:lineRule="auto"/>
              <w:rPr>
                <w:rFonts w:ascii="Times New Roman" w:hAnsi="Times New Roman"/>
                <w:b/>
                <w:sz w:val="20"/>
                <w:szCs w:val="20"/>
                <w:lang w:val="ro-MO"/>
              </w:rPr>
            </w:pPr>
          </w:p>
        </w:tc>
        <w:tc>
          <w:tcPr>
            <w:tcW w:w="1186" w:type="dxa"/>
            <w:vMerge/>
            <w:vAlign w:val="center"/>
          </w:tcPr>
          <w:p w:rsidR="00F84DDA" w:rsidRDefault="00F84DDA">
            <w:pPr>
              <w:spacing w:after="0" w:line="240" w:lineRule="auto"/>
              <w:rPr>
                <w:rFonts w:ascii="Times New Roman" w:hAnsi="Times New Roman"/>
                <w:b/>
                <w:sz w:val="20"/>
                <w:szCs w:val="20"/>
                <w:lang w:val="ro-MO"/>
              </w:rPr>
            </w:pPr>
          </w:p>
        </w:tc>
        <w:tc>
          <w:tcPr>
            <w:tcW w:w="1092" w:type="dxa"/>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2014</w:t>
            </w:r>
          </w:p>
        </w:tc>
        <w:tc>
          <w:tcPr>
            <w:tcW w:w="990" w:type="dxa"/>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2015</w:t>
            </w:r>
          </w:p>
        </w:tc>
      </w:tr>
    </w:tbl>
    <w:p w:rsidR="00F84DDA" w:rsidRDefault="00F84DDA" w:rsidP="009F72AA">
      <w:pPr>
        <w:spacing w:after="0" w:line="240" w:lineRule="auto"/>
        <w:rPr>
          <w:sz w:val="2"/>
          <w:szCs w:val="2"/>
        </w:rPr>
      </w:pPr>
    </w:p>
    <w:tbl>
      <w:tblPr>
        <w:tblW w:w="14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2"/>
        <w:gridCol w:w="1264"/>
        <w:gridCol w:w="3082"/>
        <w:gridCol w:w="2292"/>
        <w:gridCol w:w="1080"/>
        <w:gridCol w:w="1620"/>
        <w:gridCol w:w="1092"/>
        <w:gridCol w:w="1186"/>
        <w:gridCol w:w="1021"/>
        <w:gridCol w:w="71"/>
        <w:gridCol w:w="990"/>
      </w:tblGrid>
      <w:tr w:rsidR="00F84DDA" w:rsidTr="009F72AA">
        <w:trPr>
          <w:trHeight w:val="252"/>
          <w:tblHeader/>
        </w:trPr>
        <w:tc>
          <w:tcPr>
            <w:tcW w:w="742" w:type="dxa"/>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1</w:t>
            </w:r>
          </w:p>
        </w:tc>
        <w:tc>
          <w:tcPr>
            <w:tcW w:w="1264" w:type="dxa"/>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2</w:t>
            </w:r>
          </w:p>
        </w:tc>
        <w:tc>
          <w:tcPr>
            <w:tcW w:w="3082" w:type="dxa"/>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3</w:t>
            </w:r>
          </w:p>
        </w:tc>
        <w:tc>
          <w:tcPr>
            <w:tcW w:w="2292" w:type="dxa"/>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4</w:t>
            </w:r>
          </w:p>
        </w:tc>
        <w:tc>
          <w:tcPr>
            <w:tcW w:w="1080" w:type="dxa"/>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5</w:t>
            </w:r>
          </w:p>
        </w:tc>
        <w:tc>
          <w:tcPr>
            <w:tcW w:w="1620" w:type="dxa"/>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6</w:t>
            </w:r>
          </w:p>
        </w:tc>
        <w:tc>
          <w:tcPr>
            <w:tcW w:w="1092" w:type="dxa"/>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7</w:t>
            </w:r>
          </w:p>
        </w:tc>
        <w:tc>
          <w:tcPr>
            <w:tcW w:w="1186" w:type="dxa"/>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8</w:t>
            </w:r>
          </w:p>
        </w:tc>
        <w:tc>
          <w:tcPr>
            <w:tcW w:w="1092" w:type="dxa"/>
            <w:gridSpan w:val="2"/>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9</w:t>
            </w:r>
          </w:p>
        </w:tc>
        <w:tc>
          <w:tcPr>
            <w:tcW w:w="990" w:type="dxa"/>
          </w:tcPr>
          <w:p w:rsidR="00F84DDA" w:rsidRDefault="00F84DDA">
            <w:pPr>
              <w:spacing w:after="0" w:line="240" w:lineRule="auto"/>
              <w:jc w:val="center"/>
              <w:rPr>
                <w:rFonts w:ascii="Times New Roman" w:hAnsi="Times New Roman"/>
                <w:b/>
                <w:sz w:val="20"/>
                <w:szCs w:val="20"/>
                <w:lang w:val="ro-MO"/>
              </w:rPr>
            </w:pPr>
            <w:r>
              <w:rPr>
                <w:rFonts w:ascii="Times New Roman" w:hAnsi="Times New Roman"/>
                <w:b/>
                <w:sz w:val="20"/>
                <w:szCs w:val="20"/>
                <w:lang w:val="ro-MO"/>
              </w:rPr>
              <w:t>10</w:t>
            </w:r>
          </w:p>
        </w:tc>
      </w:tr>
      <w:tr w:rsidR="00F84DDA" w:rsidTr="009F72AA">
        <w:trPr>
          <w:trHeight w:val="258"/>
        </w:trPr>
        <w:tc>
          <w:tcPr>
            <w:tcW w:w="14440" w:type="dxa"/>
            <w:gridSpan w:val="11"/>
          </w:tcPr>
          <w:p w:rsidR="00F84DDA" w:rsidRDefault="00F84DDA">
            <w:pPr>
              <w:spacing w:after="0" w:line="240" w:lineRule="auto"/>
              <w:rPr>
                <w:rFonts w:ascii="Times New Roman" w:hAnsi="Times New Roman"/>
                <w:b/>
                <w:i/>
                <w:sz w:val="24"/>
                <w:szCs w:val="24"/>
                <w:lang w:val="ro-MO"/>
              </w:rPr>
            </w:pPr>
            <w:r>
              <w:rPr>
                <w:rFonts w:ascii="Times New Roman" w:hAnsi="Times New Roman"/>
                <w:b/>
                <w:i/>
                <w:sz w:val="24"/>
                <w:szCs w:val="24"/>
                <w:lang w:val="ro-MO"/>
              </w:rPr>
              <w:t>Domeniul 1. Violenţa împotriva femeilor</w:t>
            </w:r>
          </w:p>
        </w:tc>
      </w:tr>
      <w:tr w:rsidR="00F84DDA" w:rsidTr="009F72AA">
        <w:trPr>
          <w:trHeight w:val="258"/>
        </w:trPr>
        <w:tc>
          <w:tcPr>
            <w:tcW w:w="742" w:type="dxa"/>
          </w:tcPr>
          <w:p w:rsidR="00F84DDA" w:rsidRDefault="00F84DDA">
            <w:pPr>
              <w:spacing w:after="0" w:line="240" w:lineRule="auto"/>
              <w:rPr>
                <w:rFonts w:ascii="Times New Roman" w:hAnsi="Times New Roman"/>
                <w:sz w:val="20"/>
                <w:szCs w:val="20"/>
              </w:rPr>
            </w:pPr>
            <w:r>
              <w:rPr>
                <w:rFonts w:ascii="Times New Roman" w:hAnsi="Times New Roman"/>
                <w:sz w:val="20"/>
                <w:szCs w:val="20"/>
              </w:rPr>
              <w:t>1.</w:t>
            </w:r>
          </w:p>
        </w:tc>
        <w:tc>
          <w:tcPr>
            <w:tcW w:w="1264" w:type="dxa"/>
          </w:tcPr>
          <w:p w:rsidR="00F84DDA" w:rsidRDefault="00F84DDA">
            <w:pPr>
              <w:spacing w:after="0" w:line="240" w:lineRule="auto"/>
              <w:rPr>
                <w:rFonts w:ascii="Times New Roman" w:hAnsi="Times New Roman"/>
                <w:sz w:val="20"/>
                <w:szCs w:val="20"/>
              </w:rPr>
            </w:pPr>
            <w:r>
              <w:rPr>
                <w:rFonts w:ascii="Times New Roman" w:hAnsi="Times New Roman"/>
                <w:sz w:val="20"/>
                <w:szCs w:val="20"/>
              </w:rPr>
              <w:t>20 (a)</w:t>
            </w:r>
          </w:p>
        </w:tc>
        <w:tc>
          <w:tcPr>
            <w:tcW w:w="3082" w:type="dxa"/>
          </w:tcPr>
          <w:p w:rsidR="00F84DDA" w:rsidRDefault="00F84DDA">
            <w:pPr>
              <w:spacing w:after="0" w:line="240" w:lineRule="auto"/>
              <w:rPr>
                <w:rFonts w:ascii="Times New Roman" w:hAnsi="Times New Roman"/>
                <w:sz w:val="20"/>
                <w:szCs w:val="20"/>
              </w:rPr>
            </w:pPr>
            <w:r>
              <w:rPr>
                <w:rFonts w:ascii="Times New Roman" w:hAnsi="Times New Roman"/>
                <w:sz w:val="20"/>
                <w:szCs w:val="20"/>
                <w:lang w:val="ro-RO"/>
              </w:rPr>
              <w:t>1. Consolidarea implementării Codului penal al Republicii Moldova nr.985-XV din 18 aprilie 2002, Legii nr. 45-XVI din 1 martie 2007 cu privire la prevenirea şi combaterea violenţei în familie şi altor legi naţionale relevante, şi asigurarea că toate femeile şi fetele, inclusiv femeile în etate, femeile şi fetele de etnie romă, femeile şi fetele cu dizabilităţi sînt protejate de violenţă şi au acces imediat la căile de atac; lansarea investigaţiilor din oficiu în cazul tuturor acestor crime şi asigurarea faptului că făptaşii sînt judecaţi şi pedepsiţi pe măsura gravităţii infracţiunii</w:t>
            </w:r>
          </w:p>
        </w:tc>
        <w:tc>
          <w:tcPr>
            <w:tcW w:w="2292"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Elaborarea unui document de politici privind prevenirea şi combaterea violenţei în familie</w:t>
            </w:r>
          </w:p>
        </w:tc>
        <w:tc>
          <w:tcPr>
            <w:tcW w:w="1080" w:type="dxa"/>
          </w:tcPr>
          <w:p w:rsidR="00F84DDA" w:rsidRDefault="00F84DDA">
            <w:pPr>
              <w:spacing w:after="0" w:line="240" w:lineRule="auto"/>
              <w:jc w:val="center"/>
              <w:rPr>
                <w:rFonts w:ascii="Times New Roman" w:hAnsi="Times New Roman"/>
                <w:sz w:val="20"/>
                <w:szCs w:val="20"/>
                <w:lang w:val="ro-MO"/>
              </w:rPr>
            </w:pPr>
            <w:r>
              <w:rPr>
                <w:rFonts w:ascii="Times New Roman" w:hAnsi="Times New Roman"/>
                <w:sz w:val="20"/>
                <w:szCs w:val="20"/>
                <w:lang w:val="ro-MO"/>
              </w:rPr>
              <w:t>2015</w:t>
            </w:r>
          </w:p>
        </w:tc>
        <w:tc>
          <w:tcPr>
            <w:tcW w:w="1620"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Ministerul Muncii, Protecţiei Sociale şi Familiei,</w:t>
            </w:r>
          </w:p>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Ministerul Afacerilor Interne,</w:t>
            </w:r>
          </w:p>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Ministerul Sănătăţii</w:t>
            </w:r>
          </w:p>
          <w:p w:rsidR="00F84DDA" w:rsidRDefault="00F84DDA">
            <w:pPr>
              <w:spacing w:after="0" w:line="240" w:lineRule="auto"/>
              <w:rPr>
                <w:rFonts w:ascii="Times New Roman" w:hAnsi="Times New Roman"/>
                <w:sz w:val="20"/>
                <w:szCs w:val="20"/>
                <w:lang w:val="ro-MO"/>
              </w:rPr>
            </w:pPr>
          </w:p>
        </w:tc>
        <w:tc>
          <w:tcPr>
            <w:tcW w:w="1092" w:type="dxa"/>
          </w:tcPr>
          <w:p w:rsidR="00F84DDA" w:rsidRDefault="00F84DDA">
            <w:pPr>
              <w:spacing w:after="0" w:line="240" w:lineRule="auto"/>
              <w:jc w:val="center"/>
              <w:rPr>
                <w:rFonts w:ascii="Times New Roman" w:hAnsi="Times New Roman"/>
                <w:sz w:val="20"/>
                <w:szCs w:val="20"/>
                <w:lang w:val="ro-MO"/>
              </w:rPr>
            </w:pPr>
            <w:r>
              <w:rPr>
                <w:rFonts w:ascii="Times New Roman" w:hAnsi="Times New Roman"/>
                <w:sz w:val="20"/>
                <w:szCs w:val="20"/>
                <w:lang w:val="ro-MO"/>
              </w:rPr>
              <w:t>Societatea civilă</w:t>
            </w:r>
          </w:p>
        </w:tc>
        <w:tc>
          <w:tcPr>
            <w:tcW w:w="1186" w:type="dxa"/>
          </w:tcPr>
          <w:p w:rsidR="00F84DDA" w:rsidRDefault="00F84DDA">
            <w:pPr>
              <w:spacing w:after="0" w:line="240" w:lineRule="auto"/>
              <w:jc w:val="center"/>
              <w:rPr>
                <w:rFonts w:ascii="Times New Roman" w:hAnsi="Times New Roman"/>
                <w:sz w:val="20"/>
                <w:szCs w:val="20"/>
                <w:lang w:val="ro-MO"/>
              </w:rPr>
            </w:pPr>
            <w:r>
              <w:rPr>
                <w:rFonts w:ascii="Times New Roman" w:hAnsi="Times New Roman"/>
                <w:sz w:val="20"/>
                <w:szCs w:val="20"/>
                <w:lang w:val="ro-MO"/>
              </w:rPr>
              <w:t>Hotărîre de Guvern elaborată şi aprobată</w:t>
            </w:r>
          </w:p>
        </w:tc>
        <w:tc>
          <w:tcPr>
            <w:tcW w:w="1092" w:type="dxa"/>
            <w:gridSpan w:val="2"/>
          </w:tcPr>
          <w:p w:rsidR="00F84DDA" w:rsidRDefault="00F84DDA">
            <w:pPr>
              <w:spacing w:after="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990" w:type="dxa"/>
          </w:tcPr>
          <w:p w:rsidR="00F84DDA" w:rsidRDefault="00F84DDA">
            <w:pPr>
              <w:spacing w:after="0" w:line="240" w:lineRule="auto"/>
              <w:jc w:val="center"/>
              <w:rPr>
                <w:rFonts w:ascii="Times New Roman" w:hAnsi="Times New Roman"/>
                <w:sz w:val="20"/>
                <w:szCs w:val="20"/>
                <w:lang w:val="ro-MO"/>
              </w:rPr>
            </w:pPr>
            <w:r>
              <w:rPr>
                <w:rFonts w:ascii="Times New Roman" w:hAnsi="Times New Roman"/>
                <w:sz w:val="20"/>
                <w:szCs w:val="20"/>
                <w:lang w:val="ro-RO"/>
              </w:rPr>
              <w:t>În limitele bugetelor aprobate</w:t>
            </w:r>
          </w:p>
        </w:tc>
      </w:tr>
      <w:tr w:rsidR="00F84DDA" w:rsidRPr="009F72AA" w:rsidTr="009F72AA">
        <w:trPr>
          <w:trHeight w:val="4216"/>
        </w:trPr>
        <w:tc>
          <w:tcPr>
            <w:tcW w:w="742" w:type="dxa"/>
            <w:vMerge w:val="restart"/>
          </w:tcPr>
          <w:p w:rsidR="00F84DDA" w:rsidRDefault="00F84DDA">
            <w:pPr>
              <w:spacing w:after="0" w:line="240" w:lineRule="auto"/>
              <w:rPr>
                <w:rFonts w:ascii="Times New Roman" w:hAnsi="Times New Roman"/>
                <w:sz w:val="24"/>
                <w:szCs w:val="24"/>
              </w:rPr>
            </w:pPr>
            <w:r>
              <w:rPr>
                <w:rFonts w:ascii="Times New Roman" w:hAnsi="Times New Roman"/>
                <w:sz w:val="24"/>
                <w:szCs w:val="24"/>
              </w:rPr>
              <w:t>2.</w:t>
            </w:r>
          </w:p>
        </w:tc>
        <w:tc>
          <w:tcPr>
            <w:tcW w:w="1264" w:type="dxa"/>
            <w:vMerge w:val="restart"/>
          </w:tcPr>
          <w:p w:rsidR="00F84DDA" w:rsidRDefault="00F84DDA">
            <w:pPr>
              <w:spacing w:after="0" w:line="240" w:lineRule="auto"/>
              <w:rPr>
                <w:rFonts w:ascii="Times New Roman" w:hAnsi="Times New Roman"/>
                <w:sz w:val="20"/>
                <w:szCs w:val="20"/>
              </w:rPr>
            </w:pPr>
            <w:r>
              <w:rPr>
                <w:rFonts w:ascii="Times New Roman" w:hAnsi="Times New Roman"/>
                <w:sz w:val="20"/>
                <w:szCs w:val="20"/>
              </w:rPr>
              <w:t>20 (c)</w:t>
            </w:r>
          </w:p>
        </w:tc>
        <w:tc>
          <w:tcPr>
            <w:tcW w:w="3082" w:type="dxa"/>
            <w:vMerge w:val="restart"/>
          </w:tcPr>
          <w:p w:rsidR="00F84DDA" w:rsidRDefault="00F84DDA">
            <w:pPr>
              <w:spacing w:after="0" w:line="240" w:lineRule="auto"/>
              <w:rPr>
                <w:rFonts w:ascii="Times New Roman" w:hAnsi="Times New Roman"/>
                <w:sz w:val="20"/>
                <w:szCs w:val="20"/>
              </w:rPr>
            </w:pPr>
            <w:r>
              <w:rPr>
                <w:rFonts w:ascii="Times New Roman" w:hAnsi="Times New Roman"/>
                <w:sz w:val="20"/>
                <w:szCs w:val="20"/>
                <w:lang w:val="ro-RO"/>
              </w:rPr>
              <w:t>2. Eliminarea oricăror obstacole cu care se confruntă femeile în obţinerea accesului la justiţie şi asigurarea faptului că asistenţa judiciară este disponibilă tuturor victimelor violenţei; încurajarea femeilor să declare incidentele de violenţă sexuală şi domestice prin creşterea gradului de conştientizare cu privire la caracterul penal al acestor acte; oferirea asistenţei adecvate şi protecţiei femeilor victime ale violenţei, inclusiv femeilor de etnie romă;  majorarea numărului şi finanţării adăposturilor şi asigurarea acoperirii naţionale care să se extindă asupra femeilor din zonele rurale şi celor din localităţile din stînga Nistrului</w:t>
            </w:r>
          </w:p>
        </w:tc>
        <w:tc>
          <w:tcPr>
            <w:tcW w:w="2292" w:type="dxa"/>
          </w:tcPr>
          <w:p w:rsidR="00F84DDA" w:rsidRPr="009F72AA" w:rsidRDefault="00F84DDA">
            <w:pPr>
              <w:pStyle w:val="NoSpacing"/>
              <w:rPr>
                <w:rFonts w:ascii="Times New Roman" w:hAnsi="Times New Roman"/>
                <w:sz w:val="20"/>
                <w:szCs w:val="20"/>
                <w:lang w:val="ro-MO"/>
              </w:rPr>
            </w:pPr>
            <w:r w:rsidRPr="009F72AA">
              <w:rPr>
                <w:rFonts w:ascii="Times New Roman" w:hAnsi="Times New Roman"/>
                <w:sz w:val="20"/>
                <w:szCs w:val="20"/>
                <w:lang w:val="ro-MO"/>
              </w:rPr>
              <w:t>2.1. Elaborarea proiectului de lege privind modificarea Legii nr. 198-XVI din  26 iulie 2007</w:t>
            </w:r>
            <w:r w:rsidRPr="009F72AA">
              <w:rPr>
                <w:rStyle w:val="docheader"/>
                <w:rFonts w:ascii="Times New Roman" w:hAnsi="Times New Roman"/>
                <w:bCs/>
                <w:sz w:val="20"/>
                <w:szCs w:val="20"/>
                <w:lang w:val="ro-MO"/>
              </w:rPr>
              <w:t xml:space="preserve"> cu privire la asistenţa juridică garantată de stat, în vederea includerii victimelor violenţei în familie ca un grup distinct cu drept de a beneficia necondiţionat de asistenţă juridică gratuită garantată de stat</w:t>
            </w:r>
          </w:p>
        </w:tc>
        <w:tc>
          <w:tcPr>
            <w:tcW w:w="1080" w:type="dxa"/>
          </w:tcPr>
          <w:p w:rsidR="00F84DDA" w:rsidRPr="009F72AA" w:rsidRDefault="00F84DDA">
            <w:pPr>
              <w:spacing w:after="0" w:line="240" w:lineRule="auto"/>
              <w:rPr>
                <w:rFonts w:ascii="Times New Roman" w:hAnsi="Times New Roman"/>
                <w:sz w:val="20"/>
                <w:szCs w:val="20"/>
                <w:lang w:val="ro-RO"/>
              </w:rPr>
            </w:pPr>
            <w:r w:rsidRPr="009F72AA">
              <w:rPr>
                <w:rFonts w:ascii="Times New Roman" w:hAnsi="Times New Roman"/>
                <w:sz w:val="20"/>
                <w:szCs w:val="20"/>
                <w:lang w:val="ro-RO"/>
              </w:rPr>
              <w:t>2014-2015</w:t>
            </w:r>
          </w:p>
        </w:tc>
        <w:tc>
          <w:tcPr>
            <w:tcW w:w="1620" w:type="dxa"/>
          </w:tcPr>
          <w:p w:rsidR="00F84DDA" w:rsidRPr="009F72AA" w:rsidRDefault="00F84DDA">
            <w:pPr>
              <w:spacing w:after="0" w:line="240" w:lineRule="auto"/>
              <w:rPr>
                <w:rFonts w:ascii="Times New Roman" w:hAnsi="Times New Roman"/>
                <w:sz w:val="20"/>
                <w:szCs w:val="20"/>
                <w:lang w:val="ro-MO"/>
              </w:rPr>
            </w:pPr>
            <w:r w:rsidRPr="009F72AA">
              <w:rPr>
                <w:rFonts w:ascii="Times New Roman" w:hAnsi="Times New Roman"/>
                <w:sz w:val="20"/>
                <w:szCs w:val="20"/>
                <w:lang w:val="ro-MO"/>
              </w:rPr>
              <w:t>Ministerul Muncii, Protecţiei Sociale şi Familiei,</w:t>
            </w:r>
          </w:p>
          <w:p w:rsidR="00F84DDA" w:rsidRPr="009F72AA" w:rsidRDefault="00F84DDA">
            <w:pPr>
              <w:spacing w:after="0" w:line="240" w:lineRule="auto"/>
              <w:rPr>
                <w:rFonts w:ascii="Times New Roman" w:hAnsi="Times New Roman"/>
                <w:sz w:val="20"/>
                <w:szCs w:val="20"/>
                <w:lang w:val="ro-RO"/>
              </w:rPr>
            </w:pPr>
            <w:r w:rsidRPr="009F72AA">
              <w:rPr>
                <w:rFonts w:ascii="Times New Roman" w:hAnsi="Times New Roman"/>
                <w:sz w:val="20"/>
                <w:szCs w:val="20"/>
                <w:lang w:val="ro-RO"/>
              </w:rPr>
              <w:t>Ministerul Justiţiei,</w:t>
            </w:r>
          </w:p>
          <w:p w:rsidR="00F84DDA" w:rsidRPr="009F72AA" w:rsidRDefault="00F84DDA">
            <w:pPr>
              <w:spacing w:after="0" w:line="240" w:lineRule="auto"/>
              <w:rPr>
                <w:rStyle w:val="docheader"/>
                <w:rFonts w:ascii="Times New Roman" w:hAnsi="Times New Roman"/>
                <w:bCs/>
                <w:lang w:val="ro-MO"/>
              </w:rPr>
            </w:pPr>
            <w:r w:rsidRPr="009F72AA">
              <w:rPr>
                <w:rStyle w:val="docheader"/>
                <w:rFonts w:ascii="Times New Roman" w:hAnsi="Times New Roman"/>
                <w:bCs/>
                <w:sz w:val="20"/>
                <w:szCs w:val="20"/>
                <w:lang w:val="ro-MO"/>
              </w:rPr>
              <w:t>Consiliului Naţional pentru Asistenţă Juridică Garantată de Stat,</w:t>
            </w:r>
          </w:p>
          <w:p w:rsidR="00F84DDA" w:rsidRPr="009F72AA" w:rsidRDefault="00F84DDA">
            <w:pPr>
              <w:spacing w:after="0" w:line="240" w:lineRule="auto"/>
              <w:rPr>
                <w:rFonts w:ascii="Times New Roman" w:hAnsi="Times New Roman"/>
                <w:lang w:val="ro-RO"/>
              </w:rPr>
            </w:pPr>
            <w:r w:rsidRPr="009F72AA">
              <w:rPr>
                <w:rFonts w:ascii="Times New Roman" w:hAnsi="Times New Roman"/>
                <w:sz w:val="20"/>
                <w:szCs w:val="20"/>
                <w:lang w:val="ro-MO"/>
              </w:rPr>
              <w:t>Institutul Naţional al Justiţiei</w:t>
            </w:r>
          </w:p>
        </w:tc>
        <w:tc>
          <w:tcPr>
            <w:tcW w:w="1092" w:type="dxa"/>
          </w:tcPr>
          <w:p w:rsidR="00F84DDA" w:rsidRPr="009F72AA" w:rsidRDefault="00F84DDA">
            <w:pPr>
              <w:spacing w:after="0" w:line="240" w:lineRule="auto"/>
              <w:ind w:left="-47"/>
              <w:jc w:val="center"/>
              <w:rPr>
                <w:rFonts w:ascii="Times New Roman" w:hAnsi="Times New Roman"/>
                <w:sz w:val="20"/>
                <w:szCs w:val="20"/>
                <w:lang w:val="ro-RO"/>
              </w:rPr>
            </w:pPr>
            <w:r w:rsidRPr="009F72AA">
              <w:rPr>
                <w:rFonts w:ascii="Times New Roman" w:hAnsi="Times New Roman"/>
                <w:sz w:val="20"/>
                <w:szCs w:val="20"/>
                <w:lang w:val="ro-RO"/>
              </w:rPr>
              <w:t>Centrul Interna-ţional „</w:t>
            </w:r>
            <w:smartTag w:uri="urn:schemas-microsoft-com:office:smarttags" w:element="PersonName">
              <w:smartTagPr>
                <w:attr w:name="ProductID" w:val="La Strada"/>
              </w:smartTagPr>
              <w:r w:rsidRPr="009F72AA">
                <w:rPr>
                  <w:rFonts w:ascii="Times New Roman" w:hAnsi="Times New Roman"/>
                  <w:sz w:val="20"/>
                  <w:szCs w:val="20"/>
                  <w:lang w:val="ro-RO"/>
                </w:rPr>
                <w:t>La Strada</w:t>
              </w:r>
            </w:smartTag>
            <w:r w:rsidRPr="009F72AA">
              <w:rPr>
                <w:rFonts w:ascii="Times New Roman" w:hAnsi="Times New Roman"/>
                <w:sz w:val="20"/>
                <w:szCs w:val="20"/>
                <w:lang w:val="ro-RO"/>
              </w:rPr>
              <w:t>”</w:t>
            </w:r>
          </w:p>
          <w:p w:rsidR="00F84DDA" w:rsidRPr="009F72AA" w:rsidRDefault="00F84DDA">
            <w:pPr>
              <w:spacing w:after="0" w:line="240" w:lineRule="auto"/>
              <w:ind w:left="-47"/>
              <w:rPr>
                <w:rFonts w:ascii="Times New Roman" w:hAnsi="Times New Roman"/>
                <w:sz w:val="20"/>
                <w:szCs w:val="20"/>
                <w:lang w:val="ro-RO"/>
              </w:rPr>
            </w:pPr>
          </w:p>
        </w:tc>
        <w:tc>
          <w:tcPr>
            <w:tcW w:w="1186" w:type="dxa"/>
          </w:tcPr>
          <w:p w:rsidR="00F84DDA" w:rsidRPr="009F72AA" w:rsidRDefault="00F84DDA">
            <w:pPr>
              <w:spacing w:after="0" w:line="240" w:lineRule="auto"/>
              <w:jc w:val="center"/>
              <w:rPr>
                <w:rFonts w:ascii="Times New Roman" w:hAnsi="Times New Roman"/>
                <w:sz w:val="20"/>
                <w:szCs w:val="20"/>
                <w:lang w:val="ro-RO"/>
              </w:rPr>
            </w:pPr>
            <w:r w:rsidRPr="009F72AA">
              <w:rPr>
                <w:rFonts w:ascii="Times New Roman" w:hAnsi="Times New Roman"/>
                <w:sz w:val="20"/>
                <w:szCs w:val="20"/>
                <w:lang w:val="ro-RO"/>
              </w:rPr>
              <w:t>Proiect elaborat</w:t>
            </w:r>
          </w:p>
        </w:tc>
        <w:tc>
          <w:tcPr>
            <w:tcW w:w="1092" w:type="dxa"/>
            <w:gridSpan w:val="2"/>
          </w:tcPr>
          <w:p w:rsidR="00F84DDA" w:rsidRPr="009F72AA" w:rsidRDefault="00F84DDA">
            <w:pPr>
              <w:spacing w:after="0" w:line="240" w:lineRule="auto"/>
              <w:jc w:val="center"/>
              <w:rPr>
                <w:rFonts w:ascii="Times New Roman" w:hAnsi="Times New Roman"/>
                <w:sz w:val="20"/>
                <w:szCs w:val="20"/>
                <w:lang w:val="ro-RO"/>
              </w:rPr>
            </w:pPr>
            <w:r w:rsidRPr="009F72AA">
              <w:rPr>
                <w:rFonts w:ascii="Times New Roman" w:hAnsi="Times New Roman"/>
                <w:sz w:val="20"/>
                <w:szCs w:val="20"/>
                <w:lang w:val="ro-RO"/>
              </w:rPr>
              <w:t>În limitele bugetelor aprobate</w:t>
            </w:r>
          </w:p>
        </w:tc>
        <w:tc>
          <w:tcPr>
            <w:tcW w:w="990" w:type="dxa"/>
          </w:tcPr>
          <w:p w:rsidR="00F84DDA" w:rsidRPr="009F72AA" w:rsidRDefault="00F84DDA">
            <w:pPr>
              <w:spacing w:after="0" w:line="240" w:lineRule="auto"/>
              <w:jc w:val="center"/>
              <w:rPr>
                <w:rFonts w:ascii="Times New Roman" w:hAnsi="Times New Roman"/>
                <w:sz w:val="20"/>
                <w:szCs w:val="20"/>
                <w:lang w:val="ro-RO"/>
              </w:rPr>
            </w:pPr>
            <w:r w:rsidRPr="009F72AA">
              <w:rPr>
                <w:rFonts w:ascii="Times New Roman" w:hAnsi="Times New Roman"/>
                <w:sz w:val="20"/>
                <w:szCs w:val="20"/>
                <w:lang w:val="ro-RO"/>
              </w:rPr>
              <w:t>În limitele bugetelor aprobate</w:t>
            </w:r>
          </w:p>
        </w:tc>
      </w:tr>
      <w:tr w:rsidR="00F84DDA" w:rsidTr="009F72AA">
        <w:trPr>
          <w:trHeight w:val="1970"/>
        </w:trPr>
        <w:tc>
          <w:tcPr>
            <w:tcW w:w="742" w:type="dxa"/>
            <w:vMerge/>
            <w:vAlign w:val="center"/>
          </w:tcPr>
          <w:p w:rsidR="00F84DDA" w:rsidRDefault="00F84DDA">
            <w:pPr>
              <w:spacing w:after="0" w:line="240" w:lineRule="auto"/>
              <w:rPr>
                <w:rFonts w:ascii="Times New Roman" w:hAnsi="Times New Roman"/>
                <w:sz w:val="24"/>
                <w:szCs w:val="24"/>
              </w:rPr>
            </w:pPr>
          </w:p>
        </w:tc>
        <w:tc>
          <w:tcPr>
            <w:tcW w:w="1264" w:type="dxa"/>
            <w:vMerge/>
            <w:vAlign w:val="center"/>
          </w:tcPr>
          <w:p w:rsidR="00F84DDA" w:rsidRDefault="00F84DDA">
            <w:pPr>
              <w:spacing w:after="0" w:line="240" w:lineRule="auto"/>
              <w:rPr>
                <w:rFonts w:ascii="Times New Roman" w:hAnsi="Times New Roman"/>
                <w:sz w:val="20"/>
                <w:szCs w:val="20"/>
              </w:rPr>
            </w:pPr>
          </w:p>
        </w:tc>
        <w:tc>
          <w:tcPr>
            <w:tcW w:w="3082" w:type="dxa"/>
            <w:vMerge/>
            <w:vAlign w:val="center"/>
          </w:tcPr>
          <w:p w:rsidR="00F84DDA" w:rsidRDefault="00F84DDA">
            <w:pPr>
              <w:spacing w:after="0" w:line="240" w:lineRule="auto"/>
              <w:rPr>
                <w:rFonts w:ascii="Times New Roman" w:hAnsi="Times New Roman"/>
                <w:sz w:val="20"/>
                <w:szCs w:val="20"/>
              </w:rPr>
            </w:pPr>
          </w:p>
        </w:tc>
        <w:tc>
          <w:tcPr>
            <w:tcW w:w="2292" w:type="dxa"/>
          </w:tcPr>
          <w:p w:rsidR="00F84DDA" w:rsidRDefault="00F84DDA">
            <w:pPr>
              <w:pStyle w:val="NoSpacing"/>
              <w:rPr>
                <w:rFonts w:ascii="Times New Roman" w:hAnsi="Times New Roman"/>
                <w:sz w:val="20"/>
                <w:szCs w:val="20"/>
                <w:lang w:val="ro-RO"/>
              </w:rPr>
            </w:pPr>
            <w:r>
              <w:rPr>
                <w:rFonts w:ascii="Times New Roman" w:hAnsi="Times New Roman"/>
                <w:sz w:val="20"/>
                <w:szCs w:val="20"/>
                <w:lang w:val="ro-MO"/>
              </w:rPr>
              <w:t>2.2. Organizarea campaniilor de sensibilizare a populaţiei cu privire la conştientizarea caracterului infracţional al violenţei în familie şi necesitatea raportării cazurilor de violenţă organelor competente</w:t>
            </w:r>
          </w:p>
        </w:tc>
        <w:tc>
          <w:tcPr>
            <w:tcW w:w="1080" w:type="dxa"/>
          </w:tcPr>
          <w:p w:rsidR="00F84DDA" w:rsidRDefault="00F84DDA">
            <w:pPr>
              <w:spacing w:after="0" w:line="240" w:lineRule="auto"/>
              <w:rPr>
                <w:rFonts w:ascii="Times New Roman" w:hAnsi="Times New Roman"/>
                <w:sz w:val="20"/>
                <w:szCs w:val="20"/>
                <w:lang w:val="ro-RO"/>
              </w:rPr>
            </w:pPr>
            <w:r>
              <w:rPr>
                <w:rFonts w:ascii="Times New Roman" w:hAnsi="Times New Roman"/>
                <w:sz w:val="20"/>
                <w:szCs w:val="20"/>
                <w:lang w:val="ro-RO"/>
              </w:rPr>
              <w:t>2014-2015</w:t>
            </w:r>
          </w:p>
        </w:tc>
        <w:tc>
          <w:tcPr>
            <w:tcW w:w="1620"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Ministerul Muncii, Protecţiei Sociale şi Familiei,</w:t>
            </w:r>
          </w:p>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RO"/>
              </w:rPr>
              <w:t>Procuratura Generală,</w:t>
            </w:r>
            <w:r>
              <w:rPr>
                <w:rFonts w:ascii="Times New Roman" w:hAnsi="Times New Roman"/>
                <w:sz w:val="20"/>
                <w:szCs w:val="20"/>
                <w:lang w:val="ro-MO"/>
              </w:rPr>
              <w:t xml:space="preserve"> </w:t>
            </w:r>
          </w:p>
          <w:p w:rsidR="00F84DDA" w:rsidRDefault="00F84DDA">
            <w:pPr>
              <w:spacing w:after="0" w:line="240" w:lineRule="auto"/>
              <w:rPr>
                <w:rFonts w:ascii="Times New Roman" w:hAnsi="Times New Roman"/>
                <w:sz w:val="20"/>
                <w:szCs w:val="20"/>
                <w:lang w:val="ro-RO"/>
              </w:rPr>
            </w:pPr>
            <w:r>
              <w:rPr>
                <w:rFonts w:ascii="Times New Roman" w:hAnsi="Times New Roman"/>
                <w:sz w:val="20"/>
                <w:szCs w:val="20"/>
                <w:lang w:val="ro-MO"/>
              </w:rPr>
              <w:t>Ministerul Afacerilor Interne</w:t>
            </w:r>
          </w:p>
        </w:tc>
        <w:tc>
          <w:tcPr>
            <w:tcW w:w="1092" w:type="dxa"/>
          </w:tcPr>
          <w:p w:rsidR="00F84DDA" w:rsidRDefault="00F84DDA">
            <w:pPr>
              <w:spacing w:after="0" w:line="240" w:lineRule="auto"/>
              <w:rPr>
                <w:rFonts w:ascii="Times New Roman" w:hAnsi="Times New Roman"/>
                <w:sz w:val="20"/>
                <w:szCs w:val="20"/>
                <w:lang w:val="ro-RO"/>
              </w:rPr>
            </w:pPr>
            <w:r>
              <w:rPr>
                <w:rFonts w:ascii="Times New Roman" w:hAnsi="Times New Roman"/>
                <w:sz w:val="20"/>
                <w:szCs w:val="20"/>
                <w:lang w:val="ro-RO"/>
              </w:rPr>
              <w:t>ONG-urile</w:t>
            </w:r>
          </w:p>
          <w:p w:rsidR="00F84DDA" w:rsidRDefault="00F84DDA">
            <w:pPr>
              <w:spacing w:after="0" w:line="240" w:lineRule="auto"/>
              <w:rPr>
                <w:rFonts w:ascii="Times New Roman" w:hAnsi="Times New Roman"/>
                <w:sz w:val="20"/>
                <w:szCs w:val="20"/>
                <w:lang w:val="ro-RO"/>
              </w:rPr>
            </w:pPr>
          </w:p>
        </w:tc>
        <w:tc>
          <w:tcPr>
            <w:tcW w:w="1186" w:type="dxa"/>
          </w:tcPr>
          <w:p w:rsidR="00F84DDA" w:rsidRDefault="00F84DDA">
            <w:pPr>
              <w:spacing w:after="0" w:line="240" w:lineRule="auto"/>
              <w:rPr>
                <w:rFonts w:ascii="Times New Roman" w:hAnsi="Times New Roman"/>
                <w:sz w:val="20"/>
                <w:szCs w:val="20"/>
                <w:lang w:val="ro-RO"/>
              </w:rPr>
            </w:pPr>
            <w:r>
              <w:rPr>
                <w:rFonts w:ascii="Times New Roman" w:hAnsi="Times New Roman"/>
                <w:sz w:val="20"/>
                <w:szCs w:val="20"/>
                <w:lang w:val="ro-RO"/>
              </w:rPr>
              <w:t>Numărul de campanii organizate</w:t>
            </w:r>
          </w:p>
          <w:p w:rsidR="00F84DDA" w:rsidRDefault="00F84DDA">
            <w:pPr>
              <w:spacing w:after="0" w:line="240" w:lineRule="auto"/>
              <w:rPr>
                <w:rFonts w:ascii="Times New Roman" w:hAnsi="Times New Roman"/>
                <w:sz w:val="20"/>
                <w:szCs w:val="20"/>
                <w:lang w:val="ro-RO"/>
              </w:rPr>
            </w:pPr>
          </w:p>
          <w:p w:rsidR="00F84DDA" w:rsidRDefault="00F84DDA">
            <w:pPr>
              <w:spacing w:after="0" w:line="240" w:lineRule="auto"/>
              <w:rPr>
                <w:rFonts w:ascii="Times New Roman" w:hAnsi="Times New Roman"/>
                <w:sz w:val="20"/>
                <w:szCs w:val="20"/>
                <w:lang w:val="ro-RO"/>
              </w:rPr>
            </w:pPr>
            <w:r>
              <w:rPr>
                <w:rFonts w:ascii="Times New Roman" w:hAnsi="Times New Roman"/>
                <w:sz w:val="20"/>
                <w:szCs w:val="20"/>
                <w:lang w:val="ro-RO"/>
              </w:rPr>
              <w:t xml:space="preserve">Numărul de persoane informate </w:t>
            </w:r>
          </w:p>
        </w:tc>
        <w:tc>
          <w:tcPr>
            <w:tcW w:w="1092" w:type="dxa"/>
            <w:gridSpan w:val="2"/>
          </w:tcPr>
          <w:p w:rsidR="00F84DDA" w:rsidRDefault="00F84DDA">
            <w:pPr>
              <w:spacing w:after="0" w:line="240" w:lineRule="auto"/>
              <w:jc w:val="center"/>
              <w:rPr>
                <w:rFonts w:ascii="Times New Roman" w:hAnsi="Times New Roman"/>
                <w:sz w:val="20"/>
                <w:szCs w:val="20"/>
                <w:lang w:val="ro-RO"/>
              </w:rPr>
            </w:pPr>
            <w:r>
              <w:rPr>
                <w:rFonts w:ascii="Times New Roman" w:hAnsi="Times New Roman"/>
                <w:sz w:val="20"/>
                <w:szCs w:val="20"/>
                <w:lang w:val="ro-RO"/>
              </w:rPr>
              <w:t>30,00**</w:t>
            </w:r>
          </w:p>
        </w:tc>
        <w:tc>
          <w:tcPr>
            <w:tcW w:w="990" w:type="dxa"/>
          </w:tcPr>
          <w:p w:rsidR="00F84DDA" w:rsidRDefault="00F84DDA">
            <w:pPr>
              <w:spacing w:after="0" w:line="240" w:lineRule="auto"/>
              <w:jc w:val="center"/>
              <w:rPr>
                <w:rFonts w:ascii="Times New Roman" w:hAnsi="Times New Roman"/>
                <w:sz w:val="20"/>
                <w:szCs w:val="20"/>
                <w:lang w:val="ro-RO"/>
              </w:rPr>
            </w:pPr>
            <w:r>
              <w:rPr>
                <w:rFonts w:ascii="Times New Roman" w:hAnsi="Times New Roman"/>
                <w:sz w:val="20"/>
                <w:szCs w:val="20"/>
                <w:lang w:val="ro-RO"/>
              </w:rPr>
              <w:t>30,00**</w:t>
            </w:r>
          </w:p>
        </w:tc>
      </w:tr>
      <w:tr w:rsidR="00F84DDA" w:rsidTr="009F72AA">
        <w:trPr>
          <w:trHeight w:val="1970"/>
        </w:trPr>
        <w:tc>
          <w:tcPr>
            <w:tcW w:w="742" w:type="dxa"/>
            <w:vMerge/>
            <w:vAlign w:val="center"/>
          </w:tcPr>
          <w:p w:rsidR="00F84DDA" w:rsidRDefault="00F84DDA">
            <w:pPr>
              <w:spacing w:after="0" w:line="240" w:lineRule="auto"/>
              <w:rPr>
                <w:rFonts w:ascii="Times New Roman" w:hAnsi="Times New Roman"/>
                <w:sz w:val="24"/>
                <w:szCs w:val="24"/>
              </w:rPr>
            </w:pPr>
          </w:p>
        </w:tc>
        <w:tc>
          <w:tcPr>
            <w:tcW w:w="1264" w:type="dxa"/>
            <w:vMerge/>
            <w:vAlign w:val="center"/>
          </w:tcPr>
          <w:p w:rsidR="00F84DDA" w:rsidRDefault="00F84DDA">
            <w:pPr>
              <w:spacing w:after="0" w:line="240" w:lineRule="auto"/>
              <w:rPr>
                <w:rFonts w:ascii="Times New Roman" w:hAnsi="Times New Roman"/>
                <w:sz w:val="20"/>
                <w:szCs w:val="20"/>
              </w:rPr>
            </w:pPr>
          </w:p>
        </w:tc>
        <w:tc>
          <w:tcPr>
            <w:tcW w:w="3082" w:type="dxa"/>
            <w:vMerge/>
            <w:vAlign w:val="center"/>
          </w:tcPr>
          <w:p w:rsidR="00F84DDA" w:rsidRDefault="00F84DDA">
            <w:pPr>
              <w:spacing w:after="0" w:line="240" w:lineRule="auto"/>
              <w:rPr>
                <w:rFonts w:ascii="Times New Roman" w:hAnsi="Times New Roman"/>
                <w:sz w:val="20"/>
                <w:szCs w:val="20"/>
              </w:rPr>
            </w:pPr>
          </w:p>
        </w:tc>
        <w:tc>
          <w:tcPr>
            <w:tcW w:w="2292" w:type="dxa"/>
          </w:tcPr>
          <w:p w:rsidR="00F84DDA" w:rsidRDefault="00F84DDA">
            <w:pPr>
              <w:pStyle w:val="NoSpacing"/>
              <w:rPr>
                <w:rFonts w:ascii="Times New Roman" w:hAnsi="Times New Roman"/>
                <w:sz w:val="20"/>
                <w:szCs w:val="20"/>
                <w:lang w:val="ro-MO"/>
              </w:rPr>
            </w:pPr>
            <w:r>
              <w:rPr>
                <w:rFonts w:ascii="Times New Roman" w:hAnsi="Times New Roman"/>
                <w:sz w:val="20"/>
                <w:szCs w:val="20"/>
                <w:lang w:val="ro-MO"/>
              </w:rPr>
              <w:t>2.3. Desfăşurarea studiului privind accesul la justiţie pentru victimele violenţei în familie</w:t>
            </w:r>
          </w:p>
        </w:tc>
        <w:tc>
          <w:tcPr>
            <w:tcW w:w="1080"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2014</w:t>
            </w:r>
          </w:p>
        </w:tc>
        <w:tc>
          <w:tcPr>
            <w:tcW w:w="1620"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Ministerul Muncii, Protecţiei Sociale şi Familiei</w:t>
            </w:r>
          </w:p>
          <w:p w:rsidR="00F84DDA" w:rsidRDefault="00F84DDA">
            <w:pPr>
              <w:spacing w:after="0" w:line="240" w:lineRule="auto"/>
              <w:rPr>
                <w:rFonts w:ascii="Times New Roman" w:hAnsi="Times New Roman"/>
                <w:sz w:val="20"/>
                <w:szCs w:val="20"/>
                <w:lang w:val="ro-MO"/>
              </w:rPr>
            </w:pPr>
          </w:p>
        </w:tc>
        <w:tc>
          <w:tcPr>
            <w:tcW w:w="1092" w:type="dxa"/>
          </w:tcPr>
          <w:p w:rsidR="00F84DDA" w:rsidRDefault="00F84DDA">
            <w:pPr>
              <w:spacing w:after="0" w:line="240" w:lineRule="auto"/>
              <w:rPr>
                <w:rFonts w:ascii="Times New Roman" w:hAnsi="Times New Roman"/>
                <w:sz w:val="20"/>
                <w:szCs w:val="20"/>
                <w:lang w:val="ro-RO"/>
              </w:rPr>
            </w:pPr>
            <w:r>
              <w:rPr>
                <w:rFonts w:ascii="Times New Roman" w:hAnsi="Times New Roman"/>
                <w:sz w:val="20"/>
                <w:szCs w:val="20"/>
                <w:lang w:val="ro-RO"/>
              </w:rPr>
              <w:t>Centrul Interna-ţional „</w:t>
            </w:r>
            <w:smartTag w:uri="urn:schemas-microsoft-com:office:smarttags" w:element="PersonName">
              <w:smartTagPr>
                <w:attr w:name="ProductID" w:val="la Instrucţiunile"/>
              </w:smartTagPr>
              <w:r>
                <w:rPr>
                  <w:rFonts w:ascii="Times New Roman" w:hAnsi="Times New Roman"/>
                  <w:sz w:val="20"/>
                  <w:szCs w:val="20"/>
                  <w:lang w:val="ro-RO"/>
                </w:rPr>
                <w:t>La Strada</w:t>
              </w:r>
            </w:smartTag>
            <w:r>
              <w:rPr>
                <w:rFonts w:ascii="Times New Roman" w:hAnsi="Times New Roman"/>
                <w:sz w:val="20"/>
                <w:szCs w:val="20"/>
                <w:lang w:val="ro-RO"/>
              </w:rPr>
              <w:t>”,</w:t>
            </w:r>
          </w:p>
          <w:p w:rsidR="00F84DDA" w:rsidRDefault="00F84DDA">
            <w:pPr>
              <w:spacing w:after="0" w:line="240" w:lineRule="auto"/>
              <w:rPr>
                <w:rFonts w:ascii="Times New Roman" w:hAnsi="Times New Roman"/>
                <w:sz w:val="20"/>
                <w:szCs w:val="20"/>
                <w:lang w:val="fr-BE"/>
              </w:rPr>
            </w:pPr>
            <w:r>
              <w:rPr>
                <w:rFonts w:ascii="Times New Roman" w:hAnsi="Times New Roman"/>
                <w:sz w:val="20"/>
                <w:szCs w:val="20"/>
                <w:lang w:val="ro-RO"/>
              </w:rPr>
              <w:t>OSCE</w:t>
            </w:r>
          </w:p>
        </w:tc>
        <w:tc>
          <w:tcPr>
            <w:tcW w:w="1186" w:type="dxa"/>
          </w:tcPr>
          <w:p w:rsidR="00F84DDA" w:rsidRDefault="00F84DDA">
            <w:pPr>
              <w:spacing w:after="0" w:line="240" w:lineRule="auto"/>
              <w:rPr>
                <w:rFonts w:ascii="Times New Roman" w:hAnsi="Times New Roman"/>
                <w:sz w:val="20"/>
                <w:szCs w:val="20"/>
                <w:lang w:val="ro-RO"/>
              </w:rPr>
            </w:pPr>
            <w:r>
              <w:rPr>
                <w:rFonts w:ascii="Times New Roman" w:hAnsi="Times New Roman"/>
                <w:sz w:val="20"/>
                <w:szCs w:val="20"/>
                <w:lang w:val="fr-BE"/>
              </w:rPr>
              <w:t>Ra</w:t>
            </w:r>
            <w:r>
              <w:rPr>
                <w:rFonts w:ascii="Times New Roman" w:hAnsi="Times New Roman"/>
                <w:sz w:val="20"/>
                <w:szCs w:val="20"/>
                <w:lang w:val="ro-RO"/>
              </w:rPr>
              <w:t>portul studiului privind accesul la justiţie pentru victimele violenţei în familie</w:t>
            </w:r>
          </w:p>
        </w:tc>
        <w:tc>
          <w:tcPr>
            <w:tcW w:w="1092" w:type="dxa"/>
            <w:gridSpan w:val="2"/>
          </w:tcPr>
          <w:p w:rsidR="00F84DDA" w:rsidRDefault="00F84DDA">
            <w:pPr>
              <w:spacing w:after="0" w:line="240" w:lineRule="auto"/>
              <w:rPr>
                <w:rFonts w:ascii="Times New Roman" w:hAnsi="Times New Roman"/>
                <w:sz w:val="20"/>
                <w:szCs w:val="20"/>
                <w:lang w:val="ro-RO"/>
              </w:rPr>
            </w:pPr>
            <w:r>
              <w:rPr>
                <w:rFonts w:ascii="Times New Roman" w:hAnsi="Times New Roman"/>
                <w:sz w:val="20"/>
                <w:szCs w:val="20"/>
                <w:lang w:val="ro-RO"/>
              </w:rPr>
              <w:t>365, 1*</w:t>
            </w:r>
          </w:p>
        </w:tc>
        <w:tc>
          <w:tcPr>
            <w:tcW w:w="990" w:type="dxa"/>
          </w:tcPr>
          <w:p w:rsidR="00F84DDA" w:rsidRDefault="00F84DDA">
            <w:pPr>
              <w:spacing w:after="0" w:line="240" w:lineRule="auto"/>
              <w:jc w:val="center"/>
              <w:rPr>
                <w:rFonts w:ascii="Times New Roman" w:hAnsi="Times New Roman"/>
                <w:sz w:val="20"/>
                <w:szCs w:val="20"/>
                <w:lang w:val="ro-RO"/>
              </w:rPr>
            </w:pPr>
            <w:r>
              <w:rPr>
                <w:rFonts w:ascii="Times New Roman" w:hAnsi="Times New Roman"/>
                <w:sz w:val="20"/>
                <w:szCs w:val="20"/>
                <w:lang w:val="ro-RO"/>
              </w:rPr>
              <w:t>-</w:t>
            </w:r>
          </w:p>
        </w:tc>
      </w:tr>
      <w:tr w:rsidR="00F84DDA" w:rsidTr="009F72AA">
        <w:trPr>
          <w:trHeight w:val="144"/>
        </w:trPr>
        <w:tc>
          <w:tcPr>
            <w:tcW w:w="742" w:type="dxa"/>
            <w:vMerge w:val="restart"/>
          </w:tcPr>
          <w:p w:rsidR="00F84DDA" w:rsidRDefault="00F84DDA">
            <w:pPr>
              <w:spacing w:after="0" w:line="240" w:lineRule="auto"/>
              <w:rPr>
                <w:rFonts w:ascii="Times New Roman" w:hAnsi="Times New Roman"/>
                <w:sz w:val="20"/>
                <w:szCs w:val="20"/>
                <w:lang w:val="ro-RO"/>
              </w:rPr>
            </w:pPr>
            <w:r>
              <w:rPr>
                <w:rFonts w:ascii="Times New Roman" w:hAnsi="Times New Roman"/>
                <w:sz w:val="20"/>
                <w:szCs w:val="20"/>
                <w:lang w:val="ro-RO"/>
              </w:rPr>
              <w:t>3.</w:t>
            </w:r>
          </w:p>
        </w:tc>
        <w:tc>
          <w:tcPr>
            <w:tcW w:w="1264" w:type="dxa"/>
            <w:vMerge w:val="restart"/>
          </w:tcPr>
          <w:p w:rsidR="00F84DDA" w:rsidRDefault="00F84DDA">
            <w:pPr>
              <w:spacing w:after="0" w:line="240" w:lineRule="auto"/>
              <w:rPr>
                <w:rFonts w:ascii="Times New Roman" w:hAnsi="Times New Roman"/>
                <w:sz w:val="20"/>
                <w:szCs w:val="20"/>
              </w:rPr>
            </w:pPr>
            <w:r>
              <w:rPr>
                <w:rFonts w:ascii="Times New Roman" w:hAnsi="Times New Roman"/>
                <w:sz w:val="20"/>
                <w:szCs w:val="20"/>
              </w:rPr>
              <w:t>20 (d)</w:t>
            </w:r>
          </w:p>
        </w:tc>
        <w:tc>
          <w:tcPr>
            <w:tcW w:w="3082" w:type="dxa"/>
            <w:vMerge w:val="restart"/>
          </w:tcPr>
          <w:p w:rsidR="00F84DDA" w:rsidRDefault="00F84DDA">
            <w:pPr>
              <w:pStyle w:val="SingleTxtG"/>
              <w:spacing w:after="0" w:line="240" w:lineRule="auto"/>
              <w:ind w:left="-53" w:right="282"/>
              <w:rPr>
                <w:lang w:val="ro-RO"/>
              </w:rPr>
            </w:pPr>
            <w:r>
              <w:rPr>
                <w:lang w:val="ro-RO"/>
              </w:rPr>
              <w:t>3. Asigurarea faptului că toate investigaţiile aferente actelor de violenţă sexuală, precum şi cele comise împotriva femeilor migrante din Moldova, se efectuează în conformitate cu standardele internaţionale de investigare, inclusiv prin modificarea ghidurilor existente privind anchetarea cazurilor de viol şi alte acte de violenţă sexuală;</w:t>
            </w:r>
          </w:p>
        </w:tc>
        <w:tc>
          <w:tcPr>
            <w:tcW w:w="2292"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3.1. Revizuirea ghidului privind anchetarea cazurilor de violenţă în familie, inclusiv a cazurilor de viol şi alte acte de violenţă sexuală</w:t>
            </w:r>
          </w:p>
        </w:tc>
        <w:tc>
          <w:tcPr>
            <w:tcW w:w="1080" w:type="dxa"/>
          </w:tcPr>
          <w:p w:rsidR="00F84DDA" w:rsidRDefault="00F84DDA">
            <w:pPr>
              <w:spacing w:after="0" w:line="240" w:lineRule="auto"/>
              <w:rPr>
                <w:rFonts w:ascii="Times New Roman" w:hAnsi="Times New Roman"/>
                <w:sz w:val="20"/>
                <w:szCs w:val="20"/>
                <w:lang w:val="ro-RO"/>
              </w:rPr>
            </w:pPr>
            <w:r>
              <w:rPr>
                <w:rFonts w:ascii="Times New Roman" w:hAnsi="Times New Roman"/>
                <w:sz w:val="20"/>
                <w:szCs w:val="20"/>
                <w:lang w:val="ro-RO"/>
              </w:rPr>
              <w:t>2015</w:t>
            </w:r>
          </w:p>
        </w:tc>
        <w:tc>
          <w:tcPr>
            <w:tcW w:w="1620"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Procuratura Generală,</w:t>
            </w:r>
          </w:p>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Ministerul Afacerilor Interne</w:t>
            </w:r>
          </w:p>
          <w:p w:rsidR="00F84DDA" w:rsidRDefault="00F84DDA">
            <w:pPr>
              <w:spacing w:after="0" w:line="240" w:lineRule="auto"/>
              <w:rPr>
                <w:rFonts w:ascii="Times New Roman" w:hAnsi="Times New Roman"/>
                <w:sz w:val="20"/>
                <w:szCs w:val="20"/>
                <w:lang w:val="ro-MO"/>
              </w:rPr>
            </w:pPr>
          </w:p>
        </w:tc>
        <w:tc>
          <w:tcPr>
            <w:tcW w:w="1092" w:type="dxa"/>
          </w:tcPr>
          <w:p w:rsidR="00F84DDA" w:rsidRDefault="00F84DDA">
            <w:pPr>
              <w:spacing w:after="0" w:line="240" w:lineRule="auto"/>
              <w:rPr>
                <w:rFonts w:ascii="Times New Roman" w:hAnsi="Times New Roman"/>
                <w:sz w:val="20"/>
                <w:szCs w:val="20"/>
                <w:lang w:val="ro-RO"/>
              </w:rPr>
            </w:pPr>
            <w:r>
              <w:rPr>
                <w:rFonts w:ascii="Times New Roman" w:hAnsi="Times New Roman"/>
                <w:sz w:val="20"/>
                <w:szCs w:val="20"/>
                <w:lang w:val="ro-RO"/>
              </w:rPr>
              <w:t>Centrul de Drept al Femeii</w:t>
            </w:r>
          </w:p>
          <w:p w:rsidR="00F84DDA" w:rsidRDefault="00F84DDA">
            <w:pPr>
              <w:spacing w:after="0" w:line="240" w:lineRule="auto"/>
              <w:rPr>
                <w:rFonts w:ascii="Times New Roman" w:hAnsi="Times New Roman"/>
                <w:sz w:val="20"/>
                <w:szCs w:val="20"/>
                <w:lang w:val="ro-RO"/>
              </w:rPr>
            </w:pPr>
          </w:p>
        </w:tc>
        <w:tc>
          <w:tcPr>
            <w:tcW w:w="1186"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Ghid revizuit şi aprobat</w:t>
            </w:r>
          </w:p>
        </w:tc>
        <w:tc>
          <w:tcPr>
            <w:tcW w:w="1092" w:type="dxa"/>
            <w:gridSpan w:val="2"/>
          </w:tcPr>
          <w:p w:rsidR="00F84DDA" w:rsidRDefault="00F84DDA">
            <w:pPr>
              <w:spacing w:after="0" w:line="240" w:lineRule="auto"/>
              <w:jc w:val="center"/>
              <w:rPr>
                <w:rFonts w:ascii="Times New Roman" w:hAnsi="Times New Roman"/>
                <w:sz w:val="20"/>
                <w:szCs w:val="20"/>
                <w:lang w:val="ro-MO"/>
              </w:rPr>
            </w:pPr>
            <w:r>
              <w:rPr>
                <w:rFonts w:ascii="Times New Roman" w:hAnsi="Times New Roman"/>
                <w:sz w:val="20"/>
                <w:szCs w:val="20"/>
                <w:lang w:val="ro-MO"/>
              </w:rPr>
              <w:t>-</w:t>
            </w:r>
          </w:p>
        </w:tc>
        <w:tc>
          <w:tcPr>
            <w:tcW w:w="990" w:type="dxa"/>
          </w:tcPr>
          <w:p w:rsidR="00F84DDA" w:rsidRDefault="00F84DDA">
            <w:pPr>
              <w:spacing w:after="0" w:line="240" w:lineRule="auto"/>
              <w:jc w:val="center"/>
              <w:rPr>
                <w:rFonts w:ascii="Times New Roman" w:hAnsi="Times New Roman"/>
                <w:sz w:val="20"/>
                <w:szCs w:val="20"/>
                <w:lang w:val="ro-MO"/>
              </w:rPr>
            </w:pPr>
            <w:r>
              <w:rPr>
                <w:rFonts w:ascii="Times New Roman" w:hAnsi="Times New Roman"/>
                <w:sz w:val="20"/>
                <w:szCs w:val="20"/>
                <w:lang w:val="ro-MO"/>
              </w:rPr>
              <w:t>40,00**</w:t>
            </w:r>
          </w:p>
        </w:tc>
      </w:tr>
      <w:tr w:rsidR="00F84DDA" w:rsidTr="009F72AA">
        <w:trPr>
          <w:trHeight w:val="1988"/>
        </w:trPr>
        <w:tc>
          <w:tcPr>
            <w:tcW w:w="742" w:type="dxa"/>
            <w:vMerge/>
            <w:vAlign w:val="center"/>
          </w:tcPr>
          <w:p w:rsidR="00F84DDA" w:rsidRDefault="00F84DDA">
            <w:pPr>
              <w:spacing w:after="0" w:line="240" w:lineRule="auto"/>
              <w:rPr>
                <w:rFonts w:ascii="Times New Roman" w:hAnsi="Times New Roman"/>
                <w:sz w:val="20"/>
                <w:szCs w:val="20"/>
                <w:lang w:val="ro-RO"/>
              </w:rPr>
            </w:pPr>
          </w:p>
        </w:tc>
        <w:tc>
          <w:tcPr>
            <w:tcW w:w="1264" w:type="dxa"/>
            <w:vMerge/>
            <w:vAlign w:val="center"/>
          </w:tcPr>
          <w:p w:rsidR="00F84DDA" w:rsidRDefault="00F84DDA">
            <w:pPr>
              <w:spacing w:after="0" w:line="240" w:lineRule="auto"/>
              <w:rPr>
                <w:rFonts w:ascii="Times New Roman" w:hAnsi="Times New Roman"/>
                <w:sz w:val="20"/>
                <w:szCs w:val="20"/>
              </w:rPr>
            </w:pPr>
          </w:p>
        </w:tc>
        <w:tc>
          <w:tcPr>
            <w:tcW w:w="3082" w:type="dxa"/>
            <w:vMerge/>
            <w:vAlign w:val="center"/>
          </w:tcPr>
          <w:p w:rsidR="00F84DDA" w:rsidRDefault="00F84DDA">
            <w:pPr>
              <w:spacing w:after="0" w:line="240" w:lineRule="auto"/>
              <w:rPr>
                <w:rFonts w:ascii="Times New Roman" w:hAnsi="Times New Roman"/>
                <w:sz w:val="20"/>
                <w:szCs w:val="20"/>
                <w:lang w:val="ro-RO" w:eastAsia="ar-SA"/>
              </w:rPr>
            </w:pPr>
          </w:p>
        </w:tc>
        <w:tc>
          <w:tcPr>
            <w:tcW w:w="2292" w:type="dxa"/>
          </w:tcPr>
          <w:p w:rsidR="00F84DDA" w:rsidRDefault="00F84DDA">
            <w:pPr>
              <w:pStyle w:val="NoSpacing"/>
              <w:rPr>
                <w:rFonts w:ascii="Times New Roman" w:hAnsi="Times New Roman"/>
                <w:sz w:val="20"/>
                <w:szCs w:val="20"/>
                <w:lang w:val="ro-MO"/>
              </w:rPr>
            </w:pPr>
            <w:r>
              <w:rPr>
                <w:rFonts w:ascii="Times New Roman" w:hAnsi="Times New Roman"/>
                <w:sz w:val="20"/>
                <w:szCs w:val="20"/>
                <w:lang w:val="ro-MO"/>
              </w:rPr>
              <w:t xml:space="preserve">3.2. Elaborarea proiectului hotărîrii Guvernului cu privire </w:t>
            </w:r>
            <w:smartTag w:uri="urn:schemas-microsoft-com:office:smarttags" w:element="PersonName">
              <w:smartTagPr>
                <w:attr w:name="ProductID" w:val="la Instrucţiunile"/>
              </w:smartTagPr>
              <w:r>
                <w:rPr>
                  <w:rFonts w:ascii="Times New Roman" w:hAnsi="Times New Roman"/>
                  <w:sz w:val="20"/>
                  <w:szCs w:val="20"/>
                  <w:lang w:val="ro-MO"/>
                </w:rPr>
                <w:t>la Instrucţiunile</w:t>
              </w:r>
            </w:smartTag>
            <w:r>
              <w:rPr>
                <w:rFonts w:ascii="Times New Roman" w:hAnsi="Times New Roman"/>
                <w:sz w:val="20"/>
                <w:szCs w:val="20"/>
                <w:lang w:val="ro-MO"/>
              </w:rPr>
              <w:t xml:space="preserve"> intersectoriale de intervenţie pe cazurile de violenţă în familie şi monitorizare a executării ordonanţelor de protecţie</w:t>
            </w:r>
          </w:p>
        </w:tc>
        <w:tc>
          <w:tcPr>
            <w:tcW w:w="1080" w:type="dxa"/>
          </w:tcPr>
          <w:p w:rsidR="00F84DDA" w:rsidRDefault="00F84DDA">
            <w:pPr>
              <w:spacing w:after="0" w:line="240" w:lineRule="auto"/>
              <w:jc w:val="center"/>
              <w:rPr>
                <w:rFonts w:ascii="Times New Roman" w:hAnsi="Times New Roman"/>
                <w:sz w:val="20"/>
                <w:szCs w:val="20"/>
                <w:lang w:val="ro-RO"/>
              </w:rPr>
            </w:pPr>
            <w:r>
              <w:rPr>
                <w:rFonts w:ascii="Times New Roman" w:hAnsi="Times New Roman"/>
                <w:sz w:val="20"/>
                <w:szCs w:val="20"/>
                <w:lang w:val="ro-RO"/>
              </w:rPr>
              <w:t>2015</w:t>
            </w:r>
          </w:p>
        </w:tc>
        <w:tc>
          <w:tcPr>
            <w:tcW w:w="1620"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Ministerul Muncii, Protecţiei Sociale şi Familiei,</w:t>
            </w:r>
          </w:p>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Ministerul Afacerilor Interne</w:t>
            </w:r>
          </w:p>
          <w:p w:rsidR="00F84DDA" w:rsidRDefault="00F84DDA">
            <w:pPr>
              <w:spacing w:after="0" w:line="240" w:lineRule="auto"/>
              <w:rPr>
                <w:rFonts w:ascii="Times New Roman" w:hAnsi="Times New Roman"/>
                <w:sz w:val="20"/>
                <w:szCs w:val="20"/>
                <w:lang w:val="ro-RO"/>
              </w:rPr>
            </w:pPr>
          </w:p>
        </w:tc>
        <w:tc>
          <w:tcPr>
            <w:tcW w:w="1092"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Centrul de Drept al Femeilor</w:t>
            </w:r>
          </w:p>
        </w:tc>
        <w:tc>
          <w:tcPr>
            <w:tcW w:w="1186" w:type="dxa"/>
          </w:tcPr>
          <w:p w:rsidR="00F84DDA" w:rsidRDefault="00F84DDA">
            <w:pPr>
              <w:spacing w:after="0" w:line="240" w:lineRule="auto"/>
              <w:rPr>
                <w:rFonts w:ascii="Times New Roman" w:hAnsi="Times New Roman"/>
                <w:sz w:val="20"/>
                <w:szCs w:val="20"/>
                <w:lang w:val="ro-RO"/>
              </w:rPr>
            </w:pPr>
            <w:r>
              <w:rPr>
                <w:rFonts w:ascii="Times New Roman" w:hAnsi="Times New Roman"/>
                <w:sz w:val="20"/>
                <w:szCs w:val="20"/>
                <w:lang w:val="ro-RO"/>
              </w:rPr>
              <w:t>Hotărîre de Guvern aprobată</w:t>
            </w:r>
          </w:p>
        </w:tc>
        <w:tc>
          <w:tcPr>
            <w:tcW w:w="1092" w:type="dxa"/>
            <w:gridSpan w:val="2"/>
          </w:tcPr>
          <w:p w:rsidR="00F84DDA" w:rsidRDefault="00F84DDA">
            <w:pPr>
              <w:spacing w:after="0" w:line="240" w:lineRule="auto"/>
              <w:jc w:val="center"/>
              <w:rPr>
                <w:rFonts w:ascii="Times New Roman" w:hAnsi="Times New Roman"/>
                <w:sz w:val="20"/>
                <w:szCs w:val="20"/>
                <w:lang w:val="ro-RO"/>
              </w:rPr>
            </w:pPr>
            <w:r>
              <w:rPr>
                <w:rFonts w:ascii="Times New Roman" w:hAnsi="Times New Roman"/>
                <w:sz w:val="20"/>
                <w:szCs w:val="20"/>
                <w:lang w:val="ro-RO"/>
              </w:rPr>
              <w:t>-</w:t>
            </w:r>
          </w:p>
        </w:tc>
        <w:tc>
          <w:tcPr>
            <w:tcW w:w="990" w:type="dxa"/>
          </w:tcPr>
          <w:p w:rsidR="00F84DDA" w:rsidRDefault="00F84DDA">
            <w:pPr>
              <w:spacing w:after="0" w:line="240" w:lineRule="auto"/>
              <w:jc w:val="center"/>
              <w:rPr>
                <w:rFonts w:ascii="Times New Roman" w:hAnsi="Times New Roman"/>
                <w:sz w:val="20"/>
                <w:szCs w:val="20"/>
                <w:lang w:val="ro-RO"/>
              </w:rPr>
            </w:pPr>
            <w:r>
              <w:rPr>
                <w:rFonts w:ascii="Times New Roman" w:hAnsi="Times New Roman"/>
                <w:sz w:val="20"/>
                <w:szCs w:val="20"/>
                <w:lang w:val="ro-RO"/>
              </w:rPr>
              <w:t>În limitele bugetelor aprobate</w:t>
            </w:r>
          </w:p>
        </w:tc>
      </w:tr>
      <w:tr w:rsidR="00F84DDA" w:rsidTr="009F72AA">
        <w:trPr>
          <w:trHeight w:val="144"/>
        </w:trPr>
        <w:tc>
          <w:tcPr>
            <w:tcW w:w="742" w:type="dxa"/>
            <w:vMerge/>
            <w:vAlign w:val="center"/>
          </w:tcPr>
          <w:p w:rsidR="00F84DDA" w:rsidRDefault="00F84DDA">
            <w:pPr>
              <w:spacing w:after="0" w:line="240" w:lineRule="auto"/>
              <w:rPr>
                <w:rFonts w:ascii="Times New Roman" w:hAnsi="Times New Roman"/>
                <w:sz w:val="20"/>
                <w:szCs w:val="20"/>
                <w:lang w:val="ro-RO"/>
              </w:rPr>
            </w:pPr>
          </w:p>
        </w:tc>
        <w:tc>
          <w:tcPr>
            <w:tcW w:w="1264" w:type="dxa"/>
            <w:vMerge/>
            <w:vAlign w:val="center"/>
          </w:tcPr>
          <w:p w:rsidR="00F84DDA" w:rsidRDefault="00F84DDA">
            <w:pPr>
              <w:spacing w:after="0" w:line="240" w:lineRule="auto"/>
              <w:rPr>
                <w:rFonts w:ascii="Times New Roman" w:hAnsi="Times New Roman"/>
                <w:sz w:val="20"/>
                <w:szCs w:val="20"/>
              </w:rPr>
            </w:pPr>
          </w:p>
        </w:tc>
        <w:tc>
          <w:tcPr>
            <w:tcW w:w="3082" w:type="dxa"/>
            <w:vMerge/>
            <w:vAlign w:val="center"/>
          </w:tcPr>
          <w:p w:rsidR="00F84DDA" w:rsidRDefault="00F84DDA">
            <w:pPr>
              <w:spacing w:after="0" w:line="240" w:lineRule="auto"/>
              <w:rPr>
                <w:rFonts w:ascii="Times New Roman" w:hAnsi="Times New Roman"/>
                <w:sz w:val="20"/>
                <w:szCs w:val="20"/>
                <w:lang w:val="ro-RO" w:eastAsia="ar-SA"/>
              </w:rPr>
            </w:pPr>
          </w:p>
        </w:tc>
        <w:tc>
          <w:tcPr>
            <w:tcW w:w="2292" w:type="dxa"/>
          </w:tcPr>
          <w:p w:rsidR="00F84DDA" w:rsidRDefault="00F84DDA">
            <w:pPr>
              <w:pStyle w:val="NoSpacing"/>
              <w:rPr>
                <w:rFonts w:ascii="Times New Roman" w:hAnsi="Times New Roman"/>
                <w:sz w:val="20"/>
                <w:szCs w:val="20"/>
                <w:lang w:val="ro-MO"/>
              </w:rPr>
            </w:pPr>
            <w:r>
              <w:rPr>
                <w:rFonts w:ascii="Times New Roman" w:hAnsi="Times New Roman"/>
                <w:sz w:val="20"/>
                <w:szCs w:val="20"/>
                <w:lang w:val="ro-MO"/>
              </w:rPr>
              <w:t>3.3. Elaborarea instrumentarului de lucru pentru poliţişti pe cazurile de violenţă în familie</w:t>
            </w:r>
          </w:p>
        </w:tc>
        <w:tc>
          <w:tcPr>
            <w:tcW w:w="1080" w:type="dxa"/>
          </w:tcPr>
          <w:p w:rsidR="00F84DDA" w:rsidRDefault="00F84DDA">
            <w:pPr>
              <w:spacing w:after="0" w:line="240" w:lineRule="auto"/>
              <w:jc w:val="center"/>
              <w:rPr>
                <w:rFonts w:ascii="Times New Roman" w:hAnsi="Times New Roman"/>
                <w:sz w:val="20"/>
                <w:szCs w:val="20"/>
                <w:lang w:val="ro-RO"/>
              </w:rPr>
            </w:pPr>
            <w:r>
              <w:rPr>
                <w:rFonts w:ascii="Times New Roman" w:hAnsi="Times New Roman"/>
                <w:sz w:val="20"/>
                <w:szCs w:val="20"/>
                <w:lang w:val="ro-RO"/>
              </w:rPr>
              <w:t>2014-2015</w:t>
            </w:r>
          </w:p>
        </w:tc>
        <w:tc>
          <w:tcPr>
            <w:tcW w:w="1620"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Ministerul Afacerilor Interne,</w:t>
            </w:r>
          </w:p>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Ministerul Muncii, Protecţiei Sociale şi Familiei</w:t>
            </w:r>
          </w:p>
          <w:p w:rsidR="00F84DDA" w:rsidRDefault="00F84DDA">
            <w:pPr>
              <w:spacing w:after="0" w:line="240" w:lineRule="auto"/>
              <w:rPr>
                <w:rFonts w:ascii="Times New Roman" w:hAnsi="Times New Roman"/>
                <w:sz w:val="20"/>
                <w:szCs w:val="20"/>
                <w:lang w:val="ro-MO"/>
              </w:rPr>
            </w:pPr>
          </w:p>
        </w:tc>
        <w:tc>
          <w:tcPr>
            <w:tcW w:w="1092"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Centrul de Drept al Femeilor</w:t>
            </w:r>
          </w:p>
        </w:tc>
        <w:tc>
          <w:tcPr>
            <w:tcW w:w="1186" w:type="dxa"/>
          </w:tcPr>
          <w:p w:rsidR="00F84DDA" w:rsidRDefault="00F84DDA">
            <w:pPr>
              <w:spacing w:after="0" w:line="240" w:lineRule="auto"/>
              <w:rPr>
                <w:rFonts w:ascii="Times New Roman" w:hAnsi="Times New Roman"/>
                <w:sz w:val="20"/>
                <w:szCs w:val="20"/>
                <w:lang w:val="ro-RO"/>
              </w:rPr>
            </w:pPr>
            <w:r>
              <w:rPr>
                <w:rFonts w:ascii="Times New Roman" w:hAnsi="Times New Roman"/>
                <w:sz w:val="20"/>
                <w:szCs w:val="20"/>
                <w:lang w:val="ro-RO"/>
              </w:rPr>
              <w:t>Protocol de evaluare a riscurilor</w:t>
            </w:r>
          </w:p>
          <w:p w:rsidR="00F84DDA" w:rsidRDefault="00F84DDA">
            <w:pPr>
              <w:spacing w:after="0" w:line="240" w:lineRule="auto"/>
              <w:rPr>
                <w:rFonts w:ascii="Times New Roman" w:hAnsi="Times New Roman"/>
                <w:sz w:val="20"/>
                <w:szCs w:val="20"/>
                <w:lang w:val="ro-RO"/>
              </w:rPr>
            </w:pPr>
          </w:p>
          <w:p w:rsidR="00F84DDA" w:rsidRDefault="00F84DDA">
            <w:pPr>
              <w:spacing w:after="0" w:line="240" w:lineRule="auto"/>
              <w:rPr>
                <w:rFonts w:ascii="Times New Roman" w:hAnsi="Times New Roman"/>
                <w:sz w:val="20"/>
                <w:szCs w:val="20"/>
                <w:lang w:val="ro-RO"/>
              </w:rPr>
            </w:pPr>
            <w:r>
              <w:rPr>
                <w:rFonts w:ascii="Times New Roman" w:hAnsi="Times New Roman"/>
                <w:sz w:val="20"/>
                <w:szCs w:val="20"/>
                <w:lang w:val="ro-RO"/>
              </w:rPr>
              <w:t>Fişa de sesizare/</w:t>
            </w:r>
          </w:p>
          <w:p w:rsidR="00F84DDA" w:rsidRDefault="00F84DDA">
            <w:pPr>
              <w:spacing w:after="0" w:line="240" w:lineRule="auto"/>
              <w:rPr>
                <w:rFonts w:ascii="Times New Roman" w:hAnsi="Times New Roman"/>
                <w:sz w:val="20"/>
                <w:szCs w:val="20"/>
                <w:lang w:val="ro-RO"/>
              </w:rPr>
            </w:pPr>
            <w:r>
              <w:rPr>
                <w:rFonts w:ascii="Times New Roman" w:hAnsi="Times New Roman"/>
                <w:sz w:val="20"/>
                <w:szCs w:val="20"/>
                <w:lang w:val="ro-RO"/>
              </w:rPr>
              <w:t>referire a cazurilor de violenţă în familie</w:t>
            </w:r>
          </w:p>
        </w:tc>
        <w:tc>
          <w:tcPr>
            <w:tcW w:w="1092" w:type="dxa"/>
            <w:gridSpan w:val="2"/>
          </w:tcPr>
          <w:p w:rsidR="00F84DDA" w:rsidRDefault="00F84DDA">
            <w:pPr>
              <w:spacing w:after="0" w:line="240" w:lineRule="auto"/>
              <w:jc w:val="center"/>
              <w:rPr>
                <w:rFonts w:ascii="Times New Roman" w:hAnsi="Times New Roman"/>
                <w:sz w:val="20"/>
                <w:szCs w:val="20"/>
                <w:lang w:val="ro-RO"/>
              </w:rPr>
            </w:pPr>
            <w:r>
              <w:rPr>
                <w:rFonts w:ascii="Times New Roman" w:hAnsi="Times New Roman"/>
                <w:sz w:val="20"/>
                <w:szCs w:val="20"/>
                <w:lang w:val="ro-RO"/>
              </w:rPr>
              <w:t>În limitele bugetelor aprobate</w:t>
            </w:r>
          </w:p>
        </w:tc>
        <w:tc>
          <w:tcPr>
            <w:tcW w:w="990" w:type="dxa"/>
          </w:tcPr>
          <w:p w:rsidR="00F84DDA" w:rsidRDefault="00F84DDA">
            <w:pPr>
              <w:spacing w:after="0" w:line="240" w:lineRule="auto"/>
              <w:jc w:val="center"/>
              <w:rPr>
                <w:rFonts w:ascii="Times New Roman" w:hAnsi="Times New Roman"/>
                <w:sz w:val="20"/>
                <w:szCs w:val="20"/>
                <w:lang w:val="ro-RO"/>
              </w:rPr>
            </w:pPr>
            <w:r>
              <w:rPr>
                <w:rFonts w:ascii="Times New Roman" w:hAnsi="Times New Roman"/>
                <w:sz w:val="20"/>
                <w:szCs w:val="20"/>
                <w:lang w:val="ro-RO"/>
              </w:rPr>
              <w:t>În limitele bugetelor aprobate</w:t>
            </w:r>
          </w:p>
        </w:tc>
      </w:tr>
      <w:tr w:rsidR="00F84DDA" w:rsidTr="009F72AA">
        <w:trPr>
          <w:trHeight w:val="144"/>
        </w:trPr>
        <w:tc>
          <w:tcPr>
            <w:tcW w:w="742" w:type="dxa"/>
            <w:vMerge/>
            <w:vAlign w:val="center"/>
          </w:tcPr>
          <w:p w:rsidR="00F84DDA" w:rsidRDefault="00F84DDA">
            <w:pPr>
              <w:spacing w:after="0" w:line="240" w:lineRule="auto"/>
              <w:rPr>
                <w:rFonts w:ascii="Times New Roman" w:hAnsi="Times New Roman"/>
                <w:sz w:val="20"/>
                <w:szCs w:val="20"/>
                <w:lang w:val="ro-RO"/>
              </w:rPr>
            </w:pPr>
          </w:p>
        </w:tc>
        <w:tc>
          <w:tcPr>
            <w:tcW w:w="1264" w:type="dxa"/>
            <w:vMerge/>
            <w:vAlign w:val="center"/>
          </w:tcPr>
          <w:p w:rsidR="00F84DDA" w:rsidRDefault="00F84DDA">
            <w:pPr>
              <w:spacing w:after="0" w:line="240" w:lineRule="auto"/>
              <w:rPr>
                <w:rFonts w:ascii="Times New Roman" w:hAnsi="Times New Roman"/>
                <w:sz w:val="20"/>
                <w:szCs w:val="20"/>
              </w:rPr>
            </w:pPr>
          </w:p>
        </w:tc>
        <w:tc>
          <w:tcPr>
            <w:tcW w:w="3082" w:type="dxa"/>
            <w:vMerge/>
            <w:vAlign w:val="center"/>
          </w:tcPr>
          <w:p w:rsidR="00F84DDA" w:rsidRDefault="00F84DDA">
            <w:pPr>
              <w:spacing w:after="0" w:line="240" w:lineRule="auto"/>
              <w:rPr>
                <w:rFonts w:ascii="Times New Roman" w:hAnsi="Times New Roman"/>
                <w:sz w:val="20"/>
                <w:szCs w:val="20"/>
                <w:lang w:val="ro-RO" w:eastAsia="ar-SA"/>
              </w:rPr>
            </w:pPr>
          </w:p>
        </w:tc>
        <w:tc>
          <w:tcPr>
            <w:tcW w:w="2292" w:type="dxa"/>
          </w:tcPr>
          <w:p w:rsidR="00F84DDA" w:rsidRDefault="00F84DDA">
            <w:pPr>
              <w:pStyle w:val="NoSpacing"/>
              <w:rPr>
                <w:rFonts w:ascii="Times New Roman" w:hAnsi="Times New Roman"/>
                <w:sz w:val="20"/>
                <w:szCs w:val="20"/>
                <w:lang w:val="ro-RO"/>
              </w:rPr>
            </w:pPr>
            <w:r>
              <w:rPr>
                <w:rFonts w:ascii="Times New Roman" w:hAnsi="Times New Roman"/>
                <w:sz w:val="20"/>
                <w:szCs w:val="20"/>
                <w:lang w:val="ro-RO"/>
              </w:rPr>
              <w:t>3.4. Desfăşurarea activităţilor de formare continuă pentru judecători şi procurori în domeniul violenţei în familie, traficului de fiinţe umane, antidiscriminării, drepturilor persoanelor cu dizabilităţi, justiţiabilităţii drepturilor economice, sociale şi culturale</w:t>
            </w:r>
          </w:p>
        </w:tc>
        <w:tc>
          <w:tcPr>
            <w:tcW w:w="1080" w:type="dxa"/>
          </w:tcPr>
          <w:p w:rsidR="00F84DDA" w:rsidRDefault="00F84DDA">
            <w:pPr>
              <w:spacing w:after="0" w:line="240" w:lineRule="auto"/>
              <w:jc w:val="center"/>
              <w:rPr>
                <w:rFonts w:ascii="Times New Roman" w:hAnsi="Times New Roman"/>
                <w:sz w:val="20"/>
                <w:szCs w:val="20"/>
                <w:lang w:val="ro-RO"/>
              </w:rPr>
            </w:pPr>
            <w:r>
              <w:rPr>
                <w:rFonts w:ascii="Times New Roman" w:hAnsi="Times New Roman"/>
                <w:sz w:val="20"/>
                <w:szCs w:val="20"/>
                <w:lang w:val="ro-RO"/>
              </w:rPr>
              <w:t>2014</w:t>
            </w:r>
          </w:p>
        </w:tc>
        <w:tc>
          <w:tcPr>
            <w:tcW w:w="1620"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Institutul Naţional al Justiţiei</w:t>
            </w:r>
          </w:p>
        </w:tc>
        <w:tc>
          <w:tcPr>
            <w:tcW w:w="1092" w:type="dxa"/>
          </w:tcPr>
          <w:p w:rsidR="00F84DDA" w:rsidRDefault="00F84DDA">
            <w:pPr>
              <w:spacing w:after="0" w:line="240" w:lineRule="auto"/>
              <w:rPr>
                <w:rFonts w:ascii="Times New Roman" w:hAnsi="Times New Roman"/>
                <w:sz w:val="24"/>
                <w:szCs w:val="24"/>
                <w:lang w:val="ro-MO"/>
              </w:rPr>
            </w:pPr>
          </w:p>
        </w:tc>
        <w:tc>
          <w:tcPr>
            <w:tcW w:w="1186" w:type="dxa"/>
          </w:tcPr>
          <w:p w:rsidR="00F84DDA" w:rsidRDefault="00F84DDA">
            <w:pPr>
              <w:spacing w:after="0" w:line="240" w:lineRule="auto"/>
              <w:rPr>
                <w:rFonts w:ascii="Times New Roman" w:hAnsi="Times New Roman"/>
                <w:sz w:val="20"/>
                <w:szCs w:val="20"/>
                <w:lang w:val="ro-RO"/>
              </w:rPr>
            </w:pPr>
            <w:r>
              <w:rPr>
                <w:rFonts w:ascii="Times New Roman" w:hAnsi="Times New Roman"/>
                <w:sz w:val="20"/>
                <w:szCs w:val="20"/>
                <w:lang w:val="ro-RO"/>
              </w:rPr>
              <w:t xml:space="preserve">Numărul de activităţi organizate </w:t>
            </w:r>
          </w:p>
          <w:p w:rsidR="00F84DDA" w:rsidRDefault="00F84DDA">
            <w:pPr>
              <w:spacing w:after="0" w:line="240" w:lineRule="auto"/>
              <w:rPr>
                <w:rFonts w:ascii="Times New Roman" w:hAnsi="Times New Roman"/>
                <w:sz w:val="20"/>
                <w:szCs w:val="20"/>
                <w:lang w:val="ro-RO"/>
              </w:rPr>
            </w:pPr>
          </w:p>
          <w:p w:rsidR="00F84DDA" w:rsidRDefault="00F84DDA">
            <w:pPr>
              <w:spacing w:after="0" w:line="240" w:lineRule="auto"/>
              <w:rPr>
                <w:rFonts w:ascii="Times New Roman" w:hAnsi="Times New Roman"/>
                <w:sz w:val="24"/>
                <w:szCs w:val="24"/>
                <w:lang w:val="ro-RO"/>
              </w:rPr>
            </w:pPr>
            <w:r>
              <w:rPr>
                <w:rFonts w:ascii="Times New Roman" w:hAnsi="Times New Roman"/>
                <w:sz w:val="20"/>
                <w:szCs w:val="20"/>
                <w:lang w:val="ro-RO"/>
              </w:rPr>
              <w:t>Numărul de specialişti instruiţi</w:t>
            </w:r>
          </w:p>
        </w:tc>
        <w:tc>
          <w:tcPr>
            <w:tcW w:w="1092" w:type="dxa"/>
            <w:gridSpan w:val="2"/>
          </w:tcPr>
          <w:p w:rsidR="00F84DDA" w:rsidRDefault="00F84DDA">
            <w:pPr>
              <w:spacing w:after="0" w:line="240" w:lineRule="auto"/>
              <w:jc w:val="center"/>
              <w:rPr>
                <w:rFonts w:ascii="Times New Roman" w:hAnsi="Times New Roman"/>
                <w:sz w:val="24"/>
                <w:szCs w:val="24"/>
                <w:lang w:val="fr-BE"/>
              </w:rPr>
            </w:pPr>
            <w:r>
              <w:rPr>
                <w:rFonts w:ascii="Times New Roman" w:hAnsi="Times New Roman"/>
                <w:sz w:val="20"/>
                <w:szCs w:val="20"/>
                <w:lang w:val="ro-RO"/>
              </w:rPr>
              <w:t>În limitele bugetelor aprobate</w:t>
            </w:r>
          </w:p>
        </w:tc>
        <w:tc>
          <w:tcPr>
            <w:tcW w:w="990" w:type="dxa"/>
          </w:tcPr>
          <w:p w:rsidR="00F84DDA" w:rsidRDefault="00F84DDA">
            <w:pPr>
              <w:spacing w:after="0" w:line="240" w:lineRule="auto"/>
              <w:jc w:val="center"/>
              <w:rPr>
                <w:rFonts w:ascii="Times New Roman" w:hAnsi="Times New Roman"/>
                <w:sz w:val="24"/>
                <w:szCs w:val="24"/>
                <w:lang w:val="ro-RO"/>
              </w:rPr>
            </w:pPr>
            <w:r>
              <w:rPr>
                <w:rFonts w:ascii="Times New Roman" w:hAnsi="Times New Roman"/>
                <w:sz w:val="20"/>
                <w:szCs w:val="20"/>
                <w:lang w:val="ro-RO"/>
              </w:rPr>
              <w:t>-</w:t>
            </w:r>
          </w:p>
        </w:tc>
      </w:tr>
      <w:tr w:rsidR="00F84DDA" w:rsidRPr="00BA6040" w:rsidTr="009F72AA">
        <w:trPr>
          <w:trHeight w:val="144"/>
        </w:trPr>
        <w:tc>
          <w:tcPr>
            <w:tcW w:w="14440" w:type="dxa"/>
            <w:gridSpan w:val="11"/>
          </w:tcPr>
          <w:p w:rsidR="00F84DDA" w:rsidRDefault="00F84DDA">
            <w:pPr>
              <w:spacing w:after="0" w:line="240" w:lineRule="auto"/>
              <w:rPr>
                <w:rFonts w:ascii="Times New Roman" w:hAnsi="Times New Roman"/>
                <w:b/>
                <w:i/>
                <w:sz w:val="24"/>
                <w:szCs w:val="24"/>
                <w:lang w:val="ro-RO"/>
              </w:rPr>
            </w:pPr>
            <w:r>
              <w:rPr>
                <w:rFonts w:ascii="Times New Roman" w:hAnsi="Times New Roman"/>
                <w:b/>
                <w:i/>
                <w:sz w:val="24"/>
                <w:szCs w:val="24"/>
                <w:lang w:val="ro-RO"/>
              </w:rPr>
              <w:t>Domeniul 2. Ocuparea forţei de muncă</w:t>
            </w:r>
          </w:p>
        </w:tc>
      </w:tr>
      <w:tr w:rsidR="00F84DDA" w:rsidTr="009F72AA">
        <w:trPr>
          <w:trHeight w:val="144"/>
        </w:trPr>
        <w:tc>
          <w:tcPr>
            <w:tcW w:w="742"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4.</w:t>
            </w:r>
          </w:p>
        </w:tc>
        <w:tc>
          <w:tcPr>
            <w:tcW w:w="1264"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28 (b)</w:t>
            </w:r>
          </w:p>
        </w:tc>
        <w:tc>
          <w:tcPr>
            <w:tcW w:w="3082" w:type="dxa"/>
          </w:tcPr>
          <w:p w:rsidR="00F84DDA" w:rsidRDefault="00F84DDA">
            <w:pPr>
              <w:pStyle w:val="SingleTxtG"/>
              <w:spacing w:after="0" w:line="240" w:lineRule="auto"/>
              <w:ind w:left="0" w:right="282"/>
              <w:rPr>
                <w:lang w:val="ro-MO"/>
              </w:rPr>
            </w:pPr>
            <w:r>
              <w:rPr>
                <w:lang w:val="ro-MO"/>
              </w:rPr>
              <w:t>4. Sporirea accesului femeilor de etnie romă, femeilor din sectorul rural, femeilor cu dezabilităţi şi femeilor în etate la munca formală, inter alia, asigurînd aplicarea eficientă a Strategiei de asigurare a egalităţii de gen (2010-2015)</w:t>
            </w:r>
          </w:p>
        </w:tc>
        <w:tc>
          <w:tcPr>
            <w:tcW w:w="2292"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Organizarea seminarelor informative cu participarea agenţilor economici şi persoanelor aflate în căutarea unui loc de muncă, inclusiv din localităţile rurale, din grupurile vulnerabile, în scopul facilitării accesului la serviciile şi măsurile de ocupare pe piaţa muncii</w:t>
            </w:r>
          </w:p>
        </w:tc>
        <w:tc>
          <w:tcPr>
            <w:tcW w:w="1080"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2014-2015</w:t>
            </w:r>
          </w:p>
        </w:tc>
        <w:tc>
          <w:tcPr>
            <w:tcW w:w="1620" w:type="dxa"/>
          </w:tcPr>
          <w:p w:rsidR="00F84DDA" w:rsidRDefault="00F84DDA">
            <w:pPr>
              <w:pStyle w:val="NoSpacing"/>
              <w:rPr>
                <w:rFonts w:ascii="Times New Roman" w:hAnsi="Times New Roman"/>
                <w:sz w:val="20"/>
                <w:szCs w:val="20"/>
                <w:lang w:val="ro-MO"/>
              </w:rPr>
            </w:pPr>
            <w:r>
              <w:rPr>
                <w:rFonts w:ascii="Times New Roman" w:hAnsi="Times New Roman"/>
                <w:sz w:val="20"/>
                <w:szCs w:val="20"/>
                <w:lang w:val="ro-MO"/>
              </w:rPr>
              <w:t>Ministerul Muncii, Protecţiei Sociale şi Familiei</w:t>
            </w:r>
          </w:p>
          <w:p w:rsidR="00F84DDA" w:rsidRDefault="00F84DDA">
            <w:pPr>
              <w:pStyle w:val="NoSpacing"/>
              <w:rPr>
                <w:rFonts w:ascii="Times New Roman" w:hAnsi="Times New Roman"/>
                <w:sz w:val="20"/>
                <w:szCs w:val="20"/>
                <w:lang w:val="ro-MO"/>
              </w:rPr>
            </w:pPr>
            <w:r>
              <w:rPr>
                <w:rFonts w:ascii="Times New Roman" w:hAnsi="Times New Roman"/>
                <w:sz w:val="20"/>
                <w:szCs w:val="20"/>
                <w:lang w:val="ro-MO"/>
              </w:rPr>
              <w:t>(Agenţia Naţională pentru Ocuparea Forţei de Muncă)</w:t>
            </w:r>
          </w:p>
          <w:p w:rsidR="00F84DDA" w:rsidRDefault="00F84DDA">
            <w:pPr>
              <w:pStyle w:val="NoSpacing"/>
              <w:rPr>
                <w:rFonts w:ascii="Times New Roman" w:hAnsi="Times New Roman"/>
                <w:sz w:val="20"/>
                <w:szCs w:val="20"/>
                <w:lang w:val="ro-MO"/>
              </w:rPr>
            </w:pPr>
          </w:p>
          <w:p w:rsidR="00F84DDA" w:rsidRDefault="00F84DDA">
            <w:pPr>
              <w:spacing w:after="0" w:line="240" w:lineRule="auto"/>
              <w:rPr>
                <w:rFonts w:ascii="Times New Roman" w:hAnsi="Times New Roman"/>
                <w:sz w:val="20"/>
                <w:szCs w:val="20"/>
                <w:lang w:val="ro-MO"/>
              </w:rPr>
            </w:pPr>
          </w:p>
        </w:tc>
        <w:tc>
          <w:tcPr>
            <w:tcW w:w="1092" w:type="dxa"/>
          </w:tcPr>
          <w:p w:rsidR="00F84DDA" w:rsidRDefault="00F84DDA">
            <w:pPr>
              <w:spacing w:after="0" w:line="240" w:lineRule="auto"/>
              <w:rPr>
                <w:rFonts w:ascii="Times New Roman" w:hAnsi="Times New Roman"/>
                <w:sz w:val="20"/>
                <w:szCs w:val="20"/>
                <w:lang w:val="ro-MO"/>
              </w:rPr>
            </w:pPr>
          </w:p>
        </w:tc>
        <w:tc>
          <w:tcPr>
            <w:tcW w:w="1186" w:type="dxa"/>
          </w:tcPr>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Numărul de seminare organizate</w:t>
            </w:r>
          </w:p>
          <w:p w:rsidR="00F84DDA" w:rsidRDefault="00F84DDA">
            <w:pPr>
              <w:spacing w:after="0" w:line="240" w:lineRule="auto"/>
              <w:rPr>
                <w:rFonts w:ascii="Times New Roman" w:hAnsi="Times New Roman"/>
                <w:sz w:val="20"/>
                <w:szCs w:val="20"/>
                <w:lang w:val="ro-MO"/>
              </w:rPr>
            </w:pPr>
          </w:p>
          <w:p w:rsidR="00F84DDA" w:rsidRDefault="00F84DDA">
            <w:pPr>
              <w:spacing w:after="0" w:line="240" w:lineRule="auto"/>
              <w:rPr>
                <w:rFonts w:ascii="Times New Roman" w:hAnsi="Times New Roman"/>
                <w:sz w:val="20"/>
                <w:szCs w:val="20"/>
                <w:lang w:val="ro-MO"/>
              </w:rPr>
            </w:pPr>
            <w:r>
              <w:rPr>
                <w:rFonts w:ascii="Times New Roman" w:hAnsi="Times New Roman"/>
                <w:sz w:val="20"/>
                <w:szCs w:val="20"/>
                <w:lang w:val="ro-MO"/>
              </w:rPr>
              <w:t xml:space="preserve">Numărul de participanţi  </w:t>
            </w:r>
          </w:p>
        </w:tc>
        <w:tc>
          <w:tcPr>
            <w:tcW w:w="1021" w:type="dxa"/>
          </w:tcPr>
          <w:p w:rsidR="00F84DDA" w:rsidRDefault="00F84DDA">
            <w:pPr>
              <w:spacing w:after="0" w:line="240" w:lineRule="auto"/>
              <w:jc w:val="center"/>
              <w:rPr>
                <w:rFonts w:ascii="Times New Roman" w:hAnsi="Times New Roman"/>
                <w:sz w:val="20"/>
                <w:szCs w:val="20"/>
                <w:lang w:val="ro-MO"/>
              </w:rPr>
            </w:pPr>
            <w:r>
              <w:rPr>
                <w:rFonts w:ascii="Times New Roman" w:hAnsi="Times New Roman"/>
                <w:sz w:val="20"/>
                <w:szCs w:val="20"/>
                <w:lang w:val="ro-MO"/>
              </w:rPr>
              <w:t>102,5</w:t>
            </w:r>
          </w:p>
        </w:tc>
        <w:tc>
          <w:tcPr>
            <w:tcW w:w="1061" w:type="dxa"/>
            <w:gridSpan w:val="2"/>
          </w:tcPr>
          <w:p w:rsidR="00F84DDA" w:rsidRDefault="00F84DDA">
            <w:pPr>
              <w:spacing w:after="0" w:line="240" w:lineRule="auto"/>
              <w:jc w:val="center"/>
              <w:rPr>
                <w:rFonts w:ascii="Times New Roman" w:hAnsi="Times New Roman"/>
                <w:sz w:val="20"/>
                <w:szCs w:val="20"/>
                <w:lang w:val="ro-MO"/>
              </w:rPr>
            </w:pPr>
            <w:r>
              <w:rPr>
                <w:rFonts w:ascii="Times New Roman" w:hAnsi="Times New Roman"/>
                <w:sz w:val="20"/>
                <w:szCs w:val="20"/>
                <w:lang w:val="ro-MO"/>
              </w:rPr>
              <w:t>102,5</w:t>
            </w:r>
          </w:p>
        </w:tc>
      </w:tr>
    </w:tbl>
    <w:p w:rsidR="00F84DDA" w:rsidRDefault="00F84DDA" w:rsidP="009F72AA">
      <w:pPr>
        <w:spacing w:after="0" w:line="240" w:lineRule="auto"/>
        <w:ind w:firstLine="720"/>
        <w:jc w:val="both"/>
        <w:rPr>
          <w:rFonts w:ascii="Times New Roman" w:hAnsi="Times New Roman"/>
          <w:color w:val="000000"/>
          <w:sz w:val="24"/>
          <w:szCs w:val="24"/>
          <w:lang w:val="ro-MO"/>
        </w:rPr>
      </w:pPr>
    </w:p>
    <w:p w:rsidR="00F84DDA" w:rsidRDefault="00F84DDA" w:rsidP="009F72AA">
      <w:pPr>
        <w:spacing w:after="0" w:line="240" w:lineRule="auto"/>
        <w:ind w:firstLine="720"/>
        <w:jc w:val="both"/>
        <w:rPr>
          <w:rFonts w:ascii="Times New Roman" w:hAnsi="Times New Roman"/>
          <w:color w:val="000000"/>
          <w:sz w:val="24"/>
          <w:szCs w:val="24"/>
          <w:lang w:val="ro-MO"/>
        </w:rPr>
      </w:pPr>
      <w:r>
        <w:rPr>
          <w:rFonts w:ascii="Times New Roman" w:hAnsi="Times New Roman"/>
          <w:color w:val="000000"/>
          <w:sz w:val="24"/>
          <w:szCs w:val="24"/>
          <w:lang w:val="ro-MO"/>
        </w:rPr>
        <w:t>Note:</w:t>
      </w:r>
    </w:p>
    <w:p w:rsidR="00F84DDA" w:rsidRDefault="00F84DDA" w:rsidP="00214743">
      <w:pPr>
        <w:spacing w:after="0" w:line="240" w:lineRule="auto"/>
        <w:ind w:firstLine="720"/>
        <w:jc w:val="both"/>
        <w:rPr>
          <w:rFonts w:ascii="Times New Roman" w:hAnsi="Times New Roman"/>
          <w:color w:val="000000"/>
          <w:sz w:val="24"/>
          <w:szCs w:val="24"/>
          <w:lang w:val="ro-MO"/>
        </w:rPr>
      </w:pPr>
      <w:r>
        <w:rPr>
          <w:rFonts w:ascii="Times New Roman" w:hAnsi="Times New Roman"/>
          <w:color w:val="000000"/>
          <w:sz w:val="24"/>
          <w:szCs w:val="24"/>
          <w:lang w:val="ro-MO"/>
        </w:rPr>
        <w:t>1. Costurile implementării acţiunilor menţionate cu un singur asterisc * semnifică resursele financiare acoperite din contul donatorilor.</w:t>
      </w:r>
    </w:p>
    <w:p w:rsidR="00F84DDA" w:rsidRDefault="00F84DDA" w:rsidP="00214743">
      <w:pPr>
        <w:spacing w:after="0" w:line="240" w:lineRule="auto"/>
        <w:ind w:firstLine="720"/>
        <w:jc w:val="both"/>
        <w:rPr>
          <w:rFonts w:ascii="Times New Roman" w:hAnsi="Times New Roman"/>
          <w:color w:val="000000"/>
          <w:sz w:val="24"/>
          <w:szCs w:val="24"/>
          <w:lang w:val="ro-MO"/>
        </w:rPr>
      </w:pPr>
      <w:r>
        <w:rPr>
          <w:rFonts w:ascii="Times New Roman" w:hAnsi="Times New Roman"/>
          <w:color w:val="000000"/>
          <w:sz w:val="24"/>
          <w:szCs w:val="24"/>
          <w:lang w:val="ro-MO"/>
        </w:rPr>
        <w:t>2. Costurile implementării acţiunilor menţionate cu dublu asterisc ** semnifică resursele financiare estimate ce urmează a fi identificate prin solicitare de la comunitatea donatorilor.”</w:t>
      </w:r>
    </w:p>
    <w:p w:rsidR="00F84DDA" w:rsidRPr="009F72AA" w:rsidRDefault="00F84DDA" w:rsidP="00214743">
      <w:pPr>
        <w:jc w:val="both"/>
        <w:rPr>
          <w:lang w:val="ro-MO"/>
        </w:rPr>
      </w:pPr>
    </w:p>
    <w:sectPr w:rsidR="00F84DDA" w:rsidRPr="009F72AA" w:rsidSect="00371156">
      <w:pgSz w:w="15840" w:h="12240"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156"/>
    <w:rsid w:val="00214743"/>
    <w:rsid w:val="00267199"/>
    <w:rsid w:val="00371156"/>
    <w:rsid w:val="00386351"/>
    <w:rsid w:val="003E1EC5"/>
    <w:rsid w:val="004E55CC"/>
    <w:rsid w:val="00790F9F"/>
    <w:rsid w:val="009F72AA"/>
    <w:rsid w:val="00BA6040"/>
    <w:rsid w:val="00C358B4"/>
    <w:rsid w:val="00E05E49"/>
    <w:rsid w:val="00E82CCF"/>
    <w:rsid w:val="00F84D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CF"/>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header">
    <w:name w:val="doc_header"/>
    <w:basedOn w:val="DefaultParagraphFont"/>
    <w:uiPriority w:val="99"/>
    <w:rsid w:val="00371156"/>
    <w:rPr>
      <w:rFonts w:cs="Times New Roman"/>
    </w:rPr>
  </w:style>
  <w:style w:type="paragraph" w:styleId="ListParagraph">
    <w:name w:val="List Paragraph"/>
    <w:basedOn w:val="Normal"/>
    <w:uiPriority w:val="99"/>
    <w:qFormat/>
    <w:rsid w:val="00371156"/>
    <w:pPr>
      <w:widowControl w:val="0"/>
      <w:autoSpaceDE w:val="0"/>
      <w:autoSpaceDN w:val="0"/>
      <w:adjustRightInd w:val="0"/>
      <w:spacing w:after="0" w:line="240" w:lineRule="auto"/>
      <w:ind w:left="720"/>
      <w:contextualSpacing/>
      <w:jc w:val="both"/>
    </w:pPr>
    <w:rPr>
      <w:rFonts w:ascii="Times New Roman" w:hAnsi="Times New Roman"/>
      <w:sz w:val="20"/>
      <w:szCs w:val="20"/>
      <w:lang w:val="ru-RU" w:eastAsia="ru-RU"/>
    </w:rPr>
  </w:style>
  <w:style w:type="character" w:customStyle="1" w:styleId="apple-converted-space">
    <w:name w:val="apple-converted-space"/>
    <w:basedOn w:val="DefaultParagraphFont"/>
    <w:uiPriority w:val="99"/>
    <w:rsid w:val="00371156"/>
    <w:rPr>
      <w:rFonts w:cs="Times New Roman"/>
    </w:rPr>
  </w:style>
  <w:style w:type="paragraph" w:styleId="NoSpacing">
    <w:name w:val="No Spacing"/>
    <w:uiPriority w:val="99"/>
    <w:qFormat/>
    <w:rsid w:val="00371156"/>
    <w:pPr>
      <w:ind w:firstLine="720"/>
      <w:jc w:val="both"/>
    </w:pPr>
    <w:rPr>
      <w:lang w:val="en-US" w:eastAsia="en-US"/>
    </w:rPr>
  </w:style>
  <w:style w:type="paragraph" w:customStyle="1" w:styleId="SingleTxtG">
    <w:name w:val="_ Single Txt_G"/>
    <w:basedOn w:val="Normal"/>
    <w:uiPriority w:val="99"/>
    <w:rsid w:val="00371156"/>
    <w:pPr>
      <w:suppressAutoHyphens/>
      <w:spacing w:after="120" w:line="240" w:lineRule="atLeast"/>
      <w:ind w:left="1134" w:right="1134"/>
      <w:jc w:val="both"/>
    </w:pPr>
    <w:rPr>
      <w:rFonts w:ascii="Times New Roman" w:hAnsi="Times New Roman"/>
      <w:sz w:val="20"/>
      <w:szCs w:val="20"/>
      <w:lang w:val="en-GB" w:eastAsia="ar-SA"/>
    </w:rPr>
  </w:style>
  <w:style w:type="character" w:customStyle="1" w:styleId="hps">
    <w:name w:val="hps"/>
    <w:basedOn w:val="DefaultParagraphFont"/>
    <w:uiPriority w:val="99"/>
    <w:rsid w:val="00371156"/>
    <w:rPr>
      <w:rFonts w:cs="Times New Roman"/>
    </w:rPr>
  </w:style>
</w:styles>
</file>

<file path=word/webSettings.xml><?xml version="1.0" encoding="utf-8"?>
<w:webSettings xmlns:r="http://schemas.openxmlformats.org/officeDocument/2006/relationships" xmlns:w="http://schemas.openxmlformats.org/wordprocessingml/2006/main">
  <w:divs>
    <w:div w:id="18509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969</Words>
  <Characters>5528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User</cp:lastModifiedBy>
  <cp:revision>5</cp:revision>
  <dcterms:created xsi:type="dcterms:W3CDTF">2014-07-14T07:07:00Z</dcterms:created>
  <dcterms:modified xsi:type="dcterms:W3CDTF">2014-09-16T07:57:00Z</dcterms:modified>
</cp:coreProperties>
</file>