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AB" w:rsidRDefault="00E164AB" w:rsidP="00E164AB">
      <w:pPr>
        <w:tabs>
          <w:tab w:val="left" w:pos="993"/>
        </w:tabs>
        <w:ind w:left="993"/>
        <w:jc w:val="right"/>
        <w:rPr>
          <w:b/>
          <w:lang w:val="ro-RO"/>
        </w:rPr>
      </w:pPr>
      <w:r>
        <w:rPr>
          <w:b/>
          <w:lang w:val="ro-RO"/>
        </w:rPr>
        <w:t>Anexă</w:t>
      </w:r>
    </w:p>
    <w:p w:rsidR="00E164AB" w:rsidRDefault="00E164AB" w:rsidP="00E164AB">
      <w:pPr>
        <w:tabs>
          <w:tab w:val="left" w:pos="993"/>
        </w:tabs>
        <w:ind w:left="993"/>
        <w:jc w:val="right"/>
        <w:rPr>
          <w:b/>
          <w:lang w:val="ro-RO"/>
        </w:rPr>
      </w:pPr>
    </w:p>
    <w:p w:rsidR="00E164AB" w:rsidRDefault="00E164AB" w:rsidP="00E164AB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REGISTRUL</w:t>
      </w:r>
    </w:p>
    <w:p w:rsidR="00E164AB" w:rsidRDefault="00E164AB" w:rsidP="00E164AB">
      <w:pPr>
        <w:pStyle w:val="cp"/>
        <w:rPr>
          <w:sz w:val="28"/>
          <w:szCs w:val="28"/>
          <w:lang w:val="ro-RO"/>
        </w:rPr>
      </w:pPr>
      <w:r w:rsidRPr="00D20467">
        <w:rPr>
          <w:sz w:val="28"/>
          <w:szCs w:val="28"/>
          <w:lang w:val="ro-RO"/>
        </w:rPr>
        <w:t>auditorilor interni certificaţi din sectorul public</w:t>
      </w:r>
    </w:p>
    <w:p w:rsidR="00E164AB" w:rsidRPr="00D20467" w:rsidRDefault="00E164AB" w:rsidP="00E164AB">
      <w:pPr>
        <w:pStyle w:val="cp"/>
        <w:rPr>
          <w:sz w:val="28"/>
          <w:szCs w:val="28"/>
          <w:lang w:val="ro-RO"/>
        </w:rPr>
      </w:pPr>
    </w:p>
    <w:p w:rsidR="00E164AB" w:rsidRPr="00D20467" w:rsidRDefault="00E164AB" w:rsidP="00E164AB">
      <w:pPr>
        <w:pStyle w:val="NormalWeb"/>
      </w:pPr>
      <w:r w:rsidRPr="00D20467">
        <w:t> 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723"/>
        <w:gridCol w:w="2211"/>
        <w:gridCol w:w="2299"/>
        <w:gridCol w:w="1727"/>
        <w:gridCol w:w="3828"/>
        <w:gridCol w:w="1134"/>
      </w:tblGrid>
      <w:tr w:rsidR="00E164AB" w:rsidRPr="00D20467" w:rsidTr="00F74ECD">
        <w:trPr>
          <w:trHeight w:val="620"/>
        </w:trPr>
        <w:tc>
          <w:tcPr>
            <w:tcW w:w="787" w:type="dxa"/>
            <w:vMerge w:val="restart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left"/>
              <w:rPr>
                <w:b/>
              </w:rPr>
            </w:pPr>
            <w:r w:rsidRPr="00D20467">
              <w:rPr>
                <w:b/>
              </w:rPr>
              <w:t>N/o</w:t>
            </w:r>
          </w:p>
        </w:tc>
        <w:tc>
          <w:tcPr>
            <w:tcW w:w="2723" w:type="dxa"/>
            <w:vMerge w:val="restart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Numele, prenumele</w:t>
            </w:r>
          </w:p>
        </w:tc>
        <w:tc>
          <w:tcPr>
            <w:tcW w:w="4510" w:type="dxa"/>
            <w:gridSpan w:val="2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Numărul şi data emiterii</w:t>
            </w:r>
          </w:p>
        </w:tc>
        <w:tc>
          <w:tcPr>
            <w:tcW w:w="1727" w:type="dxa"/>
            <w:vMerge w:val="restart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Date privind suspendarea certificatului</w:t>
            </w:r>
          </w:p>
        </w:tc>
        <w:tc>
          <w:tcPr>
            <w:tcW w:w="3828" w:type="dxa"/>
            <w:vMerge w:val="restart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F70B84">
              <w:rPr>
                <w:b/>
              </w:rPr>
              <w:t>Denumirea entităţii publice în care activează auditorul intern</w:t>
            </w:r>
          </w:p>
        </w:tc>
        <w:tc>
          <w:tcPr>
            <w:tcW w:w="1134" w:type="dxa"/>
            <w:vMerge w:val="restart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Note</w:t>
            </w:r>
          </w:p>
        </w:tc>
      </w:tr>
      <w:tr w:rsidR="00E164AB" w:rsidRPr="00D20467" w:rsidTr="00F74ECD">
        <w:trPr>
          <w:trHeight w:val="619"/>
        </w:trPr>
        <w:tc>
          <w:tcPr>
            <w:tcW w:w="787" w:type="dxa"/>
            <w:vMerge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left"/>
              <w:rPr>
                <w:b/>
              </w:rPr>
            </w:pPr>
          </w:p>
        </w:tc>
        <w:tc>
          <w:tcPr>
            <w:tcW w:w="2723" w:type="dxa"/>
            <w:vMerge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auditorului din sectorul public</w:t>
            </w:r>
          </w:p>
        </w:tc>
        <w:tc>
          <w:tcPr>
            <w:tcW w:w="2299" w:type="dxa"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în domeniu specializat al auditorului din sectorul public</w:t>
            </w:r>
          </w:p>
        </w:tc>
        <w:tc>
          <w:tcPr>
            <w:tcW w:w="1727" w:type="dxa"/>
            <w:vMerge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164AB" w:rsidRPr="00D20467" w:rsidRDefault="00E164AB" w:rsidP="00F74ECD">
            <w:pPr>
              <w:pStyle w:val="NormalWeb"/>
              <w:ind w:firstLine="0"/>
              <w:jc w:val="center"/>
              <w:rPr>
                <w:b/>
              </w:rPr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D20467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131377">
              <w:rPr>
                <w:lang w:val="ro-RO"/>
              </w:rPr>
              <w:t xml:space="preserve">DASCAL Svetlana 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 w:rsidRPr="00131377">
              <w:t>1001211112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E164AB" w:rsidRPr="00451065" w:rsidRDefault="00E164AB" w:rsidP="00F74ECD">
            <w:pPr>
              <w:pStyle w:val="NormalWeb"/>
              <w:ind w:firstLine="0"/>
            </w:pPr>
            <w:r w:rsidRPr="00451065">
              <w:t>2001211112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 w:rsidRPr="00451065">
              <w:t>21.11.2012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131377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03253D">
              <w:rPr>
                <w:lang w:val="ro-RO"/>
              </w:rPr>
              <w:t xml:space="preserve">JANDÎC Livia </w:t>
            </w:r>
          </w:p>
        </w:tc>
        <w:tc>
          <w:tcPr>
            <w:tcW w:w="2211" w:type="dxa"/>
          </w:tcPr>
          <w:p w:rsidR="00E164AB" w:rsidRPr="0003253D" w:rsidRDefault="00E164AB" w:rsidP="00F74ECD">
            <w:pPr>
              <w:pStyle w:val="NormalWeb"/>
              <w:ind w:firstLine="0"/>
            </w:pPr>
            <w:r w:rsidRPr="0003253D">
              <w:t>1002211112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E164AB" w:rsidRPr="0003253D" w:rsidRDefault="00E164AB" w:rsidP="00F74ECD">
            <w:pPr>
              <w:pStyle w:val="NormalWeb"/>
              <w:ind w:firstLine="0"/>
            </w:pPr>
            <w:r w:rsidRPr="0003253D">
              <w:t>2002211112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21.11.2012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131377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BALTĂ Sergiu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1003071212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2003071212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>
              <w:t>Agenţia Medicamentului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131377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BELIBOV Anatolie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1004071212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2004071212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Secretariatul Parlamentului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BUCATARI Maxim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1005071212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2005071212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CĂINĂREANU Sergiu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1006071212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2006071212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Ministerul Educaţiei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CERNEI Anton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1007071212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2007071212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CHILCIC Olga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1008071212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2008071212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CÎRLIC Sergiu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1009071212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COPĂCEANU Cristina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1010071212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IMSP Institutul Mamei şi Copilului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COTOROBAI Raisa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1011071212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2009071212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DAMIAN Sergiu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1012071212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2010071212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DANILCOVA Anastasia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1013071212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DILION Valentina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1014071212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2011071212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DRAGUŢAN Dumitru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1015071212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2012071212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>
              <w:t>---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DUDNICENCO Ion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1016071212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2013071212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GÎNU Andrei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1017071212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2014071212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right="-108" w:firstLine="0"/>
              <w:jc w:val="left"/>
            </w:pPr>
            <w:r>
              <w:t>Serviciul Special de Influenţe Active asupra Proceselor Hidrometeorologice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BC70F0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IURCO Olga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1018071212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 w:rsidRPr="0043028B">
              <w:t>USMF N. Testemiţanu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BC70F0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LOZINSCHI Stela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1019071212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182036">
              <w:t>IMSP Centrul Republican de Diagnosticare Medicală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LUPAŞCO Svetlana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1020071212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2015071212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 w:rsidRPr="008A264F">
              <w:t>IMSP Spitalul Clinic de Psihiatrie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MAXIM Liliana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1021071212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2016071212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MOCANU Olesea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1022071212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 w:rsidRPr="008A264F">
              <w:t>IMSP Staţia Zonală de Asistenţă Medicală Urgentă "Centru"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NICOLAEV Lidia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1023071212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2017071212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NICOV Ana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1024071212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2018071212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I</w:t>
            </w:r>
            <w:r w:rsidRPr="008A264F">
              <w:t>MSP Dispensarul Republican de Narcologie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PAVALACHE Pavel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1025071212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PLEŞCA Diana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1026071212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2019071212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Anatolie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1027071212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Ludmila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1028071212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2020071212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9856B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9856BC">
              <w:rPr>
                <w:lang w:val="ro-RO"/>
              </w:rPr>
              <w:t>POPUŞOI Vasile</w:t>
            </w:r>
          </w:p>
        </w:tc>
        <w:tc>
          <w:tcPr>
            <w:tcW w:w="2211" w:type="dxa"/>
          </w:tcPr>
          <w:p w:rsidR="00E164AB" w:rsidRPr="009856BC" w:rsidRDefault="00E164AB" w:rsidP="00F74ECD">
            <w:pPr>
              <w:pStyle w:val="NormalWeb"/>
              <w:ind w:firstLine="0"/>
            </w:pPr>
            <w:r w:rsidRPr="009856BC">
              <w:t>1029071212</w:t>
            </w:r>
          </w:p>
          <w:p w:rsidR="00E164AB" w:rsidRPr="009856BC" w:rsidRDefault="00E164AB" w:rsidP="00F74ECD">
            <w:pPr>
              <w:pStyle w:val="NormalWeb"/>
              <w:ind w:firstLine="0"/>
            </w:pPr>
            <w:r w:rsidRPr="009856BC">
              <w:t>13.12.2012</w:t>
            </w:r>
          </w:p>
        </w:tc>
        <w:tc>
          <w:tcPr>
            <w:tcW w:w="2299" w:type="dxa"/>
          </w:tcPr>
          <w:p w:rsidR="00E164AB" w:rsidRPr="009856BC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9856BC" w:rsidRDefault="00E164AB" w:rsidP="00F74ECD">
            <w:pPr>
              <w:pStyle w:val="NormalWeb"/>
              <w:ind w:firstLine="0"/>
            </w:pPr>
            <w:r w:rsidRPr="009856BC">
              <w:t>Suspendat</w:t>
            </w:r>
          </w:p>
        </w:tc>
        <w:tc>
          <w:tcPr>
            <w:tcW w:w="3828" w:type="dxa"/>
          </w:tcPr>
          <w:p w:rsidR="00E164AB" w:rsidRPr="009856BC" w:rsidRDefault="00E164AB" w:rsidP="00F74ECD">
            <w:pPr>
              <w:pStyle w:val="NormalWeb"/>
              <w:ind w:firstLine="0"/>
            </w:pPr>
            <w:r w:rsidRPr="009856BC">
              <w:t>Inspectoratul Fiscal Principal de Stat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ŞOVA Gheorghi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1030071212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2021071212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IMSP Centrul Naţional Ştiinţifico-Practic de Medicină Urgentă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VEREBCEAN Ina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1031071212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VITIUC Roman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1032071212</w:t>
            </w:r>
          </w:p>
          <w:p w:rsidR="00E164AB" w:rsidRPr="0013137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  <w:r>
              <w:t>2022071212</w:t>
            </w:r>
          </w:p>
          <w:p w:rsidR="00E164AB" w:rsidRPr="00D20467" w:rsidRDefault="00E164AB" w:rsidP="00F74ECD">
            <w:pPr>
              <w:pStyle w:val="NormalWeb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D20467" w:rsidRDefault="00E164AB" w:rsidP="00F74ECD">
            <w:pPr>
              <w:pStyle w:val="NormalWeb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40232C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LUNGU Alexandru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1001141213</w:t>
            </w:r>
          </w:p>
          <w:p w:rsidR="00E164AB" w:rsidRPr="00AD2156" w:rsidRDefault="00E164AB" w:rsidP="00F74ECD">
            <w:pPr>
              <w:pStyle w:val="NormalWeb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43028B" w:rsidRDefault="00E164AB" w:rsidP="00F74ECD">
            <w:pPr>
              <w:pStyle w:val="NormalWeb"/>
              <w:ind w:firstLine="0"/>
              <w:jc w:val="left"/>
            </w:pPr>
            <w:r>
              <w:t>Ministerul Dezvoltării Regionale şi Construcţiilor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Pr="00045A34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NOVIŢCHII Natalia</w:t>
            </w:r>
          </w:p>
        </w:tc>
        <w:tc>
          <w:tcPr>
            <w:tcW w:w="2211" w:type="dxa"/>
          </w:tcPr>
          <w:p w:rsidR="00E164AB" w:rsidRDefault="00E164AB" w:rsidP="00F74ECD">
            <w:pPr>
              <w:pStyle w:val="NormalWeb"/>
              <w:ind w:firstLine="0"/>
            </w:pPr>
            <w:r>
              <w:t>1002141213</w:t>
            </w:r>
          </w:p>
          <w:p w:rsidR="00E164AB" w:rsidRPr="00AD2156" w:rsidRDefault="00E164AB" w:rsidP="00F74ECD">
            <w:pPr>
              <w:pStyle w:val="NormalWeb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Pr="0043028B" w:rsidRDefault="00E164AB" w:rsidP="00F74ECD">
            <w:pPr>
              <w:pStyle w:val="NormalWeb"/>
              <w:ind w:firstLine="0"/>
            </w:pPr>
            <w:r>
              <w:t>Ministerul Sănătăţii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E164AB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CAUŞ-MARSEJNÎI Carolina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100126062014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>
              <w:t>Agenţia Naţională pentru Siguranţa Alimentelor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14205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CAISÎM Olesea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100226062014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14205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DANU Olga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100326062014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20467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JELESCU Aliona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100426062014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>
              <w:t>Serviciul Vamal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14205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MOCANU Ludmila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100526062014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 w:rsidRPr="00D208C4">
              <w:t>Inspectoratul Fiscal Principal de Stat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14205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NICOLAESCU Veronica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100626062014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  <w:tr w:rsidR="00E164AB" w:rsidRPr="00D14205" w:rsidTr="00F74ECD">
        <w:tc>
          <w:tcPr>
            <w:tcW w:w="787" w:type="dxa"/>
            <w:vAlign w:val="center"/>
          </w:tcPr>
          <w:p w:rsidR="00E164AB" w:rsidRPr="00D20467" w:rsidRDefault="00E164AB" w:rsidP="00E164AB">
            <w:pPr>
              <w:pStyle w:val="NormalWeb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E164AB" w:rsidRDefault="00E164AB" w:rsidP="00F74ECD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USATÎI Svetlana</w:t>
            </w:r>
          </w:p>
        </w:tc>
        <w:tc>
          <w:tcPr>
            <w:tcW w:w="2211" w:type="dxa"/>
          </w:tcPr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100726062014</w:t>
            </w:r>
          </w:p>
          <w:p w:rsidR="00E164AB" w:rsidRPr="00B47ADF" w:rsidRDefault="00E164AB" w:rsidP="00F74ECD">
            <w:pPr>
              <w:pStyle w:val="NormalWeb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E164AB" w:rsidRDefault="00E164AB" w:rsidP="00F74ECD">
            <w:pPr>
              <w:pStyle w:val="NormalWeb"/>
              <w:ind w:firstLine="0"/>
            </w:pPr>
          </w:p>
        </w:tc>
        <w:tc>
          <w:tcPr>
            <w:tcW w:w="1727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  <w:tc>
          <w:tcPr>
            <w:tcW w:w="3828" w:type="dxa"/>
          </w:tcPr>
          <w:p w:rsidR="00E164AB" w:rsidRDefault="00E164AB" w:rsidP="00F74ECD">
            <w:pPr>
              <w:pStyle w:val="NormalWeb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E164AB" w:rsidRPr="00D20467" w:rsidRDefault="00E164AB" w:rsidP="00F74ECD">
            <w:pPr>
              <w:pStyle w:val="NormalWeb"/>
              <w:ind w:firstLine="0"/>
            </w:pPr>
          </w:p>
        </w:tc>
      </w:tr>
    </w:tbl>
    <w:p w:rsidR="00E164AB" w:rsidRPr="00D20467" w:rsidRDefault="00E164AB" w:rsidP="00E164AB">
      <w:pPr>
        <w:pStyle w:val="NormalWeb"/>
      </w:pPr>
    </w:p>
    <w:p w:rsidR="00E400F3" w:rsidRPr="00E164AB" w:rsidRDefault="00E400F3">
      <w:pPr>
        <w:rPr>
          <w:lang w:val="ro-RO"/>
        </w:rPr>
      </w:pPr>
    </w:p>
    <w:sectPr w:rsidR="00E400F3" w:rsidRPr="00E164AB" w:rsidSect="00235176"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3770"/>
    <w:multiLevelType w:val="hybridMultilevel"/>
    <w:tmpl w:val="FE1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AB"/>
    <w:rsid w:val="00E164AB"/>
    <w:rsid w:val="00E4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E164AB"/>
    <w:pPr>
      <w:jc w:val="center"/>
    </w:pPr>
  </w:style>
  <w:style w:type="paragraph" w:styleId="NormalWeb">
    <w:name w:val="Normal (Web)"/>
    <w:basedOn w:val="Normal"/>
    <w:uiPriority w:val="99"/>
    <w:rsid w:val="00E164AB"/>
    <w:pPr>
      <w:ind w:firstLine="567"/>
      <w:jc w:val="both"/>
    </w:pPr>
    <w:rPr>
      <w:lang w:val="ro-RO"/>
    </w:rPr>
  </w:style>
  <w:style w:type="paragraph" w:customStyle="1" w:styleId="cp">
    <w:name w:val="cp"/>
    <w:basedOn w:val="Normal"/>
    <w:rsid w:val="00E164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2014-07-25T11:54:00Z</dcterms:created>
  <dcterms:modified xsi:type="dcterms:W3CDTF">2014-07-25T11:55:00Z</dcterms:modified>
</cp:coreProperties>
</file>