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9" w:type="dxa"/>
        <w:tblInd w:w="-8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9489"/>
      </w:tblGrid>
      <w:tr w:rsidR="00DA2765" w:rsidRPr="00A46C71" w:rsidTr="00D374A5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DA2765" w:rsidRPr="00A46C71" w:rsidRDefault="00DA2765" w:rsidP="00D374A5">
            <w:pPr>
              <w:jc w:val="center"/>
              <w:rPr>
                <w:noProof w:val="0"/>
                <w:sz w:val="20"/>
                <w:szCs w:val="20"/>
                <w:lang w:val="en-US" w:eastAsia="en-US"/>
              </w:rPr>
            </w:pPr>
            <w:r w:rsidRPr="00A46C71">
              <w:rPr>
                <w:b/>
                <w:bCs/>
                <w:noProof w:val="0"/>
                <w:sz w:val="20"/>
                <w:szCs w:val="20"/>
                <w:lang w:val="en-US" w:eastAsia="en-US"/>
              </w:rPr>
              <w:t>Cod</w:t>
            </w:r>
          </w:p>
        </w:tc>
        <w:tc>
          <w:tcPr>
            <w:tcW w:w="9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DA2765" w:rsidRPr="00A46C71" w:rsidRDefault="00DA2765" w:rsidP="00D374A5">
            <w:pPr>
              <w:jc w:val="center"/>
              <w:rPr>
                <w:b/>
                <w:bCs/>
                <w:noProof w:val="0"/>
                <w:sz w:val="20"/>
                <w:szCs w:val="20"/>
                <w:lang w:val="en-US" w:eastAsia="en-US"/>
              </w:rPr>
            </w:pPr>
            <w:proofErr w:type="spellStart"/>
            <w:r w:rsidRPr="00A46C71">
              <w:rPr>
                <w:b/>
                <w:bCs/>
                <w:noProof w:val="0"/>
                <w:sz w:val="20"/>
                <w:szCs w:val="20"/>
                <w:lang w:val="en-US" w:eastAsia="en-US"/>
              </w:rPr>
              <w:t>Denumire</w:t>
            </w:r>
            <w:proofErr w:type="spellEnd"/>
          </w:p>
        </w:tc>
      </w:tr>
      <w:tr w:rsidR="00DA2765" w:rsidRPr="00A46C71" w:rsidTr="00D374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DA2765" w:rsidRPr="00A46C71" w:rsidRDefault="00DA2765" w:rsidP="00D374A5">
            <w:pPr>
              <w:jc w:val="center"/>
              <w:rPr>
                <w:noProof w:val="0"/>
                <w:sz w:val="20"/>
                <w:szCs w:val="20"/>
                <w:lang w:val="en-US" w:eastAsia="en-US"/>
              </w:rPr>
            </w:pPr>
            <w:r w:rsidRPr="00A46C71">
              <w:rPr>
                <w:b/>
                <w:bCs/>
                <w:noProof w:val="0"/>
                <w:sz w:val="20"/>
                <w:szCs w:val="20"/>
                <w:lang w:val="en-US" w:eastAsia="en-US"/>
              </w:rPr>
              <w:t>MK</w:t>
            </w:r>
          </w:p>
        </w:tc>
        <w:tc>
          <w:tcPr>
            <w:tcW w:w="9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DA2765" w:rsidRPr="00A46C71" w:rsidRDefault="00DA2765" w:rsidP="00D374A5">
            <w:pPr>
              <w:rPr>
                <w:noProof w:val="0"/>
                <w:sz w:val="20"/>
                <w:szCs w:val="20"/>
                <w:lang w:val="en-US" w:eastAsia="en-US"/>
              </w:rPr>
            </w:pPr>
            <w:r w:rsidRPr="00A46C71">
              <w:rPr>
                <w:noProof w:val="0"/>
                <w:sz w:val="20"/>
                <w:szCs w:val="20"/>
                <w:lang w:val="en-US" w:eastAsia="en-US"/>
              </w:rPr>
              <w:t xml:space="preserve">Contingent conform </w:t>
            </w:r>
            <w:proofErr w:type="spellStart"/>
            <w:r w:rsidRPr="00A46C71">
              <w:rPr>
                <w:noProof w:val="0"/>
                <w:sz w:val="20"/>
                <w:szCs w:val="20"/>
                <w:lang w:val="en-US" w:eastAsia="en-US"/>
              </w:rPr>
              <w:t>Acordului</w:t>
            </w:r>
            <w:proofErr w:type="spellEnd"/>
            <w:r w:rsidRPr="00A46C71">
              <w:rPr>
                <w:noProof w:val="0"/>
                <w:sz w:val="20"/>
                <w:szCs w:val="20"/>
                <w:lang w:val="en-US" w:eastAsia="en-US"/>
              </w:rPr>
              <w:t xml:space="preserve"> Central European de </w:t>
            </w:r>
            <w:proofErr w:type="spellStart"/>
            <w:r w:rsidRPr="00A46C71">
              <w:rPr>
                <w:noProof w:val="0"/>
                <w:sz w:val="20"/>
                <w:szCs w:val="20"/>
                <w:lang w:val="en-US" w:eastAsia="en-US"/>
              </w:rPr>
              <w:t>Comerţ</w:t>
            </w:r>
            <w:proofErr w:type="spellEnd"/>
            <w:r w:rsidRPr="00A46C71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46C71">
              <w:rPr>
                <w:noProof w:val="0"/>
                <w:sz w:val="20"/>
                <w:szCs w:val="20"/>
                <w:lang w:val="en-US" w:eastAsia="en-US"/>
              </w:rPr>
              <w:t>Liber</w:t>
            </w:r>
            <w:proofErr w:type="spellEnd"/>
            <w:r w:rsidRPr="00A46C71">
              <w:rPr>
                <w:noProof w:val="0"/>
                <w:sz w:val="20"/>
                <w:szCs w:val="20"/>
                <w:lang w:val="en-US" w:eastAsia="en-US"/>
              </w:rPr>
              <w:t xml:space="preserve"> (CEFTA) </w:t>
            </w:r>
            <w:proofErr w:type="spellStart"/>
            <w:r w:rsidRPr="00A46C71">
              <w:rPr>
                <w:noProof w:val="0"/>
                <w:sz w:val="20"/>
                <w:szCs w:val="20"/>
                <w:lang w:val="en-US" w:eastAsia="en-US"/>
              </w:rPr>
              <w:t>pentru</w:t>
            </w:r>
            <w:proofErr w:type="spellEnd"/>
            <w:r w:rsidRPr="00A46C71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46C71">
              <w:rPr>
                <w:noProof w:val="0"/>
                <w:sz w:val="20"/>
                <w:szCs w:val="20"/>
                <w:lang w:val="en-US" w:eastAsia="en-US"/>
              </w:rPr>
              <w:t>mărfurile</w:t>
            </w:r>
            <w:proofErr w:type="spellEnd"/>
            <w:r>
              <w:rPr>
                <w:noProof w:val="0"/>
                <w:sz w:val="20"/>
                <w:szCs w:val="20"/>
                <w:lang w:val="en-US" w:eastAsia="en-US"/>
              </w:rPr>
              <w:t xml:space="preserve"> de la </w:t>
            </w:r>
            <w:proofErr w:type="spellStart"/>
            <w:r>
              <w:rPr>
                <w:noProof w:val="0"/>
                <w:sz w:val="20"/>
                <w:szCs w:val="20"/>
                <w:lang w:val="en-US" w:eastAsia="en-US"/>
              </w:rPr>
              <w:t>poziţia</w:t>
            </w:r>
            <w:proofErr w:type="spellEnd"/>
            <w:r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noProof w:val="0"/>
                <w:sz w:val="20"/>
                <w:szCs w:val="20"/>
                <w:lang w:val="en-US" w:eastAsia="en-US"/>
              </w:rPr>
              <w:t>tarifară</w:t>
            </w:r>
            <w:proofErr w:type="spellEnd"/>
            <w:r>
              <w:rPr>
                <w:noProof w:val="0"/>
                <w:sz w:val="20"/>
                <w:szCs w:val="20"/>
                <w:lang w:val="en-US" w:eastAsia="en-US"/>
              </w:rPr>
              <w:t xml:space="preserve"> 2204</w:t>
            </w:r>
            <w:r w:rsidRPr="00A46C71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46C71">
              <w:rPr>
                <w:noProof w:val="0"/>
                <w:sz w:val="20"/>
                <w:szCs w:val="20"/>
                <w:lang w:val="en-US" w:eastAsia="en-US"/>
              </w:rPr>
              <w:t>origin</w:t>
            </w:r>
            <w:r>
              <w:rPr>
                <w:noProof w:val="0"/>
                <w:sz w:val="20"/>
                <w:szCs w:val="20"/>
                <w:lang w:val="en-US" w:eastAsia="en-US"/>
              </w:rPr>
              <w:t>are</w:t>
            </w:r>
            <w:proofErr w:type="spellEnd"/>
            <w:r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noProof w:val="0"/>
                <w:sz w:val="20"/>
                <w:szCs w:val="20"/>
                <w:lang w:val="en-US" w:eastAsia="en-US"/>
              </w:rPr>
              <w:t>şi</w:t>
            </w:r>
            <w:proofErr w:type="spellEnd"/>
            <w:r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noProof w:val="0"/>
                <w:sz w:val="20"/>
                <w:szCs w:val="20"/>
                <w:lang w:val="en-US" w:eastAsia="en-US"/>
              </w:rPr>
              <w:t>importate</w:t>
            </w:r>
            <w:proofErr w:type="spellEnd"/>
            <w:r>
              <w:rPr>
                <w:noProof w:val="0"/>
                <w:sz w:val="20"/>
                <w:szCs w:val="20"/>
                <w:lang w:val="en-US" w:eastAsia="en-US"/>
              </w:rPr>
              <w:t xml:space="preserve"> din </w:t>
            </w:r>
            <w:r w:rsidRPr="00A46C71">
              <w:rPr>
                <w:noProof w:val="0"/>
                <w:sz w:val="20"/>
                <w:szCs w:val="20"/>
                <w:lang w:val="en-US" w:eastAsia="en-US"/>
              </w:rPr>
              <w:t xml:space="preserve">Macedonia </w:t>
            </w:r>
          </w:p>
        </w:tc>
      </w:tr>
      <w:tr w:rsidR="00DA2765" w:rsidRPr="00A46C71" w:rsidTr="00D374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DA2765" w:rsidRPr="00A46C71" w:rsidRDefault="00DA2765" w:rsidP="00D374A5">
            <w:pPr>
              <w:jc w:val="center"/>
              <w:rPr>
                <w:noProof w:val="0"/>
                <w:sz w:val="20"/>
                <w:szCs w:val="20"/>
                <w:lang w:val="en-US" w:eastAsia="en-US"/>
              </w:rPr>
            </w:pPr>
            <w:r w:rsidRPr="00A46C71">
              <w:rPr>
                <w:b/>
                <w:bCs/>
                <w:noProof w:val="0"/>
                <w:sz w:val="20"/>
                <w:szCs w:val="20"/>
                <w:lang w:val="en-US" w:eastAsia="en-US"/>
              </w:rPr>
              <w:t>E</w:t>
            </w:r>
            <w:r>
              <w:rPr>
                <w:b/>
                <w:bCs/>
                <w:noProof w:val="0"/>
                <w:sz w:val="20"/>
                <w:szCs w:val="20"/>
                <w:lang w:val="en-US" w:eastAsia="en-US"/>
              </w:rPr>
              <w:t>UZH</w:t>
            </w:r>
          </w:p>
        </w:tc>
        <w:tc>
          <w:tcPr>
            <w:tcW w:w="9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DA2765" w:rsidRPr="00A46C71" w:rsidRDefault="00DA2765" w:rsidP="00D374A5">
            <w:pPr>
              <w:rPr>
                <w:noProof w:val="0"/>
                <w:sz w:val="20"/>
                <w:szCs w:val="20"/>
                <w:lang w:val="en-US" w:eastAsia="en-US"/>
              </w:rPr>
            </w:pPr>
            <w:r w:rsidRPr="00A46C71">
              <w:rPr>
                <w:noProof w:val="0"/>
                <w:sz w:val="20"/>
                <w:szCs w:val="20"/>
                <w:lang w:val="en-US" w:eastAsia="en-US"/>
              </w:rPr>
              <w:t xml:space="preserve">Contingent conform </w:t>
            </w:r>
            <w:r>
              <w:rPr>
                <w:noProof w:val="0"/>
                <w:sz w:val="20"/>
                <w:szCs w:val="20"/>
                <w:lang w:val="en-US" w:eastAsia="en-US"/>
              </w:rPr>
              <w:t xml:space="preserve"> pct.9 din note la </w:t>
            </w:r>
            <w:proofErr w:type="spellStart"/>
            <w:r>
              <w:rPr>
                <w:noProof w:val="0"/>
                <w:sz w:val="20"/>
                <w:szCs w:val="20"/>
                <w:lang w:val="en-US" w:eastAsia="en-US"/>
              </w:rPr>
              <w:t>Anexa</w:t>
            </w:r>
            <w:proofErr w:type="spellEnd"/>
            <w:r>
              <w:rPr>
                <w:noProof w:val="0"/>
                <w:sz w:val="20"/>
                <w:szCs w:val="20"/>
                <w:lang w:val="en-US" w:eastAsia="en-US"/>
              </w:rPr>
              <w:t xml:space="preserve"> nr.1 din </w:t>
            </w:r>
            <w:proofErr w:type="spellStart"/>
            <w:r>
              <w:rPr>
                <w:noProof w:val="0"/>
                <w:sz w:val="20"/>
                <w:szCs w:val="20"/>
                <w:lang w:val="en-US" w:eastAsia="en-US"/>
              </w:rPr>
              <w:t>Legea</w:t>
            </w:r>
            <w:proofErr w:type="spellEnd"/>
            <w:r>
              <w:rPr>
                <w:noProof w:val="0"/>
                <w:sz w:val="20"/>
                <w:szCs w:val="20"/>
                <w:lang w:val="en-US" w:eastAsia="en-US"/>
              </w:rPr>
              <w:t xml:space="preserve"> nr.1380-XIII din 20.11.97 cu </w:t>
            </w:r>
            <w:proofErr w:type="spellStart"/>
            <w:r>
              <w:rPr>
                <w:noProof w:val="0"/>
                <w:sz w:val="20"/>
                <w:szCs w:val="20"/>
                <w:lang w:val="en-US" w:eastAsia="en-US"/>
              </w:rPr>
              <w:t>privire</w:t>
            </w:r>
            <w:proofErr w:type="spellEnd"/>
            <w:r>
              <w:rPr>
                <w:noProof w:val="0"/>
                <w:sz w:val="20"/>
                <w:szCs w:val="20"/>
                <w:lang w:val="en-US" w:eastAsia="en-US"/>
              </w:rPr>
              <w:t xml:space="preserve"> la </w:t>
            </w:r>
            <w:proofErr w:type="spellStart"/>
            <w:r>
              <w:rPr>
                <w:noProof w:val="0"/>
                <w:sz w:val="20"/>
                <w:szCs w:val="20"/>
                <w:lang w:val="en-US" w:eastAsia="en-US"/>
              </w:rPr>
              <w:t>tariful</w:t>
            </w:r>
            <w:proofErr w:type="spellEnd"/>
            <w:r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noProof w:val="0"/>
                <w:sz w:val="20"/>
                <w:szCs w:val="20"/>
                <w:lang w:val="en-US" w:eastAsia="en-US"/>
              </w:rPr>
              <w:t>vamal</w:t>
            </w:r>
            <w:proofErr w:type="spellEnd"/>
            <w:r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noProof w:val="0"/>
                <w:sz w:val="20"/>
                <w:szCs w:val="20"/>
                <w:lang w:val="en-US" w:eastAsia="en-US"/>
              </w:rPr>
              <w:t>p</w:t>
            </w:r>
            <w:r w:rsidRPr="00EB4929">
              <w:rPr>
                <w:noProof w:val="0"/>
                <w:sz w:val="20"/>
                <w:szCs w:val="20"/>
                <w:lang w:val="en-US" w:eastAsia="en-US"/>
              </w:rPr>
              <w:t>entru</w:t>
            </w:r>
            <w:proofErr w:type="spellEnd"/>
            <w:r w:rsidRPr="00EB492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noProof w:val="0"/>
                <w:sz w:val="20"/>
                <w:szCs w:val="20"/>
                <w:lang w:val="en-US" w:eastAsia="en-US"/>
              </w:rPr>
              <w:t>mărfurile</w:t>
            </w:r>
            <w:proofErr w:type="spellEnd"/>
            <w:r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r w:rsidRPr="00EB4929">
              <w:rPr>
                <w:noProof w:val="0"/>
                <w:sz w:val="20"/>
                <w:szCs w:val="20"/>
                <w:lang w:val="en-US" w:eastAsia="en-US"/>
              </w:rPr>
              <w:t xml:space="preserve">de la </w:t>
            </w:r>
            <w:proofErr w:type="spellStart"/>
            <w:r w:rsidRPr="00EB4929">
              <w:rPr>
                <w:noProof w:val="0"/>
                <w:sz w:val="20"/>
                <w:szCs w:val="20"/>
                <w:lang w:val="en-US" w:eastAsia="en-US"/>
              </w:rPr>
              <w:t>poziţiile</w:t>
            </w:r>
            <w:proofErr w:type="spellEnd"/>
            <w:r w:rsidRPr="00EB492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B4929">
              <w:rPr>
                <w:noProof w:val="0"/>
                <w:sz w:val="20"/>
                <w:szCs w:val="20"/>
                <w:lang w:val="en-US" w:eastAsia="en-US"/>
              </w:rPr>
              <w:t>tarifare</w:t>
            </w:r>
            <w:proofErr w:type="spellEnd"/>
            <w:r w:rsidRPr="00EB4929">
              <w:rPr>
                <w:noProof w:val="0"/>
                <w:sz w:val="20"/>
                <w:szCs w:val="20"/>
                <w:lang w:val="en-US" w:eastAsia="en-US"/>
              </w:rPr>
              <w:t xml:space="preserve"> 1701 </w:t>
            </w:r>
            <w:proofErr w:type="spellStart"/>
            <w:r w:rsidRPr="00EB4929">
              <w:rPr>
                <w:noProof w:val="0"/>
                <w:sz w:val="20"/>
                <w:szCs w:val="20"/>
                <w:lang w:val="en-US" w:eastAsia="en-US"/>
              </w:rPr>
              <w:t>şi</w:t>
            </w:r>
            <w:proofErr w:type="spellEnd"/>
            <w:r w:rsidRPr="00EB4929">
              <w:rPr>
                <w:noProof w:val="0"/>
                <w:sz w:val="20"/>
                <w:szCs w:val="20"/>
                <w:lang w:val="en-US" w:eastAsia="en-US"/>
              </w:rPr>
              <w:t xml:space="preserve"> 1702</w:t>
            </w:r>
            <w:r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r w:rsidRPr="00EB492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46C71">
              <w:rPr>
                <w:noProof w:val="0"/>
                <w:sz w:val="20"/>
                <w:szCs w:val="20"/>
                <w:lang w:val="en-US" w:eastAsia="en-US"/>
              </w:rPr>
              <w:t>origin</w:t>
            </w:r>
            <w:r>
              <w:rPr>
                <w:noProof w:val="0"/>
                <w:sz w:val="20"/>
                <w:szCs w:val="20"/>
                <w:lang w:val="en-US" w:eastAsia="en-US"/>
              </w:rPr>
              <w:t>are</w:t>
            </w:r>
            <w:proofErr w:type="spellEnd"/>
            <w:r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noProof w:val="0"/>
                <w:sz w:val="20"/>
                <w:szCs w:val="20"/>
                <w:lang w:val="en-US" w:eastAsia="en-US"/>
              </w:rPr>
              <w:t>şi</w:t>
            </w:r>
            <w:proofErr w:type="spellEnd"/>
            <w:r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noProof w:val="0"/>
                <w:sz w:val="20"/>
                <w:szCs w:val="20"/>
                <w:lang w:val="en-US" w:eastAsia="en-US"/>
              </w:rPr>
              <w:t>importate</w:t>
            </w:r>
            <w:proofErr w:type="spellEnd"/>
            <w:r>
              <w:rPr>
                <w:noProof w:val="0"/>
                <w:sz w:val="20"/>
                <w:szCs w:val="20"/>
                <w:lang w:val="en-US" w:eastAsia="en-US"/>
              </w:rPr>
              <w:t xml:space="preserve">  din </w:t>
            </w:r>
            <w:proofErr w:type="spellStart"/>
            <w:r w:rsidRPr="00EB4929">
              <w:rPr>
                <w:noProof w:val="0"/>
                <w:sz w:val="20"/>
                <w:szCs w:val="20"/>
                <w:lang w:val="en-US" w:eastAsia="en-US"/>
              </w:rPr>
              <w:t>ţăril</w:t>
            </w:r>
            <w:r>
              <w:rPr>
                <w:noProof w:val="0"/>
                <w:sz w:val="20"/>
                <w:szCs w:val="20"/>
                <w:lang w:val="en-US" w:eastAsia="en-US"/>
              </w:rPr>
              <w:t>e</w:t>
            </w:r>
            <w:r w:rsidRPr="00EB4929">
              <w:rPr>
                <w:noProof w:val="0"/>
                <w:sz w:val="20"/>
                <w:szCs w:val="20"/>
                <w:lang w:val="en-US" w:eastAsia="en-US"/>
              </w:rPr>
              <w:t>-membre</w:t>
            </w:r>
            <w:proofErr w:type="spellEnd"/>
            <w:r w:rsidRPr="00EB4929">
              <w:rPr>
                <w:noProof w:val="0"/>
                <w:sz w:val="20"/>
                <w:szCs w:val="20"/>
                <w:lang w:val="en-US" w:eastAsia="en-US"/>
              </w:rPr>
              <w:t xml:space="preserve"> UE </w:t>
            </w:r>
          </w:p>
        </w:tc>
      </w:tr>
      <w:tr w:rsidR="00DA2765" w:rsidRPr="00A46C71" w:rsidTr="00D374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DA2765" w:rsidRPr="00A46C71" w:rsidRDefault="00DA2765" w:rsidP="00D374A5">
            <w:pPr>
              <w:jc w:val="center"/>
              <w:rPr>
                <w:b/>
                <w:noProof w:val="0"/>
                <w:sz w:val="20"/>
                <w:szCs w:val="20"/>
                <w:lang w:val="en-US" w:eastAsia="en-US"/>
              </w:rPr>
            </w:pPr>
            <w:r w:rsidRPr="00A46C71">
              <w:rPr>
                <w:b/>
                <w:noProof w:val="0"/>
                <w:sz w:val="20"/>
                <w:szCs w:val="20"/>
                <w:lang w:val="en-US" w:eastAsia="en-US"/>
              </w:rPr>
              <w:t>ALZH</w:t>
            </w:r>
          </w:p>
        </w:tc>
        <w:tc>
          <w:tcPr>
            <w:tcW w:w="9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DA2765" w:rsidRPr="00A46C71" w:rsidRDefault="00DA2765" w:rsidP="00D374A5">
            <w:pPr>
              <w:jc w:val="both"/>
              <w:rPr>
                <w:noProof w:val="0"/>
                <w:sz w:val="20"/>
                <w:szCs w:val="20"/>
                <w:lang w:val="en-US" w:eastAsia="en-US"/>
              </w:rPr>
            </w:pPr>
            <w:r w:rsidRPr="00A46C71">
              <w:rPr>
                <w:noProof w:val="0"/>
                <w:sz w:val="20"/>
                <w:szCs w:val="20"/>
                <w:lang w:val="en-US" w:eastAsia="en-US"/>
              </w:rPr>
              <w:t xml:space="preserve">Contingent conform </w:t>
            </w:r>
            <w:r w:rsidRPr="00EB492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noProof w:val="0"/>
                <w:sz w:val="20"/>
                <w:szCs w:val="20"/>
                <w:lang w:val="en-US" w:eastAsia="en-US"/>
              </w:rPr>
              <w:t xml:space="preserve">pct.9 din note la </w:t>
            </w:r>
            <w:proofErr w:type="spellStart"/>
            <w:r>
              <w:rPr>
                <w:noProof w:val="0"/>
                <w:sz w:val="20"/>
                <w:szCs w:val="20"/>
                <w:lang w:val="en-US" w:eastAsia="en-US"/>
              </w:rPr>
              <w:t>Anexa</w:t>
            </w:r>
            <w:proofErr w:type="spellEnd"/>
            <w:r>
              <w:rPr>
                <w:noProof w:val="0"/>
                <w:sz w:val="20"/>
                <w:szCs w:val="20"/>
                <w:lang w:val="en-US" w:eastAsia="en-US"/>
              </w:rPr>
              <w:t xml:space="preserve"> nr.1 din </w:t>
            </w:r>
            <w:proofErr w:type="spellStart"/>
            <w:r>
              <w:rPr>
                <w:noProof w:val="0"/>
                <w:sz w:val="20"/>
                <w:szCs w:val="20"/>
                <w:lang w:val="en-US" w:eastAsia="en-US"/>
              </w:rPr>
              <w:t>Legea</w:t>
            </w:r>
            <w:proofErr w:type="spellEnd"/>
            <w:r>
              <w:rPr>
                <w:noProof w:val="0"/>
                <w:sz w:val="20"/>
                <w:szCs w:val="20"/>
                <w:lang w:val="en-US" w:eastAsia="en-US"/>
              </w:rPr>
              <w:t xml:space="preserve"> nr.1380-XIII din 20.11.97 cu </w:t>
            </w:r>
            <w:proofErr w:type="spellStart"/>
            <w:r>
              <w:rPr>
                <w:noProof w:val="0"/>
                <w:sz w:val="20"/>
                <w:szCs w:val="20"/>
                <w:lang w:val="en-US" w:eastAsia="en-US"/>
              </w:rPr>
              <w:t>privire</w:t>
            </w:r>
            <w:proofErr w:type="spellEnd"/>
            <w:r>
              <w:rPr>
                <w:noProof w:val="0"/>
                <w:sz w:val="20"/>
                <w:szCs w:val="20"/>
                <w:lang w:val="en-US" w:eastAsia="en-US"/>
              </w:rPr>
              <w:t xml:space="preserve"> la </w:t>
            </w:r>
            <w:proofErr w:type="spellStart"/>
            <w:r>
              <w:rPr>
                <w:noProof w:val="0"/>
                <w:sz w:val="20"/>
                <w:szCs w:val="20"/>
                <w:lang w:val="en-US" w:eastAsia="en-US"/>
              </w:rPr>
              <w:t>tariful</w:t>
            </w:r>
            <w:proofErr w:type="spellEnd"/>
            <w:r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noProof w:val="0"/>
                <w:sz w:val="20"/>
                <w:szCs w:val="20"/>
                <w:lang w:val="en-US" w:eastAsia="en-US"/>
              </w:rPr>
              <w:t>vamal</w:t>
            </w:r>
            <w:proofErr w:type="spellEnd"/>
            <w:r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noProof w:val="0"/>
                <w:sz w:val="20"/>
                <w:szCs w:val="20"/>
                <w:lang w:val="en-US" w:eastAsia="en-US"/>
              </w:rPr>
              <w:t>p</w:t>
            </w:r>
            <w:r w:rsidRPr="00EB4929">
              <w:rPr>
                <w:noProof w:val="0"/>
                <w:sz w:val="20"/>
                <w:szCs w:val="20"/>
                <w:lang w:val="en-US" w:eastAsia="en-US"/>
              </w:rPr>
              <w:t>entru</w:t>
            </w:r>
            <w:proofErr w:type="spellEnd"/>
            <w:r w:rsidRPr="00EB492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noProof w:val="0"/>
                <w:sz w:val="20"/>
                <w:szCs w:val="20"/>
                <w:lang w:val="en-US" w:eastAsia="en-US"/>
              </w:rPr>
              <w:t>mărfurile</w:t>
            </w:r>
            <w:proofErr w:type="spellEnd"/>
            <w:r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r w:rsidRPr="00EB4929">
              <w:rPr>
                <w:noProof w:val="0"/>
                <w:sz w:val="20"/>
                <w:szCs w:val="20"/>
                <w:lang w:val="en-US" w:eastAsia="en-US"/>
              </w:rPr>
              <w:t xml:space="preserve">de la </w:t>
            </w:r>
            <w:proofErr w:type="spellStart"/>
            <w:r w:rsidRPr="00EB4929">
              <w:rPr>
                <w:noProof w:val="0"/>
                <w:sz w:val="20"/>
                <w:szCs w:val="20"/>
                <w:lang w:val="en-US" w:eastAsia="en-US"/>
              </w:rPr>
              <w:t>poziţiile</w:t>
            </w:r>
            <w:proofErr w:type="spellEnd"/>
            <w:r w:rsidRPr="00EB492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B4929">
              <w:rPr>
                <w:noProof w:val="0"/>
                <w:sz w:val="20"/>
                <w:szCs w:val="20"/>
                <w:lang w:val="en-US" w:eastAsia="en-US"/>
              </w:rPr>
              <w:t>tarifare</w:t>
            </w:r>
            <w:proofErr w:type="spellEnd"/>
            <w:r w:rsidRPr="00EB4929">
              <w:rPr>
                <w:noProof w:val="0"/>
                <w:sz w:val="20"/>
                <w:szCs w:val="20"/>
                <w:lang w:val="en-US" w:eastAsia="en-US"/>
              </w:rPr>
              <w:t xml:space="preserve"> 1701 </w:t>
            </w:r>
            <w:proofErr w:type="spellStart"/>
            <w:r w:rsidRPr="00EB4929">
              <w:rPr>
                <w:noProof w:val="0"/>
                <w:sz w:val="20"/>
                <w:szCs w:val="20"/>
                <w:lang w:val="en-US" w:eastAsia="en-US"/>
              </w:rPr>
              <w:t>şi</w:t>
            </w:r>
            <w:proofErr w:type="spellEnd"/>
            <w:r w:rsidRPr="00EB4929">
              <w:rPr>
                <w:noProof w:val="0"/>
                <w:sz w:val="20"/>
                <w:szCs w:val="20"/>
                <w:lang w:val="en-US" w:eastAsia="en-US"/>
              </w:rPr>
              <w:t xml:space="preserve"> 1702</w:t>
            </w:r>
            <w:r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r w:rsidRPr="00EB492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46C71">
              <w:rPr>
                <w:noProof w:val="0"/>
                <w:sz w:val="20"/>
                <w:szCs w:val="20"/>
                <w:lang w:val="en-US" w:eastAsia="en-US"/>
              </w:rPr>
              <w:t>origin</w:t>
            </w:r>
            <w:r>
              <w:rPr>
                <w:noProof w:val="0"/>
                <w:sz w:val="20"/>
                <w:szCs w:val="20"/>
                <w:lang w:val="en-US" w:eastAsia="en-US"/>
              </w:rPr>
              <w:t>are</w:t>
            </w:r>
            <w:proofErr w:type="spellEnd"/>
            <w:r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noProof w:val="0"/>
                <w:sz w:val="20"/>
                <w:szCs w:val="20"/>
                <w:lang w:val="en-US" w:eastAsia="en-US"/>
              </w:rPr>
              <w:t>şi</w:t>
            </w:r>
            <w:proofErr w:type="spellEnd"/>
            <w:r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noProof w:val="0"/>
                <w:sz w:val="20"/>
                <w:szCs w:val="20"/>
                <w:lang w:val="en-US" w:eastAsia="en-US"/>
              </w:rPr>
              <w:t>importate</w:t>
            </w:r>
            <w:proofErr w:type="spellEnd"/>
            <w:r>
              <w:rPr>
                <w:noProof w:val="0"/>
                <w:sz w:val="20"/>
                <w:szCs w:val="20"/>
                <w:lang w:val="en-US" w:eastAsia="en-US"/>
              </w:rPr>
              <w:t xml:space="preserve">  din </w:t>
            </w:r>
            <w:proofErr w:type="spellStart"/>
            <w:r w:rsidRPr="00EB4929">
              <w:rPr>
                <w:noProof w:val="0"/>
                <w:sz w:val="20"/>
                <w:szCs w:val="20"/>
                <w:lang w:val="en-US" w:eastAsia="en-US"/>
              </w:rPr>
              <w:t>ţăril</w:t>
            </w:r>
            <w:r>
              <w:rPr>
                <w:noProof w:val="0"/>
                <w:sz w:val="20"/>
                <w:szCs w:val="20"/>
                <w:lang w:val="en-US" w:eastAsia="en-US"/>
              </w:rPr>
              <w:t>e</w:t>
            </w:r>
            <w:proofErr w:type="spellEnd"/>
            <w:r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noProof w:val="0"/>
                <w:sz w:val="20"/>
                <w:szCs w:val="20"/>
                <w:lang w:val="en-US" w:eastAsia="en-US"/>
              </w:rPr>
              <w:t>membe</w:t>
            </w:r>
            <w:proofErr w:type="spellEnd"/>
            <w:r>
              <w:rPr>
                <w:noProof w:val="0"/>
                <w:sz w:val="20"/>
                <w:szCs w:val="20"/>
                <w:lang w:val="en-US" w:eastAsia="en-US"/>
              </w:rPr>
              <w:t xml:space="preserve"> OMC</w:t>
            </w:r>
            <w:r w:rsidRPr="00EB4929">
              <w:rPr>
                <w:noProof w:val="0"/>
                <w:sz w:val="20"/>
                <w:szCs w:val="20"/>
                <w:lang w:val="en-US" w:eastAsia="en-US"/>
              </w:rPr>
              <w:t xml:space="preserve"> cu care RM  </w:t>
            </w:r>
            <w:r>
              <w:rPr>
                <w:noProof w:val="0"/>
                <w:sz w:val="20"/>
                <w:szCs w:val="20"/>
                <w:lang w:val="en-US" w:eastAsia="en-US"/>
              </w:rPr>
              <w:t xml:space="preserve">nu </w:t>
            </w:r>
            <w:r w:rsidRPr="00EB4929">
              <w:rPr>
                <w:noProof w:val="0"/>
                <w:sz w:val="20"/>
                <w:szCs w:val="20"/>
                <w:lang w:val="en-US" w:eastAsia="en-US"/>
              </w:rPr>
              <w:t xml:space="preserve">are </w:t>
            </w:r>
            <w:proofErr w:type="spellStart"/>
            <w:r w:rsidRPr="00EB4929">
              <w:rPr>
                <w:noProof w:val="0"/>
                <w:sz w:val="20"/>
                <w:szCs w:val="20"/>
                <w:lang w:val="en-US" w:eastAsia="en-US"/>
              </w:rPr>
              <w:t>acorduri</w:t>
            </w:r>
            <w:proofErr w:type="spellEnd"/>
            <w:r w:rsidRPr="00EB4929">
              <w:rPr>
                <w:noProof w:val="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EB4929">
              <w:rPr>
                <w:noProof w:val="0"/>
                <w:sz w:val="20"/>
                <w:szCs w:val="20"/>
                <w:lang w:val="en-US" w:eastAsia="en-US"/>
              </w:rPr>
              <w:t>comerţ</w:t>
            </w:r>
            <w:proofErr w:type="spellEnd"/>
            <w:r w:rsidRPr="00EB492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B4929">
              <w:rPr>
                <w:noProof w:val="0"/>
                <w:sz w:val="20"/>
                <w:szCs w:val="20"/>
                <w:lang w:val="en-US" w:eastAsia="en-US"/>
              </w:rPr>
              <w:t>liber</w:t>
            </w:r>
            <w:proofErr w:type="spellEnd"/>
          </w:p>
        </w:tc>
      </w:tr>
    </w:tbl>
    <w:p w:rsidR="001C63BD" w:rsidRPr="00DA2765" w:rsidRDefault="001C63BD">
      <w:pPr>
        <w:rPr>
          <w:lang w:val="en-US"/>
        </w:rPr>
      </w:pPr>
    </w:p>
    <w:sectPr w:rsidR="001C63BD" w:rsidRPr="00DA2765" w:rsidSect="001C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765"/>
    <w:rsid w:val="001C63BD"/>
    <w:rsid w:val="00DA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6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Home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2014-02-11T12:30:00Z</dcterms:created>
  <dcterms:modified xsi:type="dcterms:W3CDTF">2014-02-11T12:30:00Z</dcterms:modified>
</cp:coreProperties>
</file>