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410"/>
        <w:gridCol w:w="6808"/>
      </w:tblGrid>
      <w:tr w:rsidR="0038348B" w:rsidTr="0038348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48B" w:rsidRDefault="0038348B" w:rsidP="0009199F">
            <w:pPr>
              <w:jc w:val="center"/>
              <w:rPr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Cod scutire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48B" w:rsidRDefault="0038348B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Temei legal de acordare a scutirii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48B" w:rsidRDefault="0038348B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Descriere succintă a facilităţilor</w:t>
            </w:r>
          </w:p>
        </w:tc>
      </w:tr>
      <w:tr w:rsidR="0038348B" w:rsidTr="0038348B">
        <w:trPr>
          <w:trHeight w:val="25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8B" w:rsidRDefault="0038348B" w:rsidP="0009199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</w:rPr>
              <w:t>PV, TV</w:t>
            </w:r>
            <w:r>
              <w:rPr>
                <w:b/>
                <w:sz w:val="20"/>
                <w:szCs w:val="20"/>
                <w:lang w:val="ru-RU"/>
              </w:rPr>
              <w:t>,</w:t>
            </w:r>
            <w:r>
              <w:rPr>
                <w:b/>
                <w:sz w:val="20"/>
                <w:szCs w:val="20"/>
              </w:rPr>
              <w:t xml:space="preserve"> Acciz, TVA</w:t>
            </w:r>
          </w:p>
        </w:tc>
      </w:tr>
      <w:tr w:rsidR="0038348B" w:rsidRPr="00D83508" w:rsidTr="0038348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8B" w:rsidRPr="003316A7" w:rsidRDefault="0038348B" w:rsidP="00091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8B" w:rsidRPr="004808FB" w:rsidRDefault="0038348B" w:rsidP="0009199F">
            <w:pPr>
              <w:rPr>
                <w:b/>
                <w:noProof w:val="0"/>
                <w:sz w:val="20"/>
                <w:szCs w:val="20"/>
                <w:lang w:val="en-US" w:eastAsia="en-US"/>
              </w:rPr>
            </w:pPr>
            <w:r w:rsidRPr="004808FB">
              <w:rPr>
                <w:b/>
                <w:noProof w:val="0"/>
                <w:sz w:val="20"/>
                <w:szCs w:val="20"/>
                <w:lang w:val="en-US" w:eastAsia="en-US"/>
              </w:rPr>
              <w:t>LT</w:t>
            </w:r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V, art.28 </w:t>
            </w:r>
            <w:proofErr w:type="spellStart"/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>lit.</w:t>
            </w:r>
            <w:r>
              <w:rPr>
                <w:b/>
                <w:noProof w:val="0"/>
                <w:sz w:val="20"/>
                <w:szCs w:val="20"/>
                <w:lang w:val="en-US" w:eastAsia="en-US"/>
              </w:rPr>
              <w:t>x</w:t>
            </w:r>
            <w:proofErr w:type="spellEnd"/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>);</w:t>
            </w:r>
          </w:p>
          <w:p w:rsidR="0038348B" w:rsidRPr="004808FB" w:rsidRDefault="0038348B" w:rsidP="0009199F">
            <w:pPr>
              <w:rPr>
                <w:b/>
                <w:noProof w:val="0"/>
                <w:sz w:val="20"/>
                <w:szCs w:val="20"/>
                <w:lang w:val="en-US" w:eastAsia="en-US"/>
              </w:rPr>
            </w:pPr>
            <w:r w:rsidRPr="004808F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p</w:t>
            </w:r>
            <w:r>
              <w:rPr>
                <w:b/>
                <w:noProof w:val="0"/>
                <w:sz w:val="20"/>
                <w:szCs w:val="20"/>
                <w:lang w:val="en-US" w:eastAsia="en-US"/>
              </w:rPr>
              <w:t>ct</w:t>
            </w:r>
            <w:r w:rsidRPr="004808FB">
              <w:rPr>
                <w:b/>
                <w:noProof w:val="0"/>
                <w:sz w:val="20"/>
                <w:szCs w:val="20"/>
                <w:lang w:val="en-US" w:eastAsia="en-US"/>
              </w:rPr>
              <w:t>.1</w:t>
            </w:r>
            <w:r>
              <w:rPr>
                <w:b/>
                <w:noProof w:val="0"/>
                <w:sz w:val="20"/>
                <w:szCs w:val="20"/>
                <w:lang w:val="en-US" w:eastAsia="en-US"/>
              </w:rPr>
              <w:t>0</w:t>
            </w:r>
            <w:r w:rsidRPr="004808F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al </w:t>
            </w:r>
            <w:proofErr w:type="spellStart"/>
            <w:r w:rsidRPr="004808FB">
              <w:rPr>
                <w:b/>
                <w:noProof w:val="0"/>
                <w:sz w:val="20"/>
                <w:szCs w:val="20"/>
                <w:lang w:val="en-US" w:eastAsia="en-US"/>
              </w:rPr>
              <w:t>Notei</w:t>
            </w:r>
            <w:proofErr w:type="spellEnd"/>
            <w:r w:rsidRPr="004808F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4808FB">
              <w:rPr>
                <w:b/>
                <w:noProof w:val="0"/>
                <w:sz w:val="20"/>
                <w:szCs w:val="20"/>
                <w:lang w:val="en-US" w:eastAsia="en-US"/>
              </w:rPr>
              <w:t>Anexa</w:t>
            </w:r>
            <w:proofErr w:type="spellEnd"/>
            <w:r w:rsidRPr="004808F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nr.2 </w:t>
            </w:r>
          </w:p>
          <w:p w:rsidR="0038348B" w:rsidRPr="002840B5" w:rsidRDefault="0038348B" w:rsidP="0009199F">
            <w:pPr>
              <w:rPr>
                <w:b/>
                <w:noProof w:val="0"/>
                <w:sz w:val="20"/>
                <w:szCs w:val="20"/>
                <w:lang w:val="en-US" w:eastAsia="en-US"/>
              </w:rPr>
            </w:pPr>
            <w:r w:rsidRPr="002840B5">
              <w:rPr>
                <w:b/>
                <w:noProof w:val="0"/>
                <w:sz w:val="20"/>
                <w:szCs w:val="20"/>
                <w:lang w:val="en-US" w:eastAsia="en-US"/>
              </w:rPr>
              <w:t>C</w:t>
            </w:r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>F, art.10</w:t>
            </w:r>
            <w:r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3 </w:t>
            </w:r>
            <w:proofErr w:type="spellStart"/>
            <w:r>
              <w:rPr>
                <w:b/>
                <w:noProof w:val="0"/>
                <w:sz w:val="20"/>
                <w:szCs w:val="20"/>
                <w:lang w:val="en-US" w:eastAsia="en-US"/>
              </w:rPr>
              <w:t>alin</w:t>
            </w:r>
            <w:proofErr w:type="spellEnd"/>
            <w:r>
              <w:rPr>
                <w:b/>
                <w:noProof w:val="0"/>
                <w:sz w:val="20"/>
                <w:szCs w:val="20"/>
                <w:lang w:val="en-US" w:eastAsia="en-US"/>
              </w:rPr>
              <w:t>.(9</w:t>
            </w:r>
            <w:r w:rsidRPr="00487B97">
              <w:rPr>
                <w:b/>
                <w:noProof w:val="0"/>
                <w:sz w:val="20"/>
                <w:szCs w:val="20"/>
                <w:vertAlign w:val="superscript"/>
                <w:lang w:val="en-US" w:eastAsia="en-US"/>
              </w:rPr>
              <w:t>5</w:t>
            </w:r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); </w:t>
            </w:r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br/>
              <w:t xml:space="preserve">art.124 </w:t>
            </w:r>
            <w:proofErr w:type="spellStart"/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>alin</w:t>
            </w:r>
            <w:proofErr w:type="spellEnd"/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>.(2</w:t>
            </w:r>
            <w:r>
              <w:rPr>
                <w:b/>
                <w:noProof w:val="0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>)</w:t>
            </w:r>
            <w:r>
              <w:rPr>
                <w:b/>
                <w:noProof w:val="0"/>
                <w:sz w:val="20"/>
                <w:szCs w:val="20"/>
                <w:lang w:val="en-US" w:eastAsia="en-US"/>
              </w:rPr>
              <w:t>;</w:t>
            </w:r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</w:t>
            </w:r>
          </w:p>
          <w:p w:rsidR="0038348B" w:rsidRPr="002840B5" w:rsidRDefault="0038348B" w:rsidP="0009199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8B" w:rsidRPr="00D83508" w:rsidRDefault="0038348B" w:rsidP="0009199F">
            <w:pPr>
              <w:jc w:val="both"/>
              <w:rPr>
                <w:b/>
                <w:sz w:val="20"/>
                <w:szCs w:val="20"/>
              </w:rPr>
            </w:pPr>
            <w:r w:rsidRPr="00D83508">
              <w:rPr>
                <w:b/>
                <w:sz w:val="20"/>
                <w:szCs w:val="20"/>
              </w:rPr>
              <w:t>Scutiri aplicate mărfurilor consumabile importate de forţa militară străină</w:t>
            </w:r>
            <w:r>
              <w:rPr>
                <w:b/>
                <w:sz w:val="20"/>
                <w:szCs w:val="20"/>
              </w:rPr>
              <w:t xml:space="preserve">, care desfăşoară aplicaţii militare temporare, </w:t>
            </w:r>
            <w:r w:rsidRPr="00D83508">
              <w:rPr>
                <w:b/>
                <w:sz w:val="20"/>
                <w:szCs w:val="20"/>
              </w:rPr>
              <w:t>destinate uzului sau consumului exclusiv al forţei militare şi al componentei civile. Lista mărfurilor consumabile se autorizează de către Ministerul Apărării al Republicii Moldova</w:t>
            </w:r>
          </w:p>
        </w:tc>
      </w:tr>
    </w:tbl>
    <w:p w:rsidR="00734311" w:rsidRDefault="00734311"/>
    <w:sectPr w:rsidR="00734311" w:rsidSect="007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48B"/>
    <w:rsid w:val="0038348B"/>
    <w:rsid w:val="0073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8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Home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2014-02-10T07:40:00Z</dcterms:created>
  <dcterms:modified xsi:type="dcterms:W3CDTF">2014-02-10T07:41:00Z</dcterms:modified>
</cp:coreProperties>
</file>