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42" w:rsidRPr="00EC4642" w:rsidRDefault="00EC4642" w:rsidP="00EC4642">
      <w:pPr>
        <w:spacing w:after="0" w:line="240" w:lineRule="auto"/>
        <w:jc w:val="right"/>
        <w:rPr>
          <w:rFonts w:ascii="Times New Roman" w:hAnsi="Times New Roman"/>
          <w:sz w:val="24"/>
          <w:szCs w:val="24"/>
          <w:lang w:eastAsia="ru-RU"/>
        </w:rPr>
      </w:pPr>
      <w:r w:rsidRPr="00EC4642">
        <w:rPr>
          <w:rFonts w:ascii="Times New Roman" w:hAnsi="Times New Roman"/>
          <w:sz w:val="24"/>
          <w:szCs w:val="24"/>
          <w:lang w:eastAsia="ru-RU"/>
        </w:rPr>
        <w:t>Anexa nr.2</w:t>
      </w:r>
    </w:p>
    <w:p w:rsidR="00EC4642" w:rsidRPr="00EC4642" w:rsidRDefault="00EC4642" w:rsidP="00EC4642">
      <w:pPr>
        <w:spacing w:after="0" w:line="240" w:lineRule="auto"/>
        <w:jc w:val="right"/>
        <w:rPr>
          <w:rFonts w:ascii="Times New Roman" w:hAnsi="Times New Roman"/>
          <w:sz w:val="24"/>
          <w:szCs w:val="24"/>
          <w:lang w:eastAsia="ru-RU"/>
        </w:rPr>
      </w:pPr>
      <w:r w:rsidRPr="00EC4642">
        <w:rPr>
          <w:rFonts w:ascii="Times New Roman" w:hAnsi="Times New Roman"/>
          <w:sz w:val="24"/>
          <w:szCs w:val="24"/>
          <w:lang w:eastAsia="ru-RU"/>
        </w:rPr>
        <w:t xml:space="preserve">la Hotărîrea Guvernului </w:t>
      </w:r>
    </w:p>
    <w:p w:rsidR="00EC4642" w:rsidRPr="00EC4642" w:rsidRDefault="00EC4642" w:rsidP="00EC4642">
      <w:pPr>
        <w:spacing w:after="0" w:line="240" w:lineRule="auto"/>
        <w:jc w:val="right"/>
        <w:rPr>
          <w:rFonts w:ascii="Times New Roman" w:hAnsi="Times New Roman"/>
          <w:sz w:val="24"/>
          <w:szCs w:val="24"/>
          <w:lang w:eastAsia="ru-RU"/>
        </w:rPr>
      </w:pPr>
      <w:r w:rsidRPr="00EC4642">
        <w:rPr>
          <w:rFonts w:ascii="Times New Roman" w:hAnsi="Times New Roman"/>
          <w:sz w:val="24"/>
          <w:szCs w:val="24"/>
          <w:lang w:eastAsia="ru-RU"/>
        </w:rPr>
        <w:t>nr.246 din 8 aprilie 2010</w:t>
      </w:r>
    </w:p>
    <w:p w:rsidR="00EC4642" w:rsidRPr="00EC4642" w:rsidRDefault="00EC4642" w:rsidP="00EC4642">
      <w:pPr>
        <w:spacing w:after="0" w:line="240" w:lineRule="auto"/>
        <w:ind w:firstLine="567"/>
        <w:jc w:val="both"/>
        <w:rPr>
          <w:rFonts w:ascii="Times New Roman" w:hAnsi="Times New Roman"/>
          <w:sz w:val="24"/>
          <w:szCs w:val="24"/>
          <w:lang w:eastAsia="ru-RU"/>
        </w:rPr>
      </w:pPr>
      <w:r w:rsidRPr="00EC4642">
        <w:rPr>
          <w:rFonts w:ascii="Times New Roman" w:hAnsi="Times New Roman"/>
          <w:sz w:val="24"/>
          <w:szCs w:val="24"/>
          <w:lang w:eastAsia="ru-RU"/>
        </w:rPr>
        <w:t> </w:t>
      </w:r>
    </w:p>
    <w:p w:rsidR="00EC4642" w:rsidRPr="00EC4642" w:rsidRDefault="00EC4642" w:rsidP="00EC464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LISTA</w:t>
      </w:r>
    </w:p>
    <w:p w:rsidR="00EC4642" w:rsidRPr="00EC4642" w:rsidRDefault="00EC4642" w:rsidP="00EC464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împrumuturilor şi granturilor acordate Guvernului Republicii Moldova sau acordate cu</w:t>
      </w:r>
    </w:p>
    <w:p w:rsidR="00EC4642" w:rsidRPr="00EC4642" w:rsidRDefault="00EC4642" w:rsidP="00EC464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garanţie de stat, din contul împrumuturilor acordate de organismele financiare internaţionale</w:t>
      </w:r>
    </w:p>
    <w:p w:rsidR="00EC4642" w:rsidRPr="00EC4642" w:rsidRDefault="00EC4642" w:rsidP="00EC464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(inclusiv din cota-parte a Guvernului), din contul granturilor acordate instituţiilor finanţate</w:t>
      </w:r>
    </w:p>
    <w:p w:rsidR="00EC4642" w:rsidRPr="00EC4642" w:rsidRDefault="00EC4642" w:rsidP="00EC464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de la buget, destinate realizării proiectelor de asistenţă investiţională, din contul cărora</w:t>
      </w:r>
    </w:p>
    <w:p w:rsidR="00EC4642" w:rsidRPr="00EC4642" w:rsidRDefault="00EC4642" w:rsidP="00EC464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vor fi importate sau achiziţionate mărfuri (lucrări, servicii) scutite de accize,</w:t>
      </w:r>
    </w:p>
    <w:p w:rsidR="00EC4642" w:rsidRPr="00EC4642" w:rsidRDefault="00EC4642" w:rsidP="00EC464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plata taxei vamale, taxei pentru efectuarea procedurilor vamale,</w:t>
      </w:r>
    </w:p>
    <w:p w:rsidR="00EC4642" w:rsidRPr="00EC4642" w:rsidRDefault="00EC4642" w:rsidP="00EC464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impozitate la cota zero a TVA</w:t>
      </w:r>
    </w:p>
    <w:p w:rsidR="00EC4642" w:rsidRPr="00EC4642" w:rsidRDefault="00EC4642" w:rsidP="00EC4642">
      <w:pPr>
        <w:spacing w:after="0" w:line="240" w:lineRule="auto"/>
        <w:jc w:val="center"/>
        <w:rPr>
          <w:rFonts w:ascii="Times New Roman" w:hAnsi="Times New Roman"/>
          <w:b/>
          <w:bCs/>
          <w:sz w:val="24"/>
          <w:szCs w:val="24"/>
          <w:lang w:eastAsia="ru-RU"/>
        </w:rPr>
      </w:pPr>
    </w:p>
    <w:tbl>
      <w:tblPr>
        <w:tblW w:w="4984" w:type="pct"/>
        <w:jc w:val="center"/>
        <w:tblCellMar>
          <w:top w:w="15" w:type="dxa"/>
          <w:left w:w="15" w:type="dxa"/>
          <w:bottom w:w="15" w:type="dxa"/>
          <w:right w:w="15" w:type="dxa"/>
        </w:tblCellMar>
        <w:tblLook w:val="00A0"/>
      </w:tblPr>
      <w:tblGrid>
        <w:gridCol w:w="438"/>
        <w:gridCol w:w="2765"/>
        <w:gridCol w:w="5130"/>
        <w:gridCol w:w="7"/>
        <w:gridCol w:w="1906"/>
        <w:gridCol w:w="15"/>
      </w:tblGrid>
      <w:tr w:rsidR="00EC4642" w:rsidRPr="00EC4642" w:rsidTr="00CB2E12">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Nr. d/o</w:t>
            </w: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Donatorul/ proiectul/ instituţia beneficiară</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Baza legală</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Componentele scutite</w:t>
            </w:r>
          </w:p>
        </w:tc>
      </w:tr>
      <w:tr w:rsidR="00EC4642" w:rsidRPr="00EC4642" w:rsidTr="00CB2E12">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1</w:t>
            </w: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2</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3</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b/>
                <w:bCs/>
                <w:sz w:val="24"/>
                <w:szCs w:val="24"/>
                <w:lang w:eastAsia="ru-RU"/>
              </w:rPr>
            </w:pPr>
            <w:r w:rsidRPr="00EC4642">
              <w:rPr>
                <w:rFonts w:ascii="Times New Roman" w:hAnsi="Times New Roman"/>
                <w:b/>
                <w:bCs/>
                <w:sz w:val="24"/>
                <w:szCs w:val="24"/>
                <w:lang w:eastAsia="ru-RU"/>
              </w:rPr>
              <w:t>4</w:t>
            </w:r>
          </w:p>
        </w:tc>
      </w:tr>
      <w:tr w:rsidR="00EC4642" w:rsidRPr="00EC4642" w:rsidTr="00CB2E12">
        <w:trPr>
          <w:trHeight w:val="791"/>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1.</w:t>
            </w:r>
          </w:p>
        </w:tc>
        <w:tc>
          <w:tcPr>
            <w:tcW w:w="1348"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Unitatea consolidată pentru implementarea şi monitorizarea proiectelor în domeniul agriculturii</w:t>
            </w:r>
          </w:p>
        </w:tc>
        <w:tc>
          <w:tcPr>
            <w:tcW w:w="2504" w:type="pct"/>
            <w:gridSpan w:val="2"/>
            <w:tcBorders>
              <w:top w:val="single" w:sz="6" w:space="0" w:color="000000"/>
              <w:left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trike/>
                <w:color w:val="FF0000"/>
                <w:sz w:val="24"/>
                <w:szCs w:val="24"/>
                <w:lang w:eastAsia="ru-RU"/>
              </w:rPr>
            </w:pPr>
            <w:r w:rsidRPr="00EC4642">
              <w:rPr>
                <w:rFonts w:ascii="Times New Roman" w:hAnsi="Times New Roman"/>
                <w:sz w:val="24"/>
                <w:szCs w:val="24"/>
                <w:lang w:eastAsia="ru-RU"/>
              </w:rPr>
              <w:t>Grantul TF 012145</w:t>
            </w:r>
          </w:p>
        </w:tc>
        <w:tc>
          <w:tcPr>
            <w:tcW w:w="934" w:type="pct"/>
            <w:gridSpan w:val="2"/>
            <w:tcBorders>
              <w:top w:val="single" w:sz="6" w:space="0" w:color="000000"/>
              <w:left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Agricultura Competitivă”</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dintre Republica Moldova şi Asociaţia Internaţională pentru Dezvoltare în vederea realizării Proiectului “Agricultura Competitivă”, nr.5095-MD, Legea nr.176 din 11 iulie 2012</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“Suport de urgenţă pentru agricultura Moldovei”</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dintre Republica Moldova şi Asociaţia Internaţională de Dezvoltare în vederea realizării proiectului “Suport de urgenţă pentru agricultura Moldovei”, semnat la  29 mai 2013</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2.</w:t>
            </w:r>
          </w:p>
        </w:tc>
        <w:tc>
          <w:tcPr>
            <w:tcW w:w="134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Fondul de investiţii sociale din Moldova</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dintre Republica Moldova şi Asociaţia Internaţională pentru Dezvoltare cu privire la finanţarea suplimentară a proiectului II al Fondului de Investiţii Sociale nr.4555-MD, Legea nr.21-XVII din 12 iunie 2009</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nr.TF 014855</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 xml:space="preserve">Integral </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şi de proiect între KfW, Republica Moldova şi Fondul de Investiţii Sociale din 15 decembrie, 2010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II al Fondului de Investiţii Sociale dintre Republica Moldova şi Asociaţia Internaţională pentru Dezvoltare</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cu privire la finanţarea suplimentară a Acordului de credit pentru dezvoltare, nr.4682-MD din 22 februarie 2010, Legea nr.58 din 25 martie 2010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Contract de grant – Acţiuni externe ale Uniunii Europene – 2010/219-911, semnat la 14 decembrie 2010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 nr.TF 011810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 xml:space="preserve">Integral </w:t>
            </w: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3.</w:t>
            </w: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Unitatea de implementare a proiectelor de aprovizionare cu apă şi canalizare</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a Proiectului naţional de alimentare cu apă şi canalizare dintre Republica Moldova şi Asociaţia Internaţională pentru Dezvoltare, creditul nr.4414-MD, Legea nr.167-XVI din 9 iulie 2008</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CE/FEN/ Proiectul dezvoltării regionale şi protecţiei sociale din </w:t>
            </w:r>
            <w:r w:rsidRPr="00EC4642">
              <w:rPr>
                <w:rFonts w:ascii="Times New Roman" w:hAnsi="Times New Roman"/>
                <w:sz w:val="24"/>
                <w:szCs w:val="24"/>
                <w:lang w:eastAsia="ru-RU"/>
              </w:rPr>
              <w:lastRenderedPageBreak/>
              <w:t>Moldova, partea D</w:t>
            </w:r>
          </w:p>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lastRenderedPageBreak/>
              <w:t>Contractul nr.1/3029-4315 din 2 aprilie 2013</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lastRenderedPageBreak/>
              <w:t>4.</w:t>
            </w: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Echipa de management al proiectelor (EMP) în domeniul poluanţilor organici persistenţi (POP), Serviciul Hidrometeorologic de Stat, Serviciul Protecţiei Civile şi Situaţiilor Excepţionale al Ministerului Afacerilor Interne, Ministerul Agriculturii şi Industriei Alimentare, Proiectul “Managementul dezastrelor şi riscurilor climatice în Moldova”</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dintre Republica Moldova şi Asociaţia Internaţională pentru Dezvoltare în vederea realizării</w:t>
            </w:r>
            <w:r w:rsidRPr="00EC4642">
              <w:rPr>
                <w:rFonts w:ascii="Times New Roman" w:hAnsi="Times New Roman"/>
                <w:sz w:val="24"/>
                <w:szCs w:val="24"/>
                <w:lang w:eastAsia="ru-RU"/>
              </w:rPr>
              <w:br/>
              <w:t>Proiectului “Managementul dezastrelor şi riscurile climatice în Moldova”, creditul nr.4794 MD, Legea nr.224 din 17 septembrie 2010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5.</w:t>
            </w: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Unitatea consolidată de implementare a proiectelor de mediu</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nr.TF 099602</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6.</w:t>
            </w:r>
          </w:p>
        </w:tc>
        <w:tc>
          <w:tcPr>
            <w:tcW w:w="134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Ministerul Mediului </w:t>
            </w:r>
            <w:r w:rsidRPr="00EC4642">
              <w:rPr>
                <w:rFonts w:ascii="Times New Roman" w:hAnsi="Times New Roman"/>
                <w:sz w:val="24"/>
                <w:szCs w:val="24"/>
                <w:lang w:eastAsia="ru-RU"/>
              </w:rPr>
              <w:br/>
              <w:t>“Programul de dezvoltare a Serviciilor de Aprovizionare cu Apă Potabilă”</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împrumut dintre Republica Moldova şi Banca Europeană pentru Reconstrucţie şi Dezvoltare (Programul de Dezvoltare a Serviciilor de Aprovizionare cu Apă Potabilă), semnat la Chişinău la 16 iunie 2010, Legea nr.203 din 16 iulie 2010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ENPI/2010/019549-MD-04</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Programul de dezvoltare a reţelei de regii apă-canal în Republica Moldova (contribuţia NIF)</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Contractul de finanţare între Republica Moldova şi Banca Europeană de Investiţii pentru realizarea Programului de dezvoltare a serviciilor de aprovizionare cu apă potabilă, semnat la 16 septembrie 2010, ratificat prin Legea nr.13 </w:t>
            </w:r>
          </w:p>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din 11 februarie 2011</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7.</w:t>
            </w: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Agenţia “Apele Moldovei” </w:t>
            </w:r>
            <w:r w:rsidRPr="00EC4642">
              <w:rPr>
                <w:rFonts w:ascii="Times New Roman" w:hAnsi="Times New Roman"/>
                <w:sz w:val="24"/>
                <w:szCs w:val="24"/>
                <w:lang w:eastAsia="ru-RU"/>
              </w:rPr>
              <w:br/>
              <w:t>Proiectul de îmbunătăţire a sistemelor de aprovizionare cu apă în şase localităţi ale Republicii Moldova</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credit dintre Republica Moldova şi Fondul Kuweitian de Dezvoltare Economică Arabă la Proiectul de îmbunătăţire a sistemelor de aprovizionare cu apă în şase localităţi ale Republicii Moldova, Legea nr.381-XV din 18 noiembrie 2004</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8.</w:t>
            </w: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Ministerul Finanţelor </w:t>
            </w:r>
            <w:r w:rsidRPr="00EC4642">
              <w:rPr>
                <w:rFonts w:ascii="Times New Roman" w:hAnsi="Times New Roman"/>
                <w:sz w:val="24"/>
                <w:szCs w:val="24"/>
                <w:lang w:eastAsia="ru-RU"/>
              </w:rPr>
              <w:br/>
              <w:t>Proiectul “Managementul finanţelor publice”</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Acordului de Credit pentru Dezvoltare (proiectul “Managementul finanţelor publice”) dintre Republica Moldova şi Asociaţia Internaţională pentru Dezvoltare, nr.4082-MD, Legea nr.293-XVl din 16 noiembrie 2005</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Agenţia Achiziţii Publice </w:t>
            </w:r>
            <w:r w:rsidRPr="00EC4642">
              <w:rPr>
                <w:rFonts w:ascii="Times New Roman" w:hAnsi="Times New Roman"/>
                <w:sz w:val="24"/>
                <w:szCs w:val="24"/>
                <w:lang w:eastAsia="ru-RU"/>
              </w:rPr>
              <w:br/>
              <w:t>Proiectul “Consolidarea sistemului de achiziţii publice”</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KGS10/MD/3/1</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TF 012004</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9.</w:t>
            </w:r>
          </w:p>
        </w:tc>
        <w:tc>
          <w:tcPr>
            <w:tcW w:w="134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Ministerul Economiei</w:t>
            </w:r>
            <w:r w:rsidRPr="00EC4642">
              <w:rPr>
                <w:rFonts w:ascii="Times New Roman" w:hAnsi="Times New Roman"/>
                <w:sz w:val="24"/>
                <w:szCs w:val="24"/>
                <w:lang w:eastAsia="ru-RU"/>
              </w:rPr>
              <w:br/>
              <w:t xml:space="preserve">Proiectul “Promovarea eforturilor privind </w:t>
            </w:r>
            <w:r w:rsidRPr="00EC4642">
              <w:rPr>
                <w:rFonts w:ascii="Times New Roman" w:hAnsi="Times New Roman"/>
                <w:sz w:val="24"/>
                <w:szCs w:val="24"/>
                <w:lang w:eastAsia="ru-RU"/>
              </w:rPr>
              <w:lastRenderedPageBreak/>
              <w:t>ajustările structurale economice”</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lastRenderedPageBreak/>
              <w:t>Notele de schimb dintre Guvernul Republicii Moldova şi Guvernul Japoniei din 9 martie 2005</w:t>
            </w:r>
          </w:p>
        </w:tc>
        <w:tc>
          <w:tcPr>
            <w:tcW w:w="934"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Notele de schimb dintre Guvernul Republicii </w:t>
            </w:r>
            <w:r w:rsidRPr="00EC4642">
              <w:rPr>
                <w:rFonts w:ascii="Times New Roman" w:hAnsi="Times New Roman"/>
                <w:sz w:val="24"/>
                <w:szCs w:val="24"/>
                <w:lang w:eastAsia="ru-RU"/>
              </w:rPr>
              <w:lastRenderedPageBreak/>
              <w:t>Moldova şi Guvernul Japoniei din 3 martie 2006</w:t>
            </w:r>
          </w:p>
        </w:tc>
        <w:tc>
          <w:tcPr>
            <w:tcW w:w="934"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Notele de schimb dintre Guvernul Republicii Moldova şi Guvernul Japoniei din 5 martie 2007</w:t>
            </w:r>
          </w:p>
        </w:tc>
        <w:tc>
          <w:tcPr>
            <w:tcW w:w="934"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Notele de schimb dintre Guvernul Republicii Moldova şi Guvernul Japoniei din 5 martie 2008</w:t>
            </w:r>
          </w:p>
        </w:tc>
        <w:tc>
          <w:tcPr>
            <w:tcW w:w="934"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Contractele de leasing privind vînzarea utilajului, achiziţionat din mijloacele fondului de partener, încheiate cu beneficiarii pînă la data de 31 decembrie 2014</w:t>
            </w:r>
          </w:p>
        </w:tc>
        <w:tc>
          <w:tcPr>
            <w:tcW w:w="934"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dintre Guvernul Republicii Moldova şi Guvernul Republicii Populare Chineze cu privire la acordarea de către Guvernul Chinei Guvernului Moldovei a unui ajutor nerambursabil, semnat la 14 noiembrie 2007</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Contractul nr.1 privind crearea Centrului de medicină tradiţională chineză, încheiat la 18 ianuarie 2010 între Universitatea de Stat de Medicină şi Farmacie “Nicolae Testemiţanu” şi Compania Internaţională Chineză de Inginerie IPPR</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cooperare în domeniul economic şi tehnic dintre Guvernul Republicii Moldova şi Guvernul Republicii Populare Chineze, semnat la 17 decembrie 2009</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10.</w:t>
            </w: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“Autoevaluarea pentru comunicarea naţională II”</w:t>
            </w:r>
          </w:p>
          <w:p w:rsidR="00EC4642" w:rsidRPr="00EC4642" w:rsidRDefault="00EC4642" w:rsidP="00CB2E12">
            <w:pPr>
              <w:spacing w:after="0" w:line="240" w:lineRule="auto"/>
              <w:rPr>
                <w:rFonts w:ascii="Times New Roman" w:hAnsi="Times New Roman"/>
                <w:sz w:val="24"/>
                <w:szCs w:val="24"/>
                <w:lang w:eastAsia="ru-RU"/>
              </w:rPr>
            </w:pPr>
          </w:p>
          <w:p w:rsidR="00EC4642" w:rsidRPr="00EC4642" w:rsidRDefault="00EC4642" w:rsidP="00CB2E12">
            <w:pPr>
              <w:spacing w:after="0" w:line="240" w:lineRule="auto"/>
              <w:rPr>
                <w:rFonts w:ascii="Times New Roman" w:hAnsi="Times New Roman"/>
                <w:sz w:val="24"/>
                <w:szCs w:val="24"/>
                <w:lang w:eastAsia="ru-RU"/>
              </w:rPr>
            </w:pPr>
          </w:p>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UNEP: GFL-2328-2724-4769</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11.</w:t>
            </w:r>
          </w:p>
        </w:tc>
        <w:tc>
          <w:tcPr>
            <w:tcW w:w="13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Ministerul Apărării</w:t>
            </w:r>
            <w:r w:rsidRPr="00EC4642">
              <w:rPr>
                <w:rFonts w:ascii="Times New Roman" w:hAnsi="Times New Roman"/>
                <w:sz w:val="24"/>
                <w:szCs w:val="24"/>
                <w:lang w:eastAsia="ru-RU"/>
              </w:rPr>
              <w:br/>
              <w:t>Proiectul “Distrugerea pesticidelor şi a produselor chimice periculoase în Republica Moldova”</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top w:val="nil"/>
              <w:left w:val="single" w:sz="6" w:space="0" w:color="000000"/>
              <w:bottom w:val="nil"/>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“Programul complex în domeniul armelor de calibru mic şi armament uşor (SALW) şi al armamentului convenţional în Republica Moldova”</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Memorandumul de înţelegere între Ministerul Apărării al Republicii Moldova şi Misiunea Organizaţiei pentru Securitate şi Cooperare în Europa în Republica Moldova cu privire la implementarea Programului complex în domeniul armelor de calibru mic şi armament uşor (SALW) şi al armamentului convenţional în Republica Moldova, semnat la Chişinău la 28 octombrie 2010, Hotărîrea Guvernului nr.990 din 19 octombrie 2010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top w:val="nil"/>
              <w:left w:val="single" w:sz="6" w:space="0" w:color="000000"/>
              <w:bottom w:val="nil"/>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Ministerul Apărării, Ministerul Afacerilor Interne, Poliţia de Frontieră</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la Chişinău la 24 iunie 2010, Hotărîrea Guvernului nr.51 din 3 februarie </w:t>
            </w:r>
            <w:r w:rsidRPr="00EC4642">
              <w:rPr>
                <w:rFonts w:ascii="Times New Roman" w:hAnsi="Times New Roman"/>
                <w:sz w:val="24"/>
                <w:szCs w:val="24"/>
                <w:lang w:eastAsia="ru-RU"/>
              </w:rPr>
              <w:lastRenderedPageBreak/>
              <w:t>2010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lastRenderedPageBreak/>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“Reîncadrarea în cîmpul muncii a militarilor care îndeplinesc serviciul prin contract şi a cetăţenilor trecuţi în rezervă (retragere) din Republica Moldova”</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 între Ministerul Apărării al Republicii Moldova şi Ministerul Apărării Naţionale al Republicii Populare Chineze privind acordarea de către Republica Populară Chineză a unui ajutor militar nerambursabil Republicii Moldova, semnat la Beijing la 13 septembrie 2012</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12.</w:t>
            </w: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Distrugerea surplusului şi stocurilor învechite de muniţii în Republica Moldova</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implementare nr.3100031/2007 între Misiunea Organizaţiei pentru Securitate şi Cooperare în Europa şi Ministerul Apărării al Republicii Moldova, semnat la Chişinău, la 22 iunie 2007</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13.</w:t>
            </w:r>
          </w:p>
        </w:tc>
        <w:tc>
          <w:tcPr>
            <w:tcW w:w="134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Unitatea de coordonare, implementare şi monitorizare a proiectului de restructurare a sistemului sănătăţii</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MOL-H-PCIMU</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MOL-T-PCIMU</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F/D 29 (2012)</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Memorandumul de înţelegere între Ministerul Sănătăţii al Republicii Moldova şi Ministerul Afacerilor Externe al României în domeniul asistenţei oficiale pentru dezvoltare privind implementarea proiectului de reabilitare a sediului în care va funcţiona Centrul Regional de Transfuzie a Sîngelui Cahul, semnat la 13 noiembrie 2012 la Chişinău</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MOL-CFUND-1303</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p>
        </w:tc>
      </w:tr>
      <w:tr w:rsidR="00EC4642" w:rsidRPr="00EC4642" w:rsidTr="00CB2E12">
        <w:trPr>
          <w:trHeight w:val="1228"/>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14.</w:t>
            </w:r>
          </w:p>
        </w:tc>
        <w:tc>
          <w:tcPr>
            <w:tcW w:w="134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Unitatea consolidată pentru implementarea Programelor Fondului Internaţional pentru Dezvoltare Agricolă</w:t>
            </w:r>
          </w:p>
        </w:tc>
        <w:tc>
          <w:tcPr>
            <w:tcW w:w="2504" w:type="pct"/>
            <w:gridSpan w:val="2"/>
            <w:tcBorders>
              <w:top w:val="single" w:sz="6" w:space="0" w:color="000000"/>
              <w:left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Acordul de finanţare (împrumut şi grant) dintre Republica Moldova şi Fondul Internaţional pentru Dezvoltare Agricolă (IFAD), în scopul implementării în Moldova a Programului de Servicii Financiare Rurale şi Marketing, Legea nr.282-XVI </w:t>
            </w:r>
          </w:p>
          <w:p w:rsidR="00EC4642" w:rsidRPr="00EC4642" w:rsidRDefault="00EC4642" w:rsidP="00CB2E12">
            <w:pPr>
              <w:spacing w:after="0" w:line="240" w:lineRule="auto"/>
              <w:rPr>
                <w:rFonts w:ascii="Times New Roman" w:hAnsi="Times New Roman"/>
                <w:strike/>
                <w:color w:val="FF0000"/>
                <w:sz w:val="24"/>
                <w:szCs w:val="24"/>
                <w:lang w:eastAsia="ru-RU"/>
              </w:rPr>
            </w:pPr>
            <w:r w:rsidRPr="00EC4642">
              <w:rPr>
                <w:rFonts w:ascii="Times New Roman" w:hAnsi="Times New Roman"/>
                <w:sz w:val="24"/>
                <w:szCs w:val="24"/>
                <w:lang w:eastAsia="ru-RU"/>
              </w:rPr>
              <w:t>din 18 decembrie 2008</w:t>
            </w:r>
          </w:p>
        </w:tc>
        <w:tc>
          <w:tcPr>
            <w:tcW w:w="934" w:type="pct"/>
            <w:gridSpan w:val="2"/>
            <w:tcBorders>
              <w:top w:val="single" w:sz="6" w:space="0" w:color="000000"/>
              <w:left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dintre Republica Moldova şi Fondul Internaţional pentru Dezvoltare Agricolă, în scopul implementării în Moldova a Proiectului de servicii financiare rurale şi dezvoltare a businessului agricol (Grant nr.C DE 832 MD)</w:t>
            </w:r>
          </w:p>
          <w:p w:rsidR="00EC4642" w:rsidRPr="00EC4642" w:rsidRDefault="00EC4642" w:rsidP="00CB2E12">
            <w:pPr>
              <w:spacing w:after="0" w:line="240" w:lineRule="auto"/>
              <w:rPr>
                <w:rFonts w:ascii="Times New Roman" w:hAnsi="Times New Roman"/>
                <w:sz w:val="24"/>
                <w:szCs w:val="24"/>
                <w:lang w:eastAsia="ru-RU"/>
              </w:rPr>
            </w:pPr>
          </w:p>
          <w:p w:rsidR="00EC4642" w:rsidRPr="00EC4642" w:rsidRDefault="00EC4642" w:rsidP="00CB2E12">
            <w:pPr>
              <w:spacing w:after="0" w:line="240" w:lineRule="auto"/>
              <w:rPr>
                <w:rFonts w:ascii="Times New Roman" w:hAnsi="Times New Roman"/>
                <w:sz w:val="24"/>
                <w:szCs w:val="24"/>
                <w:lang w:eastAsia="ru-RU"/>
              </w:rPr>
            </w:pPr>
          </w:p>
          <w:p w:rsidR="00EC4642" w:rsidRPr="00EC4642" w:rsidRDefault="00EC4642" w:rsidP="00CB2E12">
            <w:pPr>
              <w:spacing w:after="0" w:line="240" w:lineRule="auto"/>
              <w:rPr>
                <w:rFonts w:ascii="Times New Roman" w:hAnsi="Times New Roman"/>
                <w:sz w:val="24"/>
                <w:szCs w:val="24"/>
                <w:lang w:eastAsia="ru-RU"/>
              </w:rPr>
            </w:pP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15.</w:t>
            </w:r>
          </w:p>
        </w:tc>
        <w:tc>
          <w:tcPr>
            <w:tcW w:w="134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Ministerul Educaţiei</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 nr.TF 011810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adiţională dintre Republica Moldova şi Asociaţia Internaţională pentru Dezvoltare privind Proiectul “Educaţie de calitate în mediul rural din Republica Moldova”, nr.5080-MD, Legea nr.172 din 11 iulie 2012</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Acordul de finanţare între Republica Moldova şi </w:t>
            </w:r>
            <w:r w:rsidRPr="00EC4642">
              <w:rPr>
                <w:rFonts w:ascii="Times New Roman" w:hAnsi="Times New Roman"/>
                <w:sz w:val="24"/>
                <w:szCs w:val="24"/>
                <w:lang w:eastAsia="ru-RU"/>
              </w:rPr>
              <w:lastRenderedPageBreak/>
              <w:t>Asociaţia Internaţională pentru Dezvoltare (Proiectul reformei învăţămîntului în Moldova) nr.5196-MD din 7 februarie 2013, Legea nr.89 din 19 aprilie 2013</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p>
        </w:tc>
      </w:tr>
      <w:tr w:rsidR="00EC4642" w:rsidRPr="00EC4642" w:rsidTr="00CB2E12">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lastRenderedPageBreak/>
              <w:t>16.</w:t>
            </w: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Oficiul de suport administrativ pentru asistenţă la implementarea Strategiei de reformă a administraţiei publice centrale</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nr.TF 056601</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17.</w:t>
            </w:r>
          </w:p>
        </w:tc>
        <w:tc>
          <w:tcPr>
            <w:tcW w:w="1348" w:type="pct"/>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Unitatea consolidată pentru implementarea şi monitorizarea proiectelor în domeniul energeticii</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credit pentru dezvoltare (Proiectul Energetic II) dintre Republica Moldova şi Asociaţia Internaţională pentru Dezvoltare nr.3833MD, semnat la Washington la 4 decembrie 2003, Legea nr.567-XV din 25 decembrie 2003</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nil"/>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nil"/>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nr.TF 099139</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“Conducta de interconectare a sistemului naţional de transport gaze din România cu sistemul de transport gaze din Republica Moldova pe direcţia rîul Prut – satul Todireşti, raionul Ungheni</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Contractul de grant privind acţiunile externe ale Comunităţii Europene, nr.MIS ETC CODE 993, semnat la data de 8 august 2013</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nil"/>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18.</w:t>
            </w:r>
          </w:p>
        </w:tc>
        <w:tc>
          <w:tcPr>
            <w:tcW w:w="1348" w:type="pct"/>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Unitatea de Implementare şi Administrare a Proiectului Creşterii Producţiei Alimentare</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Notele de schimb dintre Guvernul Republicii Moldova şi Guvernul Japoniei din 11 martie 2004</w:t>
            </w:r>
          </w:p>
        </w:tc>
        <w:tc>
          <w:tcPr>
            <w:tcW w:w="934"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nil"/>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Notele de schimb dintre Guvernul Republicii Moldova şi Guvernul Japoniei din 3 martie 2006</w:t>
            </w:r>
          </w:p>
        </w:tc>
        <w:tc>
          <w:tcPr>
            <w:tcW w:w="934"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top w:val="nil"/>
              <w:left w:val="single" w:sz="6" w:space="0" w:color="000000"/>
              <w:bottom w:val="nil"/>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de Asistenţă pentru Fermierii Neprivilegiaţi 2KR</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Notele de schimb dintre Guvernul Republicii Moldova şi Guvernul Japoniei din 11 ianuarie 2007</w:t>
            </w:r>
          </w:p>
        </w:tc>
        <w:tc>
          <w:tcPr>
            <w:tcW w:w="934"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nil"/>
              <w:left w:val="single" w:sz="6" w:space="0" w:color="000000"/>
              <w:bottom w:val="nil"/>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Notele de schimb dintre Guvernul Republicii Moldova şi Guvernul Japoniei din 5 martie 2008</w:t>
            </w:r>
          </w:p>
        </w:tc>
        <w:tc>
          <w:tcPr>
            <w:tcW w:w="934"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Programul dezvoltării sistemului de irigare la scarămică</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Notele de schimb dintre Guvernul Republicii Moldova şi Guvernul Japoniei din 7 octombrie 2009</w:t>
            </w:r>
          </w:p>
        </w:tc>
        <w:tc>
          <w:tcPr>
            <w:tcW w:w="934"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nil"/>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semnat cu Comisia Europeană la 18 august 2006</w:t>
            </w:r>
          </w:p>
          <w:p w:rsidR="00EC4642" w:rsidRPr="00EC4642" w:rsidRDefault="00EC4642" w:rsidP="00CB2E12">
            <w:pPr>
              <w:spacing w:after="0" w:line="240" w:lineRule="auto"/>
              <w:rPr>
                <w:rFonts w:ascii="Times New Roman" w:hAnsi="Times New Roman"/>
                <w:sz w:val="24"/>
                <w:szCs w:val="24"/>
                <w:lang w:eastAsia="ru-RU"/>
              </w:rPr>
            </w:pPr>
          </w:p>
        </w:tc>
        <w:tc>
          <w:tcPr>
            <w:tcW w:w="934"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nil"/>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Contractele de vînzare-cumpărare în rate a tehnicii şi utilajului agricol, achiziţionate din mijloacele fondului de partener, fondului circulant, încheiate cu beneficiarii pînă la data de 31 decembrie 2014</w:t>
            </w:r>
          </w:p>
        </w:tc>
        <w:tc>
          <w:tcPr>
            <w:tcW w:w="934"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nil"/>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Acordul de grant, întocmit prin schimb de note, între Guvernul Republicii Moldova şi Guvernul Japoniei referitor la extinderea Proiectului de asistenţă tehnică pentru fermierii neprivilegiaţi </w:t>
            </w:r>
            <w:r w:rsidRPr="00EC4642">
              <w:rPr>
                <w:rFonts w:ascii="Times New Roman" w:hAnsi="Times New Roman"/>
                <w:sz w:val="24"/>
                <w:szCs w:val="24"/>
                <w:lang w:eastAsia="ru-RU"/>
              </w:rPr>
              <w:lastRenderedPageBreak/>
              <w:t>(2KR) din 17 aprilie 2012</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lastRenderedPageBreak/>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“Ciclul combustibilului facilitat prin intermediul mecanismului de cumpărare cu plata în rate pentru furnizori locali de combustibil”</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vizînd Partea Responsabilă nr.1/MEBP din 7 iunie 2012 dintre Ministerul Economiei şi Unitatea de Implementare şi Administrare a Proiectului Creşterii Producţiei Alimentare” (semnat în baza Documentului de Proiect între PNUD şi Ministerul Economiei din 29 decembrie 2010)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“Utilizarea eficientă a combustibilului solid din biomasă”</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grant, întocmit prin schimb de note, între Guvernul Republicii Moldova şi Guvernul Japoniei în vederea realizării proiectului “Utilizarea eficientă a combustibilului solid din biomasă”, semnat la 26 iunie 2013</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19.</w:t>
            </w:r>
          </w:p>
        </w:tc>
        <w:tc>
          <w:tcPr>
            <w:tcW w:w="1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Instituţia Publică “Centrul de Perfecţionare în Domeniul Mecanizării Agriculturii”</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Notele de schimb dintre Guvernul Republicii Moldova şi Guvernul Japoniei din 12 noiembrie 2007</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20.</w:t>
            </w:r>
          </w:p>
        </w:tc>
        <w:tc>
          <w:tcPr>
            <w:tcW w:w="13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Ministerul Sănătăţii</w:t>
            </w:r>
            <w:r w:rsidRPr="00EC4642">
              <w:rPr>
                <w:rFonts w:ascii="Times New Roman" w:hAnsi="Times New Roman"/>
                <w:sz w:val="24"/>
                <w:szCs w:val="24"/>
                <w:lang w:eastAsia="ru-RU"/>
              </w:rPr>
              <w:br/>
              <w:t>Ministerul Muncii, Protecţiei Sociale şi Familiei</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dintre Republica Moldova şi Asociaţia Internaţională pentru Dezvoltare (Proiectul “Servicii de Sănătate şi Asistenţă Socială”) nr.4320-MD, Legea nr.194-XVI din 26 iulie 2007</w:t>
            </w:r>
          </w:p>
        </w:tc>
        <w:tc>
          <w:tcPr>
            <w:tcW w:w="934"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“Servicii de Sănătate şi Asistenţă Socială”</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între Republica Moldova şi Asociaţia Internaţională de Dezvoltare privind finanţarea suplimentară în scopul realizării proiectului “Servicii de Sănătate şi Asistenţă Socială”, nr.5023-MD din 20 decembrie 2011, Legea nr.79 din 12 aprilie 2012</w:t>
            </w:r>
          </w:p>
        </w:tc>
        <w:tc>
          <w:tcPr>
            <w:tcW w:w="934"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21.</w:t>
            </w:r>
          </w:p>
        </w:tc>
        <w:tc>
          <w:tcPr>
            <w:tcW w:w="13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Ministerul Sănătăţii </w:t>
            </w:r>
            <w:r w:rsidRPr="00EC4642">
              <w:rPr>
                <w:rFonts w:ascii="Times New Roman" w:hAnsi="Times New Roman"/>
                <w:sz w:val="24"/>
                <w:szCs w:val="24"/>
                <w:lang w:eastAsia="ru-RU"/>
              </w:rPr>
              <w:br/>
              <w:t>Proiectul “Evaluarea capacităţii şi modernizarea Spitalului Clinic Republican”</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Acordul-cadru de împrumut între Guvernul Republicii Moldova şi Banca de Dezvoltare a Consiliului Europei, semnat la 16 octombrie 2008</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top w:val="nil"/>
              <w:left w:val="single" w:sz="6" w:space="0" w:color="000000"/>
              <w:bottom w:val="nil"/>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“Îmbunătăţirea serviciilor medicale în Spitalul Clinic Republican din Moldova”</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credit-export dintre Republica Moldova şi UniCredit Bank Austria AG privind finanţarea Proiectului “Îmbunătăţirea serviciilor medicale în Spitalul Clinic Republican din Moldova”, nr.232.171, Legea nr.181 din 11 iulie 2012</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top w:val="nil"/>
              <w:left w:val="single" w:sz="6" w:space="0" w:color="000000"/>
              <w:bottom w:val="nil"/>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“Introducerea energiei curate prin intermediul sistemului solar de generare a energiei electrice”</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 de grant privind Proiectul “Introducerea energiei curate prin intermediul sistemului solar de generare a energiei electrice” între Guvernul Republicii Moldova şi JICA, semnat la 18 iulie 2011</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nil"/>
              <w:left w:val="single" w:sz="6" w:space="0" w:color="000000"/>
              <w:bottom w:val="nil"/>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nr.TF 012263-MD</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top w:val="nil"/>
              <w:left w:val="single" w:sz="6" w:space="0" w:color="000000"/>
              <w:bottom w:val="nil"/>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Proiectul “Îmbunătăţirea serviciilor medicale în Spitalul Clinic Republican din Moldova – faza II” </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Acordul de credit export dintre Republica Moldova şi UniCredit Bank Austria AG privind finanţarea proiectului “Îmbunătăţirea serviciilor medicale în Spitalul Clinic Republican din Moldova – faza II”, nr.233.022, ratificat prin Legea nr.209 din 12 iulie 2013 </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 xml:space="preserve">Integral </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”Îmbunătăţirea serviciilor medicale”</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Schimbul de Note între Guvernul Republicii Moldova şi Agenţia Japoneză de Cooperare </w:t>
            </w:r>
            <w:r w:rsidRPr="00EC4642">
              <w:rPr>
                <w:rFonts w:ascii="Times New Roman" w:hAnsi="Times New Roman"/>
                <w:sz w:val="24"/>
                <w:szCs w:val="24"/>
                <w:lang w:eastAsia="ru-RU"/>
              </w:rPr>
              <w:lastRenderedPageBreak/>
              <w:t>Internaţională în baza Acordului de Credit pentru Proiectul ”Îmbunătăţirera serviciilor medicale”, semnate ambele în data de 27 iunie 2013</w:t>
            </w:r>
          </w:p>
        </w:tc>
        <w:tc>
          <w:tcPr>
            <w:tcW w:w="934"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lastRenderedPageBreak/>
              <w:t xml:space="preserve">Integral </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nil"/>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împrumut dintre Guvernul Republicii Moldova şi Agenţia Japoneză de Cooperare Internaţională pentru realizarea proiectului “Îmbunătăţirea serviciilor medicale” nr.MDA-P1, Legea nr.188 din 12 iulie 2013</w:t>
            </w:r>
          </w:p>
        </w:tc>
        <w:tc>
          <w:tcPr>
            <w:tcW w:w="934"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22.</w:t>
            </w:r>
          </w:p>
        </w:tc>
        <w:tc>
          <w:tcPr>
            <w:tcW w:w="134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ÎS “Administraţia de Stat a Drumurilor” Proiectul de Susţinere a Programului pentru Sectorul Drumurilor</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împrumut dintre Republica Moldova şi Banca Europeană pentru Reconstrucţie şi Dezvoltare (Proiectul de reabilitare a drumurilor în Moldova), nr.37671, Legea nr.216-XVI din 12 octombrie 2007</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dintre Republica Moldova şi Banca Europeană pentru Investiţii (Proiectul “Drumuri europene în Moldova”), nr.2006 0485, Legea nr.217-XVI din 12 octombrie 2007</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TF 094952</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nr.ENPI/2007/019549-MD-02 semnat la 9 decembrie 2008</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Contractul de finanţare dintre Republica Moldova şi Banca Europeană de Investiţii, pentru realizarea Proiectului de reabilitare a drumurilor din Republica Moldova, FI nr.25.852 Serapis nr.2010-0154, Legea nr.79 din 21 aprilie 2011</w:t>
            </w:r>
          </w:p>
          <w:p w:rsidR="00EC4642" w:rsidRPr="00EC4642" w:rsidRDefault="00EC4642" w:rsidP="00CB2E12">
            <w:pPr>
              <w:spacing w:after="0" w:line="240" w:lineRule="auto"/>
              <w:rPr>
                <w:rFonts w:ascii="Times New Roman" w:hAnsi="Times New Roman"/>
                <w:sz w:val="24"/>
                <w:szCs w:val="24"/>
                <w:lang w:eastAsia="ru-RU"/>
              </w:rPr>
            </w:pP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împrumut dintre Republica Moldova şi Banca Europeană pentru Reconstrucţie şi Dezvoltare, pentru realizarea Proiectului de reabilitare a drumurilor din Republica Moldova, nr.41442, Legea nr.77 din 21 aprilie 2011</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nr.2011/19549/MD-05 (ENPI/2011/265-548)</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val="restart"/>
            <w:tcBorders>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color w:val="000000"/>
                <w:sz w:val="24"/>
                <w:szCs w:val="24"/>
                <w:lang w:eastAsia="ru-RU"/>
              </w:rPr>
            </w:pPr>
            <w:r w:rsidRPr="00EC4642">
              <w:rPr>
                <w:rFonts w:ascii="Times New Roman" w:hAnsi="Times New Roman"/>
                <w:color w:val="000000"/>
                <w:sz w:val="24"/>
                <w:szCs w:val="24"/>
                <w:lang w:eastAsia="ru-RU"/>
              </w:rPr>
              <w:t>Contractul de finanţare dintre Republica Moldova şi Banca Europeană de Investiţii, pentru realizarea Proiectului de reabilitare a drumurilor din republica Moldova, FI nr.81.723 Serapis nr.20110650, Legea nr.190 din 12 iulie 2013</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Împrumut dintreb Republica Moldova şi Banca Europeană pentru Reconstrucţie şi dezvoltare, pentru realizarea Proiectului de reabilitare a drumurilor din Repunlica Moldova, nr.45094, Legea nr.191 din 12 iulie 2013</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23.</w:t>
            </w:r>
          </w:p>
        </w:tc>
        <w:tc>
          <w:tcPr>
            <w:tcW w:w="134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Asociaţia de Cercetare şi Dezvoltare din Moldova (MRDA)</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cooperare dintre Guvernul Republicii Moldova şi Fundaţia SUA în Domeniul Cercetării şi Dezvoltării Civile a Statelor Independente ale fostei Uniuni Sovietice, semnat la 28 martie 2000, Legea nr.1222-XIV din 31 iulie 2000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Granturi:</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MRDA-09/PSA: Acordul pentru susţinerea programelor</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GAP – Programul de asistenţă a granturilor</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Nonproliferation Program, CRDF Global</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Preventing Nuclear Smuggling Program</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24.</w:t>
            </w:r>
          </w:p>
        </w:tc>
        <w:tc>
          <w:tcPr>
            <w:tcW w:w="134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Fundaţia SUA de Cercetare şi Dezvoltare Civilă (CRDF)</w:t>
            </w: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cooperare dintre Guvernul Republicii Moldova şi Fundaţia S.U.A. în Domeniul Cercetării şi Dezvoltării Civile a Statelor Independente ale fostei Uniuni Sovietice, semnat la 28 martie 2000, Legea nr.1222-XIV din 31 iulie 2000</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Granturi:</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GAP – Programul de asistenţă a granturilor</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Nonproliferation Program, CRDF Global</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jc w:val="center"/>
        </w:trPr>
        <w:tc>
          <w:tcPr>
            <w:tcW w:w="214"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Preventing Nuclear Smuggling Program</w:t>
            </w:r>
          </w:p>
        </w:tc>
        <w:tc>
          <w:tcPr>
            <w:tcW w:w="93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c>
          <w:tcPr>
            <w:tcW w:w="214" w:type="pct"/>
            <w:vMerge w:val="restart"/>
            <w:tcBorders>
              <w:top w:val="single" w:sz="6" w:space="0" w:color="000000"/>
              <w:left w:val="single" w:sz="4" w:space="0" w:color="000000"/>
              <w:bottom w:val="single" w:sz="4" w:space="0" w:color="auto"/>
              <w:right w:val="single" w:sz="4" w:space="0" w:color="auto"/>
            </w:tcBorders>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25.</w:t>
            </w:r>
          </w:p>
        </w:tc>
        <w:tc>
          <w:tcPr>
            <w:tcW w:w="1348" w:type="pct"/>
            <w:tcBorders>
              <w:top w:val="single" w:sz="6" w:space="0" w:color="000000"/>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val="es-ES" w:eastAsia="ru-RU"/>
              </w:rPr>
            </w:pPr>
            <w:r w:rsidRPr="00EC4642">
              <w:rPr>
                <w:rFonts w:ascii="Times New Roman" w:hAnsi="Times New Roman"/>
                <w:bCs/>
                <w:sz w:val="24"/>
                <w:szCs w:val="24"/>
                <w:lang w:val="es-ES" w:eastAsia="ru-RU"/>
              </w:rPr>
              <w:t xml:space="preserve">Academia de </w:t>
            </w:r>
            <w:proofErr w:type="spellStart"/>
            <w:r w:rsidRPr="00EC4642">
              <w:rPr>
                <w:rFonts w:ascii="Times New Roman" w:hAnsi="Times New Roman"/>
                <w:bCs/>
                <w:sz w:val="24"/>
                <w:szCs w:val="24"/>
                <w:lang w:val="es-ES" w:eastAsia="ru-RU"/>
              </w:rPr>
              <w:t>Ştiinţe</w:t>
            </w:r>
            <w:proofErr w:type="spellEnd"/>
            <w:r w:rsidRPr="00EC4642">
              <w:rPr>
                <w:rFonts w:ascii="Times New Roman" w:hAnsi="Times New Roman"/>
                <w:bCs/>
                <w:sz w:val="24"/>
                <w:szCs w:val="24"/>
                <w:lang w:val="es-ES" w:eastAsia="ru-RU"/>
              </w:rPr>
              <w:t xml:space="preserve"> a </w:t>
            </w:r>
            <w:proofErr w:type="spellStart"/>
            <w:r w:rsidRPr="00EC4642">
              <w:rPr>
                <w:rFonts w:ascii="Times New Roman" w:hAnsi="Times New Roman"/>
                <w:bCs/>
                <w:sz w:val="24"/>
                <w:szCs w:val="24"/>
                <w:lang w:val="es-ES" w:eastAsia="ru-RU"/>
              </w:rPr>
              <w:t>Moldovei</w:t>
            </w:r>
            <w:proofErr w:type="spellEnd"/>
            <w:r w:rsidRPr="00EC4642">
              <w:rPr>
                <w:rFonts w:ascii="Times New Roman" w:hAnsi="Times New Roman"/>
                <w:bCs/>
                <w:sz w:val="24"/>
                <w:szCs w:val="24"/>
                <w:lang w:val="es-ES" w:eastAsia="ru-RU"/>
              </w:rPr>
              <w:t xml:space="preserve"> </w:t>
            </w:r>
          </w:p>
          <w:p w:rsidR="00EC4642" w:rsidRPr="00EC4642" w:rsidRDefault="00EC4642" w:rsidP="00CB2E12">
            <w:pPr>
              <w:spacing w:after="0" w:line="240" w:lineRule="auto"/>
              <w:rPr>
                <w:rFonts w:ascii="Times New Roman" w:hAnsi="Times New Roman"/>
                <w:b/>
                <w:sz w:val="24"/>
                <w:szCs w:val="24"/>
                <w:lang w:val="es-ES" w:eastAsia="ru-RU"/>
              </w:rPr>
            </w:pPr>
          </w:p>
          <w:p w:rsidR="00EC4642" w:rsidRPr="00EC4642" w:rsidRDefault="00EC4642" w:rsidP="00CB2E12">
            <w:pPr>
              <w:spacing w:after="0" w:line="240" w:lineRule="auto"/>
              <w:rPr>
                <w:rFonts w:ascii="Times New Roman" w:hAnsi="Times New Roman"/>
                <w:b/>
                <w:bCs/>
                <w:sz w:val="24"/>
                <w:szCs w:val="24"/>
                <w:lang w:val="es-ES" w:eastAsia="ru-RU"/>
              </w:rPr>
            </w:pPr>
          </w:p>
        </w:tc>
        <w:tc>
          <w:tcPr>
            <w:tcW w:w="2504"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bCs/>
                <w:sz w:val="24"/>
                <w:szCs w:val="24"/>
                <w:lang w:eastAsia="ru-RU"/>
              </w:rPr>
              <w:t xml:space="preserve">Acordul-cadru dintre Guvernul Republicii Moldova şi Comisia Comunităţii Europene privind asistenţa externă, semnat la 11 mai 2006 şi ratificat prin </w:t>
            </w:r>
            <w:hyperlink r:id="rId4" w:history="1">
              <w:r w:rsidRPr="00EC4642">
                <w:rPr>
                  <w:rFonts w:ascii="Times New Roman" w:hAnsi="Times New Roman"/>
                  <w:bCs/>
                  <w:sz w:val="24"/>
                  <w:szCs w:val="24"/>
                  <w:lang w:eastAsia="ru-RU"/>
                </w:rPr>
                <w:t>Legea nr.426-XVI din 27 decembrie 2006</w:t>
              </w:r>
            </w:hyperlink>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1368"/>
        </w:trPr>
        <w:tc>
          <w:tcPr>
            <w:tcW w:w="214" w:type="pct"/>
            <w:vMerge/>
            <w:tcBorders>
              <w:top w:val="single" w:sz="4" w:space="0" w:color="auto"/>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FP7-INCO-2010-6, Project 266515 “Preparation for Moldova’s integration into the European Research Area and into the Community R&amp;D Framework Programs on the basis of scientific excellence – MOLD-ERA”</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93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IncoNet EECA, nr.212226, “S&amp;T International Cooperation Network for Eastern European and Central Asian Countries”</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93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EXTEND, nr.231137, “Extending ICT research cooperation between the European Union, Eastern Europe and the Southern Caucasus”</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93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autoSpaceDE w:val="0"/>
              <w:autoSpaceDN w:val="0"/>
              <w:adjustRightInd w:val="0"/>
              <w:spacing w:after="0" w:line="240" w:lineRule="auto"/>
              <w:rPr>
                <w:rFonts w:ascii="Times New Roman" w:eastAsia="Calibri" w:hAnsi="Times New Roman"/>
                <w:sz w:val="24"/>
                <w:szCs w:val="24"/>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autoSpaceDE w:val="0"/>
              <w:autoSpaceDN w:val="0"/>
              <w:adjustRightInd w:val="0"/>
              <w:spacing w:after="0" w:line="240" w:lineRule="auto"/>
              <w:rPr>
                <w:rFonts w:ascii="Times New Roman" w:eastAsia="Calibri" w:hAnsi="Times New Roman"/>
                <w:sz w:val="24"/>
                <w:szCs w:val="24"/>
              </w:rPr>
            </w:pPr>
            <w:r w:rsidRPr="00EC4642">
              <w:rPr>
                <w:rFonts w:ascii="Times New Roman" w:eastAsia="Calibri" w:hAnsi="Times New Roman"/>
                <w:sz w:val="24"/>
                <w:szCs w:val="24"/>
              </w:rPr>
              <w:t>FP7 CHIRALIX nr.235018 “Heterometallic and</w:t>
            </w:r>
          </w:p>
          <w:p w:rsidR="00EC4642" w:rsidRPr="00EC4642" w:rsidRDefault="00EC4642" w:rsidP="00CB2E12">
            <w:pPr>
              <w:autoSpaceDE w:val="0"/>
              <w:autoSpaceDN w:val="0"/>
              <w:adjustRightInd w:val="0"/>
              <w:spacing w:after="0" w:line="240" w:lineRule="auto"/>
              <w:rPr>
                <w:rFonts w:ascii="Times New Roman" w:eastAsia="Calibri" w:hAnsi="Times New Roman"/>
                <w:sz w:val="24"/>
                <w:szCs w:val="24"/>
              </w:rPr>
            </w:pPr>
            <w:r w:rsidRPr="00EC4642">
              <w:rPr>
                <w:rFonts w:ascii="Times New Roman" w:eastAsia="Calibri" w:hAnsi="Times New Roman"/>
                <w:sz w:val="24"/>
                <w:szCs w:val="24"/>
              </w:rPr>
              <w:t>mixed valence “Chirale magnetic bricks” in</w:t>
            </w:r>
          </w:p>
          <w:p w:rsidR="00EC4642" w:rsidRPr="00EC4642" w:rsidRDefault="00EC4642" w:rsidP="00CB2E12">
            <w:pPr>
              <w:autoSpaceDE w:val="0"/>
              <w:autoSpaceDN w:val="0"/>
              <w:adjustRightInd w:val="0"/>
              <w:spacing w:after="0" w:line="240" w:lineRule="auto"/>
              <w:rPr>
                <w:rFonts w:ascii="Times New Roman" w:eastAsia="Calibri" w:hAnsi="Times New Roman"/>
                <w:sz w:val="24"/>
                <w:szCs w:val="24"/>
              </w:rPr>
            </w:pPr>
            <w:r w:rsidRPr="00EC4642">
              <w:rPr>
                <w:rFonts w:ascii="Times New Roman" w:eastAsia="Calibri" w:hAnsi="Times New Roman"/>
                <w:sz w:val="24"/>
                <w:szCs w:val="24"/>
              </w:rPr>
              <w:t>assembler of Single Molecule and Single Chain</w:t>
            </w:r>
          </w:p>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eastAsia="Calibri" w:hAnsi="Times New Roman"/>
                <w:sz w:val="24"/>
                <w:szCs w:val="24"/>
              </w:rPr>
              <w:t>Magnets for nano-dimension magnetic materials”</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93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IncoNet CA/SC, nr.244417, “International Cooperation Network for Central Asian and South Caucasus Countries”</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93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*Academia de Ştiinţe a Moldovei FWC Ben-LOT nr.9: Culture, Education, Employment and Social Europe Aid/127054/C/SER/multi “Support to the Academy of Sciences of Moldova in better integration into the ERA”</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62"/>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*ERA-Net Rus Plus, nr.609556, “Further linking Russia to ERA”</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943"/>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TransNEW, nr.234330, “Support for realising new Member and Associate States’ potentials in transport research”</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67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EEGS-2, nr.287179, EGNOS “Extinderea sistemului EGNOS în Europa de Est: Aplicaţii”</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809"/>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*FP7-ENERGY-2012-1-2STAG H2ESOT, nr.308768-2, “Waste Heat to Electrical Energy via Sustainable Organic Thermoelectric Devices”</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809"/>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*FP7-PEOPLE-2012-IRSES NUTRILAB, nr.318946, “Nutritional Labeling Study in Black Sea Region Countries”</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389"/>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PCAP, nr.246902, “Photocatalytic Cluster Complexes for Artificial Photosynthesis Applications”</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244"/>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*FP7-PEOPLE-2012-IRSES NanoBioMat, nr. 612484, “Nanostructured Biocompatible/Bioactive Materials”</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03"/>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jc w:val="center"/>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TEMADEP, nr.247659, “Template-Assisted Deposition of Functional Materials and Devices”</w:t>
            </w:r>
          </w:p>
        </w:tc>
        <w:tc>
          <w:tcPr>
            <w:tcW w:w="934" w:type="pct"/>
            <w:gridSpan w:val="2"/>
            <w:tcBorders>
              <w:top w:val="single" w:sz="4" w:space="0" w:color="auto"/>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191"/>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PVICOKEST, nr.269167, “International cooperative programme for photovoltaic kesterite based technologies”</w:t>
            </w:r>
          </w:p>
        </w:tc>
        <w:tc>
          <w:tcPr>
            <w:tcW w:w="934" w:type="pct"/>
            <w:gridSpan w:val="2"/>
            <w:tcBorders>
              <w:top w:val="single" w:sz="4" w:space="0" w:color="auto"/>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25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autoSpaceDE w:val="0"/>
              <w:autoSpaceDN w:val="0"/>
              <w:adjustRightInd w:val="0"/>
              <w:spacing w:after="0" w:line="240" w:lineRule="auto"/>
              <w:rPr>
                <w:rFonts w:ascii="Times New Roman" w:eastAsia="Calibri" w:hAnsi="Times New Roman"/>
                <w:sz w:val="24"/>
                <w:szCs w:val="24"/>
              </w:rPr>
            </w:pPr>
          </w:p>
        </w:tc>
        <w:tc>
          <w:tcPr>
            <w:tcW w:w="2504" w:type="pct"/>
            <w:gridSpan w:val="2"/>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autoSpaceDE w:val="0"/>
              <w:autoSpaceDN w:val="0"/>
              <w:adjustRightInd w:val="0"/>
              <w:spacing w:after="0" w:line="240" w:lineRule="auto"/>
              <w:rPr>
                <w:rFonts w:ascii="Times New Roman" w:eastAsia="Calibri" w:hAnsi="Times New Roman"/>
                <w:sz w:val="24"/>
                <w:szCs w:val="24"/>
              </w:rPr>
            </w:pPr>
            <w:r w:rsidRPr="00EC4642">
              <w:rPr>
                <w:rFonts w:ascii="Times New Roman" w:eastAsia="Calibri" w:hAnsi="Times New Roman"/>
                <w:sz w:val="24"/>
                <w:szCs w:val="24"/>
              </w:rPr>
              <w:t>FP7 NANOALLOY nr.252407 “Induced</w:t>
            </w:r>
          </w:p>
          <w:p w:rsidR="00EC4642" w:rsidRPr="00EC4642" w:rsidRDefault="00EC4642" w:rsidP="00CB2E12">
            <w:pPr>
              <w:autoSpaceDE w:val="0"/>
              <w:autoSpaceDN w:val="0"/>
              <w:adjustRightInd w:val="0"/>
              <w:spacing w:after="0" w:line="240" w:lineRule="auto"/>
              <w:rPr>
                <w:rFonts w:ascii="Times New Roman" w:hAnsi="Times New Roman"/>
                <w:sz w:val="24"/>
                <w:szCs w:val="24"/>
                <w:lang w:eastAsia="ru-RU"/>
              </w:rPr>
            </w:pPr>
            <w:r w:rsidRPr="00EC4642">
              <w:rPr>
                <w:rFonts w:ascii="Times New Roman" w:eastAsia="Calibri" w:hAnsi="Times New Roman"/>
                <w:sz w:val="24"/>
                <w:szCs w:val="24"/>
              </w:rPr>
              <w:t>electrodeposition of nanostructures as nanowires and nanotubes consisting of cobalt-based multilayers for MEMS applications”</w:t>
            </w:r>
          </w:p>
        </w:tc>
        <w:tc>
          <w:tcPr>
            <w:tcW w:w="934" w:type="pct"/>
            <w:gridSpan w:val="2"/>
            <w:tcBorders>
              <w:top w:val="single" w:sz="4" w:space="0" w:color="auto"/>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399"/>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PEOPLE-IRSES, nr.295202, “Oil&amp;Sugar, Training and Collaboration on material developments and process improvement in oil and sugar production”</w:t>
            </w:r>
          </w:p>
        </w:tc>
        <w:tc>
          <w:tcPr>
            <w:tcW w:w="934" w:type="pct"/>
            <w:gridSpan w:val="2"/>
            <w:tcBorders>
              <w:top w:val="single" w:sz="4" w:space="0" w:color="auto"/>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23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*FP7-COOPERATION-TIDE, nr.335091, “Tangential Impulse Detonation Engine”</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23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FP7-INCO-2013-9, R2I-ENP/SECURE R2I, nr.609534, “Reinforcing cooperation with Eastern Partnership countries on bridging the gap between research and innovation for inclusive and secure societies”</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23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w:t>
            </w:r>
            <w:r w:rsidRPr="00EC4642">
              <w:rPr>
                <w:rFonts w:ascii="Times New Roman" w:hAnsi="Times New Roman"/>
                <w:sz w:val="24"/>
                <w:szCs w:val="24"/>
              </w:rPr>
              <w:t xml:space="preserve"> FP7-2013-NMP-ICT-FOF, </w:t>
            </w:r>
            <w:r w:rsidRPr="00EC4642">
              <w:rPr>
                <w:rFonts w:ascii="Times New Roman" w:hAnsi="Times New Roman"/>
                <w:sz w:val="24"/>
                <w:szCs w:val="24"/>
                <w:lang w:eastAsia="ru-RU"/>
              </w:rPr>
              <w:t>Support action 14MS-Gate, nr.608899, European Innovation Ecosystem as a gate for supporting FoF Research and Experimentation”</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33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EECAlink, nr.223359, “Promotion and facilitation of international cooperation with Eastern European and Central Asian countries”</w:t>
            </w:r>
          </w:p>
        </w:tc>
        <w:tc>
          <w:tcPr>
            <w:tcW w:w="934" w:type="pct"/>
            <w:gridSpan w:val="2"/>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548"/>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HEALTH ESPOIR, nr.278453, “European clinical study for the application of regenerative heart valves”</w:t>
            </w:r>
          </w:p>
        </w:tc>
        <w:tc>
          <w:tcPr>
            <w:tcW w:w="93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944"/>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PROMIT-HEAS-4, nr.265182, “Knowledge transfer and research needs for preparing mitigation/adaptatition policy portfolios”</w:t>
            </w:r>
          </w:p>
        </w:tc>
        <w:tc>
          <w:tcPr>
            <w:tcW w:w="934" w:type="pct"/>
            <w:gridSpan w:val="2"/>
            <w:tcBorders>
              <w:top w:val="single" w:sz="4" w:space="0" w:color="auto"/>
              <w:left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530"/>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 7 EGI-InSPIRE, nr.261323, “European Grid Initiative: Integrated Sustainable Pan-European Infrastructure for Researchers in Europe”</w:t>
            </w:r>
          </w:p>
          <w:p w:rsidR="00EC4642" w:rsidRPr="00EC4642" w:rsidRDefault="00EC4642" w:rsidP="00CB2E12">
            <w:pPr>
              <w:spacing w:after="0" w:line="240" w:lineRule="auto"/>
              <w:rPr>
                <w:rFonts w:ascii="Times New Roman" w:hAnsi="Times New Roman"/>
                <w:sz w:val="24"/>
                <w:szCs w:val="24"/>
                <w:lang w:eastAsia="ru-RU"/>
              </w:rPr>
            </w:pP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240"/>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FP7-HP-SEE CSA-INFRA, nr.261499, “High-Performance Computing Infrastructure for South East Europe”</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244"/>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*FP7-INFRASTRUCTURES-2013 GN3plus, nr.605243, “Multi-Gigabit European Research and </w:t>
            </w:r>
            <w:r w:rsidRPr="00EC4642">
              <w:rPr>
                <w:rFonts w:ascii="Times New Roman" w:hAnsi="Times New Roman"/>
                <w:sz w:val="24"/>
                <w:szCs w:val="24"/>
                <w:lang w:eastAsia="ru-RU"/>
              </w:rPr>
              <w:lastRenderedPageBreak/>
              <w:t>Education Network and Associated Services”</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lastRenderedPageBreak/>
              <w:t>Parţial</w:t>
            </w:r>
          </w:p>
        </w:tc>
      </w:tr>
      <w:tr w:rsidR="00EC4642" w:rsidRPr="00EC4642" w:rsidTr="00CB2E12">
        <w:tblPrEx>
          <w:jc w:val="left"/>
          <w:tblLook w:val="0400"/>
        </w:tblPrEx>
        <w:trPr>
          <w:trHeight w:val="262"/>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PICTURE. ICT-2011-7, nr.288279, “Policy dialogue in ICT to an Upper level for Reinforced EU-EECA Cooperation”</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677"/>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*EURAXESS, nr.295345, “Enhancing The Outreach and Effectiveness of the EURAXESS Network Partners. EURAXESS T.O.P II”</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77"/>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*More4U-Moldovan Research for YOUth, Nr.609836, Researchers Night evenimentul pentru promovarea imaginei ştiinţei </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77"/>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*FP7-INCO-2013-1-IncoNet EaP, nr.609528, “STI International Cooperation Network for EAP countries for the Eastern Partnership region ”</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77"/>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*FP7-INCO-2013-1-Danube-INCO.NET, nr.609497, “International Cooperation Network for the Danube Region”</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77"/>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*FP7-PEOPLE-MoNetAccess, nr.619163, “Set-up EURAXESS Services Network in Moldova”</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77"/>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*EECA-2-HORIZON, Nr.610793, “Bringing the EU_EECA cooperation and policy dialog in ICT in the HORIZON 2020 ERA”</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77"/>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*EAST-HORIZON, nr.611063, “Fostering Dialogue and Cooperation between the EU and EECA in the HORIZON 2020 perspective”</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276"/>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ICT. Idealist 2014, nr.288598, “Trans-national cooperation among ICT NCPs”</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65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MOLD-NANONET, nr.294953, “Enhancing the capacities of the ELIRI Research Institute in applied research to enable the integration of Moldova in the European Research Area on the basis of scientific excellence”</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400"/>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*FP7-HEALTH-2012-INNIOVATION-1, nr.304810-2, “RAIDs-Ratyional molecular Assessments and Innovative Drugs Selection”</w:t>
            </w:r>
          </w:p>
        </w:tc>
        <w:tc>
          <w:tcPr>
            <w:tcW w:w="934" w:type="pct"/>
            <w:gridSpan w:val="2"/>
            <w:tcBorders>
              <w:top w:val="single" w:sz="4" w:space="0" w:color="auto"/>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855"/>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*FP7-PEOPLE-2012-IRSES DynSysAppl, nr.316338, “Valorificarea resurselor umane, naturale şi informaţionale pentru dezvoltarea durabilă a economiei ţării”</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189"/>
        </w:trPr>
        <w:tc>
          <w:tcPr>
            <w:tcW w:w="214" w:type="pct"/>
            <w:vMerge w:val="restart"/>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*FP7-PEOPLE-2012-IRSES-EUPREACC, nr.318911, “Possibilities and limits, challenges and obstacles of transferring CEE EU pre-accession best practices and experience to Moldova’s and Georgia's preaccession process”</w:t>
            </w:r>
          </w:p>
        </w:tc>
        <w:tc>
          <w:tcPr>
            <w:tcW w:w="934" w:type="pct"/>
            <w:gridSpan w:val="2"/>
            <w:tcBorders>
              <w:top w:val="single" w:sz="4" w:space="0" w:color="auto"/>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513"/>
        </w:trPr>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*FP7-PEOPLE-IRSES-FLUMEN, nr.318969, “Procesele fluviale şi dinamica sedimentelor pe sistemul versanţi: Impactul modificărilor socioeconomice şi climatice asupra caracteristicilor bazinelor hidrografice şi a zonelor conexe”</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16"/>
        </w:trPr>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*FP7-SSH-2012-2, nr.320214, ARABTRANS “Political and Social Transformations in the Arab World”</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66"/>
        </w:trPr>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*FP7-INCO-2013-9-ENER2I, nr.609532, “Energy Research to Innovation”</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66"/>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 RERAM-INCO-2013-9, nr. 609573 “Bridging gaps between R2I in Resource Efficiency and Raw Materials”</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66"/>
        </w:trPr>
        <w:tc>
          <w:tcPr>
            <w:tcW w:w="214" w:type="pct"/>
            <w:vMerge w:val="restart"/>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*FP7-INCO-2013-9-ENER2I, nr.609532, “Energy Research to Innovation”</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552"/>
        </w:trPr>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*FP7-KBBE-2013-7, AGRICISTRADE nr.612755,”Exploring the potential for agricultural and biomass trade in the Commonwealth of Independent States”</w:t>
            </w:r>
          </w:p>
        </w:tc>
        <w:tc>
          <w:tcPr>
            <w:tcW w:w="934" w:type="pct"/>
            <w:gridSpan w:val="2"/>
            <w:tcBorders>
              <w:top w:val="single" w:sz="4" w:space="0" w:color="000000"/>
              <w:left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FP7-EUinDepth – IRSES, nr.612619, “European Identity, Cultural Diversity and Political Change”</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224"/>
        </w:trPr>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b/>
                <w:bCs/>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bCs/>
                <w:sz w:val="24"/>
                <w:szCs w:val="24"/>
                <w:lang w:eastAsia="ru-RU"/>
              </w:rPr>
              <w:t xml:space="preserve">Acordul dintre Guvernul Republicii Moldova şi Guvernul Confederaţiei Elveţiene privind asistenţa umanitară şi cooperarea tehnică, semnat la Chişinău la 20 septembrie 2001 şi ratificat prin </w:t>
            </w:r>
            <w:hyperlink r:id="rId5" w:history="1">
              <w:r w:rsidRPr="00EC4642">
                <w:rPr>
                  <w:rFonts w:ascii="Times New Roman" w:hAnsi="Times New Roman"/>
                  <w:bCs/>
                  <w:sz w:val="24"/>
                  <w:szCs w:val="24"/>
                  <w:lang w:eastAsia="ru-RU"/>
                </w:rPr>
                <w:t>Legea nr.789-XV din 28 decembrie 2001</w:t>
              </w:r>
            </w:hyperlink>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EST.CLG 982852 “Mitigation of water stress in agricultural soils by bio-indicators”</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776"/>
        </w:trPr>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IZ74Z0-128381 “Violence and repression as discourse and practice in South Eastern Europe: an historical and comparative perspective”</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776"/>
        </w:trPr>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IZ76ZO_147549/1”Connecting the scientific diaspora from the Republic of Moldova to the scientific and economic development of the home country”</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512"/>
        </w:trPr>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“Modernizarea sistemului perinatologic în Republica Moldova”, faza a III-a</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538"/>
        </w:trPr>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IZ73Z0-128019 “Coupled VCSEL arrays for gassensing and environmental control”</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396"/>
        </w:trPr>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IZ73Z0-127968 “Functional Nanowires”</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IZ73Z0-128036 “Xenobiotic Input to the Prut River (XENOPRUT)”</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1066"/>
        </w:trPr>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IZ73Z0-128078 “Experimental and Theoretical Study of Magnetic Anisotropy in Linear Trimeric Single Molecule Magnets and Two-Dimensional Molecular Metamagnets: Prospects for Practical Applications”</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532"/>
        </w:trPr>
        <w:tc>
          <w:tcPr>
            <w:tcW w:w="214" w:type="pct"/>
            <w:vMerge/>
            <w:tcBorders>
              <w:left w:val="single" w:sz="4" w:space="0" w:color="000000"/>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IZ73Z0-128042 “Markets for executives and nonexecutives in Western and Eastern Europe”</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532"/>
        </w:trPr>
        <w:tc>
          <w:tcPr>
            <w:tcW w:w="214" w:type="pct"/>
            <w:vMerge/>
            <w:tcBorders>
              <w:left w:val="single" w:sz="4" w:space="0" w:color="000000"/>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IZ73Z0-128158 “Connecting the scientific diaspora of the Republic of Moldova to the scientific and economic development of the home country”.</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532"/>
        </w:trPr>
        <w:tc>
          <w:tcPr>
            <w:tcW w:w="214" w:type="pct"/>
            <w:vMerge w:val="restart"/>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IZ73Z0-128047 “Nanopatterned materials for the improvement of terahertz quantum cascade lasers andlaser-driven solid-state terahertz emitters”</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532"/>
        </w:trPr>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IZ73Z0-128037 “Fabrication and investigation of carbon nanotube based sensors and (bio)nanocomposite materials”</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532"/>
        </w:trPr>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IB7320-110720 “New priority disciplines and algorithms in queueing analysis”</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532"/>
        </w:trPr>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IZ73Z0-127925 “Magnetic coordination polymers of the nanosized clusters”</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253"/>
        </w:trPr>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Planul Individual de Acţiuni al Parteneriatului Republica Moldova – NATO, </w:t>
            </w:r>
            <w:hyperlink r:id="rId6" w:history="1">
              <w:r w:rsidRPr="00EC4642">
                <w:rPr>
                  <w:rFonts w:ascii="Times New Roman" w:hAnsi="Times New Roman"/>
                  <w:sz w:val="24"/>
                  <w:szCs w:val="24"/>
                  <w:lang w:eastAsia="ru-RU"/>
                </w:rPr>
                <w:t>Hotărîrea Guvernului nr.746 din 18 august 2010</w:t>
              </w:r>
            </w:hyperlink>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339"/>
        </w:trPr>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EAP.NIG 982517, “Silk Network Academies Alliance”</w:t>
            </w:r>
          </w:p>
        </w:tc>
        <w:tc>
          <w:tcPr>
            <w:tcW w:w="93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c>
          <w:tcPr>
            <w:tcW w:w="214" w:type="pct"/>
            <w:vMerge/>
            <w:tcBorders>
              <w:left w:val="single" w:sz="4" w:space="0" w:color="auto"/>
              <w:bottom w:val="single" w:sz="4" w:space="0" w:color="auto"/>
              <w:right w:val="single" w:sz="4" w:space="0" w:color="auto"/>
            </w:tcBorders>
          </w:tcPr>
          <w:p w:rsidR="00EC4642" w:rsidRPr="00EC4642" w:rsidRDefault="00EC4642" w:rsidP="00CB2E12">
            <w:pPr>
              <w:spacing w:after="0" w:line="240" w:lineRule="auto"/>
              <w:jc w:val="center"/>
              <w:rPr>
                <w:rFonts w:ascii="Times New Roman" w:hAnsi="Times New Roman"/>
                <w:b/>
                <w:sz w:val="24"/>
                <w:szCs w:val="24"/>
                <w:lang w:eastAsia="ru-RU"/>
              </w:rPr>
            </w:pPr>
          </w:p>
        </w:tc>
        <w:tc>
          <w:tcPr>
            <w:tcW w:w="1348" w:type="pct"/>
            <w:tcBorders>
              <w:left w:val="single" w:sz="4" w:space="0" w:color="auto"/>
              <w:right w:val="single" w:sz="4" w:space="0" w:color="auto"/>
            </w:tcBorders>
          </w:tcPr>
          <w:p w:rsidR="00EC4642" w:rsidRPr="00EC4642" w:rsidRDefault="00EC4642" w:rsidP="00CB2E12">
            <w:pPr>
              <w:spacing w:after="0" w:line="240" w:lineRule="auto"/>
              <w:rPr>
                <w:rFonts w:ascii="Times New Roman" w:hAnsi="Times New Roman"/>
                <w:b/>
                <w:bCs/>
                <w:color w:val="000000"/>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color w:val="000000"/>
                <w:sz w:val="24"/>
                <w:szCs w:val="24"/>
                <w:lang w:eastAsia="ru-RU"/>
              </w:rPr>
            </w:pPr>
            <w:hyperlink r:id="rId7" w:history="1">
              <w:r w:rsidRPr="00EC4642">
                <w:rPr>
                  <w:rFonts w:ascii="Times New Roman" w:hAnsi="Times New Roman"/>
                  <w:bCs/>
                  <w:color w:val="000000"/>
                  <w:sz w:val="24"/>
                  <w:szCs w:val="24"/>
                  <w:lang w:eastAsia="ru-RU"/>
                </w:rPr>
                <w:t>Legea nr.531-XV din 18 decembrie 2003</w:t>
              </w:r>
            </w:hyperlink>
            <w:r w:rsidRPr="00EC4642">
              <w:rPr>
                <w:rFonts w:ascii="Times New Roman" w:hAnsi="Times New Roman"/>
                <w:bCs/>
                <w:color w:val="000000"/>
                <w:sz w:val="24"/>
                <w:szCs w:val="24"/>
                <w:lang w:eastAsia="ru-RU"/>
              </w:rPr>
              <w:t xml:space="preserve"> privind aderarea Republicii Moldova la Acordul de constituire a Centrului Ştiinţifico-Tehnologic din Ucraina</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483"/>
        </w:trPr>
        <w:tc>
          <w:tcPr>
            <w:tcW w:w="214" w:type="pct"/>
            <w:vMerge/>
            <w:tcBorders>
              <w:left w:val="single" w:sz="4" w:space="0" w:color="auto"/>
              <w:bottom w:val="single" w:sz="4" w:space="0" w:color="auto"/>
              <w:right w:val="single" w:sz="4" w:space="0" w:color="auto"/>
            </w:tcBorders>
          </w:tcPr>
          <w:p w:rsidR="00EC4642" w:rsidRPr="00EC4642" w:rsidRDefault="00EC4642" w:rsidP="00CB2E12">
            <w:pPr>
              <w:spacing w:after="0" w:line="240" w:lineRule="auto"/>
              <w:jc w:val="center"/>
              <w:rPr>
                <w:rFonts w:ascii="Times New Roman" w:hAnsi="Times New Roman"/>
                <w:b/>
                <w:sz w:val="24"/>
                <w:szCs w:val="24"/>
                <w:lang w:eastAsia="ru-RU"/>
              </w:rPr>
            </w:pPr>
          </w:p>
        </w:tc>
        <w:tc>
          <w:tcPr>
            <w:tcW w:w="1348" w:type="pct"/>
            <w:vMerge w:val="restart"/>
            <w:tcBorders>
              <w:left w:val="single" w:sz="4" w:space="0" w:color="000000"/>
              <w:right w:val="single" w:sz="4" w:space="0" w:color="000000"/>
            </w:tcBorders>
          </w:tcPr>
          <w:p w:rsidR="00EC4642" w:rsidRPr="00EC4642" w:rsidRDefault="00EC4642" w:rsidP="00CB2E12">
            <w:pPr>
              <w:spacing w:after="0" w:line="240" w:lineRule="auto"/>
              <w:rPr>
                <w:rFonts w:ascii="Times New Roman" w:hAnsi="Times New Roman"/>
                <w:sz w:val="24"/>
                <w:szCs w:val="24"/>
              </w:rPr>
            </w:pPr>
          </w:p>
        </w:tc>
        <w:tc>
          <w:tcPr>
            <w:tcW w:w="250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rPr>
            </w:pPr>
            <w:r w:rsidRPr="00EC4642">
              <w:rPr>
                <w:rFonts w:ascii="Times New Roman" w:hAnsi="Times New Roman"/>
                <w:sz w:val="24"/>
                <w:szCs w:val="24"/>
              </w:rPr>
              <w:t>Nr. 5373 Transport cuantic de electroni în nanostructuri pentru aplicări practice</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rPr>
            </w:pPr>
            <w:r w:rsidRPr="00EC4642">
              <w:rPr>
                <w:rFonts w:ascii="Times New Roman" w:hAnsi="Times New Roman"/>
                <w:sz w:val="24"/>
                <w:szCs w:val="24"/>
              </w:rPr>
              <w:t>Integral</w:t>
            </w:r>
          </w:p>
        </w:tc>
      </w:tr>
      <w:tr w:rsidR="00EC4642" w:rsidRPr="00EC4642" w:rsidTr="00CB2E12">
        <w:tblPrEx>
          <w:jc w:val="left"/>
          <w:tblLook w:val="0400"/>
        </w:tblPrEx>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b/>
                <w:sz w:val="24"/>
                <w:szCs w:val="24"/>
                <w:lang w:eastAsia="ru-RU"/>
              </w:rPr>
            </w:pPr>
          </w:p>
        </w:tc>
        <w:tc>
          <w:tcPr>
            <w:tcW w:w="1348" w:type="pct"/>
            <w:vMerge/>
            <w:tcBorders>
              <w:left w:val="single" w:sz="4" w:space="0" w:color="000000"/>
              <w:right w:val="single" w:sz="4" w:space="0" w:color="000000"/>
            </w:tcBorders>
          </w:tcPr>
          <w:p w:rsidR="00EC4642" w:rsidRPr="00EC4642" w:rsidRDefault="00EC4642" w:rsidP="00CB2E12">
            <w:pPr>
              <w:spacing w:after="0" w:line="240" w:lineRule="auto"/>
              <w:rPr>
                <w:rFonts w:ascii="Times New Roman" w:hAnsi="Times New Roman"/>
                <w:sz w:val="24"/>
                <w:szCs w:val="24"/>
              </w:rPr>
            </w:pPr>
          </w:p>
        </w:tc>
        <w:tc>
          <w:tcPr>
            <w:tcW w:w="250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rPr>
            </w:pPr>
            <w:r w:rsidRPr="00EC4642">
              <w:rPr>
                <w:rFonts w:ascii="Times New Roman" w:hAnsi="Times New Roman"/>
                <w:sz w:val="24"/>
                <w:szCs w:val="24"/>
              </w:rPr>
              <w:t>Nr.5391 “Utilizarea compoziţiilor de microelemente şi microorganisme pentru ameliorarea fertilităţii solului în plantaţiile viticole”</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622"/>
        </w:trPr>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b/>
                <w:sz w:val="24"/>
                <w:szCs w:val="24"/>
                <w:lang w:eastAsia="ru-RU"/>
              </w:rPr>
            </w:pPr>
          </w:p>
        </w:tc>
        <w:tc>
          <w:tcPr>
            <w:tcW w:w="1348" w:type="pct"/>
            <w:vMerge/>
            <w:tcBorders>
              <w:left w:val="single" w:sz="4" w:space="0" w:color="000000"/>
              <w:right w:val="single" w:sz="4" w:space="0" w:color="000000"/>
            </w:tcBorders>
          </w:tcPr>
          <w:p w:rsidR="00EC4642" w:rsidRPr="00EC4642" w:rsidRDefault="00EC4642" w:rsidP="00CB2E12">
            <w:pPr>
              <w:spacing w:after="0" w:line="240" w:lineRule="auto"/>
              <w:rPr>
                <w:rFonts w:ascii="Times New Roman" w:hAnsi="Times New Roman"/>
                <w:color w:val="000000"/>
                <w:sz w:val="24"/>
                <w:szCs w:val="24"/>
              </w:rPr>
            </w:pPr>
          </w:p>
        </w:tc>
        <w:tc>
          <w:tcPr>
            <w:tcW w:w="250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color w:val="000000"/>
                <w:sz w:val="24"/>
                <w:szCs w:val="24"/>
                <w:lang w:val="it-IT"/>
              </w:rPr>
            </w:pPr>
            <w:r w:rsidRPr="00EC4642">
              <w:rPr>
                <w:rFonts w:ascii="Times New Roman" w:hAnsi="Times New Roman"/>
                <w:color w:val="000000"/>
                <w:sz w:val="24"/>
                <w:szCs w:val="24"/>
              </w:rPr>
              <w:t xml:space="preserve">Nr. </w:t>
            </w:r>
            <w:r w:rsidRPr="00EC4642">
              <w:rPr>
                <w:rFonts w:ascii="Times New Roman" w:hAnsi="Times New Roman"/>
                <w:bCs/>
                <w:color w:val="000000"/>
                <w:sz w:val="24"/>
                <w:szCs w:val="24"/>
                <w:lang w:val="it-IT"/>
              </w:rPr>
              <w:t>5845</w:t>
            </w:r>
            <w:r w:rsidRPr="00EC4642">
              <w:rPr>
                <w:rFonts w:ascii="Times New Roman" w:hAnsi="Times New Roman"/>
                <w:bCs/>
                <w:color w:val="000000"/>
                <w:sz w:val="24"/>
                <w:szCs w:val="24"/>
              </w:rPr>
              <w:t xml:space="preserve"> </w:t>
            </w:r>
            <w:r w:rsidRPr="00EC4642">
              <w:rPr>
                <w:rFonts w:ascii="Times New Roman" w:hAnsi="Times New Roman"/>
                <w:color w:val="000000"/>
                <w:sz w:val="24"/>
                <w:szCs w:val="24"/>
                <w:lang w:val="it-IT"/>
              </w:rPr>
              <w:t>Elaborarea unui sistem de combatere a bolilor şi dăunătorilor pentru producerea ecologică a viţei de vie</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b/>
                <w:sz w:val="24"/>
                <w:szCs w:val="24"/>
                <w:lang w:eastAsia="ru-RU"/>
              </w:rPr>
            </w:pPr>
          </w:p>
        </w:tc>
        <w:tc>
          <w:tcPr>
            <w:tcW w:w="1348" w:type="pct"/>
            <w:vMerge w:val="restart"/>
            <w:tcBorders>
              <w:left w:val="single" w:sz="4" w:space="0" w:color="000000"/>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rPr>
            </w:pPr>
            <w:r w:rsidRPr="00EC4642">
              <w:rPr>
                <w:rFonts w:ascii="Times New Roman" w:hAnsi="Times New Roman"/>
                <w:sz w:val="24"/>
                <w:szCs w:val="24"/>
              </w:rPr>
              <w:t>Nr.5344 “Technology improvement and synthesis of Tetrathiotetracene-iodile quasi-one-dimensional crystals with high thermoelectric performance”</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725"/>
        </w:trPr>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b/>
                <w:sz w:val="24"/>
                <w:szCs w:val="24"/>
                <w:lang w:eastAsia="ru-RU"/>
              </w:rPr>
            </w:pPr>
          </w:p>
        </w:tc>
        <w:tc>
          <w:tcPr>
            <w:tcW w:w="1348" w:type="pct"/>
            <w:vMerge/>
            <w:tcBorders>
              <w:top w:val="single" w:sz="4" w:space="0" w:color="auto"/>
              <w:left w:val="single" w:sz="4" w:space="0" w:color="000000"/>
              <w:bottom w:val="single" w:sz="4" w:space="0" w:color="auto"/>
              <w:right w:val="single" w:sz="4" w:space="0" w:color="auto"/>
            </w:tcBorders>
          </w:tcPr>
          <w:p w:rsidR="00EC4642" w:rsidRPr="00EC4642" w:rsidRDefault="00EC4642" w:rsidP="00CB2E12">
            <w:pPr>
              <w:spacing w:after="0" w:line="240" w:lineRule="auto"/>
              <w:rPr>
                <w:rFonts w:ascii="Times New Roman" w:hAnsi="Times New Roman"/>
                <w:color w:val="000000"/>
                <w:sz w:val="24"/>
                <w:szCs w:val="24"/>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color w:val="000000"/>
                <w:sz w:val="24"/>
                <w:szCs w:val="24"/>
                <w:lang w:val="it-IT"/>
              </w:rPr>
            </w:pPr>
            <w:r w:rsidRPr="00EC4642">
              <w:rPr>
                <w:rFonts w:ascii="Times New Roman" w:hAnsi="Times New Roman"/>
                <w:color w:val="000000"/>
                <w:sz w:val="24"/>
                <w:szCs w:val="24"/>
              </w:rPr>
              <w:t xml:space="preserve">Nr. 5833 </w:t>
            </w:r>
            <w:r w:rsidRPr="00EC4642">
              <w:rPr>
                <w:rFonts w:ascii="Times New Roman" w:hAnsi="Times New Roman"/>
                <w:color w:val="000000"/>
                <w:sz w:val="24"/>
                <w:szCs w:val="24"/>
                <w:lang w:val="it-IT"/>
              </w:rPr>
              <w:t>Nanostructuri în bază de oxizi metalici pentru aplicaţii în dispozitive senzorice</w:t>
            </w:r>
          </w:p>
          <w:p w:rsidR="00EC4642" w:rsidRPr="00EC4642" w:rsidRDefault="00EC4642" w:rsidP="00CB2E12">
            <w:pPr>
              <w:spacing w:after="0" w:line="240" w:lineRule="auto"/>
              <w:rPr>
                <w:rFonts w:ascii="Times New Roman" w:hAnsi="Times New Roman"/>
                <w:sz w:val="24"/>
                <w:szCs w:val="24"/>
              </w:rPr>
            </w:pPr>
            <w:r w:rsidRPr="00EC4642">
              <w:rPr>
                <w:rFonts w:ascii="Times New Roman" w:hAnsi="Times New Roman"/>
                <w:sz w:val="24"/>
                <w:szCs w:val="24"/>
              </w:rPr>
              <w:t>Universitatea Tehnică din Moldova</w:t>
            </w:r>
          </w:p>
          <w:p w:rsidR="00EC4642" w:rsidRPr="00EC4642" w:rsidRDefault="00EC4642" w:rsidP="00CB2E12">
            <w:pPr>
              <w:spacing w:after="0" w:line="240" w:lineRule="auto"/>
              <w:rPr>
                <w:rFonts w:ascii="Times New Roman" w:hAnsi="Times New Roman"/>
                <w:sz w:val="24"/>
                <w:szCs w:val="24"/>
              </w:rPr>
            </w:pP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c>
          <w:tcPr>
            <w:tcW w:w="214" w:type="pct"/>
            <w:vMerge/>
            <w:tcBorders>
              <w:left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000000"/>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shd w:val="clear" w:color="auto" w:fill="FFFFFF"/>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shd w:val="clear" w:color="auto" w:fill="FFFFFF"/>
              </w:rPr>
            </w:pPr>
            <w:r w:rsidRPr="00EC4642">
              <w:rPr>
                <w:rFonts w:ascii="Times New Roman" w:hAnsi="Times New Roman"/>
                <w:sz w:val="24"/>
                <w:szCs w:val="24"/>
                <w:shd w:val="clear" w:color="auto" w:fill="FFFFFF"/>
              </w:rPr>
              <w:t>Nr. 5384 "Modele de calcul de înaltă performanţă bazate pe abordări biologice şi cuantice" </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c>
          <w:tcPr>
            <w:tcW w:w="214" w:type="pct"/>
            <w:vMerge w:val="restart"/>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000000"/>
              <w:bottom w:val="single" w:sz="4" w:space="0" w:color="auto"/>
              <w:right w:val="single" w:sz="4" w:space="0" w:color="auto"/>
            </w:tcBorders>
          </w:tcPr>
          <w:p w:rsidR="00EC4642" w:rsidRPr="00EC4642" w:rsidRDefault="00EC4642" w:rsidP="00CB2E12">
            <w:pPr>
              <w:spacing w:after="0" w:line="240" w:lineRule="auto"/>
              <w:rPr>
                <w:rFonts w:ascii="Times New Roman" w:hAnsi="Times New Roman"/>
                <w:color w:val="000000"/>
                <w:sz w:val="24"/>
                <w:szCs w:val="24"/>
              </w:rPr>
            </w:pPr>
          </w:p>
        </w:tc>
        <w:tc>
          <w:tcPr>
            <w:tcW w:w="2504"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color w:val="000000"/>
                <w:sz w:val="24"/>
                <w:szCs w:val="24"/>
              </w:rPr>
            </w:pPr>
            <w:r w:rsidRPr="00EC4642">
              <w:rPr>
                <w:rFonts w:ascii="Times New Roman" w:hAnsi="Times New Roman"/>
                <w:color w:val="000000"/>
                <w:sz w:val="24"/>
                <w:szCs w:val="24"/>
              </w:rPr>
              <w:t>Nr. 5800 Nano-încapsularea remediilor antituberculoase pentru transport la ţintă</w:t>
            </w:r>
          </w:p>
          <w:p w:rsidR="00EC4642" w:rsidRPr="00EC4642" w:rsidRDefault="00EC4642" w:rsidP="00CB2E12">
            <w:pPr>
              <w:spacing w:after="0" w:line="240" w:lineRule="auto"/>
              <w:rPr>
                <w:rFonts w:ascii="Times New Roman" w:hAnsi="Times New Roman"/>
                <w:color w:val="000000"/>
                <w:sz w:val="24"/>
                <w:szCs w:val="24"/>
              </w:rPr>
            </w:pPr>
            <w:r w:rsidRPr="00EC4642">
              <w:rPr>
                <w:rFonts w:ascii="Times New Roman" w:hAnsi="Times New Roman"/>
                <w:color w:val="000000"/>
                <w:sz w:val="24"/>
                <w:szCs w:val="24"/>
              </w:rPr>
              <w:t>Institutul de Chimie</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555"/>
        </w:trPr>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color w:val="000000"/>
                <w:sz w:val="24"/>
                <w:szCs w:val="24"/>
              </w:rPr>
            </w:pPr>
          </w:p>
        </w:tc>
        <w:tc>
          <w:tcPr>
            <w:tcW w:w="2504" w:type="pct"/>
            <w:gridSpan w:val="2"/>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bCs/>
                <w:color w:val="000000"/>
                <w:sz w:val="24"/>
                <w:szCs w:val="24"/>
                <w:lang w:val="it-IT"/>
              </w:rPr>
            </w:pPr>
            <w:r w:rsidRPr="00EC4642">
              <w:rPr>
                <w:rFonts w:ascii="Times New Roman" w:hAnsi="Times New Roman"/>
                <w:color w:val="000000"/>
                <w:sz w:val="24"/>
                <w:szCs w:val="24"/>
              </w:rPr>
              <w:t xml:space="preserve">Nr. </w:t>
            </w:r>
            <w:r w:rsidRPr="00EC4642">
              <w:rPr>
                <w:rFonts w:ascii="Times New Roman" w:hAnsi="Times New Roman"/>
                <w:bCs/>
                <w:color w:val="000000"/>
                <w:sz w:val="24"/>
                <w:szCs w:val="24"/>
              </w:rPr>
              <w:t xml:space="preserve">5807 </w:t>
            </w:r>
            <w:r w:rsidRPr="00EC4642">
              <w:rPr>
                <w:rFonts w:ascii="Times New Roman" w:hAnsi="Times New Roman"/>
                <w:bCs/>
                <w:color w:val="000000"/>
                <w:sz w:val="24"/>
                <w:szCs w:val="24"/>
                <w:lang w:val="it-IT"/>
              </w:rPr>
              <w:t>Elaborararea suportului instrumental pentru implementarea aplicaţiilor complexe în infrastructura regională HPC</w:t>
            </w:r>
          </w:p>
        </w:tc>
        <w:tc>
          <w:tcPr>
            <w:tcW w:w="934" w:type="pct"/>
            <w:gridSpan w:val="2"/>
            <w:tcBorders>
              <w:top w:val="single" w:sz="4" w:space="0" w:color="auto"/>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392"/>
        </w:trPr>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color w:val="000000"/>
                <w:sz w:val="24"/>
                <w:szCs w:val="24"/>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color w:val="000000"/>
                <w:sz w:val="24"/>
                <w:szCs w:val="24"/>
              </w:rPr>
            </w:pPr>
            <w:r w:rsidRPr="00EC4642">
              <w:rPr>
                <w:rFonts w:ascii="Times New Roman" w:hAnsi="Times New Roman"/>
                <w:color w:val="000000"/>
                <w:sz w:val="24"/>
                <w:szCs w:val="24"/>
              </w:rPr>
              <w:t xml:space="preserve">Nr. </w:t>
            </w:r>
            <w:r w:rsidRPr="00EC4642">
              <w:rPr>
                <w:rFonts w:ascii="Times New Roman" w:hAnsi="Times New Roman"/>
                <w:color w:val="000000"/>
                <w:sz w:val="24"/>
                <w:szCs w:val="24"/>
                <w:lang w:val="it-IT"/>
              </w:rPr>
              <w:t>5832</w:t>
            </w:r>
            <w:r w:rsidRPr="00EC4642">
              <w:rPr>
                <w:rFonts w:ascii="Times New Roman" w:hAnsi="Times New Roman"/>
                <w:color w:val="000000"/>
                <w:sz w:val="24"/>
                <w:szCs w:val="24"/>
              </w:rPr>
              <w:t xml:space="preserve"> </w:t>
            </w:r>
            <w:r w:rsidRPr="00EC4642">
              <w:rPr>
                <w:rFonts w:ascii="Times New Roman" w:hAnsi="Times New Roman"/>
                <w:color w:val="000000"/>
                <w:sz w:val="24"/>
                <w:szCs w:val="24"/>
                <w:lang w:val="it-IT"/>
              </w:rPr>
              <w:t>S</w:t>
            </w:r>
            <w:r w:rsidRPr="00EC4642">
              <w:rPr>
                <w:rFonts w:ascii="Times New Roman" w:hAnsi="Times New Roman"/>
                <w:color w:val="000000"/>
                <w:sz w:val="24"/>
                <w:szCs w:val="24"/>
              </w:rPr>
              <w:t>timularea biochimică a proceselor anaerobe şi elaborarea reactorului miltifuncţional pentru obţinerea şi condiţionarea hidrogenului molecular şi a biometanului</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000000"/>
              <w:bottom w:val="single" w:sz="4" w:space="0" w:color="auto"/>
              <w:right w:val="single" w:sz="4" w:space="0" w:color="auto"/>
            </w:tcBorders>
          </w:tcPr>
          <w:p w:rsidR="00EC4642" w:rsidRPr="00EC4642" w:rsidRDefault="00EC4642" w:rsidP="00CB2E12">
            <w:pPr>
              <w:spacing w:after="0" w:line="240" w:lineRule="auto"/>
              <w:rPr>
                <w:rFonts w:ascii="Times New Roman" w:hAnsi="Times New Roman"/>
                <w:color w:val="000000"/>
                <w:sz w:val="24"/>
                <w:szCs w:val="24"/>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color w:val="000000"/>
                <w:sz w:val="24"/>
                <w:szCs w:val="24"/>
                <w:lang w:val="it-IT"/>
              </w:rPr>
            </w:pPr>
            <w:r w:rsidRPr="00EC4642">
              <w:rPr>
                <w:rFonts w:ascii="Times New Roman" w:hAnsi="Times New Roman"/>
                <w:color w:val="000000"/>
                <w:sz w:val="24"/>
                <w:szCs w:val="24"/>
              </w:rPr>
              <w:t xml:space="preserve">Nr. </w:t>
            </w:r>
            <w:r w:rsidRPr="00EC4642">
              <w:rPr>
                <w:rFonts w:ascii="Times New Roman" w:hAnsi="Times New Roman"/>
                <w:bCs/>
                <w:color w:val="000000"/>
                <w:sz w:val="24"/>
                <w:szCs w:val="24"/>
                <w:lang w:val="it-IT"/>
              </w:rPr>
              <w:t>5809</w:t>
            </w:r>
            <w:r w:rsidRPr="00EC4642">
              <w:rPr>
                <w:rFonts w:ascii="Times New Roman" w:hAnsi="Times New Roman"/>
                <w:bCs/>
                <w:color w:val="000000"/>
                <w:sz w:val="24"/>
                <w:szCs w:val="24"/>
              </w:rPr>
              <w:t xml:space="preserve"> </w:t>
            </w:r>
            <w:r w:rsidRPr="00EC4642">
              <w:rPr>
                <w:rFonts w:ascii="Times New Roman" w:hAnsi="Times New Roman"/>
                <w:color w:val="000000"/>
                <w:sz w:val="24"/>
                <w:szCs w:val="24"/>
                <w:lang w:val="it-IT"/>
              </w:rPr>
              <w:t>Prepararea şi caracterizarea cristalelor nano-stratificate bidimensionale ale dicalcogenizilor metalelor de tranziţie intercalate cu molecule de halogen</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526"/>
        </w:trPr>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000000"/>
              <w:bottom w:val="single" w:sz="4" w:space="0" w:color="auto"/>
              <w:right w:val="single" w:sz="4" w:space="0" w:color="auto"/>
            </w:tcBorders>
          </w:tcPr>
          <w:p w:rsidR="00EC4642" w:rsidRPr="00EC4642" w:rsidRDefault="00EC4642" w:rsidP="00CB2E12">
            <w:pPr>
              <w:spacing w:after="0" w:line="240" w:lineRule="auto"/>
              <w:rPr>
                <w:rFonts w:ascii="Times New Roman" w:hAnsi="Times New Roman"/>
                <w:color w:val="000000"/>
                <w:sz w:val="24"/>
                <w:szCs w:val="24"/>
              </w:rPr>
            </w:pPr>
          </w:p>
        </w:tc>
        <w:tc>
          <w:tcPr>
            <w:tcW w:w="2504"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color w:val="000000"/>
                <w:sz w:val="24"/>
                <w:szCs w:val="24"/>
              </w:rPr>
            </w:pPr>
            <w:r w:rsidRPr="00EC4642">
              <w:rPr>
                <w:rFonts w:ascii="Times New Roman" w:hAnsi="Times New Roman"/>
                <w:color w:val="000000"/>
                <w:sz w:val="24"/>
                <w:szCs w:val="24"/>
              </w:rPr>
              <w:t xml:space="preserve">Nr. </w:t>
            </w:r>
            <w:r w:rsidRPr="00EC4642">
              <w:rPr>
                <w:rFonts w:ascii="Times New Roman" w:hAnsi="Times New Roman"/>
                <w:bCs/>
                <w:color w:val="000000"/>
                <w:sz w:val="24"/>
                <w:szCs w:val="24"/>
                <w:lang w:val="it-IT"/>
              </w:rPr>
              <w:t>5854</w:t>
            </w:r>
            <w:r w:rsidRPr="00EC4642">
              <w:rPr>
                <w:rFonts w:ascii="Times New Roman" w:hAnsi="Times New Roman"/>
                <w:bCs/>
                <w:color w:val="000000"/>
                <w:sz w:val="24"/>
                <w:szCs w:val="24"/>
              </w:rPr>
              <w:t xml:space="preserve"> </w:t>
            </w:r>
            <w:r w:rsidRPr="00EC4642">
              <w:rPr>
                <w:rFonts w:ascii="Times New Roman" w:hAnsi="Times New Roman"/>
                <w:color w:val="000000"/>
                <w:sz w:val="24"/>
                <w:szCs w:val="24"/>
                <w:lang w:val="it-IT"/>
              </w:rPr>
              <w:t xml:space="preserve">Sisteme de aşteptare cu priorităţi, tranzacţii semi-Markov şi probleme de control în reţele </w:t>
            </w:r>
            <w:r w:rsidRPr="00EC4642">
              <w:rPr>
                <w:rFonts w:ascii="Times New Roman" w:hAnsi="Times New Roman"/>
                <w:color w:val="000000"/>
                <w:sz w:val="24"/>
                <w:szCs w:val="24"/>
              </w:rPr>
              <w:t>complexe</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trHeight w:val="637"/>
        </w:trPr>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b/>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pStyle w:val="HTMLPreformatted"/>
              <w:shd w:val="clear" w:color="auto" w:fill="FFFFFF"/>
              <w:rPr>
                <w:rFonts w:ascii="Times New Roman" w:hAnsi="Times New Roman"/>
                <w:sz w:val="24"/>
                <w:szCs w:val="24"/>
                <w:lang w:val="en-GB"/>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pStyle w:val="HTMLPreformatted"/>
              <w:shd w:val="clear" w:color="auto" w:fill="FFFFFF"/>
              <w:rPr>
                <w:rFonts w:ascii="Times New Roman" w:hAnsi="Times New Roman"/>
                <w:sz w:val="24"/>
                <w:szCs w:val="24"/>
                <w:lang w:val="en-GB"/>
              </w:rPr>
            </w:pPr>
            <w:r w:rsidRPr="00EC4642">
              <w:rPr>
                <w:rFonts w:ascii="Times New Roman" w:hAnsi="Times New Roman"/>
                <w:sz w:val="24"/>
                <w:szCs w:val="24"/>
                <w:lang w:val="en-GB"/>
              </w:rPr>
              <w:t>P461</w:t>
            </w:r>
            <w:r w:rsidRPr="00EC4642">
              <w:rPr>
                <w:rStyle w:val="apple-converted-space"/>
                <w:rFonts w:ascii="Times New Roman" w:hAnsi="Times New Roman"/>
                <w:sz w:val="24"/>
                <w:szCs w:val="24"/>
                <w:lang w:val="en-GB"/>
              </w:rPr>
              <w:t> </w:t>
            </w:r>
            <w:r w:rsidRPr="00EC4642">
              <w:rPr>
                <w:rFonts w:ascii="Times New Roman" w:hAnsi="Times New Roman"/>
                <w:sz w:val="24"/>
                <w:szCs w:val="24"/>
                <w:lang w:val="en-GB"/>
              </w:rPr>
              <w:t>Enhancing National Capabilities and Expertise in Nuclear Forensics</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c>
          <w:tcPr>
            <w:tcW w:w="214"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bottom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BSEC-HDF / RES 2011-02. TESUWKERC “Technological system based on the utilization of </w:t>
            </w:r>
            <w:r w:rsidRPr="00EC4642">
              <w:rPr>
                <w:rFonts w:ascii="Times New Roman" w:hAnsi="Times New Roman"/>
                <w:sz w:val="24"/>
                <w:szCs w:val="24"/>
                <w:lang w:eastAsia="ru-RU"/>
              </w:rPr>
              <w:lastRenderedPageBreak/>
              <w:t>water kinetikal energy for rural consumers”</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lastRenderedPageBreak/>
              <w:t>Integral</w:t>
            </w:r>
          </w:p>
        </w:tc>
      </w:tr>
      <w:tr w:rsidR="00EC4642" w:rsidRPr="00EC4642" w:rsidTr="00CB2E12">
        <w:tblPrEx>
          <w:jc w:val="left"/>
          <w:tblLook w:val="0400"/>
        </w:tblPrEx>
        <w:trPr>
          <w:trHeight w:val="825"/>
        </w:trPr>
        <w:tc>
          <w:tcPr>
            <w:tcW w:w="214" w:type="pct"/>
            <w:vMerge/>
            <w:tcBorders>
              <w:left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right w:val="single" w:sz="4" w:space="0" w:color="auto"/>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BSEC/PDF</w:t>
            </w:r>
            <w:r w:rsidRPr="00EC4642">
              <w:rPr>
                <w:rFonts w:ascii="Times New Roman" w:hAnsi="Times New Roman"/>
                <w:iCs/>
                <w:sz w:val="24"/>
                <w:szCs w:val="24"/>
                <w:lang w:eastAsia="ru-RU"/>
              </w:rPr>
              <w:t>/0025/08.2012</w:t>
            </w:r>
            <w:r w:rsidRPr="00EC4642">
              <w:rPr>
                <w:rFonts w:ascii="Times New Roman" w:hAnsi="Times New Roman"/>
                <w:sz w:val="24"/>
                <w:szCs w:val="24"/>
                <w:lang w:eastAsia="ru-RU"/>
              </w:rPr>
              <w:t xml:space="preserve"> “Experimental Deployment of an Integrated Grid and Cloud Enabled Environment in BSEC Countries on the Base of g-Eclipse” - BSEC gEclipseGrid</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c>
          <w:tcPr>
            <w:tcW w:w="214" w:type="pct"/>
            <w:vMerge w:val="restart"/>
            <w:tcBorders>
              <w:left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000000"/>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2.2.1.74459.339 “BSB Net-Eco” , “Research networking for the environmental monitoring and mitigation of adverse ecological effects in the Black Sea Basin”</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551"/>
        </w:trPr>
        <w:tc>
          <w:tcPr>
            <w:tcW w:w="214" w:type="pct"/>
            <w:vMerge/>
            <w:tcBorders>
              <w:left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000000"/>
            </w:tcBorders>
          </w:tcPr>
          <w:p w:rsidR="00EC4642" w:rsidRPr="00EC4642" w:rsidRDefault="00EC4642" w:rsidP="00CB2E12">
            <w:pPr>
              <w:spacing w:after="0" w:line="240" w:lineRule="auto"/>
              <w:rPr>
                <w:rFonts w:ascii="Times New Roman" w:hAnsi="Times New Roman"/>
                <w:sz w:val="24"/>
                <w:szCs w:val="24"/>
                <w:lang w:eastAsia="ru-RU"/>
              </w:rPr>
            </w:pPr>
          </w:p>
        </w:tc>
        <w:tc>
          <w:tcPr>
            <w:tcW w:w="250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2.2.1 73767.309 BSB SciNetNatHazPrev, “A Scientific network for earthquake, landslide and flood hazard prevention”</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644"/>
        </w:trPr>
        <w:tc>
          <w:tcPr>
            <w:tcW w:w="214" w:type="pct"/>
            <w:vMerge/>
            <w:tcBorders>
              <w:left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000000"/>
            </w:tcBorders>
          </w:tcPr>
          <w:p w:rsidR="00EC4642" w:rsidRPr="00EC4642" w:rsidRDefault="00EC4642" w:rsidP="00CB2E12">
            <w:pPr>
              <w:spacing w:after="0" w:line="240" w:lineRule="auto"/>
              <w:rPr>
                <w:rFonts w:ascii="Times New Roman" w:hAnsi="Times New Roman"/>
                <w:sz w:val="24"/>
                <w:szCs w:val="24"/>
              </w:rPr>
            </w:pPr>
          </w:p>
        </w:tc>
        <w:tc>
          <w:tcPr>
            <w:tcW w:w="250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rPr>
              <w:t>2.3.1. 77580.343, MIC-ETC 2632, BSB, Nr. 48956/ 18.06.2013, CULTURe EXchange Platform (CULTUR-EXP)</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Parţial</w:t>
            </w:r>
          </w:p>
        </w:tc>
      </w:tr>
      <w:tr w:rsidR="00EC4642" w:rsidRPr="00EC4642" w:rsidTr="00CB2E12">
        <w:tblPrEx>
          <w:jc w:val="left"/>
          <w:tblLook w:val="0400"/>
        </w:tblPrEx>
        <w:trPr>
          <w:trHeight w:val="551"/>
        </w:trPr>
        <w:tc>
          <w:tcPr>
            <w:tcW w:w="214" w:type="pct"/>
            <w:vMerge/>
            <w:tcBorders>
              <w:left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000000"/>
            </w:tcBorders>
          </w:tcPr>
          <w:p w:rsidR="00EC4642" w:rsidRPr="00EC4642" w:rsidRDefault="00EC4642" w:rsidP="00CB2E12">
            <w:pPr>
              <w:spacing w:after="0" w:line="240" w:lineRule="auto"/>
              <w:rPr>
                <w:rFonts w:ascii="Times New Roman" w:hAnsi="Times New Roman"/>
                <w:color w:val="000000"/>
                <w:sz w:val="24"/>
                <w:szCs w:val="24"/>
                <w:lang w:eastAsia="ru-RU"/>
              </w:rPr>
            </w:pPr>
          </w:p>
        </w:tc>
        <w:tc>
          <w:tcPr>
            <w:tcW w:w="250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color w:val="000000"/>
                <w:sz w:val="24"/>
                <w:szCs w:val="24"/>
                <w:lang w:eastAsia="ru-RU"/>
              </w:rPr>
            </w:pPr>
            <w:r w:rsidRPr="00EC4642">
              <w:rPr>
                <w:rFonts w:ascii="Times New Roman" w:hAnsi="Times New Roman"/>
                <w:color w:val="000000"/>
                <w:sz w:val="24"/>
                <w:szCs w:val="24"/>
                <w:lang w:eastAsia="ru-RU"/>
              </w:rPr>
              <w:t>MIS-ETC 937 nr.1/3/128, “Cross-border initiative for developing playful topiary art for education and leisure”</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color w:val="000000"/>
                <w:sz w:val="24"/>
                <w:szCs w:val="24"/>
                <w:lang w:eastAsia="ru-RU"/>
              </w:rPr>
            </w:pPr>
            <w:r w:rsidRPr="00EC4642">
              <w:rPr>
                <w:rFonts w:ascii="Times New Roman" w:hAnsi="Times New Roman"/>
                <w:color w:val="000000"/>
                <w:sz w:val="24"/>
                <w:szCs w:val="24"/>
                <w:lang w:eastAsia="ru-RU"/>
              </w:rPr>
              <w:t>Integral</w:t>
            </w:r>
          </w:p>
        </w:tc>
      </w:tr>
      <w:tr w:rsidR="00EC4642" w:rsidRPr="00EC4642" w:rsidTr="00CB2E12">
        <w:tblPrEx>
          <w:jc w:val="left"/>
          <w:tblLook w:val="0400"/>
        </w:tblPrEx>
        <w:trPr>
          <w:trHeight w:val="551"/>
        </w:trPr>
        <w:tc>
          <w:tcPr>
            <w:tcW w:w="214" w:type="pct"/>
            <w:vMerge/>
            <w:tcBorders>
              <w:left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tcBorders>
              <w:left w:val="single" w:sz="4" w:space="0" w:color="auto"/>
              <w:right w:val="single" w:sz="4" w:space="0" w:color="000000"/>
            </w:tcBorders>
          </w:tcPr>
          <w:p w:rsidR="00EC4642" w:rsidRPr="00EC4642" w:rsidRDefault="00EC4642" w:rsidP="00CB2E12">
            <w:pPr>
              <w:spacing w:after="0" w:line="240" w:lineRule="auto"/>
              <w:rPr>
                <w:rFonts w:ascii="Times New Roman" w:hAnsi="Times New Roman"/>
                <w:color w:val="000000"/>
                <w:sz w:val="24"/>
                <w:szCs w:val="24"/>
                <w:lang w:eastAsia="ru-RU"/>
              </w:rPr>
            </w:pPr>
          </w:p>
        </w:tc>
        <w:tc>
          <w:tcPr>
            <w:tcW w:w="250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color w:val="000000"/>
                <w:sz w:val="24"/>
                <w:szCs w:val="24"/>
                <w:lang w:eastAsia="ru-RU"/>
              </w:rPr>
            </w:pPr>
            <w:r w:rsidRPr="00EC4642">
              <w:rPr>
                <w:rFonts w:ascii="Times New Roman" w:hAnsi="Times New Roman"/>
                <w:color w:val="000000"/>
                <w:sz w:val="24"/>
                <w:szCs w:val="24"/>
                <w:lang w:eastAsia="ru-RU"/>
              </w:rPr>
              <w:t>MIS-ETC 933, “Cross-border educational exchanges in European studies-favourable framework in the diminishing of the border effects at the eastern frontier of the EU”</w:t>
            </w:r>
          </w:p>
          <w:p w:rsidR="00EC4642" w:rsidRPr="00EC4642" w:rsidRDefault="00EC4642" w:rsidP="00CB2E12">
            <w:pPr>
              <w:spacing w:after="0" w:line="240" w:lineRule="auto"/>
              <w:rPr>
                <w:rFonts w:ascii="Times New Roman" w:hAnsi="Times New Roman"/>
                <w:color w:val="000000"/>
                <w:sz w:val="24"/>
                <w:szCs w:val="24"/>
                <w:lang w:eastAsia="ru-RU"/>
              </w:rPr>
            </w:pP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color w:val="000000"/>
                <w:sz w:val="24"/>
                <w:szCs w:val="24"/>
                <w:lang w:eastAsia="ru-RU"/>
              </w:rPr>
            </w:pPr>
            <w:r w:rsidRPr="00EC4642">
              <w:rPr>
                <w:rFonts w:ascii="Times New Roman" w:hAnsi="Times New Roman"/>
                <w:color w:val="000000"/>
                <w:sz w:val="24"/>
                <w:szCs w:val="24"/>
                <w:lang w:eastAsia="ru-RU"/>
              </w:rPr>
              <w:t>Integral</w:t>
            </w:r>
          </w:p>
        </w:tc>
      </w:tr>
      <w:tr w:rsidR="00EC4642" w:rsidRPr="00EC4642" w:rsidTr="00CB2E12">
        <w:tblPrEx>
          <w:jc w:val="left"/>
          <w:tblLook w:val="0400"/>
        </w:tblPrEx>
        <w:trPr>
          <w:trHeight w:val="551"/>
        </w:trPr>
        <w:tc>
          <w:tcPr>
            <w:tcW w:w="214" w:type="pct"/>
            <w:vMerge/>
            <w:tcBorders>
              <w:left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val="restart"/>
            <w:tcBorders>
              <w:left w:val="single" w:sz="4" w:space="0" w:color="auto"/>
              <w:right w:val="single" w:sz="4" w:space="0" w:color="000000"/>
            </w:tcBorders>
          </w:tcPr>
          <w:p w:rsidR="00EC4642" w:rsidRPr="00EC4642" w:rsidRDefault="00EC4642" w:rsidP="00CB2E12">
            <w:pPr>
              <w:spacing w:after="0" w:line="240" w:lineRule="auto"/>
              <w:rPr>
                <w:rFonts w:ascii="Times New Roman" w:hAnsi="Times New Roman"/>
                <w:color w:val="000000"/>
                <w:sz w:val="24"/>
                <w:szCs w:val="24"/>
                <w:lang w:eastAsia="ru-RU"/>
              </w:rPr>
            </w:pPr>
          </w:p>
        </w:tc>
        <w:tc>
          <w:tcPr>
            <w:tcW w:w="250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color w:val="000000"/>
                <w:sz w:val="24"/>
                <w:szCs w:val="24"/>
                <w:lang w:eastAsia="ru-RU"/>
              </w:rPr>
            </w:pPr>
            <w:r w:rsidRPr="00EC4642">
              <w:rPr>
                <w:rFonts w:ascii="Times New Roman" w:hAnsi="Times New Roman"/>
                <w:color w:val="000000"/>
                <w:sz w:val="24"/>
                <w:szCs w:val="24"/>
                <w:lang w:eastAsia="ru-RU"/>
              </w:rPr>
              <w:t>MIS – ETC: 946, HES – CODE “Cross-border cooperation for common needs: Health, Environment, Sport”</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color w:val="000000"/>
                <w:sz w:val="24"/>
                <w:szCs w:val="24"/>
                <w:lang w:eastAsia="ru-RU"/>
              </w:rPr>
            </w:pPr>
            <w:r w:rsidRPr="00EC4642">
              <w:rPr>
                <w:rFonts w:ascii="Times New Roman" w:hAnsi="Times New Roman"/>
                <w:color w:val="000000"/>
                <w:sz w:val="24"/>
                <w:szCs w:val="24"/>
                <w:lang w:eastAsia="ru-RU"/>
              </w:rPr>
              <w:t>Integral</w:t>
            </w:r>
          </w:p>
        </w:tc>
      </w:tr>
      <w:tr w:rsidR="00EC4642" w:rsidRPr="00EC4642" w:rsidTr="00CB2E12">
        <w:tblPrEx>
          <w:jc w:val="left"/>
          <w:tblLook w:val="0400"/>
        </w:tblPrEx>
        <w:trPr>
          <w:trHeight w:val="551"/>
        </w:trPr>
        <w:tc>
          <w:tcPr>
            <w:tcW w:w="214" w:type="pct"/>
            <w:vMerge/>
            <w:tcBorders>
              <w:left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left w:val="single" w:sz="4" w:space="0" w:color="auto"/>
              <w:right w:val="single" w:sz="4" w:space="0" w:color="000000"/>
            </w:tcBorders>
          </w:tcPr>
          <w:p w:rsidR="00EC4642" w:rsidRPr="00EC4642" w:rsidRDefault="00EC4642" w:rsidP="00CB2E12">
            <w:pPr>
              <w:spacing w:after="0" w:line="240" w:lineRule="auto"/>
              <w:rPr>
                <w:rFonts w:ascii="Times New Roman" w:hAnsi="Times New Roman"/>
                <w:color w:val="000000"/>
                <w:sz w:val="24"/>
                <w:szCs w:val="24"/>
                <w:lang w:eastAsia="ru-RU"/>
              </w:rPr>
            </w:pPr>
          </w:p>
        </w:tc>
        <w:tc>
          <w:tcPr>
            <w:tcW w:w="250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rPr>
            </w:pPr>
            <w:r w:rsidRPr="00EC4642">
              <w:rPr>
                <w:rFonts w:ascii="Times New Roman" w:hAnsi="Times New Roman"/>
                <w:sz w:val="24"/>
                <w:szCs w:val="24"/>
              </w:rPr>
              <w:t>MIS-ETC 1676 “Cooperarea interdisciplinara transfrontaliera pentru prevenirea dezastrelor natural si reducerea poluarii mediului in Euroregiunea Dunarii de Jos”</w:t>
            </w:r>
          </w:p>
        </w:tc>
        <w:tc>
          <w:tcPr>
            <w:tcW w:w="934"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color w:val="000000"/>
                <w:sz w:val="24"/>
                <w:szCs w:val="24"/>
                <w:lang w:eastAsia="ru-RU"/>
              </w:rPr>
            </w:pPr>
            <w:r w:rsidRPr="00EC4642">
              <w:rPr>
                <w:rFonts w:ascii="Times New Roman" w:hAnsi="Times New Roman"/>
                <w:color w:val="000000"/>
                <w:sz w:val="24"/>
                <w:szCs w:val="24"/>
                <w:lang w:eastAsia="ru-RU"/>
              </w:rPr>
              <w:t>Integral</w:t>
            </w:r>
          </w:p>
        </w:tc>
      </w:tr>
      <w:tr w:rsidR="00EC4642" w:rsidRPr="00EC4642" w:rsidTr="00CB2E12">
        <w:tblPrEx>
          <w:jc w:val="left"/>
          <w:tblLook w:val="0400"/>
        </w:tblPrEx>
        <w:trPr>
          <w:trHeight w:val="551"/>
        </w:trPr>
        <w:tc>
          <w:tcPr>
            <w:tcW w:w="214" w:type="pct"/>
            <w:vMerge/>
            <w:tcBorders>
              <w:left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left w:val="single" w:sz="4" w:space="0" w:color="auto"/>
              <w:bottom w:val="single" w:sz="4" w:space="0" w:color="auto"/>
              <w:right w:val="single" w:sz="4" w:space="0" w:color="000000"/>
            </w:tcBorders>
          </w:tcPr>
          <w:p w:rsidR="00EC4642" w:rsidRPr="00EC4642" w:rsidRDefault="00EC4642" w:rsidP="00CB2E12">
            <w:pPr>
              <w:spacing w:after="0" w:line="240" w:lineRule="auto"/>
              <w:rPr>
                <w:rFonts w:ascii="Times New Roman" w:hAnsi="Times New Roman"/>
                <w:color w:val="000000"/>
                <w:sz w:val="24"/>
                <w:szCs w:val="24"/>
                <w:lang w:eastAsia="ru-RU"/>
              </w:rPr>
            </w:pPr>
          </w:p>
        </w:tc>
        <w:tc>
          <w:tcPr>
            <w:tcW w:w="250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rPr>
            </w:pPr>
            <w:r w:rsidRPr="00EC4642">
              <w:rPr>
                <w:rFonts w:ascii="Times New Roman" w:hAnsi="Times New Roman"/>
                <w:sz w:val="24"/>
                <w:szCs w:val="24"/>
              </w:rPr>
              <w:t>MIS-ETC 1549 “Promovarea productiei sustenabile si implementarea bunelor practice in fermele de bovine din regiunea transfrontaliera RO-MD-UK”</w:t>
            </w:r>
          </w:p>
        </w:tc>
        <w:tc>
          <w:tcPr>
            <w:tcW w:w="934"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color w:val="000000"/>
                <w:sz w:val="24"/>
                <w:szCs w:val="24"/>
                <w:lang w:eastAsia="ru-RU"/>
              </w:rPr>
            </w:pPr>
            <w:r w:rsidRPr="00EC4642">
              <w:rPr>
                <w:rFonts w:ascii="Times New Roman" w:hAnsi="Times New Roman"/>
                <w:color w:val="000000"/>
                <w:sz w:val="24"/>
                <w:szCs w:val="24"/>
                <w:lang w:eastAsia="ru-RU"/>
              </w:rPr>
              <w:t>Integral</w:t>
            </w:r>
          </w:p>
        </w:tc>
      </w:tr>
      <w:tr w:rsidR="00EC4642" w:rsidRPr="00EC4642" w:rsidTr="00CB2E12">
        <w:tblPrEx>
          <w:jc w:val="left"/>
          <w:tblLook w:val="0400"/>
        </w:tblPrEx>
        <w:trPr>
          <w:trHeight w:val="871"/>
        </w:trPr>
        <w:tc>
          <w:tcPr>
            <w:tcW w:w="214" w:type="pct"/>
            <w:vMerge/>
            <w:tcBorders>
              <w:left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8" w:type="pct"/>
            <w:vMerge/>
            <w:tcBorders>
              <w:top w:val="single" w:sz="4" w:space="0" w:color="auto"/>
              <w:left w:val="single" w:sz="4" w:space="0" w:color="auto"/>
              <w:right w:val="single" w:sz="4" w:space="0" w:color="000000"/>
            </w:tcBorders>
          </w:tcPr>
          <w:p w:rsidR="00EC4642" w:rsidRPr="00EC4642" w:rsidRDefault="00EC4642" w:rsidP="00CB2E12">
            <w:pPr>
              <w:spacing w:after="0" w:line="240" w:lineRule="auto"/>
              <w:rPr>
                <w:rFonts w:ascii="Times New Roman" w:hAnsi="Times New Roman"/>
                <w:color w:val="000000"/>
                <w:sz w:val="24"/>
                <w:szCs w:val="24"/>
                <w:lang w:eastAsia="ru-RU"/>
              </w:rPr>
            </w:pPr>
          </w:p>
        </w:tc>
        <w:tc>
          <w:tcPr>
            <w:tcW w:w="2504" w:type="pct"/>
            <w:gridSpan w:val="2"/>
            <w:tcBorders>
              <w:top w:val="single" w:sz="4" w:space="0" w:color="auto"/>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rPr>
            </w:pPr>
            <w:r w:rsidRPr="00EC4642">
              <w:rPr>
                <w:rFonts w:ascii="Times New Roman" w:hAnsi="Times New Roman"/>
                <w:sz w:val="24"/>
                <w:szCs w:val="24"/>
              </w:rPr>
              <w:t>MIS-ETC 2641”Partajarea colectiva a competentelor de la cercetatori la fermieri pentru exploatarea durabila si ecologica a protectiei agricole si mediului (ECO-AGRI)”</w:t>
            </w:r>
          </w:p>
        </w:tc>
        <w:tc>
          <w:tcPr>
            <w:tcW w:w="934" w:type="pct"/>
            <w:gridSpan w:val="2"/>
            <w:tcBorders>
              <w:top w:val="single" w:sz="4" w:space="0" w:color="auto"/>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color w:val="000000"/>
                <w:sz w:val="24"/>
                <w:szCs w:val="24"/>
                <w:lang w:eastAsia="ru-RU"/>
              </w:rPr>
            </w:pPr>
            <w:r w:rsidRPr="00EC4642">
              <w:rPr>
                <w:rFonts w:ascii="Times New Roman" w:hAnsi="Times New Roman"/>
                <w:color w:val="000000"/>
                <w:sz w:val="24"/>
                <w:szCs w:val="24"/>
                <w:lang w:eastAsia="ru-RU"/>
              </w:rPr>
              <w:t>Integral</w:t>
            </w:r>
          </w:p>
        </w:tc>
      </w:tr>
      <w:tr w:rsidR="00EC4642" w:rsidRPr="00EC4642" w:rsidTr="00CB2E12">
        <w:tblPrEx>
          <w:jc w:val="left"/>
          <w:tblLook w:val="0400"/>
        </w:tblPrEx>
        <w:trPr>
          <w:gridAfter w:val="1"/>
          <w:wAfter w:w="9" w:type="pct"/>
        </w:trPr>
        <w:tc>
          <w:tcPr>
            <w:tcW w:w="213" w:type="pct"/>
            <w:vMerge w:val="restart"/>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6" w:type="pct"/>
            <w:vMerge w:val="restart"/>
            <w:tcBorders>
              <w:left w:val="single" w:sz="4" w:space="0" w:color="auto"/>
              <w:right w:val="single" w:sz="4" w:space="0" w:color="000000"/>
            </w:tcBorders>
          </w:tcPr>
          <w:p w:rsidR="00EC4642" w:rsidRPr="00EC4642" w:rsidRDefault="00EC4642" w:rsidP="00CB2E12">
            <w:pPr>
              <w:spacing w:after="0" w:line="240" w:lineRule="auto"/>
              <w:rPr>
                <w:rFonts w:ascii="Times New Roman" w:hAnsi="Times New Roman"/>
                <w:color w:val="000000"/>
                <w:sz w:val="24"/>
                <w:szCs w:val="24"/>
                <w:lang w:eastAsia="ru-RU"/>
              </w:rPr>
            </w:pPr>
          </w:p>
        </w:tc>
        <w:tc>
          <w:tcPr>
            <w:tcW w:w="2500" w:type="pct"/>
            <w:tcBorders>
              <w:top w:val="single" w:sz="4" w:space="0" w:color="auto"/>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rPr>
            </w:pPr>
            <w:r w:rsidRPr="00EC4642">
              <w:rPr>
                <w:rFonts w:ascii="Times New Roman" w:hAnsi="Times New Roman"/>
                <w:sz w:val="24"/>
                <w:szCs w:val="24"/>
              </w:rPr>
              <w:t>CE / 5203/ 675 Resources pilot centre for cross border preservation of the aquatic biodiversity of Prut River</w:t>
            </w:r>
          </w:p>
        </w:tc>
        <w:tc>
          <w:tcPr>
            <w:tcW w:w="933"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color w:val="000000"/>
                <w:sz w:val="24"/>
                <w:szCs w:val="24"/>
                <w:lang w:eastAsia="ru-RU"/>
              </w:rPr>
            </w:pPr>
            <w:r w:rsidRPr="00EC4642">
              <w:rPr>
                <w:rFonts w:ascii="Times New Roman" w:hAnsi="Times New Roman"/>
                <w:color w:val="000000"/>
                <w:sz w:val="24"/>
                <w:szCs w:val="24"/>
                <w:lang w:eastAsia="ru-RU"/>
              </w:rPr>
              <w:t>Integral</w:t>
            </w:r>
          </w:p>
        </w:tc>
      </w:tr>
      <w:tr w:rsidR="00EC4642" w:rsidRPr="00EC4642" w:rsidTr="00CB2E12">
        <w:tblPrEx>
          <w:jc w:val="left"/>
          <w:tblLook w:val="0400"/>
        </w:tblPrEx>
        <w:trPr>
          <w:gridAfter w:val="1"/>
          <w:wAfter w:w="9" w:type="pct"/>
          <w:trHeight w:val="551"/>
        </w:trPr>
        <w:tc>
          <w:tcPr>
            <w:tcW w:w="213"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6" w:type="pct"/>
            <w:vMerge/>
            <w:tcBorders>
              <w:top w:val="single" w:sz="4" w:space="0" w:color="auto"/>
              <w:left w:val="single" w:sz="4" w:space="0" w:color="auto"/>
              <w:right w:val="single" w:sz="4" w:space="0" w:color="000000"/>
            </w:tcBorders>
          </w:tcPr>
          <w:p w:rsidR="00EC4642" w:rsidRPr="00EC4642" w:rsidRDefault="00EC4642" w:rsidP="00CB2E12">
            <w:pPr>
              <w:spacing w:after="0" w:line="240" w:lineRule="auto"/>
              <w:rPr>
                <w:rFonts w:ascii="Times New Roman" w:hAnsi="Times New Roman"/>
                <w:sz w:val="24"/>
                <w:szCs w:val="24"/>
                <w:lang w:eastAsia="ru-RU"/>
              </w:rPr>
            </w:pPr>
          </w:p>
        </w:tc>
        <w:tc>
          <w:tcPr>
            <w:tcW w:w="2500"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SfP EAP.SFPP-9884403 “Technical Advances to Detect and Remove Contaminants in Water for Safety and Security”</w:t>
            </w:r>
          </w:p>
        </w:tc>
        <w:tc>
          <w:tcPr>
            <w:tcW w:w="93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gridAfter w:val="1"/>
          <w:wAfter w:w="9" w:type="pct"/>
          <w:trHeight w:val="350"/>
        </w:trPr>
        <w:tc>
          <w:tcPr>
            <w:tcW w:w="213"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6" w:type="pct"/>
            <w:vMerge w:val="restart"/>
            <w:tcBorders>
              <w:left w:val="single" w:sz="4" w:space="0" w:color="000000"/>
              <w:right w:val="single" w:sz="4" w:space="0" w:color="000000"/>
            </w:tcBorders>
          </w:tcPr>
          <w:p w:rsidR="00EC4642" w:rsidRPr="00EC4642" w:rsidRDefault="00EC4642" w:rsidP="00CB2E12">
            <w:pPr>
              <w:spacing w:after="0" w:line="240" w:lineRule="auto"/>
              <w:rPr>
                <w:rFonts w:ascii="Times New Roman" w:hAnsi="Times New Roman"/>
                <w:sz w:val="24"/>
                <w:szCs w:val="24"/>
                <w:lang w:eastAsia="ru-RU"/>
              </w:rPr>
            </w:pPr>
          </w:p>
        </w:tc>
        <w:tc>
          <w:tcPr>
            <w:tcW w:w="2500"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SFP-981186, Clean-up of Chemicals in Moldova </w:t>
            </w:r>
          </w:p>
          <w:p w:rsidR="00EC4642" w:rsidRPr="00EC4642" w:rsidRDefault="00EC4642" w:rsidP="00CB2E12">
            <w:pPr>
              <w:spacing w:after="0" w:line="240" w:lineRule="auto"/>
              <w:rPr>
                <w:rFonts w:ascii="Times New Roman" w:hAnsi="Times New Roman"/>
                <w:sz w:val="24"/>
                <w:szCs w:val="24"/>
                <w:lang w:eastAsia="ru-RU"/>
              </w:rPr>
            </w:pPr>
          </w:p>
        </w:tc>
        <w:tc>
          <w:tcPr>
            <w:tcW w:w="93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gridAfter w:val="1"/>
          <w:wAfter w:w="9" w:type="pct"/>
          <w:trHeight w:val="551"/>
        </w:trPr>
        <w:tc>
          <w:tcPr>
            <w:tcW w:w="213"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6" w:type="pct"/>
            <w:vMerge/>
            <w:tcBorders>
              <w:left w:val="single" w:sz="4" w:space="0" w:color="auto"/>
              <w:right w:val="single" w:sz="4" w:space="0" w:color="000000"/>
            </w:tcBorders>
          </w:tcPr>
          <w:p w:rsidR="00EC4642" w:rsidRPr="00EC4642" w:rsidRDefault="00EC4642" w:rsidP="00CB2E12">
            <w:pPr>
              <w:spacing w:after="0" w:line="240" w:lineRule="auto"/>
              <w:rPr>
                <w:rFonts w:ascii="Times New Roman" w:hAnsi="Times New Roman"/>
                <w:sz w:val="24"/>
                <w:szCs w:val="24"/>
                <w:lang w:eastAsia="ru-RU"/>
              </w:rPr>
            </w:pPr>
          </w:p>
        </w:tc>
        <w:tc>
          <w:tcPr>
            <w:tcW w:w="2500"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SfP-983287 “Landslide Susceptibility Assessment in the Central Part of the Republic of Moldova”</w:t>
            </w:r>
          </w:p>
        </w:tc>
        <w:tc>
          <w:tcPr>
            <w:tcW w:w="93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gridAfter w:val="1"/>
          <w:wAfter w:w="9" w:type="pct"/>
          <w:trHeight w:val="551"/>
        </w:trPr>
        <w:tc>
          <w:tcPr>
            <w:tcW w:w="213"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6" w:type="pct"/>
            <w:vMerge/>
            <w:tcBorders>
              <w:left w:val="single" w:sz="4" w:space="0" w:color="auto"/>
              <w:right w:val="single" w:sz="4" w:space="0" w:color="000000"/>
            </w:tcBorders>
          </w:tcPr>
          <w:p w:rsidR="00EC4642" w:rsidRPr="00EC4642" w:rsidRDefault="00EC4642" w:rsidP="00CB2E12">
            <w:pPr>
              <w:spacing w:after="0" w:line="240" w:lineRule="auto"/>
              <w:rPr>
                <w:rFonts w:ascii="Times New Roman" w:hAnsi="Times New Roman"/>
                <w:sz w:val="24"/>
                <w:szCs w:val="24"/>
                <w:lang w:eastAsia="ru-RU"/>
              </w:rPr>
            </w:pPr>
          </w:p>
        </w:tc>
        <w:tc>
          <w:tcPr>
            <w:tcW w:w="2500"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Dezvoltarea unui Laborator lingofonic în USMF “Nicolae Testemiţeanu”, 07/11/M</w:t>
            </w:r>
          </w:p>
        </w:tc>
        <w:tc>
          <w:tcPr>
            <w:tcW w:w="93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gridAfter w:val="1"/>
          <w:wAfter w:w="9" w:type="pct"/>
          <w:trHeight w:val="551"/>
        </w:trPr>
        <w:tc>
          <w:tcPr>
            <w:tcW w:w="213"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6" w:type="pct"/>
            <w:vMerge/>
            <w:tcBorders>
              <w:left w:val="single" w:sz="4" w:space="0" w:color="auto"/>
              <w:right w:val="single" w:sz="4" w:space="0" w:color="000000"/>
            </w:tcBorders>
          </w:tcPr>
          <w:p w:rsidR="00EC4642" w:rsidRPr="00EC4642" w:rsidRDefault="00EC4642" w:rsidP="00CB2E12">
            <w:pPr>
              <w:spacing w:after="0" w:line="240" w:lineRule="auto"/>
              <w:rPr>
                <w:rFonts w:ascii="Times New Roman" w:hAnsi="Times New Roman"/>
                <w:sz w:val="24"/>
                <w:szCs w:val="24"/>
                <w:lang w:eastAsia="ru-RU"/>
              </w:rPr>
            </w:pPr>
          </w:p>
        </w:tc>
        <w:tc>
          <w:tcPr>
            <w:tcW w:w="2500"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Matra/MD/11/6 “Abordarea multidisciplinară şi atitudine adecvată către procesul de îmbătrînire în Republica Moldova”</w:t>
            </w:r>
          </w:p>
        </w:tc>
        <w:tc>
          <w:tcPr>
            <w:tcW w:w="93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gridAfter w:val="1"/>
          <w:wAfter w:w="9" w:type="pct"/>
          <w:trHeight w:val="551"/>
        </w:trPr>
        <w:tc>
          <w:tcPr>
            <w:tcW w:w="213"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6" w:type="pct"/>
            <w:vMerge/>
            <w:tcBorders>
              <w:left w:val="single" w:sz="4" w:space="0" w:color="auto"/>
              <w:right w:val="single" w:sz="4" w:space="0" w:color="000000"/>
            </w:tcBorders>
          </w:tcPr>
          <w:p w:rsidR="00EC4642" w:rsidRPr="00EC4642" w:rsidRDefault="00EC4642" w:rsidP="00CB2E12">
            <w:pPr>
              <w:spacing w:after="0" w:line="240" w:lineRule="auto"/>
              <w:rPr>
                <w:rFonts w:ascii="Times New Roman" w:hAnsi="Times New Roman"/>
                <w:sz w:val="24"/>
                <w:szCs w:val="24"/>
                <w:lang w:eastAsia="ru-RU"/>
              </w:rPr>
            </w:pPr>
          </w:p>
        </w:tc>
        <w:tc>
          <w:tcPr>
            <w:tcW w:w="2500"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rPr>
              <w:t>CISCO SYSTEMS Inc., USA; Best Practice Sharing 3023643/02/14/01, “Supporting Ministry of Education Strategy for Developing ICT Education”</w:t>
            </w:r>
          </w:p>
        </w:tc>
        <w:tc>
          <w:tcPr>
            <w:tcW w:w="93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blPrEx>
          <w:jc w:val="left"/>
          <w:tblLook w:val="0400"/>
        </w:tblPrEx>
        <w:trPr>
          <w:gridAfter w:val="1"/>
          <w:wAfter w:w="9" w:type="pct"/>
          <w:trHeight w:val="551"/>
        </w:trPr>
        <w:tc>
          <w:tcPr>
            <w:tcW w:w="213" w:type="pct"/>
            <w:vMerge/>
            <w:tcBorders>
              <w:left w:val="single" w:sz="4" w:space="0" w:color="auto"/>
              <w:bottom w:val="single" w:sz="4" w:space="0" w:color="auto"/>
              <w:right w:val="single" w:sz="4" w:space="0" w:color="auto"/>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6" w:type="pct"/>
            <w:vMerge/>
            <w:tcBorders>
              <w:left w:val="single" w:sz="4" w:space="0" w:color="auto"/>
              <w:bottom w:val="single" w:sz="4" w:space="0" w:color="auto"/>
              <w:right w:val="single" w:sz="4" w:space="0" w:color="000000"/>
            </w:tcBorders>
          </w:tcPr>
          <w:p w:rsidR="00EC4642" w:rsidRPr="00EC4642" w:rsidRDefault="00EC4642" w:rsidP="00CB2E12">
            <w:pPr>
              <w:spacing w:after="0" w:line="240" w:lineRule="auto"/>
              <w:rPr>
                <w:rFonts w:ascii="Times New Roman" w:hAnsi="Times New Roman"/>
                <w:sz w:val="24"/>
                <w:szCs w:val="24"/>
                <w:lang w:eastAsia="ru-RU"/>
              </w:rPr>
            </w:pPr>
          </w:p>
        </w:tc>
        <w:tc>
          <w:tcPr>
            <w:tcW w:w="2500"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rPr>
              <w:t>CISCO SYSTEMS Inc., USA; Best Practice Sharing 3023643/02/14/02, „CCNA D Studies for IT Teachers in Underserved Zones (North and South of Moldova)”</w:t>
            </w:r>
          </w:p>
        </w:tc>
        <w:tc>
          <w:tcPr>
            <w:tcW w:w="93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gridAfter w:val="1"/>
          <w:wAfter w:w="9" w:type="pct"/>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26.</w:t>
            </w:r>
          </w:p>
        </w:tc>
        <w:tc>
          <w:tcPr>
            <w:tcW w:w="13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Institutul de Cercetări şi Amenajări Silvice</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nr.TF093088</w:t>
            </w:r>
          </w:p>
        </w:tc>
        <w:tc>
          <w:tcPr>
            <w:tcW w:w="93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gridAfter w:val="1"/>
          <w:wAfter w:w="9" w:type="pct"/>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27.</w:t>
            </w:r>
          </w:p>
        </w:tc>
        <w:tc>
          <w:tcPr>
            <w:tcW w:w="13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Guvernul României</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93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gridAfter w:val="1"/>
          <w:wAfter w:w="9" w:type="pct"/>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28.</w:t>
            </w:r>
          </w:p>
        </w:tc>
        <w:tc>
          <w:tcPr>
            <w:tcW w:w="13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Cancelaria de Stat – Centrul de Guvernare Electronică</w:t>
            </w:r>
            <w:r w:rsidRPr="00EC4642">
              <w:rPr>
                <w:rFonts w:ascii="Times New Roman" w:hAnsi="Times New Roman"/>
                <w:sz w:val="24"/>
                <w:szCs w:val="24"/>
                <w:lang w:eastAsia="ru-RU"/>
              </w:rPr>
              <w:br/>
              <w:t>Proiectul “e-Transformare a Guvernării”</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dintre Republica Moldova şi Asociaţia Internaţională pentru Dezvoltare “Creditul nr.5000-MD, pentru realizarea Proiectului “e-Transformare a Guvernului”, Legea nr.173 din 28 iulie 2011</w:t>
            </w:r>
          </w:p>
        </w:tc>
        <w:tc>
          <w:tcPr>
            <w:tcW w:w="93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gridAfter w:val="1"/>
          <w:wAfter w:w="9" w:type="pct"/>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29.</w:t>
            </w:r>
          </w:p>
        </w:tc>
        <w:tc>
          <w:tcPr>
            <w:tcW w:w="13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Instituţia Publică “Unitatea consolidată pentru implementarea şi monitorizarea</w:t>
            </w:r>
            <w:r w:rsidRPr="00EC4642">
              <w:rPr>
                <w:rFonts w:ascii="Times New Roman" w:hAnsi="Times New Roman"/>
                <w:sz w:val="24"/>
                <w:szCs w:val="24"/>
                <w:lang w:eastAsia="ru-RU"/>
              </w:rPr>
              <w:br/>
              <w:t>Programului de restructurare a sectorului vitivinicol”</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Contractul de finanţare dintre Republica Moldova şi Banca Europeană de Investiţii (Programul de restructurare a sectorului vitivinicol), FI nr.25.853 (MD) Serapis nr.2010-0484, Legea nr.70 din 7 aprilie 2011</w:t>
            </w:r>
            <w:r w:rsidRPr="00EC4642">
              <w:rPr>
                <w:rFonts w:ascii="Times New Roman" w:hAnsi="Times New Roman"/>
                <w:sz w:val="24"/>
                <w:szCs w:val="24"/>
                <w:lang w:eastAsia="ru-RU"/>
              </w:rPr>
              <w:br/>
            </w:r>
            <w:r w:rsidRPr="00EC4642">
              <w:rPr>
                <w:rFonts w:ascii="Times New Roman" w:hAnsi="Times New Roman"/>
                <w:sz w:val="24"/>
                <w:szCs w:val="24"/>
                <w:lang w:eastAsia="ru-RU"/>
              </w:rPr>
              <w:br/>
              <w:t>Acordul-memorandum dintre Ministerul Agriculturii şi Industriei Alimentare al Republicii Moldova şi Associazione Sviluppo Culturale &amp; Promozione Italianita din Republica Italiană, semnat la 30 iunie 2011 şi Amendamentul din 1 august 2011</w:t>
            </w:r>
          </w:p>
        </w:tc>
        <w:tc>
          <w:tcPr>
            <w:tcW w:w="93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gridAfter w:val="1"/>
          <w:wAfter w:w="9" w:type="pct"/>
          <w:jc w:val="center"/>
        </w:trPr>
        <w:tc>
          <w:tcPr>
            <w:tcW w:w="21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30.</w:t>
            </w:r>
          </w:p>
        </w:tc>
        <w:tc>
          <w:tcPr>
            <w:tcW w:w="13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Ministerul Muncii, Protecţiei Sociale şi Familiei</w:t>
            </w:r>
            <w:r w:rsidRPr="00EC4642">
              <w:rPr>
                <w:rFonts w:ascii="Times New Roman" w:hAnsi="Times New Roman"/>
                <w:sz w:val="24"/>
                <w:szCs w:val="24"/>
                <w:lang w:eastAsia="ru-RU"/>
              </w:rPr>
              <w:br/>
              <w:t>Proiectul “Consolidarea eficacităţii reţelei de asistenţă socială”</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Acordul de finanţare dintre Republica Moldova şi Asociaţia Internaţională pentru Dezvoltare în vederea realizării proiectului “Consolidarea eficacităţii reţelei de asistenţă socială” (credit nr.5001-MD), ratificat prin Legea nr.174 din 28 iulie 2011 </w:t>
            </w:r>
          </w:p>
        </w:tc>
        <w:tc>
          <w:tcPr>
            <w:tcW w:w="933"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gridAfter w:val="1"/>
          <w:wAfter w:w="9" w:type="pct"/>
          <w:jc w:val="center"/>
        </w:trPr>
        <w:tc>
          <w:tcPr>
            <w:tcW w:w="213"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6"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“Îmbunătăţirea echipamentului în Casa-internat pentru copii cu deficienţe mintale din or.Orhei”</w:t>
            </w:r>
          </w:p>
          <w:p w:rsidR="00EC4642" w:rsidRPr="00EC4642" w:rsidRDefault="00EC4642" w:rsidP="00CB2E12">
            <w:pPr>
              <w:spacing w:after="0" w:line="240" w:lineRule="auto"/>
              <w:rPr>
                <w:rFonts w:ascii="Times New Roman" w:hAnsi="Times New Roman"/>
                <w:sz w:val="24"/>
                <w:szCs w:val="24"/>
                <w:lang w:eastAsia="ru-RU"/>
              </w:rPr>
            </w:pPr>
          </w:p>
          <w:p w:rsidR="00EC4642" w:rsidRPr="00EC4642" w:rsidRDefault="00EC4642" w:rsidP="00CB2E12">
            <w:pPr>
              <w:spacing w:after="0" w:line="240" w:lineRule="auto"/>
              <w:rPr>
                <w:rFonts w:ascii="Times New Roman" w:hAnsi="Times New Roman"/>
                <w:sz w:val="24"/>
                <w:szCs w:val="24"/>
                <w:lang w:eastAsia="ru-RU"/>
              </w:rPr>
            </w:pP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grant dintre Ambasada Japoniei în Republica Moldova şi Casa-internat pentru copii cu deficienţe mintale din or.Orhei din 27 ianuarie 2012</w:t>
            </w:r>
          </w:p>
        </w:tc>
        <w:tc>
          <w:tcPr>
            <w:tcW w:w="933"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gridAfter w:val="1"/>
          <w:wAfter w:w="9" w:type="pct"/>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31.</w:t>
            </w:r>
          </w:p>
        </w:tc>
        <w:tc>
          <w:tcPr>
            <w:tcW w:w="13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Ministerul Dezvoltării Regionale şi Construcţiilor</w:t>
            </w:r>
            <w:r w:rsidRPr="00EC4642">
              <w:rPr>
                <w:rFonts w:ascii="Times New Roman" w:hAnsi="Times New Roman"/>
                <w:sz w:val="24"/>
                <w:szCs w:val="24"/>
                <w:lang w:eastAsia="ru-RU"/>
              </w:rPr>
              <w:br/>
              <w:t>Proiectul de construcţie a locuinţelor pentru păturile socialmente vulnerabile II</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Acordul-cadru de împrumut dintre Republica Moldova şi Banca de Dezvoltare a Consiliului Europei întru realizarea Proiectului de construcţii a locuinţelor pentru păturile socialmente vulnerabile II (nr.F/P 1756(2011)), ratificat prin Legea nr.182 din 11 iulie 2012</w:t>
            </w:r>
          </w:p>
        </w:tc>
        <w:tc>
          <w:tcPr>
            <w:tcW w:w="93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gridAfter w:val="1"/>
          <w:wAfter w:w="9" w:type="pct"/>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32.</w:t>
            </w:r>
          </w:p>
        </w:tc>
        <w:tc>
          <w:tcPr>
            <w:tcW w:w="13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 xml:space="preserve">Întreprinderea de Stat </w:t>
            </w:r>
            <w:r w:rsidRPr="00EC4642">
              <w:rPr>
                <w:rFonts w:ascii="Times New Roman" w:hAnsi="Times New Roman"/>
                <w:sz w:val="24"/>
                <w:szCs w:val="24"/>
                <w:lang w:eastAsia="ru-RU"/>
              </w:rPr>
              <w:lastRenderedPageBreak/>
              <w:t>“Moldelectrica” – Proiectul “Transportul energiei electrice de către “Moldelectrica”</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lastRenderedPageBreak/>
              <w:t xml:space="preserve">Contractul de finanţare dintre Republica Moldova şi </w:t>
            </w:r>
            <w:r w:rsidRPr="00EC4642">
              <w:rPr>
                <w:rFonts w:ascii="Times New Roman" w:hAnsi="Times New Roman"/>
                <w:sz w:val="24"/>
                <w:szCs w:val="24"/>
                <w:lang w:eastAsia="ru-RU"/>
              </w:rPr>
              <w:lastRenderedPageBreak/>
              <w:t>Banca Europeană de Investiţii în scopul realizării Proiectului “Transportul energiei electrice de către “Moldelectrica”, nr.FIN nr.81.208 Serapis nr.2011 0140, Legea nr.179 din 11 iulie 2012</w:t>
            </w:r>
          </w:p>
        </w:tc>
        <w:tc>
          <w:tcPr>
            <w:tcW w:w="93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lastRenderedPageBreak/>
              <w:t>Integral</w:t>
            </w:r>
          </w:p>
        </w:tc>
      </w:tr>
      <w:tr w:rsidR="00EC4642" w:rsidRPr="00EC4642" w:rsidTr="00CB2E12">
        <w:trPr>
          <w:gridAfter w:val="1"/>
          <w:wAfter w:w="9" w:type="pct"/>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lastRenderedPageBreak/>
              <w:t>33.</w:t>
            </w:r>
          </w:p>
        </w:tc>
        <w:tc>
          <w:tcPr>
            <w:tcW w:w="13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“Dotarea cu calculatoare a căminelor studenţeşti”</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cooperare în domeniul economic şi tehnic dintre Guvernul Republicii Moldova şi Guvernul Republicii Populare Chineze, semnat la 14 septembrie 2010</w:t>
            </w:r>
          </w:p>
        </w:tc>
        <w:tc>
          <w:tcPr>
            <w:tcW w:w="93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gridAfter w:val="1"/>
          <w:wAfter w:w="9" w:type="pct"/>
          <w:jc w:val="center"/>
        </w:trPr>
        <w:tc>
          <w:tcPr>
            <w:tcW w:w="21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34.</w:t>
            </w:r>
          </w:p>
        </w:tc>
        <w:tc>
          <w:tcPr>
            <w:tcW w:w="134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Ministerul Afacerilor Interne, proiectul “Sistemul de monitorizare a traficului rutier în Moldova”</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cooperare în domeniul economic şi tehnic dintre Guvernul Republicii Moldova şi Guvernul Republicii Populare Chineze, semnat la 17 noiembrie 2008</w:t>
            </w:r>
          </w:p>
        </w:tc>
        <w:tc>
          <w:tcPr>
            <w:tcW w:w="93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gridAfter w:val="1"/>
          <w:wAfter w:w="9" w:type="pct"/>
          <w:trHeight w:val="1064"/>
          <w:jc w:val="center"/>
        </w:trPr>
        <w:tc>
          <w:tcPr>
            <w:tcW w:w="213"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6"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Notele de schimb dintre Guvernul Republicii Moldova şi Guvernul Republicii Populare Chineze din 14 septembrie 2012 şi 19 noiembrie 2012 cu referire la dotarea cu echipament modern a Serviciului Poliţiei Rutiere</w:t>
            </w:r>
          </w:p>
        </w:tc>
        <w:tc>
          <w:tcPr>
            <w:tcW w:w="93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gridAfter w:val="1"/>
          <w:wAfter w:w="9" w:type="pct"/>
          <w:jc w:val="center"/>
        </w:trPr>
        <w:tc>
          <w:tcPr>
            <w:tcW w:w="21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35.</w:t>
            </w:r>
          </w:p>
        </w:tc>
        <w:tc>
          <w:tcPr>
            <w:tcW w:w="134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“Proiectul “Energie şi Biomasă Moldova”, Agenţia pentru Eficienţă în Energetică”</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Acordul de finanţare dintre Guvernul Republicii Moldova şi Comisia Europeană privind proiectul “Energie şi Biomasă”, semnat la 26 noiembrie 2010</w:t>
            </w:r>
          </w:p>
        </w:tc>
        <w:tc>
          <w:tcPr>
            <w:tcW w:w="933"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r w:rsidR="00EC4642" w:rsidRPr="00EC4642" w:rsidTr="00CB2E12">
        <w:trPr>
          <w:gridAfter w:val="1"/>
          <w:wAfter w:w="9" w:type="pct"/>
          <w:jc w:val="center"/>
        </w:trPr>
        <w:tc>
          <w:tcPr>
            <w:tcW w:w="213"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1346" w:type="pct"/>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Contractele de vînzare-cumpărare în rate a utilajului de producere a bricheţilor şi peleţilor, achiziţionate din mijloacele fondului de partener, fondului circulant, încheiate cu beneficiarii Programului de susţinere şi dezvoltare a sectorului producerii combustibilului din biomasă solidă în Republica Moldova, pînă la data de 31 decembrie 2014.</w:t>
            </w:r>
          </w:p>
        </w:tc>
        <w:tc>
          <w:tcPr>
            <w:tcW w:w="933" w:type="pct"/>
            <w:gridSpan w:val="2"/>
            <w:vMerge/>
            <w:tcBorders>
              <w:top w:val="single" w:sz="6" w:space="0" w:color="000000"/>
              <w:left w:val="single" w:sz="6" w:space="0" w:color="000000"/>
              <w:bottom w:val="single" w:sz="6" w:space="0" w:color="000000"/>
              <w:right w:val="single" w:sz="6" w:space="0" w:color="000000"/>
            </w:tcBorders>
            <w:vAlign w:val="center"/>
          </w:tcPr>
          <w:p w:rsidR="00EC4642" w:rsidRPr="00EC4642" w:rsidRDefault="00EC4642" w:rsidP="00CB2E12">
            <w:pPr>
              <w:spacing w:after="0" w:line="240" w:lineRule="auto"/>
              <w:rPr>
                <w:rFonts w:ascii="Times New Roman" w:hAnsi="Times New Roman"/>
                <w:sz w:val="24"/>
                <w:szCs w:val="24"/>
                <w:lang w:eastAsia="ru-RU"/>
              </w:rPr>
            </w:pPr>
          </w:p>
        </w:tc>
      </w:tr>
      <w:tr w:rsidR="00EC4642" w:rsidRPr="00EC4642" w:rsidTr="00CB2E12">
        <w:trPr>
          <w:gridAfter w:val="1"/>
          <w:wAfter w:w="9" w:type="pct"/>
          <w:jc w:val="center"/>
        </w:trPr>
        <w:tc>
          <w:tcPr>
            <w:tcW w:w="213" w:type="pct"/>
            <w:tcBorders>
              <w:top w:val="single" w:sz="6" w:space="0" w:color="000000"/>
              <w:left w:val="single" w:sz="6" w:space="0" w:color="000000"/>
              <w:bottom w:val="single" w:sz="6" w:space="0" w:color="000000"/>
              <w:right w:val="single" w:sz="6" w:space="0" w:color="000000"/>
            </w:tcBorders>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36.</w:t>
            </w:r>
          </w:p>
        </w:tc>
        <w:tc>
          <w:tcPr>
            <w:tcW w:w="1346" w:type="pct"/>
            <w:tcBorders>
              <w:top w:val="single" w:sz="6" w:space="0" w:color="000000"/>
              <w:left w:val="single" w:sz="6" w:space="0" w:color="000000"/>
              <w:bottom w:val="single" w:sz="6" w:space="0" w:color="000000"/>
              <w:right w:val="single" w:sz="6" w:space="0" w:color="000000"/>
            </w:tcBorders>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Curtea de Conturi Proiectul „Consolidarea capacităţii Curţii de Conturi a Republicii Moldova”</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4642" w:rsidRPr="00EC4642" w:rsidRDefault="00EC4642" w:rsidP="00CB2E12">
            <w:pPr>
              <w:spacing w:after="0" w:line="240" w:lineRule="auto"/>
              <w:rPr>
                <w:rFonts w:ascii="Times New Roman" w:hAnsi="Times New Roman"/>
                <w:sz w:val="24"/>
                <w:szCs w:val="24"/>
                <w:lang w:eastAsia="ru-RU"/>
              </w:rPr>
            </w:pPr>
            <w:r w:rsidRPr="00EC4642">
              <w:rPr>
                <w:rFonts w:ascii="Times New Roman" w:hAnsi="Times New Roman"/>
                <w:sz w:val="24"/>
                <w:szCs w:val="24"/>
                <w:lang w:eastAsia="ru-RU"/>
              </w:rPr>
              <w:t>Grantul nr.TF 014332</w:t>
            </w:r>
          </w:p>
        </w:tc>
        <w:tc>
          <w:tcPr>
            <w:tcW w:w="933" w:type="pct"/>
            <w:gridSpan w:val="2"/>
            <w:tcBorders>
              <w:top w:val="single" w:sz="6" w:space="0" w:color="000000"/>
              <w:left w:val="single" w:sz="6" w:space="0" w:color="000000"/>
              <w:bottom w:val="single" w:sz="6" w:space="0" w:color="000000"/>
              <w:right w:val="single" w:sz="6" w:space="0" w:color="000000"/>
            </w:tcBorders>
          </w:tcPr>
          <w:p w:rsidR="00EC4642" w:rsidRPr="00EC4642" w:rsidRDefault="00EC4642" w:rsidP="00CB2E12">
            <w:pPr>
              <w:spacing w:after="0" w:line="240" w:lineRule="auto"/>
              <w:jc w:val="center"/>
              <w:rPr>
                <w:rFonts w:ascii="Times New Roman" w:hAnsi="Times New Roman"/>
                <w:sz w:val="24"/>
                <w:szCs w:val="24"/>
                <w:lang w:eastAsia="ru-RU"/>
              </w:rPr>
            </w:pPr>
            <w:r w:rsidRPr="00EC4642">
              <w:rPr>
                <w:rFonts w:ascii="Times New Roman" w:hAnsi="Times New Roman"/>
                <w:sz w:val="24"/>
                <w:szCs w:val="24"/>
                <w:lang w:eastAsia="ru-RU"/>
              </w:rPr>
              <w:t>Integral”</w:t>
            </w:r>
          </w:p>
        </w:tc>
      </w:tr>
    </w:tbl>
    <w:p w:rsidR="00EC4642" w:rsidRPr="00EC4642" w:rsidRDefault="00EC4642" w:rsidP="00EC4642">
      <w:pPr>
        <w:spacing w:after="0" w:line="240" w:lineRule="auto"/>
        <w:jc w:val="center"/>
        <w:rPr>
          <w:rFonts w:ascii="Times New Roman" w:hAnsi="Times New Roman"/>
          <w:b/>
          <w:bCs/>
          <w:sz w:val="24"/>
          <w:szCs w:val="24"/>
          <w:lang w:eastAsia="ru-RU"/>
        </w:rPr>
      </w:pPr>
    </w:p>
    <w:p w:rsidR="00EC4642" w:rsidRPr="00EC4642" w:rsidRDefault="00EC4642" w:rsidP="00EC4642">
      <w:pPr>
        <w:spacing w:after="0" w:line="240" w:lineRule="auto"/>
        <w:ind w:firstLine="567"/>
        <w:jc w:val="both"/>
        <w:rPr>
          <w:rFonts w:ascii="Times New Roman" w:hAnsi="Times New Roman"/>
          <w:sz w:val="24"/>
          <w:szCs w:val="24"/>
          <w:lang w:eastAsia="ru-RU"/>
        </w:rPr>
      </w:pPr>
    </w:p>
    <w:p w:rsidR="00EC4642" w:rsidRPr="00EC4642" w:rsidRDefault="00EC4642" w:rsidP="00EC4642">
      <w:pPr>
        <w:spacing w:after="0" w:line="240" w:lineRule="auto"/>
        <w:ind w:firstLine="567"/>
        <w:jc w:val="both"/>
        <w:rPr>
          <w:rFonts w:ascii="Times New Roman" w:hAnsi="Times New Roman"/>
          <w:sz w:val="24"/>
          <w:szCs w:val="24"/>
          <w:lang w:eastAsia="ru-RU"/>
        </w:rPr>
      </w:pPr>
      <w:r w:rsidRPr="00EC4642">
        <w:rPr>
          <w:rFonts w:ascii="Times New Roman" w:hAnsi="Times New Roman"/>
          <w:sz w:val="24"/>
          <w:szCs w:val="24"/>
          <w:lang w:eastAsia="ru-RU"/>
        </w:rPr>
        <w:t> </w:t>
      </w:r>
    </w:p>
    <w:p w:rsidR="00A75A90" w:rsidRDefault="00A75A90"/>
    <w:sectPr w:rsidR="00A75A90" w:rsidSect="00EC4642">
      <w:footerReference w:type="even" r:id="rId8"/>
      <w:footerReference w:type="default" r:id="rId9"/>
      <w:pgSz w:w="11906" w:h="16838"/>
      <w:pgMar w:top="567" w:right="851" w:bottom="567"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23" w:rsidRDefault="00EC4642" w:rsidP="007B3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323" w:rsidRDefault="00EC4642" w:rsidP="007C0A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23" w:rsidRDefault="00EC4642" w:rsidP="007B3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A2323" w:rsidRPr="00C60B33" w:rsidRDefault="00EC4642" w:rsidP="007C0A34">
    <w:pPr>
      <w:pStyle w:val="Footer"/>
      <w:ind w:right="360"/>
      <w:rPr>
        <w:rFonts w:ascii="Times New Roman" w:hAnsi="Times New Roman"/>
        <w:sz w:val="16"/>
        <w:szCs w:val="16"/>
      </w:rPr>
    </w:pPr>
    <w:r w:rsidRPr="00C60B33">
      <w:rPr>
        <w:rFonts w:ascii="Times New Roman" w:hAnsi="Times New Roman"/>
        <w:sz w:val="16"/>
        <w:szCs w:val="16"/>
      </w:rPr>
      <w:fldChar w:fldCharType="begin"/>
    </w:r>
    <w:r w:rsidRPr="00C60B33">
      <w:rPr>
        <w:rFonts w:ascii="Times New Roman" w:hAnsi="Times New Roman"/>
        <w:sz w:val="16"/>
        <w:szCs w:val="16"/>
      </w:rPr>
      <w:instrText xml:space="preserve"> FILENAME \p </w:instrText>
    </w:r>
    <w:r w:rsidRPr="00C60B33">
      <w:rPr>
        <w:rFonts w:ascii="Times New Roman" w:hAnsi="Times New Roman"/>
        <w:sz w:val="16"/>
        <w:szCs w:val="16"/>
      </w:rPr>
      <w:fldChar w:fldCharType="separate"/>
    </w:r>
    <w:r>
      <w:rPr>
        <w:rFonts w:ascii="Times New Roman" w:hAnsi="Times New Roman"/>
        <w:noProof/>
        <w:sz w:val="16"/>
        <w:szCs w:val="16"/>
      </w:rPr>
      <w:t>X:\Tatiana\Doc_2014\Anexe\Mod_an</w:t>
    </w:r>
    <w:r>
      <w:rPr>
        <w:rFonts w:ascii="Times New Roman" w:hAnsi="Times New Roman"/>
        <w:noProof/>
        <w:sz w:val="16"/>
        <w:szCs w:val="16"/>
      </w:rPr>
      <w:t>_1-2-246.doc</w:t>
    </w:r>
    <w:r w:rsidRPr="00C60B33">
      <w:rPr>
        <w:rFonts w:ascii="Times New Roman" w:hAnsi="Times New Roman"/>
        <w:sz w:val="16"/>
        <w:szCs w:val="16"/>
      </w:rPr>
      <w:fldChar w:fldCharType="end"/>
    </w:r>
    <w:r w:rsidRPr="00C60B33">
      <w:rPr>
        <w:rFonts w:ascii="Times New Roman" w:hAnsi="Times New Roman"/>
        <w:sz w:val="16"/>
        <w:szCs w:val="16"/>
      </w:rPr>
      <w:fldChar w:fldCharType="begin"/>
    </w:r>
    <w:r w:rsidRPr="00C60B33">
      <w:rPr>
        <w:rFonts w:ascii="Times New Roman" w:hAnsi="Times New Roman"/>
        <w:sz w:val="16"/>
        <w:szCs w:val="16"/>
      </w:rPr>
      <w:instrText xml:space="preserve"> DATE \@ "dd.MM.yyyy" </w:instrText>
    </w:r>
    <w:r w:rsidRPr="00C60B33">
      <w:rPr>
        <w:rFonts w:ascii="Times New Roman" w:hAnsi="Times New Roman"/>
        <w:sz w:val="16"/>
        <w:szCs w:val="16"/>
      </w:rPr>
      <w:fldChar w:fldCharType="separate"/>
    </w:r>
    <w:r>
      <w:rPr>
        <w:rFonts w:ascii="Times New Roman" w:hAnsi="Times New Roman"/>
        <w:noProof/>
        <w:sz w:val="16"/>
        <w:szCs w:val="16"/>
      </w:rPr>
      <w:t>25.02.2014</w:t>
    </w:r>
    <w:r w:rsidRPr="00C60B33">
      <w:rPr>
        <w:rFonts w:ascii="Times New Roman" w:hAnsi="Times New Roman"/>
        <w:sz w:val="16"/>
        <w:szCs w:val="16"/>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642"/>
    <w:rsid w:val="00A75A90"/>
    <w:rsid w:val="00EC4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42"/>
    <w:rPr>
      <w:rFonts w:ascii="Calibri" w:eastAsia="SimSun" w:hAnsi="Calibri" w:cs="Times New Roman"/>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4642"/>
    <w:pPr>
      <w:tabs>
        <w:tab w:val="center" w:pos="4320"/>
        <w:tab w:val="right" w:pos="8640"/>
      </w:tabs>
    </w:pPr>
  </w:style>
  <w:style w:type="character" w:customStyle="1" w:styleId="FooterChar">
    <w:name w:val="Footer Char"/>
    <w:basedOn w:val="DefaultParagraphFont"/>
    <w:link w:val="Footer"/>
    <w:rsid w:val="00EC4642"/>
    <w:rPr>
      <w:rFonts w:ascii="Calibri" w:eastAsia="SimSun" w:hAnsi="Calibri" w:cs="Times New Roman"/>
      <w:lang w:val="ro-RO" w:eastAsia="zh-CN"/>
    </w:rPr>
  </w:style>
  <w:style w:type="character" w:styleId="PageNumber">
    <w:name w:val="page number"/>
    <w:basedOn w:val="DefaultParagraphFont"/>
    <w:rsid w:val="00EC4642"/>
  </w:style>
  <w:style w:type="paragraph" w:styleId="HTMLPreformatted">
    <w:name w:val="HTML Preformatted"/>
    <w:basedOn w:val="Normal"/>
    <w:link w:val="HTMLPreformattedChar"/>
    <w:unhideWhenUsed/>
    <w:rsid w:val="00EC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basedOn w:val="DefaultParagraphFont"/>
    <w:link w:val="HTMLPreformatted"/>
    <w:rsid w:val="00EC4642"/>
    <w:rPr>
      <w:rFonts w:ascii="Courier New" w:eastAsia="Times New Roman" w:hAnsi="Courier New" w:cs="Times New Roman"/>
      <w:sz w:val="20"/>
      <w:szCs w:val="20"/>
      <w:lang/>
    </w:rPr>
  </w:style>
  <w:style w:type="character" w:customStyle="1" w:styleId="apple-converted-space">
    <w:name w:val="apple-converted-space"/>
    <w:basedOn w:val="DefaultParagraphFont"/>
    <w:rsid w:val="00EC4642"/>
  </w:style>
  <w:style w:type="paragraph" w:styleId="BalloonText">
    <w:name w:val="Balloon Text"/>
    <w:basedOn w:val="Normal"/>
    <w:link w:val="BalloonTextChar"/>
    <w:uiPriority w:val="99"/>
    <w:semiHidden/>
    <w:unhideWhenUsed/>
    <w:rsid w:val="00EC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42"/>
    <w:rPr>
      <w:rFonts w:ascii="Tahoma" w:eastAsia="SimSun" w:hAnsi="Tahoma" w:cs="Tahoma"/>
      <w:sz w:val="16"/>
      <w:szCs w:val="16"/>
      <w:lang w:val="ro-RO"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1052;&#1086;&#1080;%20&#1076;&#1086;&#1082;&#1091;&#1084;&#1077;&#1085;&#1090;&#1099;/&#1052;&#1086;&#1080;%20&#1076;&#1086;&#1082;&#1091;&#1084;&#1077;&#1085;&#1090;&#1099;/Downloads/TEXT=LPLP200312185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052;&#1086;&#1080;%20&#1076;&#1086;&#1082;&#1091;&#1084;&#1077;&#1085;&#1090;&#1099;/&#1052;&#1086;&#1080;%20&#1076;&#1086;&#1082;&#1091;&#1084;&#1077;&#1085;&#1090;&#1099;/Downloads/TEXT=HGHG20100818746" TargetMode="External"/><Relationship Id="rId11" Type="http://schemas.openxmlformats.org/officeDocument/2006/relationships/theme" Target="theme/theme1.xml"/><Relationship Id="rId5" Type="http://schemas.openxmlformats.org/officeDocument/2006/relationships/hyperlink" Target="../&#1052;&#1086;&#1080;%20&#1076;&#1086;&#1082;&#1091;&#1084;&#1077;&#1085;&#1090;&#1099;/&#1052;&#1086;&#1080;%20&#1076;&#1086;&#1082;&#1091;&#1084;&#1077;&#1085;&#1090;&#1099;/Downloads/TEXT=LPLP20011228789" TargetMode="External"/><Relationship Id="rId10" Type="http://schemas.openxmlformats.org/officeDocument/2006/relationships/fontTable" Target="fontTable.xml"/><Relationship Id="rId4" Type="http://schemas.openxmlformats.org/officeDocument/2006/relationships/hyperlink" Target="../&#1052;&#1086;&#1080;%20&#1076;&#1086;&#1082;&#1091;&#1084;&#1077;&#1085;&#1090;&#1099;/&#1052;&#1086;&#1080;%20&#1076;&#1086;&#1082;&#1091;&#1084;&#1077;&#1085;&#1090;&#1099;/Downloads/TEXT=LPLP20061227426"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5440</Words>
  <Characters>31010</Characters>
  <Application>Microsoft Office Word</Application>
  <DocSecurity>0</DocSecurity>
  <Lines>258</Lines>
  <Paragraphs>72</Paragraphs>
  <ScaleCrop>false</ScaleCrop>
  <Company>Home</Company>
  <LinksUpToDate>false</LinksUpToDate>
  <CharactersWithSpaces>36378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2014-02-25T06:47:00Z</dcterms:created>
  <dcterms:modified xsi:type="dcterms:W3CDTF">2014-02-25T06:48:00Z</dcterms:modified>
</cp:coreProperties>
</file>