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D" w:rsidRPr="005B3242" w:rsidRDefault="000129FD" w:rsidP="009301B7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B3242">
        <w:rPr>
          <w:rFonts w:ascii="Times New Roman" w:hAnsi="Times New Roman"/>
          <w:bCs/>
          <w:color w:val="000000"/>
          <w:sz w:val="24"/>
          <w:szCs w:val="24"/>
          <w:lang w:val="ru-RU"/>
        </w:rPr>
        <w:t>Приложение № 7</w:t>
      </w:r>
    </w:p>
    <w:p w:rsidR="000129FD" w:rsidRPr="005B3242" w:rsidRDefault="000129FD" w:rsidP="009301B7">
      <w:pPr>
        <w:ind w:left="4248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к Регламенту о деятельности эмитентов электронных  денег и небанковских  </w:t>
      </w:r>
    </w:p>
    <w:p w:rsidR="000129FD" w:rsidRPr="005B3242" w:rsidRDefault="000129FD" w:rsidP="009301B7">
      <w:pPr>
        <w:ind w:left="4248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поставщиков платежных услуг</w:t>
      </w:r>
    </w:p>
    <w:p w:rsidR="000129FD" w:rsidRPr="005B3242" w:rsidRDefault="000129FD" w:rsidP="009301B7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29FD" w:rsidRDefault="000129FD" w:rsidP="009301B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32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Расчет регламентированного капитала общества, эмитирующего </w:t>
      </w:r>
    </w:p>
    <w:p w:rsidR="000129FD" w:rsidRPr="005B3242" w:rsidRDefault="000129FD" w:rsidP="009301B7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деньги</w:t>
      </w:r>
    </w:p>
    <w:p w:rsidR="000129FD" w:rsidRPr="005B3242" w:rsidRDefault="000129FD" w:rsidP="009301B7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3107"/>
        <w:gridCol w:w="3705"/>
        <w:gridCol w:w="1900"/>
      </w:tblGrid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№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Показатель 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Ссылки 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Значение, леев</w:t>
            </w: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A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B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C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D</w:t>
            </w:r>
          </w:p>
        </w:tc>
      </w:tr>
      <w:tr w:rsidR="000129FD" w:rsidRPr="005770DF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8971" w:type="dxa"/>
            <w:gridSpan w:val="3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Значение регламентированного капитала (РК) для деятельности по выпуску электронных денег</w:t>
            </w: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1.1.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Среднее значение электронных денег в обращении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cогласно части (3) ст. 83 Закона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1.2.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РК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с. 1.1 x 2%  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770DF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</w:t>
            </w:r>
          </w:p>
        </w:tc>
        <w:tc>
          <w:tcPr>
            <w:tcW w:w="8971" w:type="dxa"/>
            <w:gridSpan w:val="3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Значение РК для деятельности, не связанной с электронными деньгами</w:t>
            </w:r>
          </w:p>
        </w:tc>
      </w:tr>
      <w:tr w:rsidR="000129FD" w:rsidRPr="005770DF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2.1.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Общий </w:t>
            </w:r>
            <w:r w:rsidRPr="005770DF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платежей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Общий </w:t>
            </w:r>
            <w:r w:rsidRPr="005770DF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платежных операций, исполненных в предыдущем году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0129FD" w:rsidRPr="005770DF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2.2.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платежей („ОП”)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1/12 от общего </w:t>
            </w:r>
            <w:r w:rsidRPr="005770DF">
              <w:rPr>
                <w:rFonts w:ascii="Times New Roman" w:hAnsi="Times New Roman"/>
                <w:sz w:val="20"/>
                <w:lang w:val="ru-RU"/>
              </w:rPr>
              <w:t xml:space="preserve">объема 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платежных операций, исполненных в предыдущем году (согласно ст. 13 Закона)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2.3.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4% от транша ОП до  87,5 млн. леев  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„a”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2.4.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2,5% от транша ОП более  87,5 млн. леев  и до  175 млн. леев  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„b”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2.5.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1% от транша ОП более 175 млн. леев  и до  1750 млн. леев  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„c”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2.6.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0,5% от транша ОП более  1750 млн. леев  и до  4375 млн. леев  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„d”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2.7.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0,25% от транша ОП более 4375 млн. леев  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„e”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2.8.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„k”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согласно ст. 13 Закона:</w:t>
            </w:r>
          </w:p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0,5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– в случае, когда платежное общество поставляет только платежную услугу, указанную в п. 6) части (1) ст. 4 Закона </w:t>
            </w:r>
          </w:p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0,8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– в случае, когда платежное общество поставляет только платежную услугу, указанную в п. 7) части (1) ст. 4 Закона</w:t>
            </w:r>
          </w:p>
          <w:p w:rsidR="000129FD" w:rsidRPr="005770DF" w:rsidRDefault="000129FD" w:rsidP="00F544AE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1 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– в случае, когда платежное общество поставляет любую платежную услугу, указанную в п. 1)-3), 5) части (1) ст. 4 или все услуги, разрешенные платежному обществу в соответствии с частью (4) ст. 7 Закона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2.9.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РК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(с. 2.3 + с. 2.4 + с. 2.5 + с. 2.6 + с.2.7) x с. 2.8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0129FD" w:rsidRPr="005B3242" w:rsidTr="00F544AE">
        <w:tc>
          <w:tcPr>
            <w:tcW w:w="876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3.</w:t>
            </w:r>
          </w:p>
        </w:tc>
        <w:tc>
          <w:tcPr>
            <w:tcW w:w="3201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Общее значение РК</w:t>
            </w:r>
          </w:p>
        </w:tc>
        <w:tc>
          <w:tcPr>
            <w:tcW w:w="3828" w:type="dxa"/>
          </w:tcPr>
          <w:p w:rsidR="000129FD" w:rsidRPr="005770DF" w:rsidRDefault="000129FD" w:rsidP="00F544AE">
            <w:pPr>
              <w:tabs>
                <w:tab w:val="left" w:pos="1307"/>
                <w:tab w:val="center" w:pos="1806"/>
              </w:tabs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770DF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770DF">
              <w:rPr>
                <w:rFonts w:ascii="Times New Roman" w:hAnsi="Times New Roman"/>
                <w:color w:val="000000"/>
                <w:sz w:val="20"/>
                <w:lang w:val="ru-RU"/>
              </w:rPr>
              <w:t>с. 1.2 + с. 2.9</w:t>
            </w:r>
          </w:p>
        </w:tc>
        <w:tc>
          <w:tcPr>
            <w:tcW w:w="1942" w:type="dxa"/>
          </w:tcPr>
          <w:p w:rsidR="000129FD" w:rsidRPr="005770DF" w:rsidRDefault="000129FD" w:rsidP="00F544A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</w:tbl>
    <w:p w:rsidR="000129FD" w:rsidRPr="005B3242" w:rsidRDefault="000129FD" w:rsidP="009301B7">
      <w:pPr>
        <w:tabs>
          <w:tab w:val="left" w:pos="8295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129FD" w:rsidRPr="005B3242" w:rsidRDefault="000129FD" w:rsidP="009301B7">
      <w:pPr>
        <w:tabs>
          <w:tab w:val="left" w:pos="8295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b/>
          <w:color w:val="000000"/>
          <w:sz w:val="24"/>
          <w:szCs w:val="24"/>
          <w:lang w:val="ru-RU"/>
        </w:rPr>
        <w:t>Порядок составления Отчет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32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регламентированном капитале обществом, выпускающим электронные деньги</w:t>
      </w:r>
    </w:p>
    <w:p w:rsidR="000129FD" w:rsidRPr="005B3242" w:rsidRDefault="000129FD" w:rsidP="009301B7">
      <w:pPr>
        <w:tabs>
          <w:tab w:val="left" w:pos="6450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0129FD" w:rsidRPr="005B3242" w:rsidRDefault="000129FD" w:rsidP="00982994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Отчет предназначен для указания информации о необходимом значении регламентированного капитала общества, выпускающего электронные деньги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129FD" w:rsidRPr="005B3242" w:rsidRDefault="000129FD" w:rsidP="00982994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графе 1 указывается значение для каждого показателя. </w:t>
      </w:r>
      <w:r w:rsidRPr="005B3242">
        <w:rPr>
          <w:rFonts w:ascii="Times New Roman" w:hAnsi="Times New Roman"/>
          <w:sz w:val="24"/>
          <w:szCs w:val="24"/>
          <w:lang w:val="ru-RU"/>
        </w:rPr>
        <w:t>В случае, когда общество, выпускающее электронные деньги не имеет отчетности для определенного показателя, указывается значение 0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(ноль). 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1.1 указывается среднее значение электронных денег в обращении;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1.2 указывается значение регламентированного капитала для деятельности по выпуску электронных денег;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2.1 указывается общий объем платежных операций, выполненных в предыдущем году;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2.2 указывается объем платежей;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2.3 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указывается значение, для которого в качестве ссылки был взят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„a”;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2.4 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указывается значение, для которого в качестве ссылки был взят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„b”;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2.5 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указывается значение, для которого в качестве ссылки был взят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„c”;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2.6 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указывается значение, для которого в качестве ссылки был взят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„d”;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2.7 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указывается значение, для которого в качестве ссылки был взят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„e”;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2.8 </w:t>
      </w:r>
      <w:r w:rsidRPr="005B3242">
        <w:rPr>
          <w:rFonts w:ascii="Times New Roman" w:hAnsi="Times New Roman"/>
          <w:sz w:val="24"/>
          <w:szCs w:val="24"/>
          <w:lang w:val="ru-RU"/>
        </w:rPr>
        <w:t>указывается значение коэффициента „k”, отобранного при определении регламентируемого капитала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2.9 указывается результат расчета регламентированного капитала для деятельности, не связанной с электронными деньгами;</w:t>
      </w:r>
    </w:p>
    <w:p w:rsidR="000129FD" w:rsidRPr="005B3242" w:rsidRDefault="000129FD" w:rsidP="00982994">
      <w:pPr>
        <w:numPr>
          <w:ilvl w:val="0"/>
          <w:numId w:val="2"/>
        </w:numPr>
        <w:tabs>
          <w:tab w:val="clear" w:pos="720"/>
          <w:tab w:val="left" w:pos="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3 указывается общее значение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регламентированного капитала.</w:t>
      </w:r>
    </w:p>
    <w:sectPr w:rsidR="000129FD" w:rsidRPr="005B3242" w:rsidSect="005770D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A28"/>
    <w:multiLevelType w:val="hybridMultilevel"/>
    <w:tmpl w:val="EA0094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41CD2B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30B65E">
      <w:start w:val="1"/>
      <w:numFmt w:val="decimal"/>
      <w:lvlText w:val="%4)"/>
      <w:lvlJc w:val="left"/>
      <w:pPr>
        <w:tabs>
          <w:tab w:val="num" w:pos="3570"/>
        </w:tabs>
        <w:ind w:left="3570" w:hanging="1050"/>
      </w:pPr>
      <w:rPr>
        <w:rFonts w:cs="Times New Roman" w:hint="default"/>
        <w:b w:val="0"/>
        <w:vertAlign w:val="baseline"/>
      </w:r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275EB"/>
    <w:multiLevelType w:val="hybridMultilevel"/>
    <w:tmpl w:val="486A8C9A"/>
    <w:lvl w:ilvl="0" w:tplc="744E4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1B7"/>
    <w:rsid w:val="000129FD"/>
    <w:rsid w:val="003E7AE9"/>
    <w:rsid w:val="005770DF"/>
    <w:rsid w:val="005B3242"/>
    <w:rsid w:val="009301B7"/>
    <w:rsid w:val="00982994"/>
    <w:rsid w:val="00AD53B7"/>
    <w:rsid w:val="00D80BF6"/>
    <w:rsid w:val="00EB1361"/>
    <w:rsid w:val="00F5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B7"/>
    <w:rPr>
      <w:rFonts w:ascii="$Baltica" w:eastAsia="Times New Roman" w:hAnsi="$Baltica"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460</Words>
  <Characters>2626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4</cp:revision>
  <dcterms:created xsi:type="dcterms:W3CDTF">2015-06-15T09:04:00Z</dcterms:created>
  <dcterms:modified xsi:type="dcterms:W3CDTF">2015-06-16T13:20:00Z</dcterms:modified>
</cp:coreProperties>
</file>