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0" w:rsidRDefault="000A1160" w:rsidP="000A1160">
      <w:pPr>
        <w:pStyle w:val="a3"/>
        <w:ind w:left="1134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bookmarkStart w:id="0" w:name="_GoBack"/>
      <w:bookmarkEnd w:id="0"/>
      <w:r>
        <w:rPr>
          <w:rFonts w:ascii="Times New Roman" w:hAnsi="Times New Roman"/>
          <w:b w:val="0"/>
          <w:spacing w:val="0"/>
          <w:sz w:val="20"/>
          <w:lang w:val="ro-RO"/>
        </w:rPr>
        <w:t xml:space="preserve">Anexa nr. 12    </w:t>
      </w:r>
    </w:p>
    <w:p w:rsidR="000A1160" w:rsidRDefault="000A1160" w:rsidP="000A1160">
      <w:pPr>
        <w:pStyle w:val="a3"/>
        <w:ind w:left="1134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la Raportul de activitate </w:t>
      </w:r>
    </w:p>
    <w:p w:rsidR="000A1160" w:rsidRDefault="000A1160" w:rsidP="000A1160">
      <w:pPr>
        <w:pStyle w:val="a3"/>
        <w:ind w:left="11340"/>
        <w:jc w:val="both"/>
        <w:rPr>
          <w:rFonts w:ascii="Times New Roman" w:hAnsi="Times New Roman"/>
          <w:b w:val="0"/>
          <w:spacing w:val="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al Inspectoratului de Stat al Muncii pe anul 2014                             </w:t>
      </w:r>
    </w:p>
    <w:p w:rsidR="000A1160" w:rsidRDefault="000A1160" w:rsidP="000A1160">
      <w:pPr>
        <w:pStyle w:val="a3"/>
        <w:rPr>
          <w:rFonts w:ascii="Times New Roman" w:hAnsi="Times New Roman"/>
          <w:spacing w:val="0"/>
          <w:sz w:val="16"/>
          <w:szCs w:val="16"/>
          <w:lang w:val="ro-RO"/>
        </w:rPr>
      </w:pPr>
    </w:p>
    <w:p w:rsidR="000A1160" w:rsidRDefault="000A1160" w:rsidP="000A1160">
      <w:pPr>
        <w:pStyle w:val="a3"/>
        <w:rPr>
          <w:rFonts w:ascii="Times New Roman" w:hAnsi="Times New Roman"/>
          <w:spacing w:val="0"/>
          <w:sz w:val="28"/>
          <w:lang w:val="pt-BR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Situaţia condiţiilor de muncă a lucrătorilor </w:t>
      </w:r>
      <w:r>
        <w:rPr>
          <w:rFonts w:ascii="Times New Roman" w:hAnsi="Times New Roman"/>
          <w:spacing w:val="0"/>
          <w:sz w:val="28"/>
          <w:lang w:val="pt-BR"/>
        </w:rPr>
        <w:t xml:space="preserve">în anul 2014 </w:t>
      </w:r>
    </w:p>
    <w:p w:rsidR="000A1160" w:rsidRDefault="000A1160" w:rsidP="000A1160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la unităţile cu efectivul de </w:t>
      </w:r>
      <w:r>
        <w:rPr>
          <w:rFonts w:ascii="Times New Roman" w:hAnsi="Times New Roman"/>
          <w:spacing w:val="0"/>
          <w:sz w:val="28"/>
          <w:szCs w:val="28"/>
          <w:lang w:val="ro-RO"/>
        </w:rPr>
        <w:t>peste</w:t>
      </w:r>
      <w:r>
        <w:rPr>
          <w:rFonts w:ascii="Times New Roman" w:hAnsi="Times New Roman"/>
          <w:spacing w:val="0"/>
          <w:sz w:val="28"/>
          <w:lang w:val="ro-RO"/>
        </w:rPr>
        <w:t xml:space="preserve"> 20 salariaţi        </w:t>
      </w:r>
    </w:p>
    <w:p w:rsidR="000A1160" w:rsidRDefault="000A1160" w:rsidP="000A1160">
      <w:pPr>
        <w:pStyle w:val="a3"/>
        <w:rPr>
          <w:rFonts w:ascii="Times New Roman" w:hAnsi="Times New Roman"/>
          <w:spacing w:val="0"/>
          <w:sz w:val="16"/>
          <w:szCs w:val="16"/>
          <w:lang w:val="ro-RO"/>
        </w:rPr>
      </w:pPr>
      <w:r>
        <w:rPr>
          <w:rFonts w:ascii="Times New Roman" w:hAnsi="Times New Roman"/>
          <w:spacing w:val="0"/>
          <w:sz w:val="16"/>
          <w:szCs w:val="16"/>
          <w:lang w:val="ro-RO"/>
        </w:rPr>
        <w:t xml:space="preserve">                                                 </w:t>
      </w:r>
    </w:p>
    <w:tbl>
      <w:tblPr>
        <w:tblW w:w="158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41"/>
        <w:gridCol w:w="1020"/>
        <w:gridCol w:w="1059"/>
        <w:gridCol w:w="1060"/>
        <w:gridCol w:w="969"/>
        <w:gridCol w:w="1153"/>
        <w:gridCol w:w="1397"/>
        <w:gridCol w:w="1134"/>
        <w:gridCol w:w="993"/>
        <w:gridCol w:w="992"/>
        <w:gridCol w:w="992"/>
        <w:gridCol w:w="851"/>
        <w:gridCol w:w="850"/>
        <w:gridCol w:w="992"/>
        <w:gridCol w:w="567"/>
      </w:tblGrid>
      <w:tr w:rsidR="000A1160" w:rsidRPr="000A1160" w:rsidTr="000A1160">
        <w:trPr>
          <w:cantSplit/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Activitatea economică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Numărul personalului ocupat în condiţii de muncă nefavorabile</w:t>
            </w:r>
          </w:p>
        </w:tc>
        <w:tc>
          <w:tcPr>
            <w:tcW w:w="13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din care lucrează sub acţiunea:</w:t>
            </w:r>
          </w:p>
        </w:tc>
      </w:tr>
      <w:tr w:rsidR="000A1160" w:rsidTr="000A1160">
        <w:trPr>
          <w:cantSplit/>
          <w:trHeight w:val="14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zgomotului de nivel sporit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vibraţiei de nivel sporit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iluminării cu deviere de la normele stabilite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prafului (aerosoluri cu acţiune preponderent fibrogenă)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microclimei: temperatura aerului, umiditatea aerului, radiaţia termică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substanţelor chimice nocive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substanţelor nocive de natură biologică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infrasunet, ultrasunet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radiaţiilor electro-magnetice neonizate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radiaţiei ionizate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greutatea muncii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intensitatea muncii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altele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Agricultură şi silvicultură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1370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279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 xml:space="preserve">Pescuitul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Exploatarea carierelor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Industria prelucrătoare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6465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1745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1341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45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Energie electrică, gaze şi apă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4760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1542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279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71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Construcţii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1319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65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Comerţ cu ridicata şi cu amănuntul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1637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Hoteluri şi restaurante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Transporturi, depozitare şi comunicaţii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36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Activităţi financiare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Tranzacţii imobiliare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3683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57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Administraţie publică şi apărare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2274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114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Învăţămînt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15652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2279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6913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472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Sănătate şi asistenţă socială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15024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59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1331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Alte activităţi de servicii comunale, sociale şi personale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2172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42</w:t>
            </w:r>
          </w:p>
        </w:tc>
      </w:tr>
      <w:tr w:rsidR="000A1160" w:rsidTr="000A1160"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u-RU"/>
              </w:rPr>
              <w:t>59329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u-RU"/>
              </w:rPr>
              <w:t>5911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955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304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u-RU"/>
              </w:rPr>
              <w:t>7523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u-RU"/>
              </w:rPr>
              <w:t>7278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u-RU"/>
              </w:rPr>
              <w:t>16387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5230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567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u-RU"/>
              </w:rPr>
              <w:t>3107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526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8652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7931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60" w:rsidRDefault="000A1160">
            <w:pPr>
              <w:pStyle w:val="a3"/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18"/>
                <w:szCs w:val="18"/>
                <w:lang w:val="ro-RO"/>
              </w:rPr>
              <w:t>2251</w:t>
            </w: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fldChar w:fldCharType="end"/>
            </w:r>
          </w:p>
        </w:tc>
      </w:tr>
    </w:tbl>
    <w:p w:rsidR="000A1160" w:rsidRDefault="000A1160" w:rsidP="000A1160">
      <w:pPr>
        <w:rPr>
          <w:rFonts w:ascii="Times New Roman" w:hAnsi="Times New Roman"/>
          <w:sz w:val="24"/>
          <w:szCs w:val="20"/>
          <w:lang w:val="ro-RO"/>
        </w:rPr>
      </w:pPr>
    </w:p>
    <w:p w:rsidR="0018121C" w:rsidRDefault="0018121C"/>
    <w:sectPr w:rsidR="0018121C" w:rsidSect="000A1160">
      <w:pgSz w:w="16838" w:h="11906" w:orient="landscape"/>
      <w:pgMar w:top="426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60"/>
    <w:rsid w:val="000A1160"/>
    <w:rsid w:val="001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160"/>
    <w:pPr>
      <w:spacing w:after="0" w:line="240" w:lineRule="auto"/>
      <w:jc w:val="center"/>
    </w:pPr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0A1160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160"/>
    <w:pPr>
      <w:spacing w:after="0" w:line="240" w:lineRule="auto"/>
      <w:jc w:val="center"/>
    </w:pPr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0A1160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diakov.net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2015-06-22T12:43:00Z</dcterms:created>
  <dcterms:modified xsi:type="dcterms:W3CDTF">2015-06-22T12:46:00Z</dcterms:modified>
</cp:coreProperties>
</file>