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61" w:rsidRPr="005E57D7" w:rsidRDefault="00281761" w:rsidP="00281761">
      <w:pPr>
        <w:spacing w:after="0" w:line="240" w:lineRule="auto"/>
        <w:ind w:left="4956"/>
        <w:rPr>
          <w:rFonts w:ascii="Times New Roman" w:eastAsia="Malgun Gothic" w:hAnsi="Times New Roman" w:cs="Times New Roman"/>
          <w:sz w:val="28"/>
          <w:szCs w:val="28"/>
          <w:lang w:eastAsia="ko-KR" w:bidi="or-IN"/>
        </w:rPr>
      </w:pPr>
      <w:r w:rsidRPr="005E57D7">
        <w:rPr>
          <w:rFonts w:ascii="Times New Roman" w:eastAsia="Times New Roman" w:hAnsi="Times New Roman" w:cs="Times New Roman"/>
          <w:sz w:val="28"/>
          <w:szCs w:val="28"/>
          <w:lang w:eastAsia="ro-RO" w:bidi="or-IN"/>
        </w:rPr>
        <w:t xml:space="preserve">Anexa nr.1 </w:t>
      </w:r>
    </w:p>
    <w:p w:rsidR="00281761" w:rsidRPr="005E57D7" w:rsidRDefault="00281761" w:rsidP="002817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o-RO" w:bidi="or-IN"/>
        </w:rPr>
      </w:pPr>
      <w:r w:rsidRPr="005E57D7">
        <w:rPr>
          <w:rFonts w:ascii="Times New Roman" w:eastAsia="Times New Roman" w:hAnsi="Times New Roman" w:cs="Times New Roman"/>
          <w:sz w:val="28"/>
          <w:szCs w:val="28"/>
          <w:lang w:eastAsia="ro-RO" w:bidi="or-IN"/>
        </w:rPr>
        <w:t>la Hotărîrea Guvernului nr.</w:t>
      </w:r>
      <w:r>
        <w:rPr>
          <w:rFonts w:ascii="Times New Roman" w:eastAsia="Times New Roman" w:hAnsi="Times New Roman" w:cs="Times New Roman"/>
          <w:sz w:val="28"/>
          <w:szCs w:val="28"/>
          <w:lang w:eastAsia="ro-RO" w:bidi="or-IN"/>
        </w:rPr>
        <w:t xml:space="preserve"> 495</w:t>
      </w:r>
    </w:p>
    <w:p w:rsidR="00281761" w:rsidRPr="005E57D7" w:rsidRDefault="00281761" w:rsidP="002817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o-RO" w:bidi="or-IN"/>
        </w:rPr>
      </w:pPr>
      <w:r w:rsidRPr="005E57D7">
        <w:rPr>
          <w:rFonts w:ascii="Times New Roman" w:eastAsia="Times New Roman" w:hAnsi="Times New Roman" w:cs="Times New Roman"/>
          <w:sz w:val="28"/>
          <w:szCs w:val="28"/>
          <w:lang w:eastAsia="ro-RO" w:bidi="or-IN"/>
        </w:rPr>
        <w:t xml:space="preserve">din                            2015 </w:t>
      </w:r>
    </w:p>
    <w:p w:rsidR="00281761" w:rsidRPr="005E57D7" w:rsidRDefault="00281761" w:rsidP="00281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 w:bidi="or-IN"/>
        </w:rPr>
      </w:pPr>
    </w:p>
    <w:p w:rsidR="00281761" w:rsidRPr="005E57D7" w:rsidRDefault="00281761" w:rsidP="0028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 w:bidi="or-IN"/>
        </w:rPr>
      </w:pPr>
      <w:r w:rsidRPr="005E57D7">
        <w:rPr>
          <w:rFonts w:ascii="Times New Roman" w:eastAsia="Times New Roman" w:hAnsi="Times New Roman" w:cs="Times New Roman"/>
          <w:b/>
          <w:bCs/>
          <w:sz w:val="28"/>
          <w:szCs w:val="28"/>
          <w:lang w:eastAsia="ro-RO" w:bidi="or-IN"/>
        </w:rPr>
        <w:t>Limitele de recoltare</w:t>
      </w:r>
    </w:p>
    <w:p w:rsidR="00281761" w:rsidRPr="005E57D7" w:rsidRDefault="00281761" w:rsidP="0028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 w:bidi="or-IN"/>
        </w:rPr>
      </w:pPr>
      <w:r w:rsidRPr="005E57D7">
        <w:rPr>
          <w:rFonts w:ascii="Times New Roman" w:eastAsia="Times New Roman" w:hAnsi="Times New Roman" w:cs="Times New Roman"/>
          <w:b/>
          <w:bCs/>
          <w:sz w:val="28"/>
          <w:szCs w:val="28"/>
          <w:lang w:eastAsia="ro-RO" w:bidi="or-IN"/>
        </w:rPr>
        <w:t>a vînatului la porumbei, prepeliţe, fazani</w:t>
      </w:r>
    </w:p>
    <w:p w:rsidR="00281761" w:rsidRPr="005E57D7" w:rsidRDefault="00281761" w:rsidP="0028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 w:bidi="or-IN"/>
        </w:rPr>
      </w:pPr>
    </w:p>
    <w:tbl>
      <w:tblPr>
        <w:tblW w:w="44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3370"/>
        <w:gridCol w:w="1705"/>
        <w:gridCol w:w="1861"/>
        <w:gridCol w:w="1548"/>
      </w:tblGrid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o-RO" w:bidi="or-IN"/>
              </w:rPr>
              <w:t>Nr.</w:t>
            </w:r>
          </w:p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o-RO" w:bidi="or-IN"/>
              </w:rPr>
              <w:t>d/o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o-RO" w:bidi="or-IN"/>
              </w:rPr>
              <w:t>Unităţile</w:t>
            </w:r>
          </w:p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o-RO" w:bidi="or-IN"/>
              </w:rPr>
              <w:t>administrativ-teritoriale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o-RO" w:bidi="or-IN"/>
              </w:rPr>
              <w:t>Porumbei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o-RO" w:bidi="or-IN"/>
              </w:rPr>
              <w:t>Prepeliţe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o-RO" w:bidi="or-IN"/>
              </w:rPr>
              <w:t>Fazani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Mun.Chişinău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500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300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900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Mun.Bălţi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150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3.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Anenii Noi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800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1200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800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4.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Basarabeasca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700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400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220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5.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Briceni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700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6.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Cahul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2300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1100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350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7.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Cantemir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700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300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200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8.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Călăraşi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700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400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300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9.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Căuşeni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1500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1000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1300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10.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Cimişlia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700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700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220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11.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Criuleni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1800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600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700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12.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Donduşeni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400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150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13.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Drochia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700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600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14.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Dubăsari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700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500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150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15.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Edineţ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600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300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16.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Făleşti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600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500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350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17.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Floreşti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1000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500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400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18.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Glodeni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700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500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150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19.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Hînceşti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1200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1200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1000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20.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Ialoveni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700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900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750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21.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Leova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700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600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270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22.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Nisporeni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600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600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270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23.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Ocniţa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400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300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220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24.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Orhei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1200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1000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320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25.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Rezina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600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600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150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26.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Rîşcani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500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300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150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27.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Sîngerei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500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300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200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28.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Soroca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800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300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150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29.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Străşeni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1300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700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1200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30.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Şoldăneşti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400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300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150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31.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Ştefan Vodă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1500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1200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1300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32.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Taraclia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500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300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200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33.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Тeleneşti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800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700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220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34.</w:t>
            </w:r>
          </w:p>
        </w:tc>
        <w:tc>
          <w:tcPr>
            <w:tcW w:w="1789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Ungheni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900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900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300</w:t>
            </w:r>
          </w:p>
        </w:tc>
      </w:tr>
      <w:tr w:rsidR="00281761" w:rsidRPr="00480D63" w:rsidTr="003928A2">
        <w:tc>
          <w:tcPr>
            <w:tcW w:w="496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35.</w:t>
            </w:r>
          </w:p>
        </w:tc>
        <w:tc>
          <w:tcPr>
            <w:tcW w:w="1789" w:type="pct"/>
            <w:tcBorders>
              <w:bottom w:val="single" w:sz="4" w:space="0" w:color="000000"/>
            </w:tcBorders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Unitatea teritorială autonomă Găgăuzia</w:t>
            </w: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1500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1400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sz w:val="25"/>
                <w:szCs w:val="25"/>
                <w:lang w:eastAsia="ro-RO" w:bidi="or-IN"/>
              </w:rPr>
              <w:t>50</w:t>
            </w:r>
          </w:p>
        </w:tc>
      </w:tr>
      <w:tr w:rsidR="00281761" w:rsidRPr="00480D63" w:rsidTr="003928A2"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o-RO" w:bidi="or-IN"/>
              </w:rPr>
              <w:t>Total</w:t>
            </w:r>
          </w:p>
        </w:tc>
        <w:tc>
          <w:tcPr>
            <w:tcW w:w="1789" w:type="pct"/>
            <w:tcBorders>
              <w:left w:val="nil"/>
            </w:tcBorders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o-RO" w:bidi="or-IN"/>
              </w:rPr>
            </w:pPr>
          </w:p>
        </w:tc>
        <w:tc>
          <w:tcPr>
            <w:tcW w:w="905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o-RO" w:bidi="or-IN"/>
              </w:rPr>
              <w:t>29350</w:t>
            </w:r>
          </w:p>
        </w:tc>
        <w:tc>
          <w:tcPr>
            <w:tcW w:w="988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o-RO" w:bidi="or-IN"/>
              </w:rPr>
              <w:t>21000</w:t>
            </w:r>
          </w:p>
        </w:tc>
        <w:tc>
          <w:tcPr>
            <w:tcW w:w="822" w:type="pct"/>
            <w:shd w:val="clear" w:color="auto" w:fill="auto"/>
          </w:tcPr>
          <w:p w:rsidR="00281761" w:rsidRPr="00480D63" w:rsidRDefault="00281761" w:rsidP="00392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o-RO" w:bidi="or-IN"/>
              </w:rPr>
            </w:pPr>
            <w:r w:rsidRPr="00480D6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o-RO" w:bidi="or-IN"/>
              </w:rPr>
              <w:t>13110</w:t>
            </w:r>
          </w:p>
        </w:tc>
      </w:tr>
    </w:tbl>
    <w:p w:rsidR="005B1E62" w:rsidRDefault="005B1E62">
      <w:bookmarkStart w:id="0" w:name="_GoBack"/>
      <w:bookmarkEnd w:id="0"/>
    </w:p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40"/>
    <w:rsid w:val="00145A40"/>
    <w:rsid w:val="0017420B"/>
    <w:rsid w:val="00281761"/>
    <w:rsid w:val="0045434C"/>
    <w:rsid w:val="005B1E62"/>
    <w:rsid w:val="00C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61"/>
    <w:rPr>
      <w:rFonts w:ascii="Calibri" w:eastAsia="Calibri" w:hAnsi="Calibri" w:cs="Kalinga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61"/>
    <w:rPr>
      <w:rFonts w:ascii="Calibri" w:eastAsia="Calibri" w:hAnsi="Calibri" w:cs="Kalinga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diakov.net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2015-08-14T12:30:00Z</dcterms:created>
  <dcterms:modified xsi:type="dcterms:W3CDTF">2015-08-14T12:30:00Z</dcterms:modified>
</cp:coreProperties>
</file>