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C0" w:rsidRPr="00C91CE1" w:rsidRDefault="00BE19C0" w:rsidP="00BE19C0">
      <w:pPr>
        <w:jc w:val="right"/>
        <w:rPr>
          <w:lang w:bidi="or-IN"/>
        </w:rPr>
      </w:pPr>
      <w:r>
        <w:rPr>
          <w:b/>
          <w:bCs/>
          <w:color w:val="000000"/>
          <w:sz w:val="18"/>
          <w:szCs w:val="18"/>
        </w:rPr>
        <w:t>„</w:t>
      </w:r>
      <w:bookmarkStart w:id="0" w:name="_GoBack"/>
      <w:bookmarkEnd w:id="0"/>
      <w:r w:rsidRPr="00C91CE1">
        <w:rPr>
          <w:b/>
          <w:bCs/>
          <w:color w:val="000000"/>
          <w:sz w:val="18"/>
          <w:szCs w:val="18"/>
        </w:rPr>
        <w:t>ORD 0312</w:t>
      </w:r>
    </w:p>
    <w:p w:rsidR="00BE19C0" w:rsidRPr="00C91CE1" w:rsidRDefault="00BE19C0" w:rsidP="00BE19C0">
      <w:pPr>
        <w:jc w:val="right"/>
        <w:rPr>
          <w:b/>
          <w:lang w:bidi="or-IN"/>
        </w:rPr>
      </w:pPr>
      <w:r w:rsidRPr="00C91CE1">
        <w:rPr>
          <w:b/>
          <w:color w:val="000000"/>
          <w:sz w:val="18"/>
          <w:szCs w:val="18"/>
        </w:rPr>
        <w:t>Codul formularului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</w:tblGrid>
      <w:tr w:rsidR="00BE19C0" w:rsidRPr="00C91CE1" w:rsidTr="00F70E92">
        <w:tc>
          <w:tcPr>
            <w:tcW w:w="1368" w:type="dxa"/>
            <w:shd w:val="clear" w:color="auto" w:fill="auto"/>
          </w:tcPr>
          <w:p w:rsidR="00BE19C0" w:rsidRPr="00C91CE1" w:rsidRDefault="00BE19C0" w:rsidP="00F70E92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BE19C0" w:rsidRPr="00C91CE1" w:rsidRDefault="00BE19C0" w:rsidP="00BE19C0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  <w:r w:rsidRPr="00C91CE1">
        <w:rPr>
          <w:color w:val="000000"/>
          <w:sz w:val="18"/>
          <w:szCs w:val="18"/>
        </w:rPr>
        <w:t>codul băncii</w:t>
      </w:r>
    </w:p>
    <w:p w:rsidR="00BE19C0" w:rsidRPr="00C91CE1" w:rsidRDefault="00BE19C0" w:rsidP="00BE19C0">
      <w:pPr>
        <w:rPr>
          <w:strike/>
        </w:rPr>
      </w:pPr>
    </w:p>
    <w:p w:rsidR="00BE19C0" w:rsidRPr="00C91CE1" w:rsidRDefault="00BE19C0" w:rsidP="00BE19C0">
      <w:pPr>
        <w:rPr>
          <w:b/>
          <w:bCs/>
          <w:sz w:val="20"/>
        </w:rPr>
      </w:pPr>
      <w:r w:rsidRPr="00C91CE1">
        <w:rPr>
          <w:b/>
          <w:bCs/>
          <w:sz w:val="20"/>
        </w:rPr>
        <w:t>ORD 3.12 Evaluarea suficienţei capitalului ponderat la risc</w:t>
      </w:r>
    </w:p>
    <w:p w:rsidR="00BE19C0" w:rsidRPr="00C91CE1" w:rsidRDefault="00BE19C0" w:rsidP="00BE19C0">
      <w:pPr>
        <w:rPr>
          <w:bCs/>
          <w:sz w:val="20"/>
        </w:rPr>
      </w:pPr>
      <w:r w:rsidRPr="00C91CE1">
        <w:rPr>
          <w:bCs/>
          <w:sz w:val="20"/>
        </w:rPr>
        <w:t>la situaţia din ______________ 20_</w:t>
      </w:r>
    </w:p>
    <w:p w:rsidR="00BE19C0" w:rsidRPr="00C91CE1" w:rsidRDefault="00BE19C0" w:rsidP="00BE19C0">
      <w:pPr>
        <w:tabs>
          <w:tab w:val="left" w:pos="9923"/>
        </w:tabs>
        <w:ind w:right="567"/>
        <w:jc w:val="right"/>
        <w:rPr>
          <w:sz w:val="20"/>
        </w:rPr>
      </w:pPr>
      <w:r w:rsidRPr="00C91CE1">
        <w:rPr>
          <w:sz w:val="20"/>
        </w:rPr>
        <w:t xml:space="preserve">            (001-lei)  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87"/>
        <w:gridCol w:w="720"/>
        <w:gridCol w:w="7315"/>
        <w:gridCol w:w="1091"/>
      </w:tblGrid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  <w:r w:rsidRPr="00C91CE1">
              <w:rPr>
                <w:b/>
                <w:sz w:val="20"/>
              </w:rPr>
              <w:t>Nr.</w:t>
            </w:r>
          </w:p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  <w:r w:rsidRPr="00C91CE1">
              <w:rPr>
                <w:b/>
                <w:sz w:val="20"/>
              </w:rPr>
              <w:t>com-</w:t>
            </w:r>
          </w:p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  <w:r w:rsidRPr="00C91CE1">
              <w:rPr>
                <w:b/>
                <w:sz w:val="20"/>
              </w:rPr>
              <w:t>partimen-tului</w:t>
            </w:r>
          </w:p>
        </w:tc>
        <w:tc>
          <w:tcPr>
            <w:tcW w:w="720" w:type="dxa"/>
          </w:tcPr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  <w:r w:rsidRPr="00C91CE1">
              <w:rPr>
                <w:b/>
                <w:sz w:val="20"/>
              </w:rPr>
              <w:t>Nr.</w:t>
            </w:r>
          </w:p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  <w:r w:rsidRPr="00C91CE1">
              <w:rPr>
                <w:b/>
                <w:sz w:val="20"/>
              </w:rPr>
              <w:t>d/o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  <w:r w:rsidRPr="00C91CE1">
              <w:rPr>
                <w:b/>
                <w:sz w:val="20"/>
              </w:rPr>
              <w:t>Denumirea indicatorilor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  <w:r w:rsidRPr="00C91CE1">
              <w:rPr>
                <w:b/>
                <w:sz w:val="20"/>
              </w:rPr>
              <w:t>Soldul activelor</w:t>
            </w:r>
          </w:p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  <w:r w:rsidRPr="00C91CE1">
              <w:rPr>
                <w:b/>
                <w:sz w:val="20"/>
              </w:rPr>
              <w:t>ponderate la risc</w:t>
            </w: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C91CE1" w:rsidRDefault="00BE19C0" w:rsidP="00F70E92">
            <w:pPr>
              <w:jc w:val="center"/>
              <w:rPr>
                <w:b/>
                <w:bCs/>
                <w:sz w:val="20"/>
              </w:rPr>
            </w:pPr>
            <w:r w:rsidRPr="00C91CE1">
              <w:rPr>
                <w:b/>
                <w:bCs/>
                <w:sz w:val="20"/>
              </w:rPr>
              <w:t>A</w:t>
            </w:r>
          </w:p>
        </w:tc>
        <w:tc>
          <w:tcPr>
            <w:tcW w:w="720" w:type="dxa"/>
          </w:tcPr>
          <w:p w:rsidR="00BE19C0" w:rsidRPr="00C91CE1" w:rsidRDefault="00BE19C0" w:rsidP="00F70E92">
            <w:pPr>
              <w:jc w:val="center"/>
              <w:rPr>
                <w:b/>
                <w:bCs/>
                <w:sz w:val="20"/>
              </w:rPr>
            </w:pPr>
            <w:r w:rsidRPr="00C91CE1">
              <w:rPr>
                <w:b/>
                <w:bCs/>
                <w:sz w:val="20"/>
              </w:rPr>
              <w:t>B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jc w:val="center"/>
              <w:rPr>
                <w:b/>
                <w:bCs/>
                <w:sz w:val="20"/>
              </w:rPr>
            </w:pPr>
            <w:r w:rsidRPr="00C91CE1">
              <w:rPr>
                <w:b/>
                <w:bCs/>
                <w:sz w:val="20"/>
              </w:rPr>
              <w:t>C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b/>
                <w:bCs/>
                <w:sz w:val="20"/>
              </w:rPr>
            </w:pPr>
            <w:r w:rsidRPr="00C91CE1">
              <w:rPr>
                <w:b/>
                <w:bCs/>
                <w:sz w:val="20"/>
              </w:rPr>
              <w:t>1</w:t>
            </w: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C91CE1" w:rsidRDefault="00BE19C0" w:rsidP="00F70E92">
            <w:pPr>
              <w:jc w:val="center"/>
              <w:rPr>
                <w:b/>
                <w:iCs/>
                <w:sz w:val="20"/>
              </w:rPr>
            </w:pPr>
            <w:r w:rsidRPr="00C91CE1">
              <w:rPr>
                <w:b/>
                <w:iCs/>
                <w:sz w:val="20"/>
              </w:rPr>
              <w:t>1</w:t>
            </w:r>
          </w:p>
        </w:tc>
        <w:tc>
          <w:tcPr>
            <w:tcW w:w="720" w:type="dxa"/>
          </w:tcPr>
          <w:p w:rsidR="00BE19C0" w:rsidRPr="00C91CE1" w:rsidRDefault="00BE19C0" w:rsidP="00F70E92">
            <w:pPr>
              <w:jc w:val="center"/>
              <w:rPr>
                <w:iCs/>
                <w:sz w:val="20"/>
              </w:rPr>
            </w:pPr>
            <w:r w:rsidRPr="00C91CE1">
              <w:rPr>
                <w:b/>
                <w:iCs/>
                <w:sz w:val="20"/>
              </w:rPr>
              <w:t>0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iCs/>
                <w:sz w:val="20"/>
              </w:rPr>
            </w:pPr>
            <w:r w:rsidRPr="00C91CE1">
              <w:rPr>
                <w:b/>
                <w:iCs/>
                <w:sz w:val="20"/>
              </w:rPr>
              <w:t>Categoria zero procente (0%)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i/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  <w:r w:rsidRPr="00C91CE1">
              <w:rPr>
                <w:sz w:val="20"/>
              </w:rPr>
              <w:t>1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sz w:val="20"/>
              </w:rPr>
            </w:pPr>
            <w:r w:rsidRPr="00C91CE1">
              <w:rPr>
                <w:sz w:val="20"/>
              </w:rPr>
              <w:t>Numerar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  <w:r w:rsidRPr="00C91CE1">
              <w:rPr>
                <w:sz w:val="20"/>
              </w:rPr>
              <w:t>2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sz w:val="20"/>
              </w:rPr>
            </w:pPr>
            <w:r w:rsidRPr="00C91CE1">
              <w:rPr>
                <w:sz w:val="20"/>
              </w:rPr>
              <w:t>Valori mobiliare de stat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  <w:r w:rsidRPr="00C91CE1">
              <w:rPr>
                <w:sz w:val="20"/>
              </w:rPr>
              <w:t>3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sz w:val="20"/>
              </w:rPr>
            </w:pPr>
            <w:r w:rsidRPr="00C91CE1">
              <w:rPr>
                <w:sz w:val="20"/>
              </w:rPr>
              <w:t>Altele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C91CE1" w:rsidRDefault="00BE19C0" w:rsidP="00F70E92">
            <w:pPr>
              <w:jc w:val="center"/>
              <w:rPr>
                <w:b/>
                <w:iCs/>
                <w:sz w:val="20"/>
              </w:rPr>
            </w:pPr>
            <w:r w:rsidRPr="00C91CE1">
              <w:rPr>
                <w:b/>
                <w:iCs/>
                <w:sz w:val="20"/>
              </w:rPr>
              <w:t>2</w:t>
            </w:r>
          </w:p>
        </w:tc>
        <w:tc>
          <w:tcPr>
            <w:tcW w:w="720" w:type="dxa"/>
          </w:tcPr>
          <w:p w:rsidR="00BE19C0" w:rsidRPr="00C91CE1" w:rsidRDefault="00BE19C0" w:rsidP="00F70E92">
            <w:pPr>
              <w:jc w:val="center"/>
              <w:rPr>
                <w:iCs/>
                <w:sz w:val="20"/>
              </w:rPr>
            </w:pPr>
            <w:r w:rsidRPr="00C91CE1">
              <w:rPr>
                <w:b/>
                <w:iCs/>
                <w:sz w:val="20"/>
              </w:rPr>
              <w:t>0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iCs/>
                <w:sz w:val="20"/>
              </w:rPr>
            </w:pPr>
            <w:r w:rsidRPr="00C91CE1">
              <w:rPr>
                <w:b/>
                <w:iCs/>
                <w:sz w:val="20"/>
              </w:rPr>
              <w:t>Categoria douăzeci procente (20%)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i/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  <w:r w:rsidRPr="00C91CE1">
              <w:rPr>
                <w:sz w:val="20"/>
              </w:rPr>
              <w:t>1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sz w:val="20"/>
              </w:rPr>
            </w:pPr>
            <w:r w:rsidRPr="00C91CE1">
              <w:rPr>
                <w:sz w:val="20"/>
              </w:rPr>
              <w:t>Numerar - instrumente în proces de încasare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  <w:r w:rsidRPr="00C91CE1">
              <w:rPr>
                <w:sz w:val="20"/>
              </w:rPr>
              <w:t>2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sz w:val="20"/>
              </w:rPr>
            </w:pPr>
            <w:r w:rsidRPr="00C91CE1">
              <w:rPr>
                <w:sz w:val="20"/>
              </w:rPr>
              <w:t>Soldul conturilor corespondente şi al mijloacelor plasate în băncile din Republica Moldova şi din ţările OCDE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C91CE1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  <w:r w:rsidRPr="00C91CE1">
              <w:rPr>
                <w:sz w:val="20"/>
              </w:rPr>
              <w:t>3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sz w:val="20"/>
              </w:rPr>
            </w:pPr>
            <w:r w:rsidRPr="00C91CE1">
              <w:rPr>
                <w:sz w:val="20"/>
              </w:rPr>
              <w:t>Soldul conturilor corespondente şi al mijloacelor plasate cu termenul de p</w:t>
            </w:r>
            <w:r>
              <w:rPr>
                <w:sz w:val="20"/>
              </w:rPr>
              <w:t>în</w:t>
            </w:r>
            <w:r w:rsidRPr="00C91CE1">
              <w:rPr>
                <w:sz w:val="20"/>
              </w:rPr>
              <w:t>ă la un an în băncile altor ţări (cu excepţia OCDE şi Republicii Moldova)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F15EF8" w:rsidRDefault="00BE19C0" w:rsidP="00F70E92">
            <w:pPr>
              <w:jc w:val="center"/>
              <w:rPr>
                <w:b/>
                <w:iCs/>
                <w:sz w:val="20"/>
              </w:rPr>
            </w:pPr>
            <w:r w:rsidRPr="00F15EF8">
              <w:rPr>
                <w:b/>
                <w:iCs/>
                <w:sz w:val="20"/>
              </w:rPr>
              <w:t>3</w:t>
            </w:r>
          </w:p>
        </w:tc>
        <w:tc>
          <w:tcPr>
            <w:tcW w:w="720" w:type="dxa"/>
          </w:tcPr>
          <w:p w:rsidR="00BE19C0" w:rsidRPr="00F15EF8" w:rsidRDefault="00BE19C0" w:rsidP="00F70E92">
            <w:pPr>
              <w:jc w:val="center"/>
              <w:rPr>
                <w:iCs/>
                <w:sz w:val="20"/>
              </w:rPr>
            </w:pPr>
            <w:r w:rsidRPr="00F15EF8">
              <w:rPr>
                <w:b/>
                <w:iCs/>
                <w:sz w:val="20"/>
              </w:rPr>
              <w:t>0</w:t>
            </w:r>
          </w:p>
        </w:tc>
        <w:tc>
          <w:tcPr>
            <w:tcW w:w="7315" w:type="dxa"/>
          </w:tcPr>
          <w:p w:rsidR="00BE19C0" w:rsidRPr="00F15EF8" w:rsidRDefault="00BE19C0" w:rsidP="00F70E92">
            <w:pPr>
              <w:rPr>
                <w:iCs/>
                <w:sz w:val="20"/>
              </w:rPr>
            </w:pPr>
            <w:r w:rsidRPr="00F15EF8">
              <w:rPr>
                <w:b/>
                <w:iCs/>
                <w:sz w:val="20"/>
              </w:rPr>
              <w:t>Categoria cincizeci procente (50%)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i/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3665F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33665F" w:rsidRDefault="00BE19C0" w:rsidP="00F70E92">
            <w:pPr>
              <w:jc w:val="center"/>
              <w:rPr>
                <w:sz w:val="20"/>
              </w:rPr>
            </w:pPr>
            <w:r w:rsidRPr="0033665F">
              <w:rPr>
                <w:sz w:val="20"/>
              </w:rPr>
              <w:t>1</w:t>
            </w:r>
          </w:p>
        </w:tc>
        <w:tc>
          <w:tcPr>
            <w:tcW w:w="7315" w:type="dxa"/>
          </w:tcPr>
          <w:p w:rsidR="00BE19C0" w:rsidRPr="0033665F" w:rsidRDefault="00BE19C0" w:rsidP="00F70E92">
            <w:pPr>
              <w:jc w:val="both"/>
              <w:rPr>
                <w:sz w:val="20"/>
              </w:rPr>
            </w:pPr>
            <w:r w:rsidRPr="0033665F">
              <w:rPr>
                <w:sz w:val="20"/>
              </w:rPr>
              <w:t>Credite asigurate prin prima ipotecă rezidenţială a debitorului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3665F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33665F" w:rsidRDefault="00BE19C0" w:rsidP="00F70E92">
            <w:pPr>
              <w:jc w:val="center"/>
              <w:rPr>
                <w:sz w:val="20"/>
              </w:rPr>
            </w:pPr>
            <w:r w:rsidRPr="0033665F">
              <w:rPr>
                <w:sz w:val="20"/>
              </w:rPr>
              <w:t>2</w:t>
            </w:r>
          </w:p>
        </w:tc>
        <w:tc>
          <w:tcPr>
            <w:tcW w:w="7315" w:type="dxa"/>
          </w:tcPr>
          <w:p w:rsidR="00BE19C0" w:rsidRPr="0033665F" w:rsidRDefault="00BE19C0" w:rsidP="00F70E92">
            <w:pPr>
              <w:rPr>
                <w:sz w:val="20"/>
              </w:rPr>
            </w:pPr>
            <w:r w:rsidRPr="0033665F">
              <w:rPr>
                <w:sz w:val="20"/>
              </w:rPr>
              <w:t>Credite acordate sectorului public cu excepţia guvernului central şi creditelor garantate sau asigurate cu valori mobiliare emise de acesta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3665F" w:rsidRDefault="00BE19C0" w:rsidP="00F70E92">
            <w:pPr>
              <w:jc w:val="center"/>
              <w:rPr>
                <w:b/>
                <w:iCs/>
                <w:sz w:val="20"/>
              </w:rPr>
            </w:pPr>
            <w:r w:rsidRPr="0033665F">
              <w:rPr>
                <w:b/>
                <w:iCs/>
                <w:sz w:val="20"/>
              </w:rPr>
              <w:t>4</w:t>
            </w:r>
          </w:p>
        </w:tc>
        <w:tc>
          <w:tcPr>
            <w:tcW w:w="720" w:type="dxa"/>
          </w:tcPr>
          <w:p w:rsidR="00BE19C0" w:rsidRPr="0033665F" w:rsidRDefault="00BE19C0" w:rsidP="00F70E92">
            <w:pPr>
              <w:jc w:val="center"/>
              <w:rPr>
                <w:iCs/>
                <w:sz w:val="20"/>
              </w:rPr>
            </w:pPr>
            <w:r w:rsidRPr="0033665F">
              <w:rPr>
                <w:b/>
                <w:iCs/>
                <w:sz w:val="20"/>
              </w:rPr>
              <w:t>0</w:t>
            </w:r>
          </w:p>
        </w:tc>
        <w:tc>
          <w:tcPr>
            <w:tcW w:w="7315" w:type="dxa"/>
          </w:tcPr>
          <w:p w:rsidR="00BE19C0" w:rsidRPr="0033665F" w:rsidRDefault="00BE19C0" w:rsidP="00F70E92">
            <w:pPr>
              <w:rPr>
                <w:sz w:val="20"/>
              </w:rPr>
            </w:pPr>
            <w:r w:rsidRPr="0033665F">
              <w:rPr>
                <w:b/>
                <w:iCs/>
                <w:sz w:val="20"/>
              </w:rPr>
              <w:t>Categoria şaptezeci şi cinci procente (75%)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3665F" w:rsidRDefault="00BE19C0" w:rsidP="00F70E92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720" w:type="dxa"/>
          </w:tcPr>
          <w:p w:rsidR="00BE19C0" w:rsidRPr="0033665F" w:rsidRDefault="00BE19C0" w:rsidP="00F70E92">
            <w:pPr>
              <w:jc w:val="center"/>
              <w:rPr>
                <w:b/>
                <w:iCs/>
                <w:sz w:val="20"/>
              </w:rPr>
            </w:pPr>
            <w:r w:rsidRPr="0033665F">
              <w:rPr>
                <w:b/>
                <w:iCs/>
                <w:sz w:val="20"/>
              </w:rPr>
              <w:t>1</w:t>
            </w:r>
          </w:p>
        </w:tc>
        <w:tc>
          <w:tcPr>
            <w:tcW w:w="7315" w:type="dxa"/>
          </w:tcPr>
          <w:p w:rsidR="00BE19C0" w:rsidRPr="0033665F" w:rsidRDefault="00BE19C0" w:rsidP="00F70E92">
            <w:pPr>
              <w:rPr>
                <w:bCs/>
                <w:iCs/>
                <w:sz w:val="20"/>
              </w:rPr>
            </w:pPr>
            <w:r w:rsidRPr="0033665F">
              <w:rPr>
                <w:bCs/>
                <w:iCs/>
                <w:sz w:val="20"/>
              </w:rPr>
              <w:t xml:space="preserve">Alte credite asigurate cu ipotecă rezidenţială 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3665F" w:rsidRDefault="00BE19C0" w:rsidP="00F70E92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720" w:type="dxa"/>
          </w:tcPr>
          <w:p w:rsidR="00BE19C0" w:rsidRPr="0033665F" w:rsidRDefault="00BE19C0" w:rsidP="00F70E92">
            <w:pPr>
              <w:jc w:val="center"/>
              <w:rPr>
                <w:b/>
                <w:iCs/>
                <w:sz w:val="20"/>
              </w:rPr>
            </w:pPr>
            <w:r w:rsidRPr="0033665F">
              <w:rPr>
                <w:b/>
                <w:iCs/>
                <w:sz w:val="20"/>
              </w:rPr>
              <w:t>2</w:t>
            </w:r>
          </w:p>
        </w:tc>
        <w:tc>
          <w:tcPr>
            <w:tcW w:w="7315" w:type="dxa"/>
          </w:tcPr>
          <w:p w:rsidR="00BE19C0" w:rsidRPr="0033665F" w:rsidRDefault="00BE19C0" w:rsidP="00F70E92">
            <w:pPr>
              <w:rPr>
                <w:bCs/>
                <w:iCs/>
                <w:sz w:val="20"/>
              </w:rPr>
            </w:pPr>
            <w:r w:rsidRPr="0033665F">
              <w:rPr>
                <w:bCs/>
                <w:iCs/>
                <w:sz w:val="20"/>
              </w:rPr>
              <w:t>Credite asigurate cu ipotecă comercială</w:t>
            </w:r>
            <w:r>
              <w:rPr>
                <w:bCs/>
                <w:iCs/>
                <w:sz w:val="20"/>
              </w:rPr>
              <w:t xml:space="preserve"> şi industrială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3665F" w:rsidRDefault="00BE19C0" w:rsidP="00F70E92">
            <w:pPr>
              <w:jc w:val="center"/>
              <w:rPr>
                <w:b/>
                <w:iCs/>
                <w:sz w:val="20"/>
              </w:rPr>
            </w:pPr>
            <w:r w:rsidRPr="0033665F">
              <w:rPr>
                <w:b/>
                <w:iCs/>
                <w:sz w:val="20"/>
              </w:rPr>
              <w:t>5</w:t>
            </w:r>
          </w:p>
        </w:tc>
        <w:tc>
          <w:tcPr>
            <w:tcW w:w="720" w:type="dxa"/>
          </w:tcPr>
          <w:p w:rsidR="00BE19C0" w:rsidRPr="0033665F" w:rsidRDefault="00BE19C0" w:rsidP="00F70E92">
            <w:pPr>
              <w:jc w:val="center"/>
              <w:rPr>
                <w:iCs/>
                <w:sz w:val="20"/>
              </w:rPr>
            </w:pPr>
            <w:r w:rsidRPr="0033665F">
              <w:rPr>
                <w:b/>
                <w:iCs/>
                <w:sz w:val="20"/>
              </w:rPr>
              <w:t>0</w:t>
            </w:r>
          </w:p>
        </w:tc>
        <w:tc>
          <w:tcPr>
            <w:tcW w:w="7315" w:type="dxa"/>
          </w:tcPr>
          <w:p w:rsidR="00BE19C0" w:rsidRPr="0033665F" w:rsidRDefault="00BE19C0" w:rsidP="00F70E92">
            <w:pPr>
              <w:rPr>
                <w:iCs/>
                <w:sz w:val="20"/>
              </w:rPr>
            </w:pPr>
            <w:r w:rsidRPr="0033665F">
              <w:rPr>
                <w:b/>
                <w:iCs/>
                <w:sz w:val="20"/>
              </w:rPr>
              <w:t>Categoria o sută procente (100%)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i/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3665F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33665F" w:rsidRDefault="00BE19C0" w:rsidP="00F70E92">
            <w:pPr>
              <w:jc w:val="center"/>
              <w:rPr>
                <w:sz w:val="20"/>
              </w:rPr>
            </w:pPr>
            <w:r w:rsidRPr="0033665F">
              <w:rPr>
                <w:sz w:val="20"/>
              </w:rPr>
              <w:t>1</w:t>
            </w:r>
          </w:p>
        </w:tc>
        <w:tc>
          <w:tcPr>
            <w:tcW w:w="7315" w:type="dxa"/>
          </w:tcPr>
          <w:p w:rsidR="00BE19C0" w:rsidRPr="0033665F" w:rsidRDefault="00BE19C0" w:rsidP="00F70E92">
            <w:pPr>
              <w:rPr>
                <w:sz w:val="20"/>
              </w:rPr>
            </w:pPr>
            <w:r w:rsidRPr="0033665F">
              <w:rPr>
                <w:sz w:val="20"/>
              </w:rPr>
              <w:t>Teren, clădiri, utilaje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D26EF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3D26EF" w:rsidRDefault="00BE19C0" w:rsidP="00F70E92">
            <w:pPr>
              <w:jc w:val="center"/>
              <w:rPr>
                <w:sz w:val="20"/>
              </w:rPr>
            </w:pPr>
            <w:r w:rsidRPr="003D26EF">
              <w:rPr>
                <w:sz w:val="20"/>
              </w:rPr>
              <w:t>2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sz w:val="20"/>
              </w:rPr>
            </w:pPr>
            <w:r w:rsidRPr="00C91CE1">
              <w:rPr>
                <w:sz w:val="20"/>
              </w:rPr>
              <w:t>Alte credite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D26EF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3D26EF" w:rsidRDefault="00BE19C0" w:rsidP="00F70E92">
            <w:pPr>
              <w:jc w:val="center"/>
              <w:rPr>
                <w:sz w:val="20"/>
              </w:rPr>
            </w:pPr>
            <w:r w:rsidRPr="003D26EF">
              <w:rPr>
                <w:sz w:val="20"/>
              </w:rPr>
              <w:t>3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sz w:val="20"/>
              </w:rPr>
            </w:pPr>
            <w:r w:rsidRPr="00C91CE1">
              <w:rPr>
                <w:sz w:val="20"/>
              </w:rPr>
              <w:t>Soldul conturilor corespondente şi mijloacelor plasate cu termenul de peste un an în băncile altor ţări (cu excepţia OCDE şi Republicii Moldova)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D26EF" w:rsidRDefault="00BE19C0" w:rsidP="00F70E9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E19C0" w:rsidRPr="003D26EF" w:rsidRDefault="00BE19C0" w:rsidP="00F70E92">
            <w:pPr>
              <w:jc w:val="center"/>
              <w:rPr>
                <w:sz w:val="20"/>
              </w:rPr>
            </w:pPr>
            <w:r w:rsidRPr="003D26EF">
              <w:rPr>
                <w:sz w:val="20"/>
              </w:rPr>
              <w:t>4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sz w:val="20"/>
              </w:rPr>
            </w:pPr>
            <w:r w:rsidRPr="00C91CE1">
              <w:rPr>
                <w:sz w:val="20"/>
              </w:rPr>
              <w:t>Altele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D26EF" w:rsidRDefault="00BE19C0" w:rsidP="00F70E92">
            <w:pPr>
              <w:jc w:val="center"/>
              <w:rPr>
                <w:b/>
                <w:sz w:val="20"/>
              </w:rPr>
            </w:pPr>
            <w:r w:rsidRPr="003D26EF">
              <w:rPr>
                <w:b/>
                <w:sz w:val="20"/>
              </w:rPr>
              <w:t>6</w:t>
            </w:r>
          </w:p>
        </w:tc>
        <w:tc>
          <w:tcPr>
            <w:tcW w:w="720" w:type="dxa"/>
          </w:tcPr>
          <w:p w:rsidR="00BE19C0" w:rsidRPr="003D26EF" w:rsidRDefault="00BE19C0" w:rsidP="00F70E92">
            <w:pPr>
              <w:jc w:val="center"/>
              <w:rPr>
                <w:b/>
                <w:sz w:val="20"/>
              </w:rPr>
            </w:pPr>
            <w:r w:rsidRPr="003D26EF">
              <w:rPr>
                <w:b/>
                <w:sz w:val="20"/>
              </w:rPr>
              <w:t>0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b/>
                <w:bCs/>
                <w:sz w:val="20"/>
              </w:rPr>
            </w:pPr>
            <w:r w:rsidRPr="00C91CE1">
              <w:rPr>
                <w:b/>
                <w:bCs/>
                <w:sz w:val="20"/>
              </w:rPr>
              <w:t>Total active ponderate la risc (APR)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D26EF" w:rsidRDefault="00BE19C0" w:rsidP="00F70E92">
            <w:pPr>
              <w:jc w:val="center"/>
              <w:rPr>
                <w:b/>
                <w:sz w:val="20"/>
              </w:rPr>
            </w:pPr>
            <w:r w:rsidRPr="003D26EF">
              <w:rPr>
                <w:b/>
                <w:sz w:val="20"/>
              </w:rPr>
              <w:t>7</w:t>
            </w:r>
          </w:p>
        </w:tc>
        <w:tc>
          <w:tcPr>
            <w:tcW w:w="720" w:type="dxa"/>
          </w:tcPr>
          <w:p w:rsidR="00BE19C0" w:rsidRPr="003D26EF" w:rsidRDefault="00BE19C0" w:rsidP="00F70E92">
            <w:pPr>
              <w:jc w:val="center"/>
              <w:rPr>
                <w:b/>
                <w:sz w:val="20"/>
              </w:rPr>
            </w:pPr>
            <w:r w:rsidRPr="003D26EF">
              <w:rPr>
                <w:b/>
                <w:sz w:val="20"/>
              </w:rPr>
              <w:t>0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b/>
                <w:bCs/>
                <w:sz w:val="20"/>
              </w:rPr>
            </w:pPr>
            <w:r w:rsidRPr="00C91CE1">
              <w:rPr>
                <w:b/>
                <w:bCs/>
                <w:sz w:val="20"/>
              </w:rPr>
              <w:t>Capital normativ total (CNT)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  <w:tr w:rsidR="00BE19C0" w:rsidRPr="00C91CE1" w:rsidTr="00F70E92">
        <w:trPr>
          <w:jc w:val="center"/>
        </w:trPr>
        <w:tc>
          <w:tcPr>
            <w:tcW w:w="1187" w:type="dxa"/>
          </w:tcPr>
          <w:p w:rsidR="00BE19C0" w:rsidRPr="003D26EF" w:rsidRDefault="00BE19C0" w:rsidP="00F70E92">
            <w:pPr>
              <w:jc w:val="center"/>
              <w:rPr>
                <w:b/>
                <w:sz w:val="20"/>
              </w:rPr>
            </w:pPr>
            <w:r w:rsidRPr="003D26EF">
              <w:rPr>
                <w:b/>
                <w:sz w:val="20"/>
              </w:rPr>
              <w:t>8</w:t>
            </w:r>
          </w:p>
        </w:tc>
        <w:tc>
          <w:tcPr>
            <w:tcW w:w="720" w:type="dxa"/>
          </w:tcPr>
          <w:p w:rsidR="00BE19C0" w:rsidRPr="003D26EF" w:rsidRDefault="00BE19C0" w:rsidP="00F70E92">
            <w:pPr>
              <w:jc w:val="center"/>
              <w:rPr>
                <w:b/>
                <w:sz w:val="20"/>
              </w:rPr>
            </w:pPr>
            <w:r w:rsidRPr="003D26EF">
              <w:rPr>
                <w:b/>
                <w:sz w:val="20"/>
              </w:rPr>
              <w:t>0</w:t>
            </w:r>
          </w:p>
        </w:tc>
        <w:tc>
          <w:tcPr>
            <w:tcW w:w="7315" w:type="dxa"/>
          </w:tcPr>
          <w:p w:rsidR="00BE19C0" w:rsidRPr="00C91CE1" w:rsidRDefault="00BE19C0" w:rsidP="00F70E92">
            <w:pPr>
              <w:rPr>
                <w:b/>
                <w:bCs/>
                <w:sz w:val="20"/>
              </w:rPr>
            </w:pPr>
            <w:r w:rsidRPr="00C91CE1">
              <w:rPr>
                <w:b/>
                <w:bCs/>
                <w:sz w:val="20"/>
              </w:rPr>
              <w:t>Suficienţa capitalului  ((CNT / APR)*100)</w:t>
            </w:r>
          </w:p>
        </w:tc>
        <w:tc>
          <w:tcPr>
            <w:tcW w:w="1091" w:type="dxa"/>
          </w:tcPr>
          <w:p w:rsidR="00BE19C0" w:rsidRPr="00C91CE1" w:rsidRDefault="00BE19C0" w:rsidP="00F70E92">
            <w:pPr>
              <w:jc w:val="center"/>
              <w:rPr>
                <w:sz w:val="20"/>
              </w:rPr>
            </w:pPr>
          </w:p>
        </w:tc>
      </w:tr>
    </w:tbl>
    <w:p w:rsidR="00BE19C0" w:rsidRPr="00C91CE1" w:rsidRDefault="00BE19C0" w:rsidP="00BE19C0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</w:p>
    <w:p w:rsidR="00BE19C0" w:rsidRPr="00C91CE1" w:rsidRDefault="00BE19C0" w:rsidP="00BE19C0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C91CE1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Executorul şi numărul de telefon  _______________</w:t>
      </w:r>
    </w:p>
    <w:p w:rsidR="00BE19C0" w:rsidRPr="00C91CE1" w:rsidRDefault="00BE19C0" w:rsidP="00BE19C0">
      <w:pPr>
        <w:rPr>
          <w:sz w:val="16"/>
        </w:rPr>
      </w:pPr>
    </w:p>
    <w:p w:rsidR="00BE19C0" w:rsidRPr="00C91CE1" w:rsidRDefault="00BE19C0" w:rsidP="00BE19C0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C91CE1">
        <w:rPr>
          <w:rFonts w:ascii="Times New Roman" w:hAnsi="Times New Roman" w:cs="Times New Roman"/>
          <w:b w:val="0"/>
          <w:i w:val="0"/>
          <w:sz w:val="16"/>
        </w:rPr>
        <w:t>NOTĂ: Raportul este întocmit în conformitate cu Instrucţiunea cu  privire la modul de întocmire şi prezentare de către bănci a rapoartelor în scopuri prudenţiale, HCA BNM nr. 279 din 1 decembrie 2011</w:t>
      </w:r>
      <w:r w:rsidRPr="00403307">
        <w:rPr>
          <w:rFonts w:ascii="Times New Roman" w:hAnsi="Times New Roman" w:cs="Times New Roman"/>
          <w:b w:val="0"/>
          <w:i w:val="0"/>
          <w:sz w:val="24"/>
          <w:szCs w:val="24"/>
        </w:rPr>
        <w:t>”;</w:t>
      </w:r>
    </w:p>
    <w:p w:rsidR="00CF27B3" w:rsidRDefault="00CF27B3"/>
    <w:sectPr w:rsidR="00CF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C0"/>
    <w:rsid w:val="00BE19C0"/>
    <w:rsid w:val="00C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8067B-15A8-4107-8AF1-C760E99C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2">
    <w:name w:val="heading 2"/>
    <w:basedOn w:val="a"/>
    <w:next w:val="a"/>
    <w:link w:val="20"/>
    <w:qFormat/>
    <w:rsid w:val="00BE1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9C0"/>
    <w:rPr>
      <w:rFonts w:ascii="Arial" w:eastAsia="Times New Roman" w:hAnsi="Arial" w:cs="Arial"/>
      <w:b/>
      <w:bCs/>
      <w:i/>
      <w:iCs/>
      <w:sz w:val="28"/>
      <w:szCs w:val="28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2015-03-17T11:26:00Z</dcterms:created>
  <dcterms:modified xsi:type="dcterms:W3CDTF">2015-03-17T11:26:00Z</dcterms:modified>
</cp:coreProperties>
</file>