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98" w:rsidRPr="00684AAF" w:rsidRDefault="00C92E98" w:rsidP="00C92E98">
      <w:pPr>
        <w:pStyle w:val="Heading1"/>
        <w:tabs>
          <w:tab w:val="left" w:pos="709"/>
        </w:tabs>
        <w:spacing w:before="0"/>
        <w:ind w:left="10620"/>
        <w:jc w:val="left"/>
        <w:rPr>
          <w:b w:val="0"/>
          <w:color w:val="auto"/>
          <w:sz w:val="20"/>
          <w:szCs w:val="20"/>
          <w:lang w:val="ro-RO"/>
        </w:rPr>
      </w:pPr>
      <w:r w:rsidRPr="00684AAF">
        <w:rPr>
          <w:b w:val="0"/>
          <w:color w:val="auto"/>
          <w:sz w:val="20"/>
          <w:szCs w:val="20"/>
          <w:lang w:val="ro-RO"/>
        </w:rPr>
        <w:t xml:space="preserve">                  </w:t>
      </w:r>
      <w:bookmarkStart w:id="0" w:name="_Toc442346354"/>
      <w:r w:rsidRPr="00684AAF">
        <w:rPr>
          <w:b w:val="0"/>
          <w:color w:val="auto"/>
          <w:sz w:val="20"/>
          <w:szCs w:val="20"/>
          <w:lang w:val="ro-RO"/>
        </w:rPr>
        <w:t>Anexa 1</w:t>
      </w:r>
      <w:bookmarkEnd w:id="0"/>
    </w:p>
    <w:p w:rsidR="00C92E98" w:rsidRPr="00684AAF" w:rsidRDefault="00C92E98" w:rsidP="00C92E98">
      <w:pPr>
        <w:pStyle w:val="Heading1"/>
        <w:tabs>
          <w:tab w:val="left" w:pos="709"/>
        </w:tabs>
        <w:spacing w:before="0"/>
        <w:ind w:left="10620"/>
        <w:jc w:val="left"/>
        <w:rPr>
          <w:b w:val="0"/>
          <w:color w:val="auto"/>
          <w:sz w:val="20"/>
          <w:szCs w:val="20"/>
          <w:lang w:val="ro-RO"/>
        </w:rPr>
      </w:pPr>
      <w:r w:rsidRPr="00684AAF">
        <w:rPr>
          <w:b w:val="0"/>
          <w:color w:val="auto"/>
          <w:sz w:val="20"/>
          <w:szCs w:val="20"/>
          <w:lang w:val="ro-RO"/>
        </w:rPr>
        <w:t xml:space="preserve">la </w:t>
      </w:r>
      <w:bookmarkStart w:id="1" w:name="_Toc432459230"/>
      <w:bookmarkStart w:id="2" w:name="_Toc433745724"/>
      <w:bookmarkStart w:id="3" w:name="_Toc435371347"/>
      <w:bookmarkStart w:id="4" w:name="_Toc436271521"/>
      <w:bookmarkStart w:id="5" w:name="_Toc437944862"/>
      <w:bookmarkStart w:id="6" w:name="_Toc437948364"/>
      <w:bookmarkStart w:id="7" w:name="_Toc442346355"/>
      <w:r w:rsidRPr="00684AAF">
        <w:rPr>
          <w:b w:val="0"/>
          <w:color w:val="auto"/>
          <w:sz w:val="20"/>
          <w:szCs w:val="20"/>
          <w:lang w:val="ro-RO"/>
        </w:rPr>
        <w:t xml:space="preserve">Strategia naţională de atragere </w:t>
      </w:r>
    </w:p>
    <w:p w:rsidR="00C92E98" w:rsidRPr="00684AAF" w:rsidRDefault="00C92E98" w:rsidP="00C92E98">
      <w:pPr>
        <w:pStyle w:val="Heading1"/>
        <w:tabs>
          <w:tab w:val="left" w:pos="709"/>
        </w:tabs>
        <w:spacing w:before="0"/>
        <w:ind w:left="10620"/>
        <w:jc w:val="left"/>
        <w:rPr>
          <w:b w:val="0"/>
          <w:color w:val="auto"/>
          <w:sz w:val="20"/>
          <w:szCs w:val="20"/>
          <w:lang w:val="ro-RO"/>
        </w:rPr>
      </w:pPr>
      <w:r w:rsidRPr="00684AAF">
        <w:rPr>
          <w:b w:val="0"/>
          <w:color w:val="auto"/>
          <w:sz w:val="20"/>
          <w:szCs w:val="20"/>
          <w:lang w:val="ro-RO"/>
        </w:rPr>
        <w:t>a investiţiilor</w:t>
      </w:r>
      <w:bookmarkEnd w:id="1"/>
      <w:bookmarkEnd w:id="2"/>
      <w:bookmarkEnd w:id="3"/>
      <w:bookmarkEnd w:id="4"/>
      <w:bookmarkEnd w:id="5"/>
      <w:bookmarkEnd w:id="6"/>
      <w:bookmarkEnd w:id="7"/>
      <w:r w:rsidRPr="00684AAF">
        <w:rPr>
          <w:b w:val="0"/>
          <w:color w:val="auto"/>
          <w:sz w:val="20"/>
          <w:szCs w:val="20"/>
          <w:lang w:val="ro-RO"/>
        </w:rPr>
        <w:t xml:space="preserve"> </w:t>
      </w:r>
      <w:bookmarkStart w:id="8" w:name="_Toc433745725"/>
      <w:bookmarkStart w:id="9" w:name="_Toc435371348"/>
      <w:bookmarkStart w:id="10" w:name="_Toc436271522"/>
      <w:bookmarkStart w:id="11" w:name="_Toc437944863"/>
      <w:bookmarkStart w:id="12" w:name="_Toc437948365"/>
      <w:bookmarkStart w:id="13" w:name="_Toc442346356"/>
      <w:r w:rsidRPr="00684AAF">
        <w:rPr>
          <w:b w:val="0"/>
          <w:color w:val="auto"/>
          <w:sz w:val="20"/>
          <w:szCs w:val="20"/>
          <w:lang w:val="ro-RO"/>
        </w:rPr>
        <w:t>şi promovare a exporturilor pentru anii 2016-2020</w:t>
      </w:r>
      <w:bookmarkEnd w:id="8"/>
      <w:bookmarkEnd w:id="9"/>
      <w:bookmarkEnd w:id="10"/>
      <w:bookmarkEnd w:id="11"/>
      <w:bookmarkEnd w:id="12"/>
      <w:bookmarkEnd w:id="13"/>
    </w:p>
    <w:p w:rsidR="00C92E98" w:rsidRPr="00684AAF" w:rsidRDefault="00C92E98" w:rsidP="00C92E98">
      <w:pPr>
        <w:tabs>
          <w:tab w:val="left" w:pos="709"/>
        </w:tabs>
        <w:spacing w:after="0" w:line="240" w:lineRule="auto"/>
        <w:rPr>
          <w:rFonts w:ascii="Times New Roman" w:hAnsi="Times New Roman"/>
          <w:sz w:val="28"/>
          <w:szCs w:val="28"/>
          <w:lang w:val="ro-RO"/>
        </w:rPr>
      </w:pPr>
    </w:p>
    <w:p w:rsidR="00C92E98" w:rsidRPr="00684AAF" w:rsidRDefault="00C92E98" w:rsidP="00C92E98">
      <w:pPr>
        <w:tabs>
          <w:tab w:val="left" w:pos="709"/>
        </w:tabs>
        <w:spacing w:after="0" w:line="240" w:lineRule="auto"/>
        <w:jc w:val="center"/>
        <w:rPr>
          <w:rFonts w:ascii="Times New Roman" w:hAnsi="Times New Roman"/>
          <w:b/>
          <w:sz w:val="24"/>
          <w:szCs w:val="24"/>
          <w:lang w:val="ro-RO"/>
        </w:rPr>
      </w:pPr>
      <w:r w:rsidRPr="00684AAF">
        <w:rPr>
          <w:rFonts w:ascii="Times New Roman" w:hAnsi="Times New Roman"/>
          <w:b/>
          <w:sz w:val="24"/>
          <w:szCs w:val="24"/>
          <w:lang w:val="ro-RO"/>
        </w:rPr>
        <w:t xml:space="preserve">PLANUL DE ACŢIUNI </w:t>
      </w:r>
    </w:p>
    <w:p w:rsidR="00C92E98" w:rsidRPr="00684AAF" w:rsidRDefault="00C92E98" w:rsidP="00C92E98">
      <w:pPr>
        <w:tabs>
          <w:tab w:val="left" w:pos="709"/>
        </w:tabs>
        <w:spacing w:after="0" w:line="240" w:lineRule="auto"/>
        <w:jc w:val="center"/>
        <w:rPr>
          <w:rFonts w:ascii="Times New Roman" w:hAnsi="Times New Roman"/>
          <w:b/>
          <w:sz w:val="24"/>
          <w:szCs w:val="24"/>
          <w:lang w:val="ro-RO"/>
        </w:rPr>
      </w:pPr>
      <w:r w:rsidRPr="00684AAF">
        <w:rPr>
          <w:rFonts w:ascii="Times New Roman" w:hAnsi="Times New Roman"/>
          <w:b/>
          <w:sz w:val="24"/>
          <w:szCs w:val="24"/>
          <w:lang w:val="ro-RO"/>
        </w:rPr>
        <w:t>pentru implementarea Strategiei naţionale</w:t>
      </w:r>
    </w:p>
    <w:p w:rsidR="00C92E98" w:rsidRPr="00684AAF" w:rsidRDefault="00C92E98" w:rsidP="00C92E98">
      <w:pPr>
        <w:tabs>
          <w:tab w:val="left" w:pos="709"/>
        </w:tabs>
        <w:spacing w:after="0" w:line="240" w:lineRule="auto"/>
        <w:jc w:val="center"/>
        <w:rPr>
          <w:rFonts w:ascii="Times New Roman" w:hAnsi="Times New Roman"/>
          <w:b/>
          <w:sz w:val="24"/>
          <w:szCs w:val="24"/>
          <w:lang w:val="ro-RO"/>
        </w:rPr>
      </w:pPr>
    </w:p>
    <w:tbl>
      <w:tblPr>
        <w:tblW w:w="5000" w:type="pct"/>
        <w:tblBorders>
          <w:top w:val="single" w:sz="8" w:space="0" w:color="8C7B70"/>
          <w:left w:val="single" w:sz="8" w:space="0" w:color="8C7B70"/>
          <w:bottom w:val="single" w:sz="8" w:space="0" w:color="8C7B70"/>
          <w:right w:val="single" w:sz="8" w:space="0" w:color="8C7B70"/>
          <w:insideH w:val="single" w:sz="8" w:space="0" w:color="8C7B70"/>
          <w:insideV w:val="single" w:sz="8" w:space="0" w:color="8C7B70"/>
        </w:tblBorders>
        <w:shd w:val="clear" w:color="auto" w:fill="FFFFFF"/>
        <w:tblLook w:val="00A0" w:firstRow="1" w:lastRow="0" w:firstColumn="1" w:lastColumn="0" w:noHBand="0" w:noVBand="0"/>
      </w:tblPr>
      <w:tblGrid>
        <w:gridCol w:w="535"/>
        <w:gridCol w:w="3756"/>
        <w:gridCol w:w="1571"/>
        <w:gridCol w:w="1494"/>
        <w:gridCol w:w="1674"/>
        <w:gridCol w:w="1115"/>
        <w:gridCol w:w="1254"/>
        <w:gridCol w:w="1180"/>
        <w:gridCol w:w="1539"/>
      </w:tblGrid>
      <w:tr w:rsidR="00C92E98" w:rsidRPr="001B79BB" w:rsidTr="007263C9">
        <w:trPr>
          <w:cantSplit/>
          <w:trHeight w:val="182"/>
          <w:tblHeader/>
        </w:trPr>
        <w:tc>
          <w:tcPr>
            <w:tcW w:w="189" w:type="pct"/>
            <w:shd w:val="clear" w:color="auto" w:fill="FFFFFF"/>
            <w:vAlign w:val="center"/>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Nr.</w:t>
            </w:r>
          </w:p>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d/o</w:t>
            </w:r>
          </w:p>
        </w:tc>
        <w:tc>
          <w:tcPr>
            <w:tcW w:w="1330" w:type="pct"/>
            <w:shd w:val="clear" w:color="auto" w:fill="FFFFFF"/>
            <w:vAlign w:val="center"/>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Obiectivele generale/Obiectivele specifice/Acţiunile</w:t>
            </w:r>
          </w:p>
        </w:tc>
        <w:tc>
          <w:tcPr>
            <w:tcW w:w="556" w:type="pct"/>
            <w:shd w:val="clear" w:color="auto" w:fill="FFFFFF"/>
            <w:vAlign w:val="center"/>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Resursele necesare, cu aproximaţie</w:t>
            </w:r>
          </w:p>
        </w:tc>
        <w:tc>
          <w:tcPr>
            <w:tcW w:w="529" w:type="pct"/>
            <w:shd w:val="clear" w:color="auto" w:fill="FFFFFF"/>
            <w:vAlign w:val="center"/>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Autoritatea responsabilă</w:t>
            </w:r>
          </w:p>
        </w:tc>
        <w:tc>
          <w:tcPr>
            <w:tcW w:w="593" w:type="pct"/>
            <w:shd w:val="clear" w:color="auto" w:fill="FFFFFF"/>
            <w:vAlign w:val="center"/>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Partenerii</w:t>
            </w:r>
          </w:p>
        </w:tc>
        <w:tc>
          <w:tcPr>
            <w:tcW w:w="395" w:type="pct"/>
            <w:shd w:val="clear" w:color="auto" w:fill="FFFFFF"/>
            <w:vAlign w:val="center"/>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Termenul de realizare</w:t>
            </w:r>
          </w:p>
        </w:tc>
        <w:tc>
          <w:tcPr>
            <w:tcW w:w="444" w:type="pct"/>
            <w:shd w:val="clear" w:color="auto" w:fill="FFFFFF"/>
            <w:vAlign w:val="center"/>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Costul estimat, MDL (pentru toată perioada)</w:t>
            </w:r>
          </w:p>
        </w:tc>
        <w:tc>
          <w:tcPr>
            <w:tcW w:w="418" w:type="pct"/>
            <w:shd w:val="clear" w:color="auto" w:fill="FFFFFF"/>
            <w:vAlign w:val="center"/>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Sursele de finanţare</w:t>
            </w:r>
          </w:p>
        </w:tc>
        <w:tc>
          <w:tcPr>
            <w:tcW w:w="545" w:type="pct"/>
            <w:shd w:val="clear" w:color="auto" w:fill="FFFFFF"/>
            <w:vAlign w:val="center"/>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Indicatorii de monitorizare</w:t>
            </w:r>
          </w:p>
        </w:tc>
      </w:tr>
    </w:tbl>
    <w:p w:rsidR="00C92E98" w:rsidRPr="00684AAF" w:rsidRDefault="00C92E98" w:rsidP="00C92E98">
      <w:pPr>
        <w:spacing w:after="0" w:line="240" w:lineRule="auto"/>
        <w:rPr>
          <w:rFonts w:ascii="Times New Roman" w:hAnsi="Times New Roman"/>
          <w:sz w:val="2"/>
          <w:szCs w:val="2"/>
          <w:lang w:val="ro-RO"/>
        </w:rPr>
      </w:pPr>
    </w:p>
    <w:tbl>
      <w:tblPr>
        <w:tblW w:w="5000" w:type="pct"/>
        <w:tblBorders>
          <w:top w:val="single" w:sz="8" w:space="0" w:color="8C7B70"/>
          <w:left w:val="single" w:sz="8" w:space="0" w:color="8C7B70"/>
          <w:bottom w:val="single" w:sz="8" w:space="0" w:color="8C7B70"/>
          <w:right w:val="single" w:sz="8" w:space="0" w:color="8C7B70"/>
          <w:insideH w:val="single" w:sz="8" w:space="0" w:color="8C7B70"/>
          <w:insideV w:val="single" w:sz="8" w:space="0" w:color="8C7B70"/>
        </w:tblBorders>
        <w:shd w:val="clear" w:color="auto" w:fill="FFFFFF"/>
        <w:tblLayout w:type="fixed"/>
        <w:tblLook w:val="00A0" w:firstRow="1" w:lastRow="0" w:firstColumn="1" w:lastColumn="0" w:noHBand="0" w:noVBand="0"/>
      </w:tblPr>
      <w:tblGrid>
        <w:gridCol w:w="526"/>
        <w:gridCol w:w="3764"/>
        <w:gridCol w:w="1570"/>
        <w:gridCol w:w="1499"/>
        <w:gridCol w:w="1674"/>
        <w:gridCol w:w="1115"/>
        <w:gridCol w:w="1251"/>
        <w:gridCol w:w="1183"/>
        <w:gridCol w:w="1536"/>
      </w:tblGrid>
      <w:tr w:rsidR="00C92E98" w:rsidRPr="001B79BB" w:rsidTr="007263C9">
        <w:trPr>
          <w:cantSplit/>
          <w:trHeight w:val="182"/>
          <w:tblHeader/>
        </w:trPr>
        <w:tc>
          <w:tcPr>
            <w:tcW w:w="186" w:type="pct"/>
            <w:shd w:val="clear" w:color="auto" w:fill="FFFFFF"/>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1</w:t>
            </w:r>
          </w:p>
        </w:tc>
        <w:tc>
          <w:tcPr>
            <w:tcW w:w="1333" w:type="pct"/>
            <w:shd w:val="clear" w:color="auto" w:fill="FFFFFF"/>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2</w:t>
            </w:r>
          </w:p>
        </w:tc>
        <w:tc>
          <w:tcPr>
            <w:tcW w:w="556" w:type="pct"/>
            <w:shd w:val="clear" w:color="auto" w:fill="FFFFFF"/>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3</w:t>
            </w:r>
          </w:p>
        </w:tc>
        <w:tc>
          <w:tcPr>
            <w:tcW w:w="531" w:type="pct"/>
            <w:shd w:val="clear" w:color="auto" w:fill="FFFFFF"/>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4</w:t>
            </w:r>
          </w:p>
        </w:tc>
        <w:tc>
          <w:tcPr>
            <w:tcW w:w="593" w:type="pct"/>
            <w:shd w:val="clear" w:color="auto" w:fill="FFFFFF"/>
          </w:tcPr>
          <w:p w:rsidR="00C92E98" w:rsidRPr="001B79BB" w:rsidRDefault="00C92E98" w:rsidP="007263C9">
            <w:pPr>
              <w:tabs>
                <w:tab w:val="left" w:pos="709"/>
              </w:tabs>
              <w:spacing w:after="0" w:line="240" w:lineRule="auto"/>
              <w:ind w:right="-105"/>
              <w:jc w:val="center"/>
              <w:rPr>
                <w:rFonts w:ascii="Times New Roman" w:hAnsi="Times New Roman"/>
                <w:b/>
                <w:bCs/>
                <w:sz w:val="20"/>
                <w:szCs w:val="20"/>
                <w:lang w:val="ro-RO"/>
              </w:rPr>
            </w:pPr>
            <w:r w:rsidRPr="001B79BB">
              <w:rPr>
                <w:rFonts w:ascii="Times New Roman" w:hAnsi="Times New Roman"/>
                <w:b/>
                <w:bCs/>
                <w:sz w:val="20"/>
                <w:szCs w:val="20"/>
                <w:lang w:val="ro-RO"/>
              </w:rPr>
              <w:t>5</w:t>
            </w:r>
          </w:p>
        </w:tc>
        <w:tc>
          <w:tcPr>
            <w:tcW w:w="395" w:type="pct"/>
            <w:shd w:val="clear" w:color="auto" w:fill="FFFFFF"/>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6</w:t>
            </w:r>
          </w:p>
        </w:tc>
        <w:tc>
          <w:tcPr>
            <w:tcW w:w="443" w:type="pct"/>
            <w:shd w:val="clear" w:color="auto" w:fill="FFFFFF"/>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7</w:t>
            </w:r>
          </w:p>
        </w:tc>
        <w:tc>
          <w:tcPr>
            <w:tcW w:w="419" w:type="pct"/>
            <w:shd w:val="clear" w:color="auto" w:fill="FFFFFF"/>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8</w:t>
            </w:r>
          </w:p>
        </w:tc>
        <w:tc>
          <w:tcPr>
            <w:tcW w:w="544" w:type="pct"/>
            <w:shd w:val="clear" w:color="auto" w:fill="FFFFFF"/>
          </w:tcPr>
          <w:p w:rsidR="00C92E98" w:rsidRPr="001B79BB" w:rsidRDefault="00C92E98" w:rsidP="007263C9">
            <w:pPr>
              <w:tabs>
                <w:tab w:val="left" w:pos="709"/>
              </w:tabs>
              <w:spacing w:after="0" w:line="240" w:lineRule="auto"/>
              <w:jc w:val="center"/>
              <w:rPr>
                <w:rFonts w:ascii="Times New Roman" w:hAnsi="Times New Roman"/>
                <w:b/>
                <w:bCs/>
                <w:sz w:val="20"/>
                <w:szCs w:val="20"/>
                <w:lang w:val="ro-RO"/>
              </w:rPr>
            </w:pPr>
            <w:r w:rsidRPr="001B79BB">
              <w:rPr>
                <w:rFonts w:ascii="Times New Roman" w:hAnsi="Times New Roman"/>
                <w:b/>
                <w:bCs/>
                <w:sz w:val="20"/>
                <w:szCs w:val="20"/>
                <w:lang w:val="ro-RO"/>
              </w:rPr>
              <w:t>9</w:t>
            </w:r>
          </w:p>
        </w:tc>
      </w:tr>
      <w:tr w:rsidR="00C92E98" w:rsidRPr="001B79BB" w:rsidTr="007263C9">
        <w:tblPrEx>
          <w:shd w:val="clear" w:color="auto" w:fill="auto"/>
        </w:tblPrEx>
        <w:trPr>
          <w:cantSplit/>
          <w:trHeight w:val="300"/>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b/>
                <w:bCs/>
                <w:i/>
                <w:iCs/>
                <w:color w:val="000000"/>
                <w:sz w:val="20"/>
                <w:szCs w:val="20"/>
                <w:lang w:val="ro-RO"/>
              </w:rPr>
            </w:pPr>
            <w:r w:rsidRPr="001B79BB">
              <w:rPr>
                <w:rFonts w:ascii="Times New Roman" w:hAnsi="Times New Roman"/>
                <w:b/>
                <w:bCs/>
                <w:i/>
                <w:iCs/>
                <w:color w:val="000000"/>
                <w:sz w:val="20"/>
                <w:szCs w:val="20"/>
                <w:lang w:val="ro-RO"/>
              </w:rPr>
              <w:t>Fortificarea elementelor de bază ale cadrului de reglementare, care să permită atragerea, reţinerea, dezvoltarea investiţiilor şi promovarea exporturilor</w:t>
            </w:r>
          </w:p>
        </w:tc>
      </w:tr>
      <w:tr w:rsidR="00C92E98" w:rsidRPr="001B79BB" w:rsidTr="007263C9">
        <w:tblPrEx>
          <w:shd w:val="clear" w:color="auto" w:fill="auto"/>
        </w:tblPrEx>
        <w:trPr>
          <w:cantSplit/>
          <w:trHeight w:val="300"/>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i/>
                <w:iCs/>
                <w:sz w:val="20"/>
                <w:szCs w:val="20"/>
                <w:lang w:val="ro-RO"/>
              </w:rPr>
            </w:pPr>
            <w:r w:rsidRPr="001B79BB">
              <w:rPr>
                <w:rFonts w:ascii="Times New Roman" w:hAnsi="Times New Roman"/>
                <w:i/>
                <w:iCs/>
                <w:sz w:val="20"/>
                <w:szCs w:val="20"/>
                <w:lang w:val="ro-RO"/>
              </w:rPr>
              <w:t>A1. Prevenirea şi soluţionarea eficientă a disputelor investiţionale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148"/>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Efectuarea unei evaluări cuprinzătoare a legislaţiei naţionale pentru a înlătura cauzele litigiilor dintre investitori şi autorităţile publice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50 de zile de consultanţă  pentru efectuarea evaluării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 Ministerul Justiţiei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150,000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Evaluare efectuată</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148"/>
                <w:tab w:val="left" w:pos="29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Elaborarea şi implementarea Planului de acţiuni pentru eliminarea lacunelor din legislaţia naţională, în baza analizei efectuate (conform pct.1), cu actualizarea continuă a acestuia</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50 de zile de consultanţă pentru elaborarea Planului de acţiuni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 Ministerul Justiţiei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150,000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Asistenţa donatorilor </w:t>
            </w:r>
          </w:p>
        </w:tc>
        <w:tc>
          <w:tcPr>
            <w:tcW w:w="544"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Plan de acţiuni pentru eliminarea lacunelor elaborat şi aprobat de către Guvern pînă la finele anului 2016</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29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Crearea Consiliului pentru promovarea proiectelor investiţionale de importanţă naţională (conform Legii nr.182 din 15 iulie 2010 cu privire la parcurile industriale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 reprezentanţii</w:t>
            </w:r>
          </w:p>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Consiliu pentru promovarea proiectelor investiţionale de importanţă naţională creat şi funcţional </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jc w:val="center"/>
              <w:rPr>
                <w:rFonts w:ascii="Times New Roman" w:hAnsi="Times New Roman"/>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Includerea în Legea nr.81-XV din 18 martie 2004 cu privire la investiţiile în activitatea de întreprinzător a conceptului de acord de investiţii între Guvern şi investitor, în temeiul celor mai bune practici internaţionale, în scopul definirii clare a drepturilor, obligaţiilor şi facilităţilor investiţionale stabilite pentru proiectele investiţionale strategice destinate economiei naţionale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30 de zile de consultanţă pentru ajustarea legislaţiei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 Ministerul Justiţiei,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90,000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Concept de acord de investiţii integrat în Legea cu privire la investiţiile în activitatea de întreprinzător</w:t>
            </w:r>
          </w:p>
        </w:tc>
      </w:tr>
      <w:tr w:rsidR="00C92E98" w:rsidRPr="001B79BB" w:rsidTr="007263C9">
        <w:tblPrEx>
          <w:shd w:val="clear" w:color="auto" w:fill="auto"/>
        </w:tblPrEx>
        <w:trPr>
          <w:cantSplit/>
          <w:trHeight w:val="1604"/>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Elaborarea unei platforme electronice de suport tehnic (</w:t>
            </w:r>
            <w:r w:rsidRPr="001B79BB">
              <w:rPr>
                <w:rFonts w:ascii="Times New Roman" w:hAnsi="Times New Roman"/>
                <w:i/>
                <w:sz w:val="20"/>
                <w:szCs w:val="20"/>
                <w:lang w:val="ro-RO"/>
              </w:rPr>
              <w:t>helpdesk</w:t>
            </w:r>
            <w:r w:rsidRPr="001B79BB">
              <w:rPr>
                <w:rFonts w:ascii="Times New Roman" w:hAnsi="Times New Roman"/>
                <w:sz w:val="20"/>
                <w:szCs w:val="20"/>
                <w:lang w:val="ro-RO"/>
              </w:rPr>
              <w:t>) pentru investitori, care să conţină informaţii complete despre mecanismele de depunere a contestaţiilor, soluţionare a disputelor, despre precedentele existente, precum şi despre cadrul juridic relevant</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50 de zile de servicii de consultanţă pentru crearea biroului online de asistenţă tehnică </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bookmarkStart w:id="14" w:name="OLE_LINK1"/>
            <w:bookmarkStart w:id="15" w:name="OLE_LINK2"/>
            <w:r w:rsidRPr="001B79BB">
              <w:rPr>
                <w:rFonts w:ascii="Times New Roman" w:hAnsi="Times New Roman"/>
                <w:color w:val="000000"/>
                <w:sz w:val="20"/>
                <w:szCs w:val="20"/>
                <w:lang w:val="ro-RO"/>
              </w:rPr>
              <w:t>Organizaţia de Atragere a Investiţiilor şi Promovare a Exportului din Moldova</w:t>
            </w:r>
            <w:bookmarkEnd w:id="14"/>
            <w:bookmarkEnd w:id="15"/>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Ministerul Justiţiei,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650,000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Platformă online de asistenţă tehnică a investitorilor elaborată şi funcţională; minimum 1 500 de vizitatori unici anual</w:t>
            </w:r>
          </w:p>
        </w:tc>
      </w:tr>
      <w:tr w:rsidR="00C92E98" w:rsidRPr="001B79BB" w:rsidTr="007263C9">
        <w:tblPrEx>
          <w:shd w:val="clear" w:color="auto" w:fill="auto"/>
        </w:tblPrEx>
        <w:trPr>
          <w:cantSplit/>
          <w:trHeight w:val="165"/>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i/>
                <w:color w:val="000000"/>
                <w:sz w:val="20"/>
                <w:szCs w:val="20"/>
                <w:lang w:val="ro-RO"/>
              </w:rPr>
            </w:pPr>
            <w:r w:rsidRPr="001B79BB">
              <w:rPr>
                <w:rFonts w:ascii="Times New Roman" w:hAnsi="Times New Roman"/>
                <w:i/>
                <w:color w:val="000000"/>
                <w:sz w:val="20"/>
                <w:szCs w:val="20"/>
                <w:lang w:val="ro-RO"/>
              </w:rPr>
              <w:t>A2. Îmbunătăţirea politicii fiscal-vamale şi administrării aferente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Elaborarea propunerilor privind diminuarea poverii fiscale asupra mediului de afaceri şi a cheltuielilor în procesul de administrare fiscal-vamală</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 suplimentare nu vor fi suportate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Propuneri elaborate </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Introducerea în legislaţia fiscală a conceptului de soluţie fiscală individuală anticipată, care urmează a fi elaborat de autorităţile fiscale opţional, la solicitarea antreprenorului</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Resurse umane proprii </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reprezentanţii</w:t>
            </w:r>
          </w:p>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 suplimentare nu vor fi suportate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Reguli de reglementare a procedurilor de aprobare a soluţiilor fiscale individuale anticipate incluse în Codul fiscal</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Introducerea în Codul fiscal a unei garanţii de 5 ani de stabilitate a regimului fiscal-vamal pentru investitorii orientaţi spre export care au atins volumul  investiţiei de     5 milioane dolari SUA,  în cazul înrăutăţirii condiţiilor fiscal-vamale. Clauza se va aplica începînd cu trimestrul în care a fost depăşit volumul investiţiei menţionat</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 suplimentare nu vor fi suportate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Clauză care să asigure stabilitatea fiscală inclusă în Codul fiscal</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C23EC0"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Accelerarea procesului de restituire a TVA la export prin alinierea procedurilor de restituire cu Directiva UE 2006/112/CE a Consiliului din 28 noiembrie 2006 privind sistemul comun al TVA şi prin acordarea posibilităţii de compensare a creditului TVA acordat de exportatori statului cu alte datorii fiscale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C23EC0"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C23EC0"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C23EC0"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C23EC0"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C23EC0"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 suplimentare nu vor fi suportate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C23EC0"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Del="00C23EC0"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Proceduri de rambursare a TVA-ului aliniate cu prevederile celei de-a şasea Directive UE şi executarea acestora</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Implementarea şi promovarea procedurilor vamale moderne, care să faciliteze comerţul extern şi să asigure securitatea lanţului internaţional de aprovizionare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100 de zile de servicii de consultanţă</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 Serviciul Vamal</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600,000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Birouri vamale din Chişinău optimizate;</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Rapiditate a procedurilor de vămuire crescută;</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infrastructura a tehnologiei informaţiei pentru procedurile de vămuire actualizată</w:t>
            </w:r>
          </w:p>
        </w:tc>
      </w:tr>
      <w:tr w:rsidR="00C92E98" w:rsidRPr="001B79BB" w:rsidTr="007263C9">
        <w:tblPrEx>
          <w:shd w:val="clear" w:color="auto" w:fill="auto"/>
        </w:tblPrEx>
        <w:trPr>
          <w:cantSplit/>
          <w:trHeight w:val="198"/>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i/>
                <w:color w:val="000000"/>
                <w:sz w:val="20"/>
                <w:szCs w:val="20"/>
                <w:lang w:val="ro-RO"/>
              </w:rPr>
            </w:pPr>
            <w:r w:rsidRPr="001B79BB">
              <w:rPr>
                <w:rFonts w:ascii="Times New Roman" w:hAnsi="Times New Roman"/>
                <w:i/>
                <w:color w:val="000000"/>
                <w:sz w:val="20"/>
                <w:szCs w:val="20"/>
                <w:lang w:val="ro-RO"/>
              </w:rPr>
              <w:t>A3. Sporirea încrederii businessului faţă de stat şi transparentizarea relaţiilor business−stat</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Sporirea transparenţei activităţilor de control (inclusiv pe segmentul fiscal şi vamal) şi oferirea de informaţii clare companiilor cu privire la procedurile de  control, cerinţele de conformitate, măsurile de corectare şi sancţiunile aplicabile; reducerea numărului de excepţii care sînt prevăzute de Legea nr.131 din 8 iunie 2012 privind controlul de stat asupra activităţii de întreprinzător</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100 de zile de consultanţă pentru elaborarea mecanismului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Ministerul Finanţelor, Ministerul Justiţiei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Cancelaria de Stat, Ministerul Afacerilor Interne, Centrul Naţional Anticorupţie</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300,000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Mecanism elaborat şi pus în aplicare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Elaborarea unui mecanism de responsabilizare a inspectorilor în scopul efectuării inspecţiilor, în limitele competenţelor şi ale domeniului de responsabilitate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100 de zile de consultanţă pentru elaborarea mecanismului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Ministerele de resort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300,000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Mecanism de responsabilizare a inspectorilor elaborat şi implementat</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Dezvoltarea sistemului registrelor electronice, a sistemelor informaţionale de stat şi a interoperabilităţii sistemelor informaţionale ale instituţiilor de stat pentru a asigura accesul electronic al inspectorilor, în limitele competenţelor şi ale domeniului,  la documentele companiilor, fără a implica prezenţa fizică în incinta întreprinderilor</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100 de  zile de consultanţă pentru elaborarea registrului electronic unic </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18"/>
                <w:szCs w:val="18"/>
                <w:lang w:val="ro-RO"/>
              </w:rPr>
            </w:pPr>
            <w:r w:rsidRPr="001B79BB">
              <w:rPr>
                <w:rFonts w:ascii="Times New Roman" w:hAnsi="Times New Roman"/>
                <w:color w:val="000000"/>
                <w:sz w:val="18"/>
                <w:szCs w:val="18"/>
                <w:lang w:val="ro-RO"/>
              </w:rPr>
              <w:t>Ministerul Tehnologiei Informaţiei şi Comunicaţiilor</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Ministerele de resort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1,000,000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Registru electronic unic funcţional</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Implementarea principiului aprobării tacite a tuturor autorizaţiilor, licenţelor, certificatelor şi a oricăror altor documente de reglementare a activităţii de întreprinzător. În mod prioritar, principiul respectiv va fi implementat în cele mai problematice domenii ale mediului de afaceri, evidenţiate de rapoartele „Doing Business” ale Băncii Mondiale: „Autorizaţiile de construcţie” şi ,,Soluţionarea procedurilor de insolvabilitate”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150 de zile de consultanţă pentru dezvoltarea conceptului mecanismului de aprobare tacită</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Justiţiei, Ministerul Finanţelor</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Toate ministerele de resort responsabile pentru emiterea documentelor permisive,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450,000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Mecanism de aprobare tacită optimizat şi implementat</w:t>
            </w:r>
            <w:r w:rsidRPr="001B79BB">
              <w:rPr>
                <w:rFonts w:ascii="Times New Roman" w:hAnsi="Times New Roman"/>
                <w:color w:val="000000"/>
                <w:sz w:val="20"/>
                <w:szCs w:val="20"/>
                <w:lang w:val="ro-RO"/>
              </w:rPr>
              <w:br/>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Efectuarea periodică a sondajelor în rîndul investitorilor şi exportatorilor din sectoarele prioritare în legătură cu problemele cu care se confruntă şi percepţia cu privire la cadrul de reglementare a activităţii de întreprinzător</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Companie specializată pentru elaborarea şi desfăşurarea sondajului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2017-2020 </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600,000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 sondaje reprezentative efectuate pe an;</w:t>
            </w:r>
            <w:r w:rsidRPr="001B79BB">
              <w:rPr>
                <w:rFonts w:ascii="Times New Roman" w:hAnsi="Times New Roman"/>
                <w:color w:val="000000"/>
                <w:sz w:val="20"/>
                <w:szCs w:val="20"/>
                <w:lang w:val="ro-RO"/>
              </w:rPr>
              <w:br/>
              <w:t>2 rapoarte privind rezultatele anchetei elaborate şi publicate pe an</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r>
      <w:tr w:rsidR="00C92E98" w:rsidRPr="001B79BB" w:rsidTr="007263C9">
        <w:tblPrEx>
          <w:shd w:val="clear" w:color="auto" w:fill="auto"/>
        </w:tblPrEx>
        <w:trPr>
          <w:cantSplit/>
          <w:trHeight w:val="198"/>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i/>
                <w:color w:val="000000"/>
                <w:sz w:val="20"/>
                <w:szCs w:val="20"/>
                <w:lang w:val="ro-RO"/>
              </w:rPr>
            </w:pPr>
            <w:r w:rsidRPr="001B79BB">
              <w:rPr>
                <w:rFonts w:ascii="Times New Roman" w:hAnsi="Times New Roman"/>
                <w:i/>
                <w:color w:val="000000"/>
                <w:sz w:val="20"/>
                <w:szCs w:val="20"/>
                <w:lang w:val="ro-RO"/>
              </w:rPr>
              <w:t>A4. Consolidarea cadrului statistic privind activităţile de investiţii şi de export</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Dezvoltarea colaborării dintre Ministerul Economiei, Organizaţia de Atragere a Investiţiilor şi Promovare a Exportului din Moldova, Biroul Naţional de Statistică şi Banca Naţională a Moldovei în scopul facilitării unui schimb de date mai amplu şi rapid dintre instituţii privind investiţiile şi exporturile </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Biroul Naţional de Statistică, Banca Naţională a Moldovei,</w:t>
            </w:r>
          </w:p>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Începînd cu 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 suplimentare nu vor fi suportate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Memorandum de cooperare dintre Ministerul Economiei, Biroul Naţional de Statistică şi Banca Naţională a Moldovei semnat şi intrat în vigoare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Elaborarea softului pentru colectarea, verificarea, prelucrarea, validarea şi transmiterea datelor statistice privind investiţiile străine directe, care să asigure obţinerea datelor statistice cu privire la investiţiile străine directe, dezagregate pe regiuni de dezvoltare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150 de zile de consultanţă pentru elaborarea caietului de sarcini şi a softului respectiv</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Banca Naţională a Moldovei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Biroul Naţional de Statistică, Ministerul Economiei, Organizaţia de Atragere a Investiţiilor şi Promovare a Exportului din Moldova</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Începînd cu 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450,000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Caiet de sarcini pentru crearea softului elaborat; soft creat, cu  publicarea datelor statistice privind investiţiile străine directe, dezagregate pe regiuni</w:t>
            </w:r>
          </w:p>
        </w:tc>
      </w:tr>
      <w:tr w:rsidR="00C92E98" w:rsidRPr="001B79BB" w:rsidTr="007263C9">
        <w:tblPrEx>
          <w:shd w:val="clear" w:color="auto" w:fill="auto"/>
        </w:tblPrEx>
        <w:trPr>
          <w:cantSplit/>
          <w:trHeight w:val="152"/>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i/>
                <w:color w:val="000000"/>
                <w:sz w:val="20"/>
                <w:szCs w:val="20"/>
                <w:lang w:val="ro-RO"/>
              </w:rPr>
            </w:pPr>
            <w:r w:rsidRPr="001B79BB">
              <w:rPr>
                <w:rFonts w:ascii="Times New Roman" w:hAnsi="Times New Roman"/>
                <w:i/>
                <w:color w:val="000000"/>
                <w:sz w:val="20"/>
                <w:szCs w:val="20"/>
                <w:lang w:val="ro-RO"/>
              </w:rPr>
              <w:t>A5. Accelerarea procesului de punere în aplicare a dispoziţiilor prevăzute de Strategia reformei cadrului de reglementare a activităţii de întreprinzător pentru anii 2013-2020</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Elaborarea şi promovarea propunerilor privind stabilirea principiului intrării în vigoare a modificărilor la legislaţia vamală după cel puţin 6 luni de la publicarea acestora</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Resurse umane proprii </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Cod vamal modificat</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684AAF">
              <w:rPr>
                <w:rFonts w:ascii="Times New Roman" w:eastAsia="Cambria" w:hAnsi="Times New Roman"/>
                <w:sz w:val="20"/>
                <w:szCs w:val="20"/>
                <w:lang w:val="ro-RO"/>
              </w:rPr>
              <w:t>Aplicarea, la scară largă, a soluţiilor informatice de raportare fiscală, oferind inspectorilor posibilitatea de urmărire electronică a documentelor fără prezenţa fizică în incinta întreprinderilor şi asigurînd comunicarea eficientă şi transparentă dintre companii şi inspectorii fiscali</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Soluţii oferite de tehnologia informaţiei pentru raportare fiscală implementate;</w:t>
            </w:r>
            <w:r w:rsidRPr="001B79BB">
              <w:rPr>
                <w:rFonts w:ascii="Times New Roman" w:hAnsi="Times New Roman"/>
                <w:color w:val="000000"/>
                <w:sz w:val="20"/>
                <w:szCs w:val="20"/>
                <w:lang w:val="ro-RO"/>
              </w:rPr>
              <w:br/>
              <w:t>sistem de urmărire electronică a documentelor implementat</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Implementarea ghişeelor unice conectate în timp real la sistemul electronic, care vor avea capacitatea de a urmări mişcarea documentelor între instituţii şi funcţionarii publici</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Toate ministerele de resort responsabile pentru emiterea documentelor permisive,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Număr de documente permisive eliberate prin intermediul ghişeului unic </w:t>
            </w:r>
          </w:p>
        </w:tc>
      </w:tr>
      <w:tr w:rsidR="00C92E98" w:rsidRPr="001B79BB" w:rsidTr="007263C9">
        <w:tblPrEx>
          <w:shd w:val="clear" w:color="auto" w:fill="auto"/>
        </w:tblPrEx>
        <w:trPr>
          <w:cantSplit/>
          <w:trHeight w:val="152"/>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b/>
                <w:i/>
                <w:color w:val="000000"/>
                <w:sz w:val="20"/>
                <w:szCs w:val="20"/>
                <w:lang w:val="ro-RO"/>
              </w:rPr>
            </w:pPr>
            <w:r w:rsidRPr="001B79BB">
              <w:rPr>
                <w:rFonts w:ascii="Times New Roman" w:hAnsi="Times New Roman"/>
                <w:b/>
                <w:i/>
                <w:color w:val="000000"/>
                <w:sz w:val="20"/>
                <w:szCs w:val="20"/>
                <w:lang w:val="ro-RO"/>
              </w:rPr>
              <w:t>B. Îmbunătăţirea sistemului de dezvoltare a forţei de muncă pentru sectoarele prioritare orientate spre export</w:t>
            </w:r>
          </w:p>
        </w:tc>
      </w:tr>
      <w:tr w:rsidR="00C92E98" w:rsidRPr="001B79BB" w:rsidTr="007263C9">
        <w:tblPrEx>
          <w:shd w:val="clear" w:color="auto" w:fill="auto"/>
        </w:tblPrEx>
        <w:trPr>
          <w:cantSplit/>
          <w:trHeight w:val="170"/>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i/>
                <w:color w:val="000000"/>
                <w:sz w:val="20"/>
                <w:szCs w:val="20"/>
                <w:lang w:val="ro-RO"/>
              </w:rPr>
            </w:pPr>
            <w:r w:rsidRPr="001B79BB">
              <w:rPr>
                <w:rFonts w:ascii="Times New Roman" w:hAnsi="Times New Roman"/>
                <w:i/>
                <w:color w:val="000000"/>
                <w:sz w:val="20"/>
                <w:szCs w:val="20"/>
                <w:lang w:val="ro-RO"/>
              </w:rPr>
              <w:t>B1. Accelerarea implementării prevederilor esenţiale din Strategia de dezvoltare a învăţămîntului vocaţional tehnic pe anii 2013-2020 şi a altor acţiuni orientate spre dezvoltarea forţei de muncă în sectoarele prioritare identificate în prezenta Strategie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Aprobarea şi implementarea unei Strategii de comunicare orientate spre restabilirea prestigiului social al învăţămîntului profesional tehnic</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Educaţiei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Muncii, Protecţiei Sociale şi Familiei, organizaţiile non-guvernamentale relevante,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 suplimentare nu vor fi suportate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Strategie de comunicare aprobată şi implementată</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Definirea unui statut juridic clar al comitetelor sectoriale pentru formarea profesională din Republica Moldova prin perfecţionarea cadrului normativ şi legislativ privind funcţionarea comitetelor, precum şi   finanţarea bugetară a acestora</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Muncii, Protecţiei Sociale şi Familiei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Educaţiei, organizaţiile neguvernamentale relevante,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 suplimentare nu vor fi suportate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Statut juridic al comitetelor sectoriale definit; cadru normativ şi legislativ perfecţionat</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Accelerarea procesului de instituire a comitetelor sectoriale pentru specialităţile relevante din sectoarele prioritare identificate în prezenta Strategie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Muncii, Protecţiei Sociale şi Familiei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Educaţiei, organizaţiile neguvernamentale relevante,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Comitete sectoriale pentru specialităţile relevante din sectoarele prioritare instituite; rapoarte de activitate a comitetelor sectoriale funcţionale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Elaborarea standardelor ocupaţionale şi educaţionale, întîietate urmînd a se oferi sectoarelor prioritare identificate în prezenta Strategie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Muncii, Protecţiei Sociale şi Familiei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Toate ministerele de resort, comitetele sectoriale, organizaţiile neguvernamentale relevante, reprezentanţii sectorului privat </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Standarde ocupaţionale în sectoarele prioritare identificate în prezenta Strategie elaborate; standarde ocupaţionale pentru toate industriile elaborate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Instituirea şi dezvoltarea centrelor de excelenţă de pregătire profesională,  întîietate urmînd a se oferi sectoarelor prioritare identificate în prezenta Strategie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Educaţiei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Toate ministerele de resort, ONG-uri relevante,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10 centre de excelenţă funcţionale instituite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Evaluarea periodică externă a relevanţei şi calităţii studiilor în sectorul educaţiei profesionale, precum şi a procesului tranziţiei de la şcoală la muncă</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100 de zile de consultanţă din partea unei companii independente</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Educaţiei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Ministerul Economiei, Ministerul Muncii, Protecţiei Sociale </w:t>
            </w:r>
          </w:p>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şi Familiei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2016, 2018, 2020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300,000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 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color w:val="000000"/>
                <w:sz w:val="20"/>
                <w:szCs w:val="20"/>
                <w:lang w:val="ro-RO"/>
              </w:rPr>
              <w:t xml:space="preserve">3 rapoarte  privind rezultatele evaluării, cu propuneri de îmbunătăţire </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Analiza necesităţilor pieţei muncii în vederea elaborării planurilor de înmatriculare şi de studii în şcolile şi colegiile profesionale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Educaţiei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Ministerul Muncii, Protecţiei Sociale</w:t>
            </w:r>
          </w:p>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şi Familiei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Începînd cu 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Analiză privind necesităţile pieţei muncii elaborată</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Elaborarea studiilor de prognozare privind  necesităţile de înzestrare tehnologică a economiei şi utilizarea acestora la actualizarea curriculumului în sectorul educaţiei profesionale pe termen mediu şi lung</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150 de zile de consultanţă pentru elaborarea studiilor</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sz w:val="20"/>
                <w:szCs w:val="20"/>
                <w:lang w:val="ro-RO"/>
              </w:rPr>
            </w:pPr>
            <w:r w:rsidRPr="001B79BB">
              <w:rPr>
                <w:rFonts w:ascii="Times New Roman" w:hAnsi="Times New Roman"/>
                <w:sz w:val="20"/>
                <w:szCs w:val="20"/>
                <w:lang w:val="ro-RO"/>
              </w:rPr>
              <w:t>Ministerul Muncii, Protecţiei Sociale</w:t>
            </w:r>
          </w:p>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sz w:val="20"/>
                <w:szCs w:val="20"/>
                <w:lang w:val="ro-RO"/>
              </w:rPr>
              <w:t>şi Familiei</w:t>
            </w:r>
            <w:r w:rsidRPr="001B79BB">
              <w:rPr>
                <w:rFonts w:ascii="Times New Roman" w:hAnsi="Times New Roman"/>
                <w:color w:val="000000"/>
                <w:sz w:val="20"/>
                <w:szCs w:val="20"/>
                <w:lang w:val="ro-RO"/>
              </w:rPr>
              <w:t>; Ministerul Educaţiei,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Începînd cu 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450,000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3 studii elaborate în 2016, 2018 şi 2020; curriculum în educaţia profesională actualizat</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Asigurarea formării profesionale practice pentru instructorii/maiştrii care oferă instruire în şcolile profesionale şi colegii în sectoarele prioritare identificate în prezenta Strategie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Educaţiei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400,000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Cîte 100 de instructori pregătiţi în fiecare an</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Revizuirea şi actualizarea, cu participarea angajatorilor, a specificaţiilor tehnice, a normelor şi standardelor utilizate în sectorul învăţămîntului şi formării profesionale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Educaţiei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Ministerul Economiei, reprezentanţii sectorului privat </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Actualizare a tuturor  specificaţiilor tehnice, a normelor şi standardelor utilizate în domeniul educaţiei profesionale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Continuarea  modernizării tehnologice a şcolilor profesionale care pregătesc specialişti pentru sectoarele prioritare identificate în prezenta Strategie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Educaţiei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Ministrul Finanţelor, Ministerul Muncii, Protecţiei Sociale </w:t>
            </w:r>
          </w:p>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şi Familiei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Începînd cu 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Costul va fi estimat în cadrul elaborării Cadrului Bugetar pe Termen Mediu pentru </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2017-2019</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Surse bugetare</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Număr al </w:t>
            </w:r>
            <w:r w:rsidRPr="001B79BB">
              <w:rPr>
                <w:rFonts w:ascii="Times New Roman" w:hAnsi="Times New Roman"/>
                <w:sz w:val="20"/>
                <w:szCs w:val="20"/>
                <w:lang w:val="ro-RO"/>
              </w:rPr>
              <w:t>şcolilor profesionale dotate cu utilaj modern</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Accelerarea trecerii la modelul dual de educaţie profesională în domeniile din sectoarele prioritare prevăzute de prezenta Strategie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Ministerul Educaţiei </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Ministerul Economiei, Ministerul Educaţiei, Ministerul Muncii, Protecţiei Sociale </w:t>
            </w:r>
          </w:p>
          <w:p w:rsidR="00C92E98" w:rsidRPr="001B79BB" w:rsidRDefault="00C92E98" w:rsidP="007263C9">
            <w:pPr>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şi Familiei, Camera de Comerţ şi Industrie, reprezentanţii  sectorului privat</w:t>
            </w:r>
          </w:p>
          <w:p w:rsidR="00C92E98" w:rsidRPr="001B79BB" w:rsidRDefault="00C92E98" w:rsidP="007263C9">
            <w:pPr>
              <w:spacing w:after="0" w:line="240" w:lineRule="auto"/>
              <w:ind w:right="-105"/>
              <w:rPr>
                <w:rFonts w:ascii="Times New Roman" w:hAnsi="Times New Roman"/>
                <w:color w:val="000000"/>
                <w:sz w:val="20"/>
                <w:szCs w:val="20"/>
                <w:lang w:val="ro-RO"/>
              </w:rPr>
            </w:pPr>
          </w:p>
          <w:p w:rsidR="00C92E98" w:rsidRPr="001B79BB" w:rsidRDefault="00C92E98" w:rsidP="007263C9">
            <w:pPr>
              <w:spacing w:after="0" w:line="240" w:lineRule="auto"/>
              <w:ind w:right="-105"/>
              <w:rPr>
                <w:rFonts w:ascii="Times New Roman" w:hAnsi="Times New Roman"/>
                <w:color w:val="000000"/>
                <w:sz w:val="20"/>
                <w:szCs w:val="20"/>
                <w:lang w:val="ro-RO"/>
              </w:rPr>
            </w:pPr>
          </w:p>
          <w:p w:rsidR="00C92E98" w:rsidRPr="001B79BB" w:rsidRDefault="00C92E98" w:rsidP="007263C9">
            <w:pPr>
              <w:spacing w:after="0" w:line="240" w:lineRule="auto"/>
              <w:ind w:right="-105"/>
              <w:rPr>
                <w:rFonts w:ascii="Times New Roman" w:hAnsi="Times New Roman"/>
                <w:color w:val="000000"/>
                <w:sz w:val="20"/>
                <w:szCs w:val="20"/>
                <w:lang w:val="ro-RO"/>
              </w:rPr>
            </w:pPr>
          </w:p>
          <w:p w:rsidR="00C92E98" w:rsidRPr="001B79BB" w:rsidRDefault="00C92E98" w:rsidP="007263C9">
            <w:pPr>
              <w:spacing w:after="0" w:line="240" w:lineRule="auto"/>
              <w:ind w:right="-105"/>
              <w:rPr>
                <w:rFonts w:ascii="Times New Roman" w:hAnsi="Times New Roman"/>
                <w:color w:val="000000"/>
                <w:sz w:val="20"/>
                <w:szCs w:val="20"/>
                <w:lang w:val="ro-RO"/>
              </w:rPr>
            </w:pPr>
          </w:p>
          <w:p w:rsidR="00C92E98" w:rsidRPr="001B79BB" w:rsidRDefault="00C92E98" w:rsidP="007263C9">
            <w:pPr>
              <w:spacing w:after="0" w:line="240" w:lineRule="auto"/>
              <w:ind w:right="-105"/>
              <w:rPr>
                <w:rFonts w:ascii="Times New Roman" w:hAnsi="Times New Roman"/>
                <w:color w:val="000000"/>
                <w:sz w:val="20"/>
                <w:szCs w:val="20"/>
                <w:lang w:val="ro-RO"/>
              </w:rPr>
            </w:pP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Cadrul legislativ pentru implementarea sistemului dual elaborat</w:t>
            </w:r>
          </w:p>
        </w:tc>
      </w:tr>
      <w:tr w:rsidR="00C92E98" w:rsidRPr="001B79BB" w:rsidTr="007263C9">
        <w:tblPrEx>
          <w:shd w:val="clear" w:color="auto" w:fill="auto"/>
        </w:tblPrEx>
        <w:trPr>
          <w:cantSplit/>
          <w:trHeight w:val="294"/>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i/>
                <w:color w:val="000000"/>
                <w:sz w:val="20"/>
                <w:szCs w:val="20"/>
                <w:lang w:val="ro-RO"/>
              </w:rPr>
            </w:pPr>
            <w:r w:rsidRPr="001B79BB">
              <w:rPr>
                <w:rFonts w:ascii="Times New Roman" w:hAnsi="Times New Roman"/>
                <w:i/>
                <w:sz w:val="20"/>
                <w:szCs w:val="20"/>
                <w:lang w:val="ro-RO"/>
              </w:rPr>
              <w:t>B2. Modernizarea legislaţiei muncii şi a legislaţiei privind imigrarea de muncă</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sz w:val="20"/>
                <w:szCs w:val="20"/>
                <w:lang w:val="ro-RO"/>
              </w:rPr>
              <w:t xml:space="preserve">Modificarea, în cadrul sistemului de parteneriat social, a legislaţiei muncii, în scopul de a  asigura respectarea drepturilor şi intereselor ambelor părţi ale raportului de muncă </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Muncii, Protecţiei Sociale şi Familiei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Ministerul Educaţiei,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300,000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Ajustări corespunzătoare a legislaţiei muncii</w:t>
            </w:r>
          </w:p>
        </w:tc>
      </w:tr>
      <w:tr w:rsidR="00C92E98" w:rsidRPr="001B79BB" w:rsidTr="007263C9">
        <w:tblPrEx>
          <w:shd w:val="clear" w:color="auto" w:fill="auto"/>
        </w:tblPrEx>
        <w:trPr>
          <w:cantSplit/>
          <w:trHeight w:val="1243"/>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sz w:val="20"/>
                <w:szCs w:val="20"/>
                <w:lang w:val="ro-RO"/>
              </w:rPr>
              <w:t>Revizuirea şi raţionalizarea legislaţiei cu privire la migraţia muncii în partea ce reglementează invitarea, acordarea permisului de şedere, angajarea specialiştilor străini de înaltă calificare şi a persoanelor care gestionează investiţiile străine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Muncii, Protecţiei Sociale şi Familiei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Ministerul Afacerilor Interne,  Ministerul Afacerilor Externe şi Integrării Europene,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Ajustări corespunzătoare a legislaţiei muncii</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Adoptarea unor proceduri de control şi monitorizare bazate pe evaluarea riscurilor în activitatea organelor de control în domeniul politicii de imigraţie; „demilitarizarea” culturală şi instituţională a organelor administrative în domeniul migraţiei şi azilului</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Afacerilor Interne</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Muncii, Protecţiei Sociale şi Familiei, Ministerul Economiei, reprezentanţii  sectorului privat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 suplimentare nu vor fi suportate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sz w:val="20"/>
                <w:szCs w:val="20"/>
                <w:lang w:val="ro-RO"/>
              </w:rPr>
              <w:t>Proceduri de control şi monitorizare implementate</w:t>
            </w:r>
          </w:p>
        </w:tc>
      </w:tr>
      <w:tr w:rsidR="00C92E98" w:rsidRPr="001B79BB" w:rsidTr="007263C9">
        <w:tblPrEx>
          <w:shd w:val="clear" w:color="auto" w:fill="auto"/>
        </w:tblPrEx>
        <w:trPr>
          <w:cantSplit/>
          <w:trHeight w:val="187"/>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i/>
                <w:color w:val="000000"/>
                <w:sz w:val="20"/>
                <w:szCs w:val="20"/>
                <w:lang w:val="ro-RO"/>
              </w:rPr>
            </w:pPr>
            <w:r w:rsidRPr="001B79BB">
              <w:rPr>
                <w:rFonts w:ascii="Times New Roman" w:hAnsi="Times New Roman"/>
                <w:i/>
                <w:color w:val="000000"/>
                <w:sz w:val="20"/>
                <w:szCs w:val="20"/>
                <w:lang w:val="ro-RO"/>
              </w:rPr>
              <w:t xml:space="preserve">B3. </w:t>
            </w:r>
            <w:r w:rsidRPr="001B79BB">
              <w:rPr>
                <w:rFonts w:ascii="Times New Roman" w:hAnsi="Times New Roman"/>
                <w:i/>
                <w:sz w:val="20"/>
                <w:szCs w:val="20"/>
                <w:lang w:val="ro-RO"/>
              </w:rPr>
              <w:t>Introducerea unui sistem de măsuri încurajatoare pentru instruirea angajaţilor</w:t>
            </w:r>
          </w:p>
        </w:tc>
      </w:tr>
      <w:tr w:rsidR="00C92E98" w:rsidRPr="001B79BB" w:rsidTr="007263C9">
        <w:tblPrEx>
          <w:shd w:val="clear" w:color="auto" w:fill="auto"/>
        </w:tblPrEx>
        <w:trPr>
          <w:cantSplit/>
          <w:trHeight w:val="913"/>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sz w:val="20"/>
                <w:szCs w:val="20"/>
                <w:lang w:val="ro-RO"/>
              </w:rPr>
              <w:t>Elaborarea unui sistem de subvenţii pentru crearea noilor locuri de muncă şi/sau pregătirea profesională a cadrelor noi angajate, în baza unor criterii precum: numărul de locuri de muncă noi, rata şomajului în raionul respectiv şi alte criterii de impact</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Ministerul Educaţiei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Ministerele de resort</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Concept al sistemului de subvenţii elaborat</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Definirea unui sistem de recunoaştere şi apreciere a educaţiei informale şi nonformale de către angajatori şi angajaţi</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50 de zile de consultanţă pentru elaborarea conceptului sistemului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Educaţiei</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Ministerul Economiei, </w:t>
            </w:r>
            <w:r w:rsidRPr="001B79BB">
              <w:rPr>
                <w:rFonts w:ascii="Times New Roman" w:hAnsi="Times New Roman"/>
                <w:sz w:val="20"/>
                <w:szCs w:val="20"/>
                <w:lang w:val="ro-RO"/>
              </w:rPr>
              <w:t>Agenţia Naţională pentru Ocuparea Forţei de Muncă</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150,000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Concept al sistemului de recunoaştere definit; educaţia informală şi nonformală recunoscută prin modificări relevante la cadrul legal</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Evaluarea relevanţei şi calităţii serviciilor de instruire prestate în cadrul programului de instruire profesională administrat de Agenţia Naţională pentru Ocuparea Forţei de Muncă şi adaptarea acestuia la necesităţile sectoarelor prioritare identificate în prezenta Strategie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100 de zile de consultanţă </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Educaţiei, Ministerul Muncii, Protecţiei Sociale şi Familiei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sz w:val="20"/>
                <w:szCs w:val="20"/>
                <w:lang w:val="ro-RO"/>
              </w:rPr>
              <w:t>Agenţia Naţională pentru Ocuparea Forţei de Muncă</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300,000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Studiu de evaluare efectuat; program de instruire al Agenţiei Naţionale de Ocupare a Forţei de Muncă adaptat la recomandările studiului</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Integrarea măsurilor de dezvoltare a forţei de muncă pentru companiile agricole orientate spre export în măsurile prevăzute de Fondul pentru susţinere a producătorilor agricoli</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Agriculturii şi Industriei Alimentare</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sz w:val="20"/>
                <w:szCs w:val="20"/>
                <w:lang w:val="ro-RO"/>
              </w:rPr>
            </w:pPr>
            <w:r w:rsidRPr="001B79BB">
              <w:rPr>
                <w:rFonts w:ascii="Times New Roman" w:hAnsi="Times New Roman"/>
                <w:sz w:val="20"/>
                <w:szCs w:val="20"/>
                <w:lang w:val="ro-RO"/>
              </w:rPr>
              <w:t>Ministerul Educaţiei, 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Măsuri de dezvoltare a forţei de muncă pentru companiile agricole orientate spre export integrate în Fondul pentru susţinerea producătorilor agricoli</w:t>
            </w:r>
          </w:p>
          <w:p w:rsidR="00C92E98" w:rsidRPr="001B79BB" w:rsidRDefault="00C92E98" w:rsidP="007263C9">
            <w:pPr>
              <w:tabs>
                <w:tab w:val="left" w:pos="709"/>
              </w:tabs>
              <w:spacing w:after="0" w:line="240" w:lineRule="auto"/>
              <w:rPr>
                <w:rFonts w:ascii="Times New Roman" w:hAnsi="Times New Roman"/>
                <w:sz w:val="20"/>
                <w:szCs w:val="20"/>
                <w:lang w:val="ro-RO"/>
              </w:rPr>
            </w:pPr>
          </w:p>
          <w:p w:rsidR="00C92E98" w:rsidRPr="001B79BB" w:rsidRDefault="00C92E98" w:rsidP="007263C9">
            <w:pPr>
              <w:tabs>
                <w:tab w:val="left" w:pos="709"/>
              </w:tabs>
              <w:spacing w:after="0" w:line="240" w:lineRule="auto"/>
              <w:rPr>
                <w:rFonts w:ascii="Times New Roman" w:hAnsi="Times New Roman"/>
                <w:sz w:val="20"/>
                <w:szCs w:val="20"/>
                <w:lang w:val="ro-RO"/>
              </w:rPr>
            </w:pPr>
          </w:p>
          <w:p w:rsidR="00C92E98" w:rsidRPr="001B79BB" w:rsidRDefault="00C92E98" w:rsidP="007263C9">
            <w:pPr>
              <w:tabs>
                <w:tab w:val="left" w:pos="709"/>
              </w:tabs>
              <w:spacing w:after="0" w:line="240" w:lineRule="auto"/>
              <w:rPr>
                <w:rFonts w:ascii="Times New Roman" w:hAnsi="Times New Roman"/>
                <w:sz w:val="20"/>
                <w:szCs w:val="20"/>
                <w:lang w:val="ro-RO"/>
              </w:rPr>
            </w:pPr>
          </w:p>
          <w:p w:rsidR="00C92E98" w:rsidRPr="001B79BB" w:rsidRDefault="00C92E98" w:rsidP="007263C9">
            <w:pPr>
              <w:tabs>
                <w:tab w:val="left" w:pos="709"/>
              </w:tabs>
              <w:spacing w:after="0" w:line="240" w:lineRule="auto"/>
              <w:rPr>
                <w:rFonts w:ascii="Times New Roman" w:hAnsi="Times New Roman"/>
                <w:sz w:val="20"/>
                <w:szCs w:val="20"/>
                <w:lang w:val="ro-RO"/>
              </w:rPr>
            </w:pPr>
          </w:p>
          <w:p w:rsidR="00C92E98" w:rsidRPr="001B79BB" w:rsidRDefault="00C92E98" w:rsidP="007263C9">
            <w:pPr>
              <w:tabs>
                <w:tab w:val="left" w:pos="709"/>
              </w:tabs>
              <w:spacing w:after="0" w:line="240" w:lineRule="auto"/>
              <w:rPr>
                <w:rFonts w:ascii="Times New Roman" w:hAnsi="Times New Roman"/>
                <w:sz w:val="20"/>
                <w:szCs w:val="20"/>
                <w:lang w:val="ro-RO"/>
              </w:rPr>
            </w:pPr>
          </w:p>
          <w:p w:rsidR="00C92E98" w:rsidRPr="001B79BB" w:rsidRDefault="00C92E98" w:rsidP="007263C9">
            <w:pPr>
              <w:tabs>
                <w:tab w:val="left" w:pos="709"/>
              </w:tabs>
              <w:spacing w:after="0" w:line="240" w:lineRule="auto"/>
              <w:rPr>
                <w:rFonts w:ascii="Times New Roman" w:hAnsi="Times New Roman"/>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r>
      <w:tr w:rsidR="00C92E98" w:rsidRPr="001B79BB" w:rsidTr="007263C9">
        <w:tblPrEx>
          <w:shd w:val="clear" w:color="auto" w:fill="auto"/>
        </w:tblPrEx>
        <w:trPr>
          <w:cantSplit/>
          <w:trHeight w:val="187"/>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b/>
                <w:bCs/>
                <w:i/>
                <w:iCs/>
                <w:sz w:val="20"/>
                <w:szCs w:val="20"/>
                <w:lang w:val="ro-RO"/>
              </w:rPr>
            </w:pPr>
            <w:r w:rsidRPr="001B79BB">
              <w:rPr>
                <w:rFonts w:ascii="Times New Roman" w:hAnsi="Times New Roman"/>
                <w:b/>
                <w:bCs/>
                <w:i/>
                <w:iCs/>
                <w:sz w:val="20"/>
                <w:szCs w:val="20"/>
                <w:lang w:val="ro-RO"/>
              </w:rPr>
              <w:t xml:space="preserve">C. </w:t>
            </w:r>
            <w:r w:rsidRPr="00684AAF">
              <w:rPr>
                <w:rFonts w:ascii="Times New Roman" w:eastAsia="Times New Roman" w:hAnsi="Times New Roman"/>
                <w:b/>
                <w:bCs/>
                <w:i/>
                <w:sz w:val="20"/>
                <w:szCs w:val="20"/>
                <w:lang w:val="ro-RO"/>
              </w:rPr>
              <w:t>Sporirea calităţii infrastructurii industriale,</w:t>
            </w:r>
            <w:r>
              <w:rPr>
                <w:rFonts w:ascii="Times New Roman" w:eastAsia="Times New Roman" w:hAnsi="Times New Roman"/>
                <w:b/>
                <w:bCs/>
                <w:i/>
                <w:sz w:val="20"/>
                <w:szCs w:val="20"/>
                <w:lang w:val="ro-RO"/>
              </w:rPr>
              <w:t xml:space="preserve"> a</w:t>
            </w:r>
            <w:r w:rsidRPr="00684AAF">
              <w:rPr>
                <w:rFonts w:ascii="Times New Roman" w:eastAsia="Times New Roman" w:hAnsi="Times New Roman"/>
                <w:b/>
                <w:bCs/>
                <w:i/>
                <w:sz w:val="20"/>
                <w:szCs w:val="20"/>
                <w:lang w:val="ro-RO"/>
              </w:rPr>
              <w:t xml:space="preserve"> transportului şi </w:t>
            </w:r>
            <w:r>
              <w:rPr>
                <w:rFonts w:ascii="Times New Roman" w:eastAsia="Times New Roman" w:hAnsi="Times New Roman"/>
                <w:b/>
                <w:bCs/>
                <w:i/>
                <w:sz w:val="20"/>
                <w:szCs w:val="20"/>
                <w:lang w:val="ro-RO"/>
              </w:rPr>
              <w:t xml:space="preserve">a celei </w:t>
            </w:r>
            <w:r w:rsidRPr="00684AAF">
              <w:rPr>
                <w:rFonts w:ascii="Times New Roman" w:eastAsia="Times New Roman" w:hAnsi="Times New Roman"/>
                <w:b/>
                <w:bCs/>
                <w:i/>
                <w:sz w:val="20"/>
                <w:szCs w:val="20"/>
                <w:lang w:val="ro-RO"/>
              </w:rPr>
              <w:t>comerciale pentru dezvoltarea sectoarelor orientate spre export</w:t>
            </w:r>
          </w:p>
        </w:tc>
      </w:tr>
      <w:tr w:rsidR="00C92E98" w:rsidRPr="001B79BB" w:rsidTr="007263C9">
        <w:tblPrEx>
          <w:shd w:val="clear" w:color="auto" w:fill="auto"/>
        </w:tblPrEx>
        <w:trPr>
          <w:cantSplit/>
          <w:trHeight w:val="206"/>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bCs/>
                <w:i/>
                <w:iCs/>
                <w:color w:val="000000"/>
                <w:sz w:val="20"/>
                <w:szCs w:val="20"/>
                <w:lang w:val="ro-RO"/>
              </w:rPr>
            </w:pPr>
            <w:r w:rsidRPr="001B79BB">
              <w:rPr>
                <w:rFonts w:ascii="Times New Roman" w:hAnsi="Times New Roman"/>
                <w:i/>
                <w:iCs/>
                <w:sz w:val="20"/>
                <w:szCs w:val="20"/>
                <w:lang w:val="ro-RO"/>
              </w:rPr>
              <w:t xml:space="preserve">C1. </w:t>
            </w:r>
            <w:r w:rsidRPr="001B79BB">
              <w:rPr>
                <w:rFonts w:ascii="Times New Roman" w:hAnsi="Times New Roman"/>
                <w:bCs/>
                <w:i/>
                <w:iCs/>
                <w:color w:val="000000"/>
                <w:sz w:val="20"/>
                <w:szCs w:val="20"/>
                <w:lang w:val="ro-RO"/>
              </w:rPr>
              <w:t>Dezvoltarea infrastructurii industriale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sz w:val="20"/>
                <w:szCs w:val="20"/>
                <w:lang w:val="ro-RO"/>
              </w:rPr>
              <w:t>Examinarea oportunităţii de a oferi facilităţi fiscale companiilor care investesc resurse proprii în dezvoltarea infrastructurii industriale, prin micşorarea bazei impozabile a impozitului pe venit proporţional volumului investiţiei efectuate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Analiză a impactului de reglementare privind oferirea facilităţilor fiscale </w:t>
            </w:r>
            <w:r w:rsidRPr="001B79BB">
              <w:rPr>
                <w:rFonts w:ascii="Times New Roman" w:hAnsi="Times New Roman"/>
                <w:sz w:val="20"/>
                <w:szCs w:val="20"/>
                <w:lang w:val="ro-RO"/>
              </w:rPr>
              <w:t>companiilor care investesc resurse proprii în dezvoltarea infrastructurii industriale elaborată</w:t>
            </w:r>
          </w:p>
        </w:tc>
      </w:tr>
      <w:tr w:rsidR="00C92E98" w:rsidRPr="001B79BB" w:rsidTr="007263C9">
        <w:tblPrEx>
          <w:shd w:val="clear" w:color="auto" w:fill="auto"/>
        </w:tblPrEx>
        <w:trPr>
          <w:cantSplit/>
          <w:trHeight w:val="255"/>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Actualizarea continuă a bazei de date a Organizaţiei de Atragere a Investiţiilor şi Promovare a Exportului din Moldova privind terenurile şi spaţiile industriale disponibile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autorităţile administraţiei publice locale, Agenţia Relaţii Funciare şi Cadastru</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Bază de date actualizată periodic </w:t>
            </w:r>
          </w:p>
        </w:tc>
      </w:tr>
      <w:tr w:rsidR="00C92E98" w:rsidRPr="001B79BB" w:rsidTr="007263C9">
        <w:tblPrEx>
          <w:shd w:val="clear" w:color="auto" w:fill="auto"/>
        </w:tblPrEx>
        <w:trPr>
          <w:cantSplit/>
          <w:trHeight w:val="255"/>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Examinarea oportunităţii privind modificarea legislaţiei cu privire la privatizare, pentru a asigura vărsarea a cel puţin o parte din încasările din operaţiunile de privatizare într-un fond special/bugetar pentru finanţarea programului de dezvoltare a  infrastructurii industriale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 suplimentare nu vor fi suportate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Examinare efectuată; propuneri elaborate şi promovate</w:t>
            </w:r>
          </w:p>
        </w:tc>
      </w:tr>
      <w:tr w:rsidR="00C92E98" w:rsidRPr="001B79BB" w:rsidTr="007263C9">
        <w:tblPrEx>
          <w:shd w:val="clear" w:color="auto" w:fill="auto"/>
        </w:tblPrEx>
        <w:trPr>
          <w:cantSplit/>
          <w:trHeight w:val="255"/>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684AAF" w:rsidRDefault="00C92E98" w:rsidP="007263C9">
            <w:pPr>
              <w:tabs>
                <w:tab w:val="left" w:pos="709"/>
              </w:tabs>
              <w:spacing w:after="0" w:line="240" w:lineRule="auto"/>
              <w:rPr>
                <w:rFonts w:ascii="Times New Roman" w:eastAsia="Cambria" w:hAnsi="Times New Roman"/>
                <w:sz w:val="20"/>
                <w:szCs w:val="20"/>
                <w:lang w:val="ro-RO"/>
              </w:rPr>
            </w:pPr>
            <w:r w:rsidRPr="00684AAF">
              <w:rPr>
                <w:rFonts w:ascii="Times New Roman" w:eastAsia="Cambria" w:hAnsi="Times New Roman"/>
                <w:sz w:val="20"/>
                <w:szCs w:val="20"/>
                <w:lang w:val="ro-RO"/>
              </w:rPr>
              <w:t xml:space="preserve">Atragerea asistenţei financiare externe (inclusiv credite preferenţiale străine) pentru stimularea dezvoltării infrastructurii industriale </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20 de zile de servicii de consultanţă </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Cancelaria de Stat; Ministerul Finanţelor</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Ministerul Economiei, Ministerul Agriculturii şi Industriei Alimentare, Ministerul Dezvoltării Regionale şi Construcţiilor </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 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Volum al creditelor preferenţiale atrase </w:t>
            </w:r>
          </w:p>
        </w:tc>
      </w:tr>
      <w:tr w:rsidR="00C92E98" w:rsidRPr="001B79BB" w:rsidTr="007263C9">
        <w:tblPrEx>
          <w:shd w:val="clear" w:color="auto" w:fill="auto"/>
        </w:tblPrEx>
        <w:trPr>
          <w:cantSplit/>
          <w:trHeight w:val="255"/>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684AAF" w:rsidRDefault="00C92E98" w:rsidP="007263C9">
            <w:pPr>
              <w:tabs>
                <w:tab w:val="left" w:pos="709"/>
              </w:tabs>
              <w:spacing w:after="0" w:line="240" w:lineRule="auto"/>
              <w:rPr>
                <w:rFonts w:ascii="Times New Roman" w:eastAsia="Cambria" w:hAnsi="Times New Roman"/>
                <w:sz w:val="20"/>
                <w:szCs w:val="20"/>
                <w:lang w:val="ro-RO"/>
              </w:rPr>
            </w:pPr>
            <w:r w:rsidRPr="00684AAF">
              <w:rPr>
                <w:rFonts w:ascii="Times New Roman" w:eastAsia="Cambria" w:hAnsi="Times New Roman"/>
                <w:sz w:val="20"/>
                <w:szCs w:val="20"/>
                <w:lang w:val="ro-RO"/>
              </w:rPr>
              <w:t>Iniţierea programului de construcţie a halelor industriale şi acordarea asistenţei financiare investitorilor care vor construi hale industriale gata de utilizare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Ministerul Finanţelor</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Agriculturii şi Industriei Alimentare, Ministerul Dezvoltării Regionale şi Construcţiilor</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18"/>
                <w:szCs w:val="18"/>
                <w:lang w:val="ro-RO"/>
              </w:rPr>
            </w:pPr>
            <w:r w:rsidRPr="001B79BB">
              <w:rPr>
                <w:rFonts w:ascii="Times New Roman" w:hAnsi="Times New Roman"/>
                <w:color w:val="000000"/>
                <w:sz w:val="18"/>
                <w:szCs w:val="18"/>
                <w:lang w:val="ro-RO"/>
              </w:rPr>
              <w:t>100,000,000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Suprafaţă halelor industriale date în exploatare; număr de locuri de muncă create</w:t>
            </w:r>
          </w:p>
        </w:tc>
      </w:tr>
      <w:tr w:rsidR="00C92E98" w:rsidRPr="001B79BB" w:rsidTr="007263C9">
        <w:tblPrEx>
          <w:shd w:val="clear" w:color="auto" w:fill="auto"/>
        </w:tblPrEx>
        <w:trPr>
          <w:cantSplit/>
          <w:trHeight w:val="292"/>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color w:val="000000"/>
                <w:sz w:val="20"/>
                <w:szCs w:val="20"/>
                <w:lang w:val="ro-RO"/>
              </w:rPr>
            </w:pPr>
            <w:r w:rsidRPr="001B79BB">
              <w:rPr>
                <w:rFonts w:ascii="Times New Roman" w:hAnsi="Times New Roman"/>
                <w:i/>
                <w:iCs/>
                <w:sz w:val="20"/>
                <w:szCs w:val="20"/>
                <w:lang w:val="ro-RO"/>
              </w:rPr>
              <w:t>C2. Dezvoltarea în continuare a infrastructurii (inclusiv nemateriale) de susţinere a investiţiilor şi exporturilor</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684AAF" w:rsidRDefault="00C92E98" w:rsidP="007263C9">
            <w:pPr>
              <w:tabs>
                <w:tab w:val="left" w:pos="709"/>
              </w:tabs>
              <w:spacing w:after="0" w:line="240" w:lineRule="auto"/>
              <w:rPr>
                <w:rFonts w:ascii="Times New Roman" w:eastAsia="Cambria" w:hAnsi="Times New Roman"/>
                <w:sz w:val="20"/>
                <w:szCs w:val="20"/>
                <w:lang w:val="ro-RO"/>
              </w:rPr>
            </w:pPr>
            <w:r w:rsidRPr="00684AAF">
              <w:rPr>
                <w:rFonts w:ascii="Times New Roman" w:eastAsia="Cambria" w:hAnsi="Times New Roman"/>
                <w:sz w:val="20"/>
                <w:szCs w:val="20"/>
                <w:lang w:val="ro-RO"/>
              </w:rPr>
              <w:t>Îmbunătăţirea cadrului legislativ ce reglementează activitatea zonei economice libere şi a parcului industrial, pentru a susţine procesul de creare şi dezvoltare acestora</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 administratorii zonei economice libere şi a parcurilor industriale</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Cadru legislativ ce reglementează activitatea </w:t>
            </w:r>
            <w:r w:rsidRPr="00684AAF">
              <w:rPr>
                <w:rFonts w:ascii="Times New Roman" w:eastAsia="Cambria" w:hAnsi="Times New Roman"/>
                <w:sz w:val="20"/>
                <w:szCs w:val="20"/>
                <w:lang w:val="ro-RO"/>
              </w:rPr>
              <w:t xml:space="preserve">zonei economice libere şi a parcului industrial, </w:t>
            </w:r>
            <w:r w:rsidRPr="001B79BB">
              <w:rPr>
                <w:rFonts w:ascii="Times New Roman" w:hAnsi="Times New Roman"/>
                <w:color w:val="000000"/>
                <w:sz w:val="20"/>
                <w:szCs w:val="20"/>
                <w:lang w:val="ro-RO"/>
              </w:rPr>
              <w:t xml:space="preserve"> îmbunătăţit</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684AAF" w:rsidRDefault="00C92E98" w:rsidP="007263C9">
            <w:pPr>
              <w:tabs>
                <w:tab w:val="left" w:pos="709"/>
              </w:tabs>
              <w:spacing w:after="0" w:line="240" w:lineRule="auto"/>
              <w:rPr>
                <w:rFonts w:ascii="Times New Roman" w:eastAsia="Cambria" w:hAnsi="Times New Roman"/>
                <w:sz w:val="20"/>
                <w:szCs w:val="20"/>
                <w:lang w:val="ro-RO"/>
              </w:rPr>
            </w:pPr>
            <w:r w:rsidRPr="00684AAF">
              <w:rPr>
                <w:rFonts w:ascii="Times New Roman" w:eastAsia="Cambria" w:hAnsi="Times New Roman"/>
                <w:sz w:val="20"/>
                <w:szCs w:val="20"/>
                <w:lang w:val="ro-RO"/>
              </w:rPr>
              <w:t>Evaluarea impactului şi relevanţei zonelor economice libere, parcului industrial, parcurilor ştiinţifico-tehnologice, parcurilor din industria tehnologiei informaţi</w:t>
            </w:r>
            <w:r>
              <w:rPr>
                <w:rFonts w:ascii="Times New Roman" w:eastAsia="Cambria" w:hAnsi="Times New Roman"/>
                <w:sz w:val="20"/>
                <w:szCs w:val="20"/>
                <w:lang w:val="ro-RO"/>
              </w:rPr>
              <w:t>ei</w:t>
            </w:r>
            <w:r w:rsidRPr="00684AAF">
              <w:rPr>
                <w:rFonts w:ascii="Times New Roman" w:eastAsia="Cambria" w:hAnsi="Times New Roman"/>
                <w:sz w:val="20"/>
                <w:szCs w:val="20"/>
                <w:lang w:val="ro-RO"/>
              </w:rPr>
              <w:t xml:space="preserve"> şi comunicaţiilor, cu elaborarea concluziilor de rigoare şi a propunerilor de eficientizare a activităţii acestora</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Agenţia de Dezvoltare Regională, administratorii </w:t>
            </w:r>
            <w:r w:rsidRPr="00684AAF">
              <w:rPr>
                <w:rFonts w:ascii="Times New Roman" w:eastAsia="Cambria" w:hAnsi="Times New Roman"/>
                <w:sz w:val="20"/>
                <w:szCs w:val="20"/>
                <w:lang w:val="ro-RO"/>
              </w:rPr>
              <w:t>zonelor economice libere,  parcurilor industriale</w:t>
            </w:r>
            <w:r w:rsidRPr="001B79BB">
              <w:rPr>
                <w:rFonts w:ascii="Times New Roman" w:hAnsi="Times New Roman"/>
                <w:color w:val="000000"/>
                <w:sz w:val="20"/>
                <w:szCs w:val="20"/>
                <w:lang w:val="ro-RO"/>
              </w:rPr>
              <w:t xml:space="preserve">, parcurilor ştiinţifico-tehnologice </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Impactul şi relevanţa evaluate; Concluziile şi propunerile de rigoare elaborate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684AAF" w:rsidRDefault="00C92E98" w:rsidP="007263C9">
            <w:pPr>
              <w:tabs>
                <w:tab w:val="left" w:pos="709"/>
              </w:tabs>
              <w:spacing w:after="0" w:line="240" w:lineRule="auto"/>
              <w:rPr>
                <w:rFonts w:ascii="Times New Roman" w:eastAsia="Cambria" w:hAnsi="Times New Roman"/>
                <w:sz w:val="20"/>
                <w:szCs w:val="20"/>
                <w:lang w:val="ro-RO"/>
              </w:rPr>
            </w:pPr>
            <w:r w:rsidRPr="00684AAF">
              <w:rPr>
                <w:rFonts w:ascii="Times New Roman" w:eastAsia="Cambria" w:hAnsi="Times New Roman"/>
                <w:sz w:val="20"/>
                <w:szCs w:val="20"/>
                <w:lang w:val="ro-RO"/>
              </w:rPr>
              <w:t>Examinarea oportunităţii de a modifica cadrul legislativ prin concentrarea într-o singură lege a tuturor dispoziţiilor care reglementează activitatea zonelor economice libere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r w:rsidRPr="00684AAF">
              <w:rPr>
                <w:rFonts w:ascii="Times New Roman" w:eastAsia="Cambria" w:hAnsi="Times New Roman"/>
                <w:sz w:val="20"/>
                <w:szCs w:val="20"/>
                <w:lang w:val="ro-RO"/>
              </w:rPr>
              <w:t xml:space="preserve">zonele economice libere  </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 suplimentare nu vor fi suportate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Propuneri elaborate </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684AAF" w:rsidRDefault="00C92E98" w:rsidP="007263C9">
            <w:pPr>
              <w:tabs>
                <w:tab w:val="left" w:pos="709"/>
              </w:tabs>
              <w:spacing w:after="0" w:line="240" w:lineRule="auto"/>
              <w:rPr>
                <w:rFonts w:ascii="Times New Roman" w:eastAsia="Cambria" w:hAnsi="Times New Roman"/>
                <w:sz w:val="20"/>
                <w:szCs w:val="20"/>
                <w:lang w:val="ro-RO"/>
              </w:rPr>
            </w:pPr>
            <w:r w:rsidRPr="00684AAF">
              <w:rPr>
                <w:rFonts w:ascii="Times New Roman" w:eastAsia="Cambria" w:hAnsi="Times New Roman"/>
                <w:sz w:val="20"/>
                <w:szCs w:val="20"/>
                <w:lang w:val="ro-RO"/>
              </w:rPr>
              <w:t>Susţinerea procesului de creare şi dezvoltare a zonelor economice libere, a parcurilor industriale, a clusterelor, a parcurilor ştiinţifice tehnologice ca instrumente de atragere a investiţiilor şi promovare a exporturilor</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r w:rsidRPr="00684AAF">
              <w:rPr>
                <w:rFonts w:ascii="Times New Roman" w:eastAsia="Cambria" w:hAnsi="Times New Roman"/>
                <w:sz w:val="20"/>
                <w:szCs w:val="20"/>
                <w:lang w:val="ro-RO"/>
              </w:rPr>
              <w:t>zonele economice libere,    parcurile industriale</w:t>
            </w:r>
            <w:r w:rsidRPr="001B79BB">
              <w:rPr>
                <w:rFonts w:ascii="Times New Roman" w:hAnsi="Times New Roman"/>
                <w:color w:val="000000"/>
                <w:sz w:val="20"/>
                <w:szCs w:val="20"/>
                <w:lang w:val="ro-RO"/>
              </w:rPr>
              <w:t>, Agenţia de Dezvoltare Regională, autorităţile municipale, donatorii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Costurile vor fi estimate în baza proiectelor ce vor fi iniţiate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Fondul Naţional de Dezvoltare Regională, investitorii privaţi şi alte surse</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Număr de </w:t>
            </w:r>
            <w:r w:rsidRPr="00684AAF">
              <w:rPr>
                <w:rFonts w:ascii="Times New Roman" w:eastAsia="Cambria" w:hAnsi="Times New Roman"/>
                <w:sz w:val="20"/>
                <w:szCs w:val="20"/>
                <w:lang w:val="ro-RO"/>
              </w:rPr>
              <w:t>zone economice libere,  parcuri industriale</w:t>
            </w:r>
            <w:r w:rsidRPr="001B79BB">
              <w:rPr>
                <w:rFonts w:ascii="Times New Roman" w:hAnsi="Times New Roman"/>
                <w:color w:val="000000"/>
                <w:sz w:val="20"/>
                <w:szCs w:val="20"/>
                <w:lang w:val="ro-RO"/>
              </w:rPr>
              <w:t>,  clustere, parcuri ştiinţifice tehnologice create/dezvol-tate</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684AAF" w:rsidRDefault="00C92E98" w:rsidP="007263C9">
            <w:pPr>
              <w:tabs>
                <w:tab w:val="left" w:pos="709"/>
              </w:tabs>
              <w:spacing w:after="0" w:line="240" w:lineRule="auto"/>
              <w:rPr>
                <w:rFonts w:ascii="Times New Roman" w:eastAsia="Cambria" w:hAnsi="Times New Roman"/>
                <w:sz w:val="20"/>
                <w:szCs w:val="20"/>
                <w:lang w:val="ro-RO"/>
              </w:rPr>
            </w:pPr>
            <w:r w:rsidRPr="00684AAF">
              <w:rPr>
                <w:rFonts w:ascii="Times New Roman" w:eastAsia="Cambria" w:hAnsi="Times New Roman"/>
                <w:sz w:val="20"/>
                <w:szCs w:val="20"/>
                <w:lang w:val="ro-RO"/>
              </w:rPr>
              <w:t>Crearea parcurilor din industria tehnologiei informaţiei, cu dimensiuni şi facilităţi care să coreleze cu necesităţile şi potenţialul industriei tehnologiei informaţiei şi comunicaţiilor</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100 de zile de servicii de consultanţă</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18"/>
                <w:szCs w:val="18"/>
                <w:lang w:val="ro-RO"/>
              </w:rPr>
            </w:pPr>
            <w:r w:rsidRPr="001B79BB">
              <w:rPr>
                <w:rFonts w:ascii="Times New Roman" w:hAnsi="Times New Roman"/>
                <w:color w:val="000000"/>
                <w:sz w:val="18"/>
                <w:szCs w:val="18"/>
                <w:lang w:val="ro-RO"/>
              </w:rPr>
              <w:t xml:space="preserve">Ministerul Tehnologiei Informaţiei şi Comunicaţiilor </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Organizaţia de Atragere a Investiţiilor şi Promovare a Exportului din Moldova</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 parc creat pînă în 2018;                 2 parcuri create pînă în 2020</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684AAF" w:rsidRDefault="00C92E98" w:rsidP="007263C9">
            <w:pPr>
              <w:tabs>
                <w:tab w:val="left" w:pos="709"/>
              </w:tabs>
              <w:spacing w:after="0" w:line="240" w:lineRule="auto"/>
              <w:rPr>
                <w:rFonts w:ascii="Times New Roman" w:eastAsia="Cambria" w:hAnsi="Times New Roman"/>
                <w:sz w:val="20"/>
                <w:szCs w:val="20"/>
                <w:lang w:val="ro-RO"/>
              </w:rPr>
            </w:pPr>
            <w:r w:rsidRPr="00684AAF">
              <w:rPr>
                <w:rFonts w:ascii="Times New Roman" w:eastAsia="Cambria" w:hAnsi="Times New Roman"/>
                <w:sz w:val="20"/>
                <w:szCs w:val="20"/>
                <w:lang w:val="ro-RO"/>
              </w:rPr>
              <w:t>Acordarea ajutorului metodologic administratorilor zonelor economice libere  şi parcurilor industriale în scopul îmbunătăţirii managementului şi eficientizării activităţii acestora</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r w:rsidRPr="00684AAF">
              <w:rPr>
                <w:rFonts w:ascii="Times New Roman" w:eastAsia="Cambria" w:hAnsi="Times New Roman"/>
                <w:sz w:val="20"/>
                <w:szCs w:val="20"/>
                <w:lang w:val="ro-RO"/>
              </w:rPr>
              <w:t>zonele economice libere,  parcurile industriale</w:t>
            </w:r>
            <w:r w:rsidRPr="001B79BB">
              <w:rPr>
                <w:rFonts w:ascii="Times New Roman" w:hAnsi="Times New Roman"/>
                <w:color w:val="000000"/>
                <w:sz w:val="20"/>
                <w:szCs w:val="20"/>
                <w:lang w:val="ro-RO"/>
              </w:rPr>
              <w:t>,  Agenţia de Dezvoltare Regională, autorităţile municipale, donatorii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Număr de administratori instruiţi; număr de z</w:t>
            </w:r>
            <w:r w:rsidRPr="00684AAF">
              <w:rPr>
                <w:rFonts w:ascii="Times New Roman" w:eastAsia="Cambria" w:hAnsi="Times New Roman"/>
                <w:sz w:val="20"/>
                <w:szCs w:val="20"/>
                <w:lang w:val="ro-RO"/>
              </w:rPr>
              <w:t xml:space="preserve">one economice libere  şi parcuri industriale, </w:t>
            </w:r>
            <w:r w:rsidRPr="001B79BB">
              <w:rPr>
                <w:rFonts w:ascii="Times New Roman" w:hAnsi="Times New Roman"/>
                <w:color w:val="000000"/>
                <w:sz w:val="20"/>
                <w:szCs w:val="20"/>
                <w:lang w:val="ro-RO"/>
              </w:rPr>
              <w:t>cu management al administraţiei îmbunătăţit şi eficientizat</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684AAF" w:rsidRDefault="00C92E98" w:rsidP="007263C9">
            <w:pPr>
              <w:tabs>
                <w:tab w:val="left" w:pos="709"/>
              </w:tabs>
              <w:spacing w:after="0" w:line="240" w:lineRule="auto"/>
              <w:rPr>
                <w:rFonts w:ascii="Times New Roman" w:eastAsia="Cambria" w:hAnsi="Times New Roman"/>
                <w:sz w:val="20"/>
                <w:szCs w:val="20"/>
                <w:lang w:val="ro-RO"/>
              </w:rPr>
            </w:pPr>
            <w:r w:rsidRPr="00684AAF">
              <w:rPr>
                <w:rFonts w:ascii="Times New Roman" w:eastAsia="Cambria" w:hAnsi="Times New Roman"/>
                <w:sz w:val="20"/>
                <w:szCs w:val="20"/>
                <w:lang w:val="ro-RO"/>
              </w:rPr>
              <w:t>Monitorizarea respectării de către întreprinderi a standardelor de protecţie a mediului, a protecţiei resurselor naturale, a normelor de securitate energetică şi eficienţă energetică. Aprobarea termenelor pentru efectuarea inspecţiilor şi asigurarea transparenţei acestora</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Mediului,</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Inspectoratul Energetic de Stat, </w:t>
            </w:r>
            <w:r w:rsidRPr="00684AAF">
              <w:rPr>
                <w:rFonts w:ascii="Times New Roman" w:eastAsia="Cambria" w:hAnsi="Times New Roman"/>
                <w:sz w:val="20"/>
                <w:szCs w:val="20"/>
                <w:lang w:val="ro-RO"/>
              </w:rPr>
              <w:t>zonele economice libere,  parcurile industriale</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Începînd cu 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2 inspecţii pe an; termenele pentru efectuarea inspecţiilor aprobate şi publicate</w:t>
            </w:r>
          </w:p>
          <w:p w:rsidR="00C92E98" w:rsidRPr="001B79BB" w:rsidRDefault="00C92E98" w:rsidP="007263C9">
            <w:pPr>
              <w:tabs>
                <w:tab w:val="left" w:pos="709"/>
              </w:tabs>
              <w:spacing w:after="0" w:line="240" w:lineRule="auto"/>
              <w:rPr>
                <w:rFonts w:ascii="Times New Roman" w:hAnsi="Times New Roman"/>
                <w:sz w:val="20"/>
                <w:szCs w:val="20"/>
                <w:lang w:val="ro-RO"/>
              </w:rPr>
            </w:pPr>
          </w:p>
          <w:p w:rsidR="00C92E98" w:rsidRPr="001B79BB" w:rsidRDefault="00C92E98" w:rsidP="007263C9">
            <w:pPr>
              <w:tabs>
                <w:tab w:val="left" w:pos="709"/>
              </w:tabs>
              <w:spacing w:after="0" w:line="240" w:lineRule="auto"/>
              <w:rPr>
                <w:rFonts w:ascii="Times New Roman" w:hAnsi="Times New Roman"/>
                <w:sz w:val="20"/>
                <w:szCs w:val="20"/>
                <w:lang w:val="ro-RO"/>
              </w:rPr>
            </w:pPr>
          </w:p>
          <w:p w:rsidR="00C92E98" w:rsidRPr="001B79BB" w:rsidRDefault="00C92E98" w:rsidP="007263C9">
            <w:pPr>
              <w:tabs>
                <w:tab w:val="left" w:pos="709"/>
              </w:tabs>
              <w:spacing w:after="0" w:line="240" w:lineRule="auto"/>
              <w:rPr>
                <w:rFonts w:ascii="Times New Roman" w:hAnsi="Times New Roman"/>
                <w:color w:val="FF0000"/>
                <w:sz w:val="20"/>
                <w:szCs w:val="20"/>
                <w:lang w:val="ro-RO"/>
              </w:rPr>
            </w:pPr>
          </w:p>
        </w:tc>
      </w:tr>
      <w:tr w:rsidR="00C92E98" w:rsidRPr="001B79BB" w:rsidTr="007263C9">
        <w:tblPrEx>
          <w:shd w:val="clear" w:color="auto" w:fill="auto"/>
        </w:tblPrEx>
        <w:trPr>
          <w:cantSplit/>
          <w:trHeight w:val="215"/>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b/>
                <w:bCs/>
                <w:i/>
                <w:iCs/>
                <w:sz w:val="20"/>
                <w:szCs w:val="20"/>
                <w:lang w:val="ro-RO"/>
              </w:rPr>
            </w:pPr>
            <w:r w:rsidRPr="001B79BB">
              <w:rPr>
                <w:rFonts w:ascii="Times New Roman" w:hAnsi="Times New Roman"/>
                <w:b/>
                <w:bCs/>
                <w:i/>
                <w:iCs/>
                <w:sz w:val="20"/>
                <w:szCs w:val="20"/>
                <w:lang w:val="ro-RO"/>
              </w:rPr>
              <w:t>D. Maximizarea beneficiilor economice şi de dezvoltare ale investiţiilor străine directe prin consolidarea legăturilor cu economia naţională</w:t>
            </w:r>
          </w:p>
        </w:tc>
      </w:tr>
      <w:tr w:rsidR="00C92E98" w:rsidRPr="001B79BB" w:rsidTr="007263C9">
        <w:tblPrEx>
          <w:shd w:val="clear" w:color="auto" w:fill="auto"/>
        </w:tblPrEx>
        <w:trPr>
          <w:cantSplit/>
          <w:trHeight w:val="215"/>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bCs/>
                <w:i/>
                <w:iCs/>
                <w:sz w:val="20"/>
                <w:szCs w:val="20"/>
                <w:lang w:val="ro-RO"/>
              </w:rPr>
            </w:pPr>
            <w:r w:rsidRPr="001B79BB">
              <w:rPr>
                <w:rFonts w:ascii="Times New Roman" w:hAnsi="Times New Roman"/>
                <w:bCs/>
                <w:i/>
                <w:iCs/>
                <w:sz w:val="20"/>
                <w:szCs w:val="20"/>
                <w:lang w:val="ro-RO"/>
              </w:rPr>
              <w:t>D1. Elaborarea unui sistem mai atractiv de stimulente investiţionale</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Evaluarea periodică a eficienţei facilităţilor pentru investiţii (cele sectoriale, cele disponibile în zonele economice libere şi parcurile industriale, în domeniul eficienţei energetice etc.), a efectului asupra competitivităţii sectoarelor prioritare şi atractivităţii acestora în comparaţie cu ţările concurente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100 de zile de servicii de consultanţă</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2016, 2018,</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300,000</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Evaluări efectuate în 2016, 2018 şi 2020 </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Elaborarea şi implementarea propunerilor de stimulente investiţionale în scopul minimizării practicilor eronate anterioare şi al maximizării efectelor stimulative ale acestora asupra activităţii investiţionale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30 de zile de servicii de consultanţă</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Ministerul Finanţelor, Ministerul Muncii, Protecţiei Sociale</w:t>
            </w:r>
          </w:p>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şi a Familiei, autorităţile administraţiei publice locale</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90,000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Propuneri de facilităţi elaborate şi implementate </w:t>
            </w:r>
          </w:p>
        </w:tc>
      </w:tr>
      <w:tr w:rsidR="00C92E98" w:rsidRPr="001B79BB" w:rsidTr="007263C9">
        <w:tblPrEx>
          <w:shd w:val="clear" w:color="auto" w:fill="auto"/>
        </w:tblPrEx>
        <w:trPr>
          <w:cantSplit/>
          <w:trHeight w:val="265"/>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i/>
                <w:color w:val="000000"/>
                <w:sz w:val="20"/>
                <w:szCs w:val="20"/>
                <w:lang w:val="ro-RO"/>
              </w:rPr>
            </w:pPr>
            <w:r w:rsidRPr="001B79BB">
              <w:rPr>
                <w:rFonts w:ascii="Times New Roman" w:hAnsi="Times New Roman"/>
                <w:i/>
                <w:color w:val="000000"/>
                <w:sz w:val="20"/>
                <w:szCs w:val="20"/>
                <w:lang w:val="ro-RO"/>
              </w:rPr>
              <w:t>D2. Consolidarea legăturilor dintre investiţiile străine directe şi economie</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Introducerea şi instituţionalizarea (cu finanţare pe bază permanentă) a unui program de suport pentru furnizorii autohtoni privind obţinerea certificatelor de calitate (ISO, VDA, QS), instruirea personalului cu funcţii de conducere  pentru asigurarea comenzilor din partea investitorilor străini, obţinerea de finanţări cu costuri reduse pentru achiziţionarea de tehnologii, îmbunătăţirea abilităţilor de vînzări şi a marketingului etc.</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50 de zile de consultanţă pentru pregătirea programului, plus 1 salariat din cadrul  organului responsabil de operarea programului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Camera de Comerţ şi Industrie, Ministerul Economiei, Organizaţia pentru Dezvoltarea Întreprinderilor Mici şi Mijlocii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Începînd cu 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2,000,000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Program iniţiat; cel puţin 100 de beneficiari direcţi pe an</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 xml:space="preserve">Organizarea permanentă a evenimentelor dedicate investiţiilor străine directe –întreprinderilor mici şi mijlocii, la care să participe investitorii prezenţi şi cei potenţiali </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Camera de Comerţ şi Industrie, camerele bilaterale, ambasadele Republicii Moldova de peste hotare</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 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Cel puţin un eveniment organizat pe an</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Armonizarea legislaţiei naţionale cu  standardele internaţionale în activităţile de servicii profesionale (audit, contabilitate, inginerie, arhitectură etc.) şi liberalizarea efectivă a comerţului cu servicii în conformitate cu prevederile Acordului de Asociere dintre Republica Moldova şi Uniunea Europeană</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100 de zile de consultanţă</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de resort</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Reprezentanţii  mediului privat, ai asociaţiilor de servicii profesionale </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300,000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Legislaţie naţională armonizată cu standardele internaţionale în activităţile de servicii profesionale </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Evaluarea nivelului de pregătire tehnologică a întreprinderilor mici şi mijlocii/clusterelor la scară locală şi regională, precum şi a potenţialului de dezvoltare a conexiunilor cu investitorii existenţi şi potenţiali, cu identificarea constrîngerilor tehnologice critice şi elaborarea propunerilor de înlăturare a acestora</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100 de zile de consultanţă</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pentru Dezvoltarea Întreprinderilor Mici şi Mijlocii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Organizaţia de Atragere a Investiţiilor şi Promovare a Exportului din Moldova</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300,000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Evaluare a nivelului de pregătire tehnologică efectuată; propuneri de înlăturare a constrîngerilor elaborate</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 xml:space="preserve">Elaborarea de oferte personalizate pentru investitorii strategici naţionali şi străini în scopul atragerii şi/sau menţinerii acestora în Republica Moldova,  în procesul de alegere/reamplasare a locaţiei pentru efectuarea investiţiei, în baza analizei constante a tendinţelor de localizare, mai cu seamă în ţările din regiune (România, Slovacia, Bulgaria, Macedonia, Ucraina, Belarus, Rusia) </w:t>
            </w:r>
          </w:p>
          <w:p w:rsidR="00C92E98" w:rsidRPr="001B79BB" w:rsidRDefault="00C92E98" w:rsidP="007263C9">
            <w:pPr>
              <w:tabs>
                <w:tab w:val="left" w:pos="709"/>
              </w:tabs>
              <w:spacing w:after="0" w:line="240" w:lineRule="auto"/>
              <w:rPr>
                <w:rFonts w:ascii="Times New Roman" w:hAnsi="Times New Roman"/>
                <w:sz w:val="20"/>
                <w:szCs w:val="20"/>
                <w:lang w:val="ro-RO"/>
              </w:rPr>
            </w:pP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Camera de Comerţ şi Industrie, camerele bilaterale, ambasadele Republicii Moldova de peste hotare</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Analiză şi identificare a potenţialilor investitori efectuate; oferte elaborate </w:t>
            </w:r>
          </w:p>
        </w:tc>
      </w:tr>
      <w:tr w:rsidR="00C92E98" w:rsidRPr="001B79BB" w:rsidTr="007263C9">
        <w:trPr>
          <w:cantSplit/>
          <w:trHeight w:val="1188"/>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Efectuarea analizei sectoarelor prioritare pentru identificarea în cadrul acestora a sectoarelor care au potenţial de atragere a investiţiilor şi promovare a exporturilor</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Organizaţia pentru Dezvoltarea Întreprinderilor Mici şi Mijlocii</w:t>
            </w:r>
          </w:p>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Analiză a sectoarelor prioritare efectuată, cu subsectoare identificate</w:t>
            </w:r>
          </w:p>
        </w:tc>
      </w:tr>
      <w:tr w:rsidR="00C92E98" w:rsidRPr="001B79BB" w:rsidTr="007263C9">
        <w:tblPrEx>
          <w:shd w:val="clear" w:color="auto" w:fill="auto"/>
        </w:tblPrEx>
        <w:trPr>
          <w:cantSplit/>
          <w:trHeight w:val="70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Elaborarea şi implementarea propunerilor pentru atragerea investiţiilor şi promovarea exporturilor pe fiecare subsector identificat în sectoarele prioritare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Ministerele de resort, Organizaţia pentru Dezvoltarea Întreprinderilor Mici şi Mijlocii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Începînd cu 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Costurile urmează a fi estimate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Propuneri elaborate şi implementate</w:t>
            </w:r>
          </w:p>
        </w:tc>
      </w:tr>
      <w:tr w:rsidR="00C92E98" w:rsidRPr="001B79BB" w:rsidTr="007263C9">
        <w:tblPrEx>
          <w:shd w:val="clear" w:color="auto" w:fill="auto"/>
        </w:tblPrEx>
        <w:trPr>
          <w:cantSplit/>
          <w:trHeight w:val="131"/>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b/>
                <w:bCs/>
                <w:i/>
                <w:iCs/>
                <w:color w:val="000000"/>
                <w:sz w:val="20"/>
                <w:szCs w:val="20"/>
                <w:lang w:val="ro-RO"/>
              </w:rPr>
            </w:pPr>
            <w:r w:rsidRPr="001B79BB">
              <w:rPr>
                <w:rFonts w:ascii="Times New Roman" w:hAnsi="Times New Roman"/>
                <w:b/>
                <w:bCs/>
                <w:i/>
                <w:iCs/>
                <w:color w:val="000000"/>
                <w:sz w:val="20"/>
                <w:szCs w:val="20"/>
                <w:lang w:val="ro-RO"/>
              </w:rPr>
              <w:t>E. Sporirea capacităţilor de export ale  producătorilor autohtoni</w:t>
            </w:r>
          </w:p>
        </w:tc>
      </w:tr>
      <w:tr w:rsidR="00C92E98" w:rsidRPr="001B79BB" w:rsidTr="007263C9">
        <w:tblPrEx>
          <w:shd w:val="clear" w:color="auto" w:fill="auto"/>
        </w:tblPrEx>
        <w:trPr>
          <w:cantSplit/>
          <w:trHeight w:val="131"/>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bCs/>
                <w:i/>
                <w:iCs/>
                <w:color w:val="000000"/>
                <w:sz w:val="20"/>
                <w:szCs w:val="20"/>
                <w:lang w:val="ro-RO"/>
              </w:rPr>
            </w:pPr>
            <w:r w:rsidRPr="001B79BB">
              <w:rPr>
                <w:rFonts w:ascii="Times New Roman" w:hAnsi="Times New Roman"/>
                <w:bCs/>
                <w:i/>
                <w:iCs/>
                <w:color w:val="000000"/>
                <w:sz w:val="20"/>
                <w:szCs w:val="20"/>
                <w:lang w:val="ro-RO"/>
              </w:rPr>
              <w:t>E1. Dezvoltarea instrumentelor de sprijin financiar pentru exportatori</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Elaborarea, instituţionalizarea şi finanţarea unui program permanent de dezvoltare a exportatorilor din Moldova, menit să faciliteze (inclusiv prin cofinanţare sau subvenţii) inovaţiile, achiziţionarea tehnologiei, accesul la serviciile de consultanţă în afaceri, îmbunătăţirea competenţelor de vînzare şi marketing, creşterea şi asigurarea calităţii produselor, crearea site-urilor web corporative în diferite limbi străine, precum şi participarea la evenimentele investiţionale şi de comerţ externe etc.</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50 de zile de consultanţă pentru pregătirea programului, plus 1 salariat din cadrul  organului responsabil de operarea programului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Camera de Comerţ şi Industrie, Organizaţia pentru Dezvoltarea Întreprinderilor Mici şi Mijlocii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Începînd cu 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7,000,000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Program iniţiat; număr de  beneficiari ai programului</w:t>
            </w:r>
          </w:p>
        </w:tc>
      </w:tr>
      <w:tr w:rsidR="00C92E98" w:rsidRPr="001B79BB" w:rsidTr="007263C9">
        <w:tblPrEx>
          <w:shd w:val="clear" w:color="auto" w:fill="auto"/>
        </w:tblPrEx>
        <w:trPr>
          <w:cantSplit/>
          <w:trHeight w:val="1339"/>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Capitalizarea  Fondului de garantare pentru întreprinderile mici şi mijlocii şi diversificarea portofoliului cu produse destinate companiilor din sectoarele prioritare cu potenţial de export</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pentru Dezvoltarea Întreprinderilor Mici şi Mijlocii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Organizaţia de Atragere a Investiţiilor şi Promovare a Exportului din Moldova</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2016-2018</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45.000.000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Fond de garantare a creditelor capitalizat cu cîte 15 milioane lei pe an, în perioada 2016-2018</w:t>
            </w:r>
          </w:p>
        </w:tc>
      </w:tr>
      <w:tr w:rsidR="00C92E98" w:rsidRPr="001B79BB" w:rsidTr="007263C9">
        <w:tblPrEx>
          <w:shd w:val="clear" w:color="auto" w:fill="auto"/>
        </w:tblPrEx>
        <w:trPr>
          <w:cantSplit/>
          <w:trHeight w:val="237"/>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i/>
                <w:color w:val="000000"/>
                <w:sz w:val="20"/>
                <w:szCs w:val="20"/>
                <w:lang w:val="ro-RO"/>
              </w:rPr>
            </w:pPr>
            <w:r w:rsidRPr="001B79BB">
              <w:rPr>
                <w:rFonts w:ascii="Times New Roman" w:hAnsi="Times New Roman"/>
                <w:i/>
                <w:color w:val="000000"/>
                <w:sz w:val="20"/>
                <w:szCs w:val="20"/>
                <w:lang w:val="ro-RO"/>
              </w:rPr>
              <w:t>E2. Dezvoltarea instrumentelor de sprijin informaţional pentru exportatori</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Elaborarea unui program consistent de evenimente, interne şi externe, ce urmează a fi organizate de Organizaţia de Atragere a Investiţiilor şi Promovare a Exportului din Moldova pentru promovarea exportatorilor naţionali</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Afacerilor Externe şi Integrării Europene, Camera de Comerţ şi Industrie, camerele bilaterale, ambasadele Republicii Moldova de peste hotare</w:t>
            </w:r>
          </w:p>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Program elaborat</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Efectuarea periodică a studiilor de piaţă relevante sub aspectul prevederilor Zonei de Liber Schimb Aprofundat şi Cuprinzător şi prestarea serviciilor informaţionale calitative pentru exportatorii din sectoarele prioritare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Un studiu efectuat pe an; exportatori informaţi privind concluziile studiilor</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Promovarea de către Organizaţia de Atragere a Investiţiilor şi Promovare a Exportului din Moldova în rîndul exportatorilor autohtoni a instrumentelor informaţionale relevante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Cel puţin 200 de beneficiari direcţi pe an</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Elaborarea şi implementarea unui program de promovare a exportatorilor (prin organizarea Forului exportatorilor, concursului „Premiul naţional în export”, comunicarea istoriilor de succes etc.)</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2018-2020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Costurile vor fi estimate după aprobarea programului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Asistenţa donatorilor </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Program elaborat şi implementat; număr de beneficiari</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Elaborarea si implementarea unui program permanent de dezvoltare a capacităţilor de management în domeniul exporturilor (Academia exportatorilor)</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2018-2020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Costurile vor fi estimate după aprobarea programului </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Asistenţa donatorilor </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Program elaborat şi implementat; număr de beneficiari</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Sporirea vizibilităţii asociaţiilor şi uniunilor industriale, a grupurilor de producători şi exportatori; sprijinirea schimbului internaţional de experienţă pentru beneficiarii/membrii acestora</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Cel puţin 200 de beneficiari direcţi pe an, care pot include atît asociaţii, cît şi companii </w:t>
            </w:r>
          </w:p>
        </w:tc>
      </w:tr>
      <w:tr w:rsidR="00C92E98" w:rsidRPr="001B79BB" w:rsidTr="007263C9">
        <w:tblPrEx>
          <w:shd w:val="clear" w:color="auto" w:fill="auto"/>
        </w:tblPrEx>
        <w:trPr>
          <w:cantSplit/>
          <w:trHeight w:val="92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Susţinerea procesului de instituire a clusterelor orientate spre export la nivel de sectoare prioritare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Număr de consultaţii oferite</w:t>
            </w:r>
          </w:p>
        </w:tc>
      </w:tr>
      <w:tr w:rsidR="00C92E98" w:rsidRPr="001B79BB" w:rsidTr="007263C9">
        <w:tblPrEx>
          <w:shd w:val="clear" w:color="auto" w:fill="auto"/>
        </w:tblPrEx>
        <w:trPr>
          <w:cantSplit/>
          <w:trHeight w:val="131"/>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b/>
                <w:bCs/>
                <w:i/>
                <w:iCs/>
                <w:sz w:val="20"/>
                <w:szCs w:val="20"/>
                <w:lang w:val="ro-RO"/>
              </w:rPr>
            </w:pPr>
            <w:r w:rsidRPr="001B79BB">
              <w:rPr>
                <w:rFonts w:ascii="Times New Roman" w:hAnsi="Times New Roman"/>
                <w:b/>
                <w:bCs/>
                <w:i/>
                <w:iCs/>
                <w:sz w:val="20"/>
                <w:szCs w:val="20"/>
                <w:lang w:val="ro-RO"/>
              </w:rPr>
              <w:t xml:space="preserve">F. </w:t>
            </w:r>
            <w:r w:rsidRPr="00684AAF">
              <w:rPr>
                <w:rFonts w:ascii="Times New Roman" w:eastAsia="Times New Roman" w:hAnsi="Times New Roman"/>
                <w:b/>
                <w:bCs/>
                <w:i/>
                <w:sz w:val="20"/>
                <w:szCs w:val="20"/>
                <w:lang w:val="ro-RO"/>
              </w:rPr>
              <w:t>Consolidarea capacităţilor instituţiilor naţionale în scopul atragerii, menţinerii, dezvoltării investiţiilor şi promovării exporturilor</w:t>
            </w:r>
          </w:p>
        </w:tc>
      </w:tr>
      <w:tr w:rsidR="00C92E98" w:rsidRPr="001B79BB" w:rsidTr="007263C9">
        <w:tblPrEx>
          <w:shd w:val="clear" w:color="auto" w:fill="auto"/>
        </w:tblPrEx>
        <w:trPr>
          <w:cantSplit/>
          <w:trHeight w:val="180"/>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i/>
                <w:iCs/>
                <w:sz w:val="20"/>
                <w:szCs w:val="20"/>
                <w:lang w:val="ro-RO"/>
              </w:rPr>
            </w:pPr>
            <w:r w:rsidRPr="001B79BB">
              <w:rPr>
                <w:rFonts w:ascii="Times New Roman" w:hAnsi="Times New Roman"/>
                <w:i/>
                <w:iCs/>
                <w:sz w:val="20"/>
                <w:szCs w:val="20"/>
                <w:lang w:val="ro-RO"/>
              </w:rPr>
              <w:t xml:space="preserve">F1. Transformarea </w:t>
            </w:r>
            <w:r w:rsidRPr="001B79BB">
              <w:rPr>
                <w:rFonts w:ascii="Times New Roman" w:hAnsi="Times New Roman"/>
                <w:i/>
                <w:color w:val="000000"/>
                <w:sz w:val="20"/>
                <w:szCs w:val="20"/>
                <w:lang w:val="ro-RO"/>
              </w:rPr>
              <w:t>Organizaţiei de Atragere a Investiţiilor şi Promovare a Exportului din Moldova</w:t>
            </w:r>
            <w:r w:rsidRPr="001B79BB">
              <w:rPr>
                <w:rFonts w:ascii="Times New Roman" w:hAnsi="Times New Roman"/>
                <w:i/>
                <w:iCs/>
                <w:sz w:val="20"/>
                <w:szCs w:val="20"/>
                <w:lang w:val="ro-RO"/>
              </w:rPr>
              <w:t xml:space="preserve"> într-o agenţie eficientă şi profesionistă în domeniul atragerii investiţiilor</w:t>
            </w:r>
          </w:p>
          <w:p w:rsidR="00C92E98" w:rsidRPr="001B79BB" w:rsidRDefault="00C92E98" w:rsidP="007263C9">
            <w:pPr>
              <w:tabs>
                <w:tab w:val="left" w:pos="709"/>
              </w:tabs>
              <w:spacing w:after="0" w:line="240" w:lineRule="auto"/>
              <w:ind w:right="-105"/>
              <w:jc w:val="center"/>
              <w:rPr>
                <w:rFonts w:ascii="Times New Roman" w:hAnsi="Times New Roman"/>
                <w:b/>
                <w:bCs/>
                <w:i/>
                <w:iCs/>
                <w:color w:val="000000"/>
                <w:sz w:val="20"/>
                <w:szCs w:val="20"/>
                <w:lang w:val="ro-RO"/>
              </w:rPr>
            </w:pPr>
            <w:r w:rsidRPr="001B79BB">
              <w:rPr>
                <w:rFonts w:ascii="Times New Roman" w:hAnsi="Times New Roman"/>
                <w:i/>
                <w:iCs/>
                <w:sz w:val="20"/>
                <w:szCs w:val="20"/>
                <w:lang w:val="ro-RO"/>
              </w:rPr>
              <w:t xml:space="preserve"> şi promovării exporturilor</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Style w:val="hps"/>
                <w:rFonts w:ascii="Times New Roman" w:hAnsi="Times New Roman"/>
                <w:color w:val="000000"/>
                <w:sz w:val="20"/>
                <w:szCs w:val="20"/>
                <w:lang w:val="ro-RO"/>
              </w:rPr>
            </w:pPr>
            <w:r w:rsidRPr="001B79BB">
              <w:rPr>
                <w:rFonts w:ascii="Times New Roman" w:hAnsi="Times New Roman"/>
                <w:color w:val="000000"/>
                <w:sz w:val="20"/>
                <w:szCs w:val="20"/>
                <w:lang w:val="ro-RO"/>
              </w:rPr>
              <w:t>Elaborarea şi aprobarea Strategiei de dezvoltare instituţională a Organizaţiei de Atragere a Investiţiilor şi Promovare a Exportului din Moldova</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Resursele umane proprii, planul este în curs de desfăşurare în cadrul unui proiect finanţat de Banca Mondială </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Del="00CB5BB9"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Strategie de dezvoltare instituţională elaborată şi aprobată de Guvern pînă la finele anului 2016</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Asigurarea finanţării optime a Organizaţiei de Atragere a Investiţiilor şi Promovare a Exportului din Moldova în contextul implementării Strategiei de dezvoltare instituţională, pentru exercitarea eficientă a mandatului</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Resursele umane proprii </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Finanţelor</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Costul va fi estimat în cadrul elaborării Cadrului Bugetar pe Termen Mediu pentru 2017-2019</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Surse bugetare</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Buget al Organizaţiei de Atragere a Investiţiilor şi Promovare a Exportului din Moldova capitalizat cu suma necesară implementării Strategiei instituţionale</w:t>
            </w:r>
          </w:p>
        </w:tc>
      </w:tr>
      <w:tr w:rsidR="00C92E98" w:rsidRPr="001B79BB" w:rsidDel="00F97797"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Del="00F97797"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F97797" w:rsidRDefault="00C92E98" w:rsidP="007263C9">
            <w:pPr>
              <w:tabs>
                <w:tab w:val="left" w:pos="709"/>
              </w:tabs>
              <w:spacing w:after="0" w:line="240" w:lineRule="auto"/>
              <w:rPr>
                <w:rFonts w:ascii="Times New Roman" w:hAnsi="Times New Roman"/>
                <w:color w:val="000000"/>
                <w:sz w:val="20"/>
                <w:szCs w:val="20"/>
                <w:highlight w:val="red"/>
                <w:lang w:val="ro-RO"/>
              </w:rPr>
            </w:pPr>
            <w:r w:rsidRPr="001B79BB">
              <w:rPr>
                <w:rFonts w:ascii="Times New Roman" w:hAnsi="Times New Roman"/>
                <w:sz w:val="20"/>
                <w:szCs w:val="20"/>
                <w:lang w:val="ro-RO"/>
              </w:rPr>
              <w:t xml:space="preserve">Eficientizarea activităţii </w:t>
            </w:r>
            <w:r w:rsidRPr="001B79BB">
              <w:rPr>
                <w:rFonts w:ascii="Times New Roman" w:hAnsi="Times New Roman"/>
                <w:color w:val="000000"/>
                <w:sz w:val="20"/>
                <w:szCs w:val="20"/>
                <w:lang w:val="ro-RO"/>
              </w:rPr>
              <w:t>Organizaţiei de Atragere a Investiţiilor şi Promovare a Exportului din Moldova</w:t>
            </w:r>
            <w:r w:rsidRPr="001B79BB">
              <w:rPr>
                <w:rFonts w:ascii="Times New Roman" w:hAnsi="Times New Roman"/>
                <w:sz w:val="20"/>
                <w:szCs w:val="20"/>
                <w:lang w:val="ro-RO"/>
              </w:rPr>
              <w:t xml:space="preserve"> prin reformarea organizaţiei în conformitate cu Strategia de dezvoltare instituţională aprobată</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F97797"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F97797"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F97797"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F97797"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F97797"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Costul urmează a fi estimat în urma aprobării Strategiei instituţionale a Organiza-ţiei de Atragere a Investiţiilor şi Promova-re a Exportu-lui din Moldova</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F97797"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Surse bugetare</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Del="00F97797"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Reformare a instituţiei efectuată </w:t>
            </w:r>
          </w:p>
        </w:tc>
      </w:tr>
      <w:tr w:rsidR="00C92E98" w:rsidRPr="001B79BB" w:rsidDel="00F97797"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Del="00F97797"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sz w:val="20"/>
                <w:szCs w:val="20"/>
                <w:lang w:val="ro-RO"/>
              </w:rPr>
            </w:pPr>
            <w:r w:rsidRPr="001B79BB">
              <w:rPr>
                <w:rFonts w:ascii="Times New Roman" w:hAnsi="Times New Roman"/>
                <w:sz w:val="20"/>
                <w:szCs w:val="20"/>
                <w:lang w:val="ro-RO"/>
              </w:rPr>
              <w:t xml:space="preserve">Eficientizarea activităţii Consiliului de coordonare a activităţii </w:t>
            </w:r>
            <w:r w:rsidRPr="001B79BB">
              <w:rPr>
                <w:rFonts w:ascii="Times New Roman" w:hAnsi="Times New Roman"/>
                <w:color w:val="000000"/>
                <w:sz w:val="20"/>
                <w:szCs w:val="20"/>
                <w:lang w:val="ro-RO"/>
              </w:rPr>
              <w:t>Organizaţiei de Atragere a Investiţiilor şi Promovare a Exportului din Moldova</w:t>
            </w:r>
            <w:r w:rsidRPr="001B79BB">
              <w:rPr>
                <w:rFonts w:ascii="Times New Roman" w:hAnsi="Times New Roman"/>
                <w:sz w:val="20"/>
                <w:szCs w:val="20"/>
                <w:lang w:val="ro-RO"/>
              </w:rPr>
              <w:t xml:space="preserve"> şi a Consiliului de administrare a bugetului pentru implementarea Programului „Promovarea exportului”</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Activitatea consiliilor eficientizată</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Elaborarea şi implementarea unui program de dezvoltare profesională destinat echipei Organizaţiei de Atragere a Investiţiilor şi Promovare a Exportului din Moldova</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Ministerul Finanţelor, donatorii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500,000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Program de dezvoltare profesională şi dezvoltare profesională continuă, elaborat şi implementat</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Instituţionalizarea în cadrul Organizaţiei de Atragere a Investiţiilor şi Promovare a Exportului din Moldova a funcţiei de asistenţă continuă a investitorilor străini (</w:t>
            </w:r>
            <w:r w:rsidRPr="001B79BB">
              <w:rPr>
                <w:rFonts w:ascii="Times New Roman" w:hAnsi="Times New Roman"/>
                <w:i/>
                <w:color w:val="000000"/>
                <w:sz w:val="20"/>
                <w:szCs w:val="20"/>
                <w:lang w:val="ro-RO"/>
              </w:rPr>
              <w:t>aftercare</w:t>
            </w:r>
            <w:r w:rsidRPr="001B79BB">
              <w:rPr>
                <w:rFonts w:ascii="Times New Roman" w:hAnsi="Times New Roman"/>
                <w:color w:val="000000"/>
                <w:sz w:val="20"/>
                <w:szCs w:val="20"/>
                <w:lang w:val="ro-RO"/>
              </w:rPr>
              <w:t>), care va acoperi inclusiv dezvoltarea capacităţilor necesare pentru consolidarea legăturilor dintre investiţiile străine directe – întreprinderile mici şi mijlocii prin identificarea şi promovarea furnizorilor locali</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90 de zile de servicii de consultanţă pentru elaborarea programului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 Ministerul Finanţelor, donatorii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Începînd cu 2017</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Costul urmează a fi estimat în urma aprobării Strategiei instituţionale a Organiza-ţia de Atra-gere a Inves-tiţiilor şi Promovare a Exportului din Moldova</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Asistenţa donatorilor</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Bază de date cu proiectele investiţiilor străine directe  creată;</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concept de asistenţă a investitorilor aprobat de către Consiliul de administraţie al Organizaţiei  de Atragere a Investiţiilor şi Promovare a Exportului din Moldova</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sz w:val="20"/>
                <w:szCs w:val="20"/>
                <w:lang w:val="ro-RO"/>
              </w:rPr>
              <w:t xml:space="preserve">Sporirea vizibilităţii </w:t>
            </w:r>
            <w:r w:rsidRPr="001B79BB">
              <w:rPr>
                <w:rFonts w:ascii="Times New Roman" w:hAnsi="Times New Roman"/>
                <w:color w:val="000000"/>
                <w:sz w:val="20"/>
                <w:szCs w:val="20"/>
                <w:lang w:val="ro-RO"/>
              </w:rPr>
              <w:t>Organizaţiei de Atragere a Investiţiilor şi Promovare a Exportului din Moldova</w:t>
            </w:r>
            <w:r w:rsidRPr="001B79BB">
              <w:rPr>
                <w:rFonts w:ascii="Times New Roman" w:hAnsi="Times New Roman"/>
                <w:sz w:val="20"/>
                <w:szCs w:val="20"/>
                <w:lang w:val="ro-RO"/>
              </w:rPr>
              <w:t xml:space="preserve"> în calitate de agenţie naţională în domeniul atragerii investiţiilor şi promovării exporturilor prin campanii de comunicare instituţională</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5461A9"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2016-2020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Număr de investitori străini atraşi; număr de contracte de export încheiate</w:t>
            </w:r>
          </w:p>
        </w:tc>
      </w:tr>
      <w:tr w:rsidR="00C92E98" w:rsidRPr="001B79BB" w:rsidTr="007263C9">
        <w:tblPrEx>
          <w:shd w:val="clear" w:color="auto" w:fill="auto"/>
        </w:tblPrEx>
        <w:trPr>
          <w:cantSplit/>
          <w:trHeight w:val="166"/>
        </w:trPr>
        <w:tc>
          <w:tcPr>
            <w:tcW w:w="5000" w:type="pct"/>
            <w:gridSpan w:val="9"/>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tabs>
                <w:tab w:val="left" w:pos="709"/>
              </w:tabs>
              <w:spacing w:after="0" w:line="240" w:lineRule="auto"/>
              <w:ind w:right="-105"/>
              <w:jc w:val="center"/>
              <w:rPr>
                <w:rFonts w:ascii="Times New Roman" w:hAnsi="Times New Roman"/>
                <w:color w:val="000000"/>
                <w:sz w:val="20"/>
                <w:szCs w:val="20"/>
                <w:lang w:val="ro-RO"/>
              </w:rPr>
            </w:pPr>
            <w:r w:rsidRPr="001B79BB">
              <w:rPr>
                <w:rFonts w:ascii="Times New Roman" w:hAnsi="Times New Roman"/>
                <w:i/>
                <w:iCs/>
                <w:sz w:val="20"/>
                <w:szCs w:val="20"/>
                <w:lang w:val="ro-RO"/>
              </w:rPr>
              <w:t>F2. Consolidarea diplomaţiei economice  în domeniul promovării investiţiilor străine directe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Elaborarea şi implementarea unui plan de acţiuni în vederea dezvoltării diplomaţiei economice, care să fie bazat pe următoarele elemente-cheie: revizuirea modalităţii de lucru a ataşaţilor economici, revizuirea distribuţiei geografice şi a numărului de ataşaţi economici, precum şi stabilirea indicatorilor de performanţă privind activitatea ataşaţilor economici </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100 de zile de servicii de consultanţă pentru elaborarea Planului de acţiuni </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 Ministerul Afacerilor Externe şi Integrării Europene</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Ministerul Economiei </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2018-2020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Costul va fi estimat după elaborarea şi aprobarea Planului de acţiuni</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Surse bugetare</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Plan de acţiuni elaborat şi aprobat de Guvern pînă în 2018; evaluare anuală a implementării Planului de acţiuni începînd cu 2018 </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Organizarea cursurilor de instruire anuale pentru toţi reprezentanţii corpului diplomatic moldovenesc peste hotare în domeniul economic/comercial, pentru a oferi informaţii despre avantajele comparative ale Republicii Moldova, sectoarele prioritare economice şi asigurarea serviciilor de mediere, cu asigurarea materialelor promoţionale corespunzătoare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Instructori invitaţi de la instituţiile relevante </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Afacerilor Externe şi Integrării Europene, 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Del="00BC0217"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400,000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Surse bugetare</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Cursuri anuale de instruire organizate</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684AAF">
              <w:rPr>
                <w:rFonts w:ascii="Times New Roman" w:eastAsia="Cambria" w:hAnsi="Times New Roman"/>
                <w:sz w:val="20"/>
                <w:szCs w:val="20"/>
                <w:lang w:val="ro-RO"/>
              </w:rPr>
              <w:t>Identificarea a 5 ţări-ţintă pentru dinamizarea eforturilor de promovare a ţării ca  destinaţie pentru investiţii. Desfăşurarea programelor de informare şi promovare a ţării orientate spre cele 5 ţări-ţintă identificate</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Organizaţia de Atragere a Investiţiilor şi Promovare a Exportului din Moldova</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Afacerilor Externe şi Integrării Europene, 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2018-2020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1,500,000</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Surse bugetare</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5 ţări-ţintă identificate; </w:t>
            </w:r>
          </w:p>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număr de proiecte investiţionale potenţiale în creştere cu cel puţin 100% (anul 1) şi 50% în fiecare an consecutiv</w:t>
            </w:r>
          </w:p>
        </w:tc>
      </w:tr>
      <w:tr w:rsidR="00C92E98" w:rsidRPr="001B79BB" w:rsidTr="007263C9">
        <w:tblPrEx>
          <w:shd w:val="clear" w:color="auto" w:fill="auto"/>
        </w:tblPrEx>
        <w:trPr>
          <w:cantSplit/>
          <w:trHeight w:val="480"/>
        </w:trPr>
        <w:tc>
          <w:tcPr>
            <w:tcW w:w="186" w:type="pct"/>
            <w:tcBorders>
              <w:top w:val="single" w:sz="8" w:space="0" w:color="8C7B70"/>
              <w:left w:val="single" w:sz="8" w:space="0" w:color="8C7B70"/>
              <w:bottom w:val="single" w:sz="8" w:space="0" w:color="8C7B70"/>
              <w:right w:val="single" w:sz="8" w:space="0" w:color="8C7B70"/>
            </w:tcBorders>
            <w:shd w:val="clear" w:color="auto" w:fill="auto"/>
            <w:noWrap/>
          </w:tcPr>
          <w:p w:rsidR="00C92E98" w:rsidRPr="001B79BB" w:rsidRDefault="00C92E98" w:rsidP="007263C9">
            <w:pPr>
              <w:numPr>
                <w:ilvl w:val="0"/>
                <w:numId w:val="21"/>
              </w:numPr>
              <w:tabs>
                <w:tab w:val="left" w:pos="0"/>
                <w:tab w:val="left" w:pos="709"/>
              </w:tabs>
              <w:spacing w:after="0" w:line="240" w:lineRule="auto"/>
              <w:ind w:left="0" w:firstLine="0"/>
              <w:jc w:val="center"/>
              <w:rPr>
                <w:rFonts w:ascii="Times New Roman" w:hAnsi="Times New Roman"/>
                <w:color w:val="000000"/>
                <w:sz w:val="20"/>
                <w:szCs w:val="20"/>
                <w:lang w:val="ro-RO"/>
              </w:rPr>
            </w:pPr>
          </w:p>
        </w:tc>
        <w:tc>
          <w:tcPr>
            <w:tcW w:w="133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Identificarea pieţelor-ţintă de export, cu asigurarea prezenţei operaţionale a diplomaţiei economice pe teritoriul acestora (reprezentanţii Organizaţiei de Atragere a Investiţiilor şi Promovare a Exportului din Moldova în străinătate/ataşaţii economici/consultanţii locali)</w:t>
            </w:r>
          </w:p>
        </w:tc>
        <w:tc>
          <w:tcPr>
            <w:tcW w:w="556"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Resurse umane proprii</w:t>
            </w:r>
          </w:p>
        </w:tc>
        <w:tc>
          <w:tcPr>
            <w:tcW w:w="531"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 xml:space="preserve">Organizaţia de Atragere a Investiţiilor şi Promovare a Exportului din Moldova </w:t>
            </w:r>
          </w:p>
        </w:tc>
        <w:tc>
          <w:tcPr>
            <w:tcW w:w="59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ind w:right="-105"/>
              <w:rPr>
                <w:rFonts w:ascii="Times New Roman" w:hAnsi="Times New Roman"/>
                <w:color w:val="000000"/>
                <w:sz w:val="20"/>
                <w:szCs w:val="20"/>
                <w:lang w:val="ro-RO"/>
              </w:rPr>
            </w:pPr>
            <w:r w:rsidRPr="001B79BB">
              <w:rPr>
                <w:rFonts w:ascii="Times New Roman" w:hAnsi="Times New Roman"/>
                <w:color w:val="000000"/>
                <w:sz w:val="20"/>
                <w:szCs w:val="20"/>
                <w:lang w:val="ro-RO"/>
              </w:rPr>
              <w:t>Ministerul Afacerilor Externe şi Integrării Europene, Ministerul Economiei</w:t>
            </w:r>
          </w:p>
        </w:tc>
        <w:tc>
          <w:tcPr>
            <w:tcW w:w="395"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2017-2020</w:t>
            </w:r>
          </w:p>
        </w:tc>
        <w:tc>
          <w:tcPr>
            <w:tcW w:w="443"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Costuri suplimentare nu vor fi suportate</w:t>
            </w:r>
          </w:p>
        </w:tc>
        <w:tc>
          <w:tcPr>
            <w:tcW w:w="419" w:type="pct"/>
            <w:tcBorders>
              <w:top w:val="single" w:sz="8" w:space="0" w:color="8C7B70"/>
              <w:left w:val="single" w:sz="8" w:space="0" w:color="8C7B70"/>
              <w:bottom w:val="single" w:sz="8" w:space="0" w:color="8C7B70"/>
              <w:right w:val="single" w:sz="8" w:space="0" w:color="8C7B70"/>
            </w:tcBorders>
            <w:shd w:val="clear" w:color="auto" w:fill="auto"/>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Neaplicabil</w:t>
            </w:r>
          </w:p>
        </w:tc>
        <w:tc>
          <w:tcPr>
            <w:tcW w:w="544" w:type="pct"/>
            <w:tcBorders>
              <w:top w:val="single" w:sz="8" w:space="0" w:color="8C7B70"/>
              <w:left w:val="single" w:sz="8" w:space="0" w:color="8C7B70"/>
              <w:bottom w:val="single" w:sz="8" w:space="0" w:color="8C7B70"/>
              <w:right w:val="single" w:sz="8" w:space="0" w:color="8C7B70"/>
            </w:tcBorders>
          </w:tcPr>
          <w:p w:rsidR="00C92E98" w:rsidRPr="001B79BB" w:rsidRDefault="00C92E98" w:rsidP="007263C9">
            <w:pPr>
              <w:tabs>
                <w:tab w:val="left" w:pos="709"/>
              </w:tabs>
              <w:spacing w:after="0" w:line="240" w:lineRule="auto"/>
              <w:rPr>
                <w:rFonts w:ascii="Times New Roman" w:hAnsi="Times New Roman"/>
                <w:color w:val="000000"/>
                <w:sz w:val="20"/>
                <w:szCs w:val="20"/>
                <w:lang w:val="ro-RO"/>
              </w:rPr>
            </w:pPr>
            <w:r w:rsidRPr="001B79BB">
              <w:rPr>
                <w:rFonts w:ascii="Times New Roman" w:hAnsi="Times New Roman"/>
                <w:color w:val="000000"/>
                <w:sz w:val="20"/>
                <w:szCs w:val="20"/>
                <w:lang w:val="ro-RO"/>
              </w:rPr>
              <w:t>Pieţe-ţintă de export identificate; număr de contracte încheiate</w:t>
            </w:r>
          </w:p>
        </w:tc>
      </w:tr>
    </w:tbl>
    <w:p w:rsidR="00C92E98" w:rsidRPr="00684AAF" w:rsidRDefault="00C92E98" w:rsidP="00C92E98">
      <w:pPr>
        <w:spacing w:after="0" w:line="240" w:lineRule="auto"/>
        <w:rPr>
          <w:rFonts w:ascii="Times New Roman" w:hAnsi="Times New Roman"/>
          <w:sz w:val="28"/>
          <w:szCs w:val="28"/>
          <w:lang w:val="ro-RO"/>
        </w:rPr>
      </w:pPr>
    </w:p>
    <w:p w:rsidR="00C92E98" w:rsidRDefault="00C92E98" w:rsidP="00C92E98"/>
    <w:p w:rsidR="006F4479" w:rsidRDefault="006F4479">
      <w:bookmarkStart w:id="16" w:name="_GoBack"/>
      <w:bookmarkEnd w:id="16"/>
    </w:p>
    <w:sectPr w:rsidR="006F4479" w:rsidSect="00F66C2B">
      <w:pgSz w:w="15840" w:h="12240" w:orient="landscape"/>
      <w:pgMar w:top="851" w:right="851" w:bottom="851"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35">
    <w:altName w:val="Arial Unicode MS"/>
    <w:panose1 w:val="00000000000000000000"/>
    <w:charset w:val="80"/>
    <w:family w:val="auto"/>
    <w:notTrueType/>
    <w:pitch w:val="variable"/>
    <w:sig w:usb0="00000000" w:usb1="08070000" w:usb2="00000010" w:usb3="00000000" w:csb0="0002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7EC3"/>
    <w:multiLevelType w:val="hybridMultilevel"/>
    <w:tmpl w:val="A04CF574"/>
    <w:lvl w:ilvl="0" w:tplc="B6D69E18">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
    <w:nsid w:val="0D540372"/>
    <w:multiLevelType w:val="hybridMultilevel"/>
    <w:tmpl w:val="15E65566"/>
    <w:lvl w:ilvl="0" w:tplc="937A22C0">
      <w:start w:val="1"/>
      <w:numFmt w:val="decimal"/>
      <w:lvlText w:val="%1)"/>
      <w:lvlJc w:val="left"/>
      <w:pPr>
        <w:ind w:left="1222" w:hanging="360"/>
      </w:pPr>
      <w:rPr>
        <w:rFonts w:hint="default"/>
        <w:sz w:val="28"/>
        <w:szCs w:val="28"/>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nsid w:val="109563C8"/>
    <w:multiLevelType w:val="hybridMultilevel"/>
    <w:tmpl w:val="C6AC3A3C"/>
    <w:lvl w:ilvl="0" w:tplc="702E18A2">
      <w:start w:val="1"/>
      <w:numFmt w:val="decimal"/>
      <w:lvlText w:val="%1."/>
      <w:lvlJc w:val="left"/>
      <w:pPr>
        <w:ind w:left="1288" w:hanging="720"/>
      </w:pPr>
      <w:rPr>
        <w:rFonts w:ascii="Times New Roman" w:hAnsi="Times New Roman" w:cs="Times New Roman" w:hint="default"/>
        <w:b w:val="0"/>
        <w:i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B2157"/>
    <w:multiLevelType w:val="multilevel"/>
    <w:tmpl w:val="5F8CDF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34D1AAF"/>
    <w:multiLevelType w:val="hybridMultilevel"/>
    <w:tmpl w:val="B83697B6"/>
    <w:lvl w:ilvl="0" w:tplc="8E76D9D4">
      <w:start w:val="1"/>
      <w:numFmt w:val="decimal"/>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23A01"/>
    <w:multiLevelType w:val="hybridMultilevel"/>
    <w:tmpl w:val="FF68009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646386D"/>
    <w:multiLevelType w:val="hybridMultilevel"/>
    <w:tmpl w:val="2822FD64"/>
    <w:lvl w:ilvl="0" w:tplc="A1D05022">
      <w:start w:val="29"/>
      <w:numFmt w:val="decimal"/>
      <w:lvlText w:val="%1."/>
      <w:lvlJc w:val="left"/>
      <w:pPr>
        <w:ind w:left="801" w:hanging="375"/>
      </w:pPr>
      <w:rPr>
        <w:rFonts w:hint="default"/>
        <w:b/>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F30C7E"/>
    <w:multiLevelType w:val="multilevel"/>
    <w:tmpl w:val="D49608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87B4B20"/>
    <w:multiLevelType w:val="hybridMultilevel"/>
    <w:tmpl w:val="DC0C358C"/>
    <w:lvl w:ilvl="0" w:tplc="921230BC">
      <w:start w:val="1"/>
      <w:numFmt w:val="decimal"/>
      <w:lvlText w:val="%1)"/>
      <w:lvlJc w:val="left"/>
      <w:pPr>
        <w:ind w:left="1222" w:hanging="360"/>
      </w:pPr>
      <w:rPr>
        <w:rFonts w:hint="default"/>
        <w:sz w:val="28"/>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9">
    <w:nsid w:val="1A6251DD"/>
    <w:multiLevelType w:val="hybridMultilevel"/>
    <w:tmpl w:val="3050D69C"/>
    <w:lvl w:ilvl="0" w:tplc="5D44741E">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nsid w:val="24267367"/>
    <w:multiLevelType w:val="hybridMultilevel"/>
    <w:tmpl w:val="2C5AE1A0"/>
    <w:lvl w:ilvl="0" w:tplc="E7B49BDE">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nsid w:val="2780154A"/>
    <w:multiLevelType w:val="hybridMultilevel"/>
    <w:tmpl w:val="71FE9F36"/>
    <w:lvl w:ilvl="0" w:tplc="5734FF00">
      <w:start w:val="1"/>
      <w:numFmt w:val="decimal"/>
      <w:pStyle w:val="paragraph"/>
      <w:lvlText w:val="%1."/>
      <w:lvlJc w:val="left"/>
      <w:pPr>
        <w:ind w:left="502" w:hanging="360"/>
      </w:pPr>
      <w:rPr>
        <w:rFonts w:ascii="Times New Roman" w:hAnsi="Times New Roman" w:cs="Times New Roman" w:hint="default"/>
        <w:b w:val="0"/>
        <w:i w:val="0"/>
        <w:color w:val="auto"/>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F1995"/>
    <w:multiLevelType w:val="multilevel"/>
    <w:tmpl w:val="20DCE632"/>
    <w:styleLink w:val="Velkodrka"/>
    <w:lvl w:ilvl="0">
      <w:start w:val="1"/>
      <w:numFmt w:val="bullet"/>
      <w:lvlText w:val="•"/>
      <w:lvlJc w:val="left"/>
      <w:pPr>
        <w:tabs>
          <w:tab w:val="num" w:pos="240"/>
        </w:tabs>
        <w:ind w:left="240" w:hanging="240"/>
      </w:pPr>
      <w:rPr>
        <w:i/>
        <w:iCs/>
        <w:position w:val="0"/>
      </w:rPr>
    </w:lvl>
    <w:lvl w:ilvl="1">
      <w:start w:val="1"/>
      <w:numFmt w:val="bullet"/>
      <w:lvlText w:val="•"/>
      <w:lvlJc w:val="left"/>
      <w:pPr>
        <w:tabs>
          <w:tab w:val="num" w:pos="480"/>
        </w:tabs>
        <w:ind w:left="480" w:hanging="240"/>
      </w:pPr>
      <w:rPr>
        <w:i/>
        <w:iCs/>
        <w:position w:val="0"/>
      </w:rPr>
    </w:lvl>
    <w:lvl w:ilvl="2">
      <w:numFmt w:val="bullet"/>
      <w:lvlText w:val="•"/>
      <w:lvlJc w:val="left"/>
      <w:pPr>
        <w:tabs>
          <w:tab w:val="num" w:pos="720"/>
        </w:tabs>
        <w:ind w:left="720" w:hanging="240"/>
      </w:pPr>
      <w:rPr>
        <w:i/>
        <w:iCs/>
        <w:position w:val="0"/>
      </w:rPr>
    </w:lvl>
    <w:lvl w:ilvl="3">
      <w:start w:val="1"/>
      <w:numFmt w:val="bullet"/>
      <w:lvlText w:val="•"/>
      <w:lvlJc w:val="left"/>
      <w:pPr>
        <w:tabs>
          <w:tab w:val="num" w:pos="960"/>
        </w:tabs>
        <w:ind w:left="960" w:hanging="240"/>
      </w:pPr>
      <w:rPr>
        <w:i/>
        <w:iCs/>
        <w:position w:val="0"/>
      </w:rPr>
    </w:lvl>
    <w:lvl w:ilvl="4">
      <w:start w:val="1"/>
      <w:numFmt w:val="bullet"/>
      <w:lvlText w:val="•"/>
      <w:lvlJc w:val="left"/>
      <w:pPr>
        <w:tabs>
          <w:tab w:val="num" w:pos="1200"/>
        </w:tabs>
        <w:ind w:left="1200" w:hanging="240"/>
      </w:pPr>
      <w:rPr>
        <w:i/>
        <w:iCs/>
        <w:position w:val="0"/>
      </w:rPr>
    </w:lvl>
    <w:lvl w:ilvl="5">
      <w:start w:val="1"/>
      <w:numFmt w:val="bullet"/>
      <w:lvlText w:val="•"/>
      <w:lvlJc w:val="left"/>
      <w:pPr>
        <w:tabs>
          <w:tab w:val="num" w:pos="1440"/>
        </w:tabs>
        <w:ind w:left="1440" w:hanging="240"/>
      </w:pPr>
      <w:rPr>
        <w:i/>
        <w:iCs/>
        <w:position w:val="0"/>
      </w:rPr>
    </w:lvl>
    <w:lvl w:ilvl="6">
      <w:start w:val="1"/>
      <w:numFmt w:val="bullet"/>
      <w:lvlText w:val="•"/>
      <w:lvlJc w:val="left"/>
      <w:pPr>
        <w:tabs>
          <w:tab w:val="num" w:pos="1680"/>
        </w:tabs>
        <w:ind w:left="1680" w:hanging="240"/>
      </w:pPr>
      <w:rPr>
        <w:i/>
        <w:iCs/>
        <w:position w:val="0"/>
      </w:rPr>
    </w:lvl>
    <w:lvl w:ilvl="7">
      <w:start w:val="1"/>
      <w:numFmt w:val="bullet"/>
      <w:lvlText w:val="•"/>
      <w:lvlJc w:val="left"/>
      <w:pPr>
        <w:tabs>
          <w:tab w:val="num" w:pos="1920"/>
        </w:tabs>
        <w:ind w:left="1920" w:hanging="240"/>
      </w:pPr>
      <w:rPr>
        <w:i/>
        <w:iCs/>
        <w:position w:val="0"/>
      </w:rPr>
    </w:lvl>
    <w:lvl w:ilvl="8">
      <w:start w:val="1"/>
      <w:numFmt w:val="bullet"/>
      <w:lvlText w:val="•"/>
      <w:lvlJc w:val="left"/>
      <w:pPr>
        <w:tabs>
          <w:tab w:val="num" w:pos="2160"/>
        </w:tabs>
        <w:ind w:left="2160" w:hanging="240"/>
      </w:pPr>
      <w:rPr>
        <w:i/>
        <w:iCs/>
        <w:position w:val="0"/>
      </w:rPr>
    </w:lvl>
  </w:abstractNum>
  <w:abstractNum w:abstractNumId="13">
    <w:nsid w:val="311C3113"/>
    <w:multiLevelType w:val="hybridMultilevel"/>
    <w:tmpl w:val="A68E014A"/>
    <w:lvl w:ilvl="0" w:tplc="0D4A513A">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
    <w:nsid w:val="378D58A2"/>
    <w:multiLevelType w:val="hybridMultilevel"/>
    <w:tmpl w:val="352A150C"/>
    <w:lvl w:ilvl="0" w:tplc="31EA6A7C">
      <w:start w:val="1"/>
      <w:numFmt w:val="decimal"/>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018B8"/>
    <w:multiLevelType w:val="hybridMultilevel"/>
    <w:tmpl w:val="FE5EF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A70792"/>
    <w:multiLevelType w:val="hybridMultilevel"/>
    <w:tmpl w:val="2B968EC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273608"/>
    <w:multiLevelType w:val="multilevel"/>
    <w:tmpl w:val="201414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A952B2E"/>
    <w:multiLevelType w:val="hybridMultilevel"/>
    <w:tmpl w:val="30DCB6F0"/>
    <w:lvl w:ilvl="0" w:tplc="BBE242A6">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9">
    <w:nsid w:val="3B7774BB"/>
    <w:multiLevelType w:val="hybridMultilevel"/>
    <w:tmpl w:val="15F0E326"/>
    <w:lvl w:ilvl="0" w:tplc="4A364B9E">
      <w:start w:val="1"/>
      <w:numFmt w:val="decimal"/>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21C47"/>
    <w:multiLevelType w:val="hybridMultilevel"/>
    <w:tmpl w:val="0C464D5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1493E1B"/>
    <w:multiLevelType w:val="hybridMultilevel"/>
    <w:tmpl w:val="30DCB6F0"/>
    <w:lvl w:ilvl="0" w:tplc="BBE242A6">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2">
    <w:nsid w:val="41910EE0"/>
    <w:multiLevelType w:val="hybridMultilevel"/>
    <w:tmpl w:val="54884F8A"/>
    <w:lvl w:ilvl="0" w:tplc="FF3EA3B4">
      <w:start w:val="1"/>
      <w:numFmt w:val="decimal"/>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637B5"/>
    <w:multiLevelType w:val="hybridMultilevel"/>
    <w:tmpl w:val="83B411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BC3022"/>
    <w:multiLevelType w:val="hybridMultilevel"/>
    <w:tmpl w:val="96FAA2E4"/>
    <w:lvl w:ilvl="0" w:tplc="959E6946">
      <w:start w:val="1"/>
      <w:numFmt w:val="decimal"/>
      <w:lvlText w:val="%1)"/>
      <w:lvlJc w:val="left"/>
      <w:pPr>
        <w:ind w:left="1222"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C2227"/>
    <w:multiLevelType w:val="hybridMultilevel"/>
    <w:tmpl w:val="00400A96"/>
    <w:lvl w:ilvl="0" w:tplc="9B4631B0">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6">
    <w:nsid w:val="5427286D"/>
    <w:multiLevelType w:val="hybridMultilevel"/>
    <w:tmpl w:val="00762A50"/>
    <w:lvl w:ilvl="0" w:tplc="8CCE2C22">
      <w:start w:val="11"/>
      <w:numFmt w:val="decimal"/>
      <w:lvlText w:val="%1."/>
      <w:lvlJc w:val="left"/>
      <w:pPr>
        <w:ind w:left="928" w:hanging="360"/>
      </w:pPr>
      <w:rPr>
        <w:rFonts w:hint="default"/>
        <w:b/>
        <w:i w:val="0"/>
        <w:color w:val="auto"/>
        <w:sz w:val="28"/>
        <w:lang w:val="ro-RO"/>
      </w:rPr>
    </w:lvl>
    <w:lvl w:ilvl="1" w:tplc="C77ED1F4">
      <w:start w:val="1"/>
      <w:numFmt w:val="decimal"/>
      <w:lvlText w:val="%2)"/>
      <w:lvlJc w:val="left"/>
      <w:pPr>
        <w:ind w:left="644" w:hanging="360"/>
      </w:pPr>
      <w:rPr>
        <w:rFonts w:hint="default"/>
        <w:color w:val="auto"/>
      </w:rPr>
    </w:lvl>
    <w:lvl w:ilvl="2" w:tplc="8F681124">
      <w:start w:val="1"/>
      <w:numFmt w:val="lowerRoman"/>
      <w:lvlText w:val="%3."/>
      <w:lvlJc w:val="right"/>
      <w:pPr>
        <w:ind w:left="2226" w:hanging="180"/>
      </w:pPr>
      <w:rPr>
        <w:color w:val="auto"/>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52B1540"/>
    <w:multiLevelType w:val="hybridMultilevel"/>
    <w:tmpl w:val="2EA03D48"/>
    <w:lvl w:ilvl="0" w:tplc="061E30BE">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8">
    <w:nsid w:val="562333EE"/>
    <w:multiLevelType w:val="hybridMultilevel"/>
    <w:tmpl w:val="D0EA27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D03791A"/>
    <w:multiLevelType w:val="hybridMultilevel"/>
    <w:tmpl w:val="3CFCE952"/>
    <w:lvl w:ilvl="0" w:tplc="176AB44E">
      <w:start w:val="1"/>
      <w:numFmt w:val="decimal"/>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D5B9A"/>
    <w:multiLevelType w:val="hybridMultilevel"/>
    <w:tmpl w:val="E7149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76FA4"/>
    <w:multiLevelType w:val="hybridMultilevel"/>
    <w:tmpl w:val="54884F8A"/>
    <w:lvl w:ilvl="0" w:tplc="FF3EA3B4">
      <w:start w:val="1"/>
      <w:numFmt w:val="decimal"/>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980E33"/>
    <w:multiLevelType w:val="hybridMultilevel"/>
    <w:tmpl w:val="B9F8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531F4"/>
    <w:multiLevelType w:val="hybridMultilevel"/>
    <w:tmpl w:val="2C5AE1A0"/>
    <w:lvl w:ilvl="0" w:tplc="E7B49BDE">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4">
    <w:nsid w:val="6A9936F9"/>
    <w:multiLevelType w:val="hybridMultilevel"/>
    <w:tmpl w:val="3FA88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B2DD4"/>
    <w:multiLevelType w:val="multilevel"/>
    <w:tmpl w:val="A724C3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B3205FB"/>
    <w:multiLevelType w:val="hybridMultilevel"/>
    <w:tmpl w:val="C186DE92"/>
    <w:lvl w:ilvl="0" w:tplc="0409000F">
      <w:start w:val="1"/>
      <w:numFmt w:val="decimal"/>
      <w:lvlText w:val="%1."/>
      <w:lvlJc w:val="left"/>
      <w:pPr>
        <w:ind w:left="643" w:hanging="360"/>
      </w:pPr>
      <w:rPr>
        <w:rFonts w:cs="Times New Roman"/>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37">
    <w:nsid w:val="7CFA5C2F"/>
    <w:multiLevelType w:val="hybridMultilevel"/>
    <w:tmpl w:val="CEA086D4"/>
    <w:lvl w:ilvl="0" w:tplc="04190017">
      <w:start w:val="1"/>
      <w:numFmt w:val="lowerLetter"/>
      <w:lvlText w:val="%1)"/>
      <w:lvlJc w:val="lef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1"/>
  </w:num>
  <w:num w:numId="3">
    <w:abstractNumId w:val="3"/>
  </w:num>
  <w:num w:numId="4">
    <w:abstractNumId w:val="35"/>
  </w:num>
  <w:num w:numId="5">
    <w:abstractNumId w:val="7"/>
  </w:num>
  <w:num w:numId="6">
    <w:abstractNumId w:val="17"/>
  </w:num>
  <w:num w:numId="7">
    <w:abstractNumId w:val="2"/>
  </w:num>
  <w:num w:numId="8">
    <w:abstractNumId w:val="13"/>
  </w:num>
  <w:num w:numId="9">
    <w:abstractNumId w:val="33"/>
  </w:num>
  <w:num w:numId="10">
    <w:abstractNumId w:val="9"/>
  </w:num>
  <w:num w:numId="11">
    <w:abstractNumId w:val="25"/>
  </w:num>
  <w:num w:numId="12">
    <w:abstractNumId w:val="8"/>
  </w:num>
  <w:num w:numId="13">
    <w:abstractNumId w:val="1"/>
  </w:num>
  <w:num w:numId="14">
    <w:abstractNumId w:val="27"/>
  </w:num>
  <w:num w:numId="15">
    <w:abstractNumId w:val="21"/>
  </w:num>
  <w:num w:numId="16">
    <w:abstractNumId w:val="0"/>
  </w:num>
  <w:num w:numId="17">
    <w:abstractNumId w:val="37"/>
  </w:num>
  <w:num w:numId="18">
    <w:abstractNumId w:val="18"/>
  </w:num>
  <w:num w:numId="19">
    <w:abstractNumId w:val="32"/>
  </w:num>
  <w:num w:numId="20">
    <w:abstractNumId w:val="26"/>
  </w:num>
  <w:num w:numId="21">
    <w:abstractNumId w:val="36"/>
  </w:num>
  <w:num w:numId="22">
    <w:abstractNumId w:val="23"/>
  </w:num>
  <w:num w:numId="23">
    <w:abstractNumId w:val="29"/>
  </w:num>
  <w:num w:numId="24">
    <w:abstractNumId w:val="14"/>
  </w:num>
  <w:num w:numId="25">
    <w:abstractNumId w:val="24"/>
  </w:num>
  <w:num w:numId="26">
    <w:abstractNumId w:val="19"/>
  </w:num>
  <w:num w:numId="27">
    <w:abstractNumId w:val="4"/>
  </w:num>
  <w:num w:numId="28">
    <w:abstractNumId w:val="31"/>
  </w:num>
  <w:num w:numId="29">
    <w:abstractNumId w:val="22"/>
  </w:num>
  <w:num w:numId="30">
    <w:abstractNumId w:val="10"/>
  </w:num>
  <w:num w:numId="31">
    <w:abstractNumId w:val="30"/>
  </w:num>
  <w:num w:numId="32">
    <w:abstractNumId w:val="15"/>
  </w:num>
  <w:num w:numId="33">
    <w:abstractNumId w:val="34"/>
  </w:num>
  <w:num w:numId="34">
    <w:abstractNumId w:val="16"/>
  </w:num>
  <w:num w:numId="35">
    <w:abstractNumId w:val="6"/>
  </w:num>
  <w:num w:numId="36">
    <w:abstractNumId w:val="20"/>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8"/>
    <w:rsid w:val="006F4479"/>
    <w:rsid w:val="00C92E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BF1B2-6CD5-41A8-9300-740101BC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98"/>
    <w:rPr>
      <w:rFonts w:ascii="Calibri" w:eastAsia="Calibri" w:hAnsi="Calibri" w:cs="Times New Roman"/>
      <w:lang w:val="ru-RU"/>
    </w:rPr>
  </w:style>
  <w:style w:type="paragraph" w:styleId="Heading1">
    <w:name w:val="heading 1"/>
    <w:basedOn w:val="Normal"/>
    <w:next w:val="Normal"/>
    <w:link w:val="Heading1Char"/>
    <w:qFormat/>
    <w:rsid w:val="00C92E98"/>
    <w:pPr>
      <w:keepNext/>
      <w:keepLines/>
      <w:spacing w:before="480" w:after="0" w:line="240" w:lineRule="auto"/>
      <w:jc w:val="center"/>
      <w:outlineLvl w:val="0"/>
    </w:pPr>
    <w:rPr>
      <w:rFonts w:ascii="Times New Roman" w:eastAsia="MS Gothic" w:hAnsi="Times New Roman"/>
      <w:b/>
      <w:bCs/>
      <w:color w:val="44546A"/>
      <w:sz w:val="40"/>
      <w:szCs w:val="32"/>
    </w:rPr>
  </w:style>
  <w:style w:type="paragraph" w:styleId="Heading2">
    <w:name w:val="heading 2"/>
    <w:basedOn w:val="Normal"/>
    <w:next w:val="Normal"/>
    <w:link w:val="Heading2Char"/>
    <w:uiPriority w:val="9"/>
    <w:qFormat/>
    <w:rsid w:val="00C92E98"/>
    <w:pPr>
      <w:keepNext/>
      <w:keepLines/>
      <w:spacing w:before="200" w:after="0" w:line="240" w:lineRule="auto"/>
      <w:outlineLvl w:val="1"/>
    </w:pPr>
    <w:rPr>
      <w:rFonts w:ascii="Times New Roman" w:eastAsia="MS Gothic" w:hAnsi="Times New Roman"/>
      <w:b/>
      <w:bCs/>
      <w:color w:val="44546A"/>
      <w:sz w:val="28"/>
      <w:szCs w:val="26"/>
    </w:rPr>
  </w:style>
  <w:style w:type="paragraph" w:styleId="Heading3">
    <w:name w:val="heading 3"/>
    <w:basedOn w:val="Normal"/>
    <w:next w:val="Normal"/>
    <w:link w:val="Heading3Char"/>
    <w:qFormat/>
    <w:rsid w:val="00C92E98"/>
    <w:pPr>
      <w:keepNext/>
      <w:keepLines/>
      <w:spacing w:before="200" w:after="0" w:line="240" w:lineRule="auto"/>
      <w:outlineLvl w:val="2"/>
    </w:pPr>
    <w:rPr>
      <w:rFonts w:ascii="Times New Roman" w:eastAsia="MS Gothic" w:hAnsi="Times New Roman"/>
      <w:b/>
      <w:bCs/>
      <w:color w:val="8496B0"/>
      <w:sz w:val="28"/>
      <w:szCs w:val="20"/>
    </w:rPr>
  </w:style>
  <w:style w:type="paragraph" w:styleId="Heading4">
    <w:name w:val="heading 4"/>
    <w:basedOn w:val="Normal"/>
    <w:next w:val="Normal"/>
    <w:link w:val="Heading4Char"/>
    <w:qFormat/>
    <w:rsid w:val="00C92E98"/>
    <w:pPr>
      <w:keepNext/>
      <w:keepLines/>
      <w:spacing w:before="40" w:after="0"/>
      <w:outlineLvl w:val="3"/>
    </w:pPr>
    <w:rPr>
      <w:rFonts w:eastAsia="MS Gothic"/>
      <w:i/>
      <w:iCs/>
      <w:color w:val="365F91"/>
    </w:rPr>
  </w:style>
  <w:style w:type="paragraph" w:styleId="Heading5">
    <w:name w:val="heading 5"/>
    <w:basedOn w:val="Normal"/>
    <w:next w:val="Normal"/>
    <w:link w:val="Heading5Char"/>
    <w:uiPriority w:val="9"/>
    <w:qFormat/>
    <w:rsid w:val="00C92E98"/>
    <w:p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C92E98"/>
    <w:pPr>
      <w:spacing w:before="240" w:after="60" w:line="240" w:lineRule="auto"/>
      <w:outlineLvl w:val="5"/>
    </w:pPr>
    <w:rPr>
      <w:rFonts w:eastAsia="Times New Roman"/>
      <w:b/>
      <w:bCs/>
      <w:lang w:val="en-US"/>
    </w:rPr>
  </w:style>
  <w:style w:type="paragraph" w:styleId="Heading7">
    <w:name w:val="heading 7"/>
    <w:basedOn w:val="Normal"/>
    <w:next w:val="Normal"/>
    <w:link w:val="Heading7Char"/>
    <w:uiPriority w:val="9"/>
    <w:qFormat/>
    <w:rsid w:val="00C92E98"/>
    <w:p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qFormat/>
    <w:rsid w:val="00C92E98"/>
    <w:p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
    <w:qFormat/>
    <w:rsid w:val="00C92E98"/>
    <w:p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E98"/>
    <w:rPr>
      <w:rFonts w:ascii="Times New Roman" w:eastAsia="MS Gothic" w:hAnsi="Times New Roman" w:cs="Times New Roman"/>
      <w:b/>
      <w:bCs/>
      <w:color w:val="44546A"/>
      <w:sz w:val="40"/>
      <w:szCs w:val="32"/>
      <w:lang w:val="ru-RU"/>
    </w:rPr>
  </w:style>
  <w:style w:type="character" w:customStyle="1" w:styleId="Heading2Char">
    <w:name w:val="Heading 2 Char"/>
    <w:basedOn w:val="DefaultParagraphFont"/>
    <w:link w:val="Heading2"/>
    <w:uiPriority w:val="9"/>
    <w:rsid w:val="00C92E98"/>
    <w:rPr>
      <w:rFonts w:ascii="Times New Roman" w:eastAsia="MS Gothic" w:hAnsi="Times New Roman" w:cs="Times New Roman"/>
      <w:b/>
      <w:bCs/>
      <w:color w:val="44546A"/>
      <w:sz w:val="28"/>
      <w:szCs w:val="26"/>
      <w:lang w:val="ru-RU"/>
    </w:rPr>
  </w:style>
  <w:style w:type="character" w:customStyle="1" w:styleId="Heading3Char">
    <w:name w:val="Heading 3 Char"/>
    <w:basedOn w:val="DefaultParagraphFont"/>
    <w:link w:val="Heading3"/>
    <w:rsid w:val="00C92E98"/>
    <w:rPr>
      <w:rFonts w:ascii="Times New Roman" w:eastAsia="MS Gothic" w:hAnsi="Times New Roman" w:cs="Times New Roman"/>
      <w:b/>
      <w:bCs/>
      <w:color w:val="8496B0"/>
      <w:sz w:val="28"/>
      <w:szCs w:val="20"/>
      <w:lang w:val="ru-RU"/>
    </w:rPr>
  </w:style>
  <w:style w:type="character" w:customStyle="1" w:styleId="Heading4Char">
    <w:name w:val="Heading 4 Char"/>
    <w:basedOn w:val="DefaultParagraphFont"/>
    <w:link w:val="Heading4"/>
    <w:rsid w:val="00C92E98"/>
    <w:rPr>
      <w:rFonts w:ascii="Calibri" w:eastAsia="MS Gothic" w:hAnsi="Calibri" w:cs="Times New Roman"/>
      <w:i/>
      <w:iCs/>
      <w:color w:val="365F91"/>
      <w:lang w:val="ru-RU"/>
    </w:rPr>
  </w:style>
  <w:style w:type="character" w:customStyle="1" w:styleId="Heading5Char">
    <w:name w:val="Heading 5 Char"/>
    <w:basedOn w:val="DefaultParagraphFont"/>
    <w:link w:val="Heading5"/>
    <w:uiPriority w:val="9"/>
    <w:rsid w:val="00C92E9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C92E98"/>
    <w:rPr>
      <w:rFonts w:ascii="Calibri" w:eastAsia="Times New Roman" w:hAnsi="Calibri" w:cs="Times New Roman"/>
      <w:b/>
      <w:bCs/>
      <w:lang w:val="en-US"/>
    </w:rPr>
  </w:style>
  <w:style w:type="character" w:customStyle="1" w:styleId="Heading7Char">
    <w:name w:val="Heading 7 Char"/>
    <w:basedOn w:val="DefaultParagraphFont"/>
    <w:link w:val="Heading7"/>
    <w:uiPriority w:val="9"/>
    <w:rsid w:val="00C92E98"/>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C92E98"/>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C92E98"/>
    <w:rPr>
      <w:rFonts w:ascii="Cambria" w:eastAsia="Times New Roman" w:hAnsi="Cambria" w:cs="Times New Roman"/>
      <w:lang w:val="en-US"/>
    </w:rPr>
  </w:style>
  <w:style w:type="paragraph" w:customStyle="1" w:styleId="ColorfulList-Accent12">
    <w:name w:val="Colorful List - Accent 12"/>
    <w:basedOn w:val="Normal"/>
    <w:link w:val="ColorfulList-Accent1Char"/>
    <w:qFormat/>
    <w:rsid w:val="00C92E98"/>
    <w:pPr>
      <w:spacing w:after="0" w:line="240" w:lineRule="auto"/>
      <w:ind w:left="720"/>
      <w:contextualSpacing/>
    </w:pPr>
    <w:rPr>
      <w:rFonts w:eastAsia="MS Mincho"/>
      <w:sz w:val="20"/>
      <w:szCs w:val="20"/>
      <w:lang w:val="x-none" w:eastAsia="x-none"/>
    </w:rPr>
  </w:style>
  <w:style w:type="paragraph" w:styleId="BalloonText">
    <w:name w:val="Balloon Text"/>
    <w:basedOn w:val="Normal"/>
    <w:link w:val="BalloonTextChar"/>
    <w:uiPriority w:val="99"/>
    <w:unhideWhenUsed/>
    <w:rsid w:val="00C92E98"/>
    <w:pPr>
      <w:spacing w:after="0" w:line="240" w:lineRule="auto"/>
    </w:pPr>
    <w:rPr>
      <w:rFonts w:ascii="Lucida Grande" w:eastAsia="MS Mincho" w:hAnsi="Lucida Grande"/>
      <w:sz w:val="18"/>
      <w:szCs w:val="18"/>
    </w:rPr>
  </w:style>
  <w:style w:type="character" w:customStyle="1" w:styleId="BalloonTextChar">
    <w:name w:val="Balloon Text Char"/>
    <w:basedOn w:val="DefaultParagraphFont"/>
    <w:link w:val="BalloonText"/>
    <w:uiPriority w:val="99"/>
    <w:rsid w:val="00C92E98"/>
    <w:rPr>
      <w:rFonts w:ascii="Lucida Grande" w:eastAsia="MS Mincho" w:hAnsi="Lucida Grande" w:cs="Times New Roman"/>
      <w:sz w:val="18"/>
      <w:szCs w:val="18"/>
      <w:lang w:val="ru-RU"/>
    </w:rPr>
  </w:style>
  <w:style w:type="paragraph" w:customStyle="1" w:styleId="MediumGrid21">
    <w:name w:val="Medium Grid 21"/>
    <w:link w:val="MediumGrid2Char"/>
    <w:qFormat/>
    <w:rsid w:val="00C92E98"/>
    <w:pPr>
      <w:spacing w:after="0" w:line="240" w:lineRule="auto"/>
    </w:pPr>
    <w:rPr>
      <w:rFonts w:ascii="Cambria" w:eastAsia="MS Mincho" w:hAnsi="Cambria" w:cs="Times New Roman"/>
      <w:lang w:eastAsia="ru-RU"/>
    </w:rPr>
  </w:style>
  <w:style w:type="character" w:customStyle="1" w:styleId="MediumGrid2Char">
    <w:name w:val="Medium Grid 2 Char"/>
    <w:link w:val="MediumGrid21"/>
    <w:rsid w:val="00C92E98"/>
    <w:rPr>
      <w:rFonts w:ascii="Cambria" w:eastAsia="MS Mincho" w:hAnsi="Cambria" w:cs="Times New Roman"/>
      <w:lang w:eastAsia="ru-RU"/>
    </w:rPr>
  </w:style>
  <w:style w:type="paragraph" w:styleId="Title">
    <w:name w:val="Title"/>
    <w:basedOn w:val="Normal"/>
    <w:next w:val="Normal"/>
    <w:link w:val="TitleChar"/>
    <w:qFormat/>
    <w:rsid w:val="00C92E98"/>
    <w:pPr>
      <w:spacing w:before="120" w:after="0" w:line="240" w:lineRule="auto"/>
      <w:contextualSpacing/>
    </w:pPr>
    <w:rPr>
      <w:rFonts w:eastAsia="MS Gothic"/>
      <w:spacing w:val="-10"/>
      <w:kern w:val="28"/>
      <w:sz w:val="56"/>
      <w:szCs w:val="56"/>
    </w:rPr>
  </w:style>
  <w:style w:type="character" w:customStyle="1" w:styleId="TitleChar">
    <w:name w:val="Title Char"/>
    <w:basedOn w:val="DefaultParagraphFont"/>
    <w:link w:val="Title"/>
    <w:rsid w:val="00C92E98"/>
    <w:rPr>
      <w:rFonts w:ascii="Calibri" w:eastAsia="MS Gothic" w:hAnsi="Calibri" w:cs="Times New Roman"/>
      <w:spacing w:val="-10"/>
      <w:kern w:val="28"/>
      <w:sz w:val="56"/>
      <w:szCs w:val="56"/>
      <w:lang w:val="ru-RU"/>
    </w:rPr>
  </w:style>
  <w:style w:type="paragraph" w:styleId="FootnoteText">
    <w:name w:val="footnote text"/>
    <w:basedOn w:val="Normal"/>
    <w:link w:val="FootnoteTextChar"/>
    <w:uiPriority w:val="99"/>
    <w:unhideWhenUsed/>
    <w:rsid w:val="00C92E98"/>
    <w:pPr>
      <w:spacing w:before="120" w:after="0" w:line="240" w:lineRule="auto"/>
    </w:pPr>
    <w:rPr>
      <w:rFonts w:ascii="Cambria" w:eastAsia="Cambria" w:hAnsi="Cambria"/>
      <w:sz w:val="20"/>
      <w:szCs w:val="20"/>
    </w:rPr>
  </w:style>
  <w:style w:type="character" w:customStyle="1" w:styleId="FootnoteTextChar">
    <w:name w:val="Footnote Text Char"/>
    <w:basedOn w:val="DefaultParagraphFont"/>
    <w:link w:val="FootnoteText"/>
    <w:uiPriority w:val="99"/>
    <w:rsid w:val="00C92E98"/>
    <w:rPr>
      <w:rFonts w:ascii="Cambria" w:eastAsia="Cambria" w:hAnsi="Cambria" w:cs="Times New Roman"/>
      <w:sz w:val="20"/>
      <w:szCs w:val="20"/>
      <w:lang w:val="ru-RU"/>
    </w:rPr>
  </w:style>
  <w:style w:type="character" w:styleId="FootnoteReference">
    <w:name w:val="footnote reference"/>
    <w:uiPriority w:val="99"/>
    <w:unhideWhenUsed/>
    <w:rsid w:val="00C92E98"/>
    <w:rPr>
      <w:vertAlign w:val="superscript"/>
    </w:rPr>
  </w:style>
  <w:style w:type="paragraph" w:styleId="Caption">
    <w:name w:val="caption"/>
    <w:basedOn w:val="Normal"/>
    <w:next w:val="Normal"/>
    <w:uiPriority w:val="35"/>
    <w:qFormat/>
    <w:rsid w:val="00C92E98"/>
    <w:pPr>
      <w:keepNext/>
      <w:spacing w:before="120" w:after="80" w:line="240" w:lineRule="auto"/>
    </w:pPr>
    <w:rPr>
      <w:rFonts w:ascii="Times New Roman" w:eastAsia="Cambria" w:hAnsi="Times New Roman"/>
      <w:b/>
      <w:iCs/>
      <w:sz w:val="24"/>
      <w:szCs w:val="18"/>
    </w:rPr>
  </w:style>
  <w:style w:type="paragraph" w:customStyle="1" w:styleId="Source">
    <w:name w:val="Source"/>
    <w:basedOn w:val="Normal"/>
    <w:link w:val="SourceChar"/>
    <w:qFormat/>
    <w:rsid w:val="00C92E98"/>
    <w:pPr>
      <w:spacing w:before="120" w:after="0"/>
    </w:pPr>
    <w:rPr>
      <w:rFonts w:ascii="Times" w:eastAsia="Cambria" w:hAnsi="Times"/>
      <w:i/>
      <w:sz w:val="16"/>
      <w:szCs w:val="20"/>
      <w:lang w:val="ro-RO" w:eastAsia="x-none"/>
    </w:rPr>
  </w:style>
  <w:style w:type="paragraph" w:customStyle="1" w:styleId="Figure">
    <w:name w:val="Figure"/>
    <w:basedOn w:val="Normal"/>
    <w:link w:val="FigureChar"/>
    <w:qFormat/>
    <w:rsid w:val="00C92E98"/>
    <w:pPr>
      <w:spacing w:after="0"/>
    </w:pPr>
    <w:rPr>
      <w:rFonts w:ascii="Cambria" w:eastAsia="Cambria" w:hAnsi="Cambria"/>
      <w:sz w:val="20"/>
      <w:szCs w:val="20"/>
      <w:lang w:val="x-none" w:eastAsia="x-none"/>
    </w:rPr>
  </w:style>
  <w:style w:type="character" w:customStyle="1" w:styleId="SourceChar">
    <w:name w:val="Source Char"/>
    <w:link w:val="Source"/>
    <w:rsid w:val="00C92E98"/>
    <w:rPr>
      <w:rFonts w:ascii="Times" w:eastAsia="Cambria" w:hAnsi="Times" w:cs="Times New Roman"/>
      <w:i/>
      <w:sz w:val="16"/>
      <w:szCs w:val="20"/>
      <w:lang w:eastAsia="x-none"/>
    </w:rPr>
  </w:style>
  <w:style w:type="table" w:styleId="TableGrid">
    <w:name w:val="Table Grid"/>
    <w:basedOn w:val="TableNormal"/>
    <w:uiPriority w:val="39"/>
    <w:rsid w:val="00C92E98"/>
    <w:pPr>
      <w:spacing w:after="0" w:line="240" w:lineRule="auto"/>
    </w:pPr>
    <w:rPr>
      <w:rFonts w:ascii="Cambria" w:eastAsia="Cambria" w:hAnsi="Cambria"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Char">
    <w:name w:val="Figure Char"/>
    <w:link w:val="Figure"/>
    <w:rsid w:val="00C92E98"/>
    <w:rPr>
      <w:rFonts w:ascii="Cambria" w:eastAsia="Cambria" w:hAnsi="Cambria" w:cs="Times New Roman"/>
      <w:sz w:val="20"/>
      <w:szCs w:val="20"/>
      <w:lang w:val="x-none" w:eastAsia="x-none"/>
    </w:rPr>
  </w:style>
  <w:style w:type="paragraph" w:styleId="Header">
    <w:name w:val="header"/>
    <w:basedOn w:val="Normal"/>
    <w:link w:val="HeaderChar"/>
    <w:uiPriority w:val="99"/>
    <w:unhideWhenUsed/>
    <w:rsid w:val="00C92E98"/>
    <w:pPr>
      <w:tabs>
        <w:tab w:val="center" w:pos="4677"/>
        <w:tab w:val="right" w:pos="9355"/>
      </w:tabs>
      <w:spacing w:after="0" w:line="240" w:lineRule="auto"/>
    </w:pPr>
    <w:rPr>
      <w:rFonts w:ascii="Cambria" w:eastAsia="Cambria" w:hAnsi="Cambria"/>
    </w:rPr>
  </w:style>
  <w:style w:type="character" w:customStyle="1" w:styleId="HeaderChar">
    <w:name w:val="Header Char"/>
    <w:basedOn w:val="DefaultParagraphFont"/>
    <w:link w:val="Header"/>
    <w:uiPriority w:val="99"/>
    <w:rsid w:val="00C92E98"/>
    <w:rPr>
      <w:rFonts w:ascii="Cambria" w:eastAsia="Cambria" w:hAnsi="Cambria" w:cs="Times New Roman"/>
      <w:lang w:val="ru-RU"/>
    </w:rPr>
  </w:style>
  <w:style w:type="paragraph" w:styleId="Footer">
    <w:name w:val="footer"/>
    <w:basedOn w:val="Normal"/>
    <w:link w:val="FooterChar"/>
    <w:uiPriority w:val="99"/>
    <w:unhideWhenUsed/>
    <w:rsid w:val="00C92E98"/>
    <w:pPr>
      <w:tabs>
        <w:tab w:val="center" w:pos="4677"/>
        <w:tab w:val="right" w:pos="9355"/>
      </w:tabs>
      <w:spacing w:after="0" w:line="240" w:lineRule="auto"/>
    </w:pPr>
    <w:rPr>
      <w:rFonts w:ascii="Cambria" w:eastAsia="Cambria" w:hAnsi="Cambria"/>
    </w:rPr>
  </w:style>
  <w:style w:type="character" w:customStyle="1" w:styleId="FooterChar">
    <w:name w:val="Footer Char"/>
    <w:basedOn w:val="DefaultParagraphFont"/>
    <w:link w:val="Footer"/>
    <w:uiPriority w:val="99"/>
    <w:rsid w:val="00C92E98"/>
    <w:rPr>
      <w:rFonts w:ascii="Cambria" w:eastAsia="Cambria" w:hAnsi="Cambria" w:cs="Times New Roman"/>
      <w:lang w:val="ru-RU"/>
    </w:rPr>
  </w:style>
  <w:style w:type="paragraph" w:customStyle="1" w:styleId="GridTable31">
    <w:name w:val="Grid Table 31"/>
    <w:basedOn w:val="Heading1"/>
    <w:next w:val="Normal"/>
    <w:uiPriority w:val="39"/>
    <w:unhideWhenUsed/>
    <w:qFormat/>
    <w:rsid w:val="00C92E98"/>
    <w:pPr>
      <w:spacing w:before="240" w:line="259" w:lineRule="auto"/>
      <w:outlineLvl w:val="9"/>
    </w:pPr>
    <w:rPr>
      <w:b w:val="0"/>
      <w:bCs w:val="0"/>
      <w:color w:val="365F91"/>
    </w:rPr>
  </w:style>
  <w:style w:type="paragraph" w:styleId="TOC1">
    <w:name w:val="toc 1"/>
    <w:basedOn w:val="Normal"/>
    <w:next w:val="Normal"/>
    <w:autoRedefine/>
    <w:uiPriority w:val="39"/>
    <w:unhideWhenUsed/>
    <w:rsid w:val="00C92E98"/>
    <w:pPr>
      <w:tabs>
        <w:tab w:val="right" w:leader="dot" w:pos="9639"/>
      </w:tabs>
      <w:spacing w:before="120" w:after="100"/>
    </w:pPr>
    <w:rPr>
      <w:rFonts w:ascii="Cambria" w:eastAsia="Cambria" w:hAnsi="Cambria"/>
    </w:rPr>
  </w:style>
  <w:style w:type="paragraph" w:styleId="TOC2">
    <w:name w:val="toc 2"/>
    <w:basedOn w:val="Normal"/>
    <w:next w:val="Normal"/>
    <w:autoRedefine/>
    <w:uiPriority w:val="39"/>
    <w:unhideWhenUsed/>
    <w:rsid w:val="00C92E98"/>
    <w:pPr>
      <w:tabs>
        <w:tab w:val="right" w:leader="dot" w:pos="9639"/>
      </w:tabs>
      <w:spacing w:before="120" w:after="100"/>
      <w:ind w:left="220"/>
    </w:pPr>
    <w:rPr>
      <w:rFonts w:ascii="Cambria" w:eastAsia="Cambria" w:hAnsi="Cambria"/>
    </w:rPr>
  </w:style>
  <w:style w:type="paragraph" w:styleId="TOC3">
    <w:name w:val="toc 3"/>
    <w:basedOn w:val="Normal"/>
    <w:next w:val="Normal"/>
    <w:autoRedefine/>
    <w:uiPriority w:val="39"/>
    <w:unhideWhenUsed/>
    <w:rsid w:val="00C92E98"/>
    <w:pPr>
      <w:spacing w:before="120" w:after="100"/>
      <w:ind w:left="440"/>
    </w:pPr>
    <w:rPr>
      <w:rFonts w:ascii="Cambria" w:eastAsia="Cambria" w:hAnsi="Cambria"/>
    </w:rPr>
  </w:style>
  <w:style w:type="character" w:styleId="Hyperlink">
    <w:name w:val="Hyperlink"/>
    <w:uiPriority w:val="99"/>
    <w:unhideWhenUsed/>
    <w:rsid w:val="00C92E98"/>
    <w:rPr>
      <w:color w:val="0000FF"/>
      <w:u w:val="single"/>
    </w:rPr>
  </w:style>
  <w:style w:type="paragraph" w:styleId="TableofFigures">
    <w:name w:val="table of figures"/>
    <w:basedOn w:val="Normal"/>
    <w:next w:val="Normal"/>
    <w:uiPriority w:val="99"/>
    <w:unhideWhenUsed/>
    <w:rsid w:val="00C92E98"/>
    <w:pPr>
      <w:spacing w:before="120" w:after="0"/>
    </w:pPr>
    <w:rPr>
      <w:rFonts w:ascii="Cambria" w:eastAsia="Cambria" w:hAnsi="Cambria"/>
    </w:rPr>
  </w:style>
  <w:style w:type="paragraph" w:customStyle="1" w:styleId="Vchoz">
    <w:name w:val="Výchozí"/>
    <w:rsid w:val="00C92E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Text">
    <w:name w:val="Text"/>
    <w:rsid w:val="00C92E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Poznmkapodarou">
    <w:name w:val="Poznámka pod čarou"/>
    <w:rsid w:val="00C92E98"/>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Styltabulky2">
    <w:name w:val="Styl tabulky 2"/>
    <w:rsid w:val="00C92E98"/>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paragraph" w:customStyle="1" w:styleId="ColorfulList-Accent11">
    <w:name w:val="Colorful List - Accent 11"/>
    <w:basedOn w:val="Normal"/>
    <w:qFormat/>
    <w:rsid w:val="00C92E98"/>
    <w:pPr>
      <w:suppressAutoHyphens/>
      <w:spacing w:after="200" w:line="100" w:lineRule="atLeast"/>
      <w:ind w:left="720"/>
    </w:pPr>
    <w:rPr>
      <w:rFonts w:eastAsia="Arial Unicode MS" w:cs="font335"/>
      <w:lang w:val="en-US" w:eastAsia="ar-SA"/>
    </w:rPr>
  </w:style>
  <w:style w:type="character" w:customStyle="1" w:styleId="Red">
    <w:name w:val="Red"/>
    <w:rsid w:val="00C92E98"/>
    <w:rPr>
      <w:color w:val="C82505"/>
    </w:rPr>
  </w:style>
  <w:style w:type="numbering" w:customStyle="1" w:styleId="Velkodrka">
    <w:name w:val="Velká odrážka"/>
    <w:rsid w:val="00C92E98"/>
    <w:pPr>
      <w:numPr>
        <w:numId w:val="1"/>
      </w:numPr>
    </w:pPr>
  </w:style>
  <w:style w:type="character" w:customStyle="1" w:styleId="dn">
    <w:name w:val="Žádný"/>
    <w:rsid w:val="00C92E98"/>
  </w:style>
  <w:style w:type="character" w:customStyle="1" w:styleId="erven">
    <w:name w:val="Červený"/>
    <w:rsid w:val="00C92E98"/>
    <w:rPr>
      <w:color w:val="C82505"/>
    </w:rPr>
  </w:style>
  <w:style w:type="paragraph" w:customStyle="1" w:styleId="paragraph">
    <w:name w:val="paragraph"/>
    <w:basedOn w:val="ColorfulList-Accent12"/>
    <w:link w:val="paragraphChar"/>
    <w:qFormat/>
    <w:rsid w:val="00C92E98"/>
    <w:pPr>
      <w:numPr>
        <w:numId w:val="2"/>
      </w:numPr>
      <w:spacing w:before="120" w:after="280" w:line="259" w:lineRule="auto"/>
      <w:contextualSpacing w:val="0"/>
    </w:pPr>
    <w:rPr>
      <w:rFonts w:ascii="Times New Roman" w:eastAsia="Cambria" w:hAnsi="Times New Roman"/>
      <w:sz w:val="28"/>
      <w:szCs w:val="28"/>
      <w:lang w:val="en-US"/>
    </w:rPr>
  </w:style>
  <w:style w:type="character" w:customStyle="1" w:styleId="ColorfulList-Accent1Char">
    <w:name w:val="Colorful List - Accent 1 Char"/>
    <w:link w:val="ColorfulList-Accent12"/>
    <w:rsid w:val="00C92E98"/>
    <w:rPr>
      <w:rFonts w:ascii="Calibri" w:eastAsia="MS Mincho" w:hAnsi="Calibri" w:cs="Times New Roman"/>
      <w:sz w:val="20"/>
      <w:szCs w:val="20"/>
      <w:lang w:val="x-none" w:eastAsia="x-none"/>
    </w:rPr>
  </w:style>
  <w:style w:type="character" w:customStyle="1" w:styleId="paragraphChar">
    <w:name w:val="paragraph Char"/>
    <w:link w:val="paragraph"/>
    <w:rsid w:val="00C92E98"/>
    <w:rPr>
      <w:rFonts w:ascii="Times New Roman" w:eastAsia="Cambria" w:hAnsi="Times New Roman" w:cs="Times New Roman"/>
      <w:sz w:val="28"/>
      <w:szCs w:val="28"/>
      <w:lang w:val="en-US" w:eastAsia="x-none"/>
    </w:rPr>
  </w:style>
  <w:style w:type="character" w:styleId="CommentReference">
    <w:name w:val="annotation reference"/>
    <w:uiPriority w:val="99"/>
    <w:unhideWhenUsed/>
    <w:rsid w:val="00C92E98"/>
    <w:rPr>
      <w:sz w:val="16"/>
      <w:szCs w:val="16"/>
    </w:rPr>
  </w:style>
  <w:style w:type="paragraph" w:styleId="CommentText">
    <w:name w:val="annotation text"/>
    <w:basedOn w:val="Normal"/>
    <w:link w:val="CommentTextChar"/>
    <w:uiPriority w:val="99"/>
    <w:unhideWhenUsed/>
    <w:rsid w:val="00C92E98"/>
    <w:pPr>
      <w:spacing w:line="240" w:lineRule="auto"/>
    </w:pPr>
    <w:rPr>
      <w:rFonts w:ascii="Cambria" w:eastAsia="Cambria" w:hAnsi="Cambria"/>
      <w:sz w:val="20"/>
      <w:szCs w:val="20"/>
    </w:rPr>
  </w:style>
  <w:style w:type="character" w:customStyle="1" w:styleId="CommentTextChar">
    <w:name w:val="Comment Text Char"/>
    <w:basedOn w:val="DefaultParagraphFont"/>
    <w:link w:val="CommentText"/>
    <w:uiPriority w:val="99"/>
    <w:rsid w:val="00C92E98"/>
    <w:rPr>
      <w:rFonts w:ascii="Cambria" w:eastAsia="Cambria" w:hAnsi="Cambria" w:cs="Times New Roman"/>
      <w:sz w:val="20"/>
      <w:szCs w:val="20"/>
      <w:lang w:val="ru-RU"/>
    </w:rPr>
  </w:style>
  <w:style w:type="paragraph" w:styleId="CommentSubject">
    <w:name w:val="annotation subject"/>
    <w:basedOn w:val="CommentText"/>
    <w:next w:val="CommentText"/>
    <w:link w:val="CommentSubjectChar"/>
    <w:uiPriority w:val="99"/>
    <w:unhideWhenUsed/>
    <w:rsid w:val="00C92E98"/>
    <w:rPr>
      <w:b/>
      <w:bCs/>
    </w:rPr>
  </w:style>
  <w:style w:type="character" w:customStyle="1" w:styleId="CommentSubjectChar">
    <w:name w:val="Comment Subject Char"/>
    <w:basedOn w:val="CommentTextChar"/>
    <w:link w:val="CommentSubject"/>
    <w:uiPriority w:val="99"/>
    <w:rsid w:val="00C92E98"/>
    <w:rPr>
      <w:rFonts w:ascii="Cambria" w:eastAsia="Cambria" w:hAnsi="Cambria" w:cs="Times New Roman"/>
      <w:b/>
      <w:bCs/>
      <w:sz w:val="20"/>
      <w:szCs w:val="20"/>
      <w:lang w:val="ru-RU"/>
    </w:rPr>
  </w:style>
  <w:style w:type="paragraph" w:customStyle="1" w:styleId="Styltabulky1">
    <w:name w:val="Styl tabulky 1"/>
    <w:rsid w:val="00C92E98"/>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US"/>
    </w:rPr>
  </w:style>
  <w:style w:type="paragraph" w:customStyle="1" w:styleId="footnote">
    <w:name w:val="footnote"/>
    <w:basedOn w:val="FootnoteText"/>
    <w:link w:val="footnoteChar"/>
    <w:qFormat/>
    <w:rsid w:val="00C92E98"/>
    <w:pPr>
      <w:spacing w:before="0"/>
    </w:pPr>
    <w:rPr>
      <w:rFonts w:ascii="Times New Roman" w:hAnsi="Times New Roman"/>
      <w:sz w:val="16"/>
      <w:szCs w:val="16"/>
      <w:lang w:val="uz-Cyrl-UZ" w:eastAsia="x-none"/>
    </w:rPr>
  </w:style>
  <w:style w:type="character" w:customStyle="1" w:styleId="footnoteChar">
    <w:name w:val="footnote Char"/>
    <w:link w:val="footnote"/>
    <w:rsid w:val="00C92E98"/>
    <w:rPr>
      <w:rFonts w:ascii="Times New Roman" w:eastAsia="Cambria" w:hAnsi="Times New Roman" w:cs="Times New Roman"/>
      <w:sz w:val="16"/>
      <w:szCs w:val="16"/>
      <w:lang w:val="uz-Cyrl-UZ" w:eastAsia="x-none"/>
    </w:rPr>
  </w:style>
  <w:style w:type="character" w:customStyle="1" w:styleId="Hyperlink0">
    <w:name w:val="Hyperlink.0"/>
    <w:rsid w:val="00C92E98"/>
    <w:rPr>
      <w:u w:val="single"/>
    </w:rPr>
  </w:style>
  <w:style w:type="character" w:styleId="FollowedHyperlink">
    <w:name w:val="FollowedHyperlink"/>
    <w:uiPriority w:val="99"/>
    <w:semiHidden/>
    <w:unhideWhenUsed/>
    <w:rsid w:val="00C92E98"/>
    <w:rPr>
      <w:color w:val="800080"/>
      <w:u w:val="single"/>
    </w:rPr>
  </w:style>
  <w:style w:type="character" w:customStyle="1" w:styleId="InternetLink">
    <w:name w:val="Internet Link"/>
    <w:rsid w:val="00C92E98"/>
    <w:rPr>
      <w:color w:val="0000FF"/>
      <w:u w:val="single"/>
    </w:rPr>
  </w:style>
  <w:style w:type="character" w:customStyle="1" w:styleId="ListLabel1">
    <w:name w:val="ListLabel 1"/>
    <w:rsid w:val="00C92E98"/>
    <w:rPr>
      <w:rFonts w:cs="Courier New"/>
    </w:rPr>
  </w:style>
  <w:style w:type="character" w:customStyle="1" w:styleId="ListLabel2">
    <w:name w:val="ListLabel 2"/>
    <w:rsid w:val="00C92E98"/>
    <w:rPr>
      <w:rFonts w:cs="Cambria"/>
    </w:rPr>
  </w:style>
  <w:style w:type="character" w:customStyle="1" w:styleId="ListLabel3">
    <w:name w:val="ListLabel 3"/>
    <w:rsid w:val="00C92E98"/>
    <w:rPr>
      <w:b/>
      <w:bCs/>
    </w:rPr>
  </w:style>
  <w:style w:type="character" w:customStyle="1" w:styleId="ListLabel4">
    <w:name w:val="ListLabel 4"/>
    <w:rsid w:val="00C92E98"/>
    <w:rPr>
      <w:b/>
    </w:rPr>
  </w:style>
  <w:style w:type="character" w:customStyle="1" w:styleId="ListLabel5">
    <w:name w:val="ListLabel 5"/>
    <w:rsid w:val="00C92E98"/>
    <w:rPr>
      <w:i/>
      <w:iCs/>
    </w:rPr>
  </w:style>
  <w:style w:type="character" w:customStyle="1" w:styleId="ListLabel6">
    <w:name w:val="ListLabel 6"/>
    <w:rsid w:val="00C92E98"/>
    <w:rPr>
      <w:b w:val="0"/>
    </w:rPr>
  </w:style>
  <w:style w:type="character" w:customStyle="1" w:styleId="ListLabel7">
    <w:name w:val="ListLabel 7"/>
    <w:rsid w:val="00C92E98"/>
    <w:rPr>
      <w:rFonts w:eastAsia="Calibri" w:cs="Calibri"/>
      <w:color w:val="0D0402"/>
      <w:sz w:val="16"/>
      <w:szCs w:val="16"/>
    </w:rPr>
  </w:style>
  <w:style w:type="character" w:customStyle="1" w:styleId="ListLabel8">
    <w:name w:val="ListLabel 8"/>
    <w:rsid w:val="00C92E98"/>
    <w:rPr>
      <w:rFonts w:cs="Times New Roman"/>
    </w:rPr>
  </w:style>
  <w:style w:type="character" w:customStyle="1" w:styleId="FootnoteAnchor">
    <w:name w:val="Footnote Anchor"/>
    <w:rsid w:val="00C92E98"/>
    <w:rPr>
      <w:vertAlign w:val="superscript"/>
    </w:rPr>
  </w:style>
  <w:style w:type="character" w:customStyle="1" w:styleId="EndnoteAnchor">
    <w:name w:val="Endnote Anchor"/>
    <w:rsid w:val="00C92E98"/>
    <w:rPr>
      <w:vertAlign w:val="superscript"/>
    </w:rPr>
  </w:style>
  <w:style w:type="character" w:styleId="Emphasis">
    <w:name w:val="Emphasis"/>
    <w:uiPriority w:val="20"/>
    <w:qFormat/>
    <w:rsid w:val="00C92E98"/>
    <w:rPr>
      <w:i/>
      <w:iCs/>
    </w:rPr>
  </w:style>
  <w:style w:type="character" w:customStyle="1" w:styleId="ListLabel9">
    <w:name w:val="ListLabel 9"/>
    <w:rsid w:val="00C92E98"/>
    <w:rPr>
      <w:rFonts w:cs="Symbol"/>
    </w:rPr>
  </w:style>
  <w:style w:type="character" w:customStyle="1" w:styleId="ListLabel10">
    <w:name w:val="ListLabel 10"/>
    <w:rsid w:val="00C92E98"/>
    <w:rPr>
      <w:rFonts w:cs="Courier New"/>
    </w:rPr>
  </w:style>
  <w:style w:type="character" w:customStyle="1" w:styleId="ListLabel11">
    <w:name w:val="ListLabel 11"/>
    <w:rsid w:val="00C92E98"/>
    <w:rPr>
      <w:rFonts w:cs="Wingdings"/>
    </w:rPr>
  </w:style>
  <w:style w:type="character" w:customStyle="1" w:styleId="ListLabel12">
    <w:name w:val="ListLabel 12"/>
    <w:rsid w:val="00C92E98"/>
    <w:rPr>
      <w:b/>
      <w:sz w:val="28"/>
    </w:rPr>
  </w:style>
  <w:style w:type="character" w:customStyle="1" w:styleId="ListLabel13">
    <w:name w:val="ListLabel 13"/>
    <w:rsid w:val="00C92E98"/>
    <w:rPr>
      <w:rFonts w:cs="Symbol"/>
    </w:rPr>
  </w:style>
  <w:style w:type="character" w:customStyle="1" w:styleId="ListLabel14">
    <w:name w:val="ListLabel 14"/>
    <w:rsid w:val="00C92E98"/>
    <w:rPr>
      <w:rFonts w:cs="Courier New"/>
    </w:rPr>
  </w:style>
  <w:style w:type="character" w:customStyle="1" w:styleId="ListLabel15">
    <w:name w:val="ListLabel 15"/>
    <w:rsid w:val="00C92E98"/>
    <w:rPr>
      <w:rFonts w:cs="Wingdings"/>
    </w:rPr>
  </w:style>
  <w:style w:type="character" w:customStyle="1" w:styleId="ListLabel16">
    <w:name w:val="ListLabel 16"/>
    <w:rsid w:val="00C92E98"/>
    <w:rPr>
      <w:b/>
      <w:sz w:val="28"/>
    </w:rPr>
  </w:style>
  <w:style w:type="character" w:customStyle="1" w:styleId="FootnoteCharacters">
    <w:name w:val="Footnote Characters"/>
    <w:rsid w:val="00C92E98"/>
  </w:style>
  <w:style w:type="character" w:customStyle="1" w:styleId="EndnoteCharacters">
    <w:name w:val="Endnote Characters"/>
    <w:rsid w:val="00C92E98"/>
  </w:style>
  <w:style w:type="character" w:customStyle="1" w:styleId="ListLabel17">
    <w:name w:val="ListLabel 17"/>
    <w:rsid w:val="00C92E98"/>
    <w:rPr>
      <w:rFonts w:cs="Symbol"/>
    </w:rPr>
  </w:style>
  <w:style w:type="character" w:customStyle="1" w:styleId="ListLabel18">
    <w:name w:val="ListLabel 18"/>
    <w:rsid w:val="00C92E98"/>
    <w:rPr>
      <w:rFonts w:cs="Courier New"/>
    </w:rPr>
  </w:style>
  <w:style w:type="character" w:customStyle="1" w:styleId="ListLabel19">
    <w:name w:val="ListLabel 19"/>
    <w:rsid w:val="00C92E98"/>
    <w:rPr>
      <w:rFonts w:cs="Wingdings"/>
    </w:rPr>
  </w:style>
  <w:style w:type="character" w:customStyle="1" w:styleId="ListLabel20">
    <w:name w:val="ListLabel 20"/>
    <w:rsid w:val="00C92E98"/>
    <w:rPr>
      <w:b/>
      <w:sz w:val="28"/>
    </w:rPr>
  </w:style>
  <w:style w:type="character" w:customStyle="1" w:styleId="ListLabel21">
    <w:name w:val="ListLabel 21"/>
    <w:rsid w:val="00C92E98"/>
    <w:rPr>
      <w:rFonts w:cs="Symbol"/>
    </w:rPr>
  </w:style>
  <w:style w:type="character" w:customStyle="1" w:styleId="ListLabel22">
    <w:name w:val="ListLabel 22"/>
    <w:rsid w:val="00C92E98"/>
    <w:rPr>
      <w:rFonts w:cs="Courier New"/>
    </w:rPr>
  </w:style>
  <w:style w:type="character" w:customStyle="1" w:styleId="ListLabel23">
    <w:name w:val="ListLabel 23"/>
    <w:rsid w:val="00C92E98"/>
    <w:rPr>
      <w:rFonts w:cs="Wingdings"/>
    </w:rPr>
  </w:style>
  <w:style w:type="character" w:customStyle="1" w:styleId="ListLabel24">
    <w:name w:val="ListLabel 24"/>
    <w:rsid w:val="00C92E98"/>
    <w:rPr>
      <w:b/>
      <w:sz w:val="28"/>
    </w:rPr>
  </w:style>
  <w:style w:type="character" w:customStyle="1" w:styleId="ListLabel25">
    <w:name w:val="ListLabel 25"/>
    <w:rsid w:val="00C92E98"/>
    <w:rPr>
      <w:rFonts w:cs="Symbol"/>
    </w:rPr>
  </w:style>
  <w:style w:type="character" w:customStyle="1" w:styleId="ListLabel26">
    <w:name w:val="ListLabel 26"/>
    <w:rsid w:val="00C92E98"/>
    <w:rPr>
      <w:rFonts w:cs="Courier New"/>
    </w:rPr>
  </w:style>
  <w:style w:type="character" w:customStyle="1" w:styleId="ListLabel27">
    <w:name w:val="ListLabel 27"/>
    <w:rsid w:val="00C92E98"/>
    <w:rPr>
      <w:rFonts w:cs="Wingdings"/>
    </w:rPr>
  </w:style>
  <w:style w:type="character" w:customStyle="1" w:styleId="ListLabel28">
    <w:name w:val="ListLabel 28"/>
    <w:rsid w:val="00C92E98"/>
    <w:rPr>
      <w:b/>
      <w:sz w:val="28"/>
    </w:rPr>
  </w:style>
  <w:style w:type="character" w:customStyle="1" w:styleId="ListLabel29">
    <w:name w:val="ListLabel 29"/>
    <w:rsid w:val="00C92E98"/>
    <w:rPr>
      <w:rFonts w:cs="Symbol"/>
    </w:rPr>
  </w:style>
  <w:style w:type="character" w:customStyle="1" w:styleId="ListLabel30">
    <w:name w:val="ListLabel 30"/>
    <w:rsid w:val="00C92E98"/>
    <w:rPr>
      <w:rFonts w:cs="Courier New"/>
    </w:rPr>
  </w:style>
  <w:style w:type="character" w:customStyle="1" w:styleId="ListLabel31">
    <w:name w:val="ListLabel 31"/>
    <w:rsid w:val="00C92E98"/>
    <w:rPr>
      <w:rFonts w:cs="Wingdings"/>
    </w:rPr>
  </w:style>
  <w:style w:type="character" w:customStyle="1" w:styleId="ListLabel32">
    <w:name w:val="ListLabel 32"/>
    <w:rsid w:val="00C92E98"/>
    <w:rPr>
      <w:b/>
      <w:sz w:val="28"/>
    </w:rPr>
  </w:style>
  <w:style w:type="paragraph" w:customStyle="1" w:styleId="Heading">
    <w:name w:val="Heading"/>
    <w:basedOn w:val="Normal"/>
    <w:next w:val="TextBody"/>
    <w:rsid w:val="00C92E98"/>
    <w:pPr>
      <w:keepNext/>
      <w:suppressAutoHyphens/>
      <w:spacing w:before="240" w:after="120" w:line="240" w:lineRule="auto"/>
    </w:pPr>
    <w:rPr>
      <w:rFonts w:ascii="Liberation Sans" w:eastAsia="Microsoft YaHei" w:hAnsi="Liberation Sans" w:cs="Mangal"/>
      <w:color w:val="00000A"/>
      <w:sz w:val="28"/>
      <w:szCs w:val="28"/>
      <w:lang w:val="en-US"/>
    </w:rPr>
  </w:style>
  <w:style w:type="paragraph" w:customStyle="1" w:styleId="TextBody">
    <w:name w:val="Text Body"/>
    <w:basedOn w:val="Normal"/>
    <w:rsid w:val="00C92E98"/>
    <w:pPr>
      <w:suppressAutoHyphens/>
      <w:spacing w:after="140" w:line="288" w:lineRule="auto"/>
    </w:pPr>
    <w:rPr>
      <w:rFonts w:eastAsia="SimSun" w:cs="Tahoma"/>
      <w:color w:val="00000A"/>
      <w:szCs w:val="24"/>
      <w:lang w:val="en-US"/>
    </w:rPr>
  </w:style>
  <w:style w:type="paragraph" w:styleId="List">
    <w:name w:val="List"/>
    <w:basedOn w:val="TextBody"/>
    <w:rsid w:val="00C92E98"/>
    <w:rPr>
      <w:rFonts w:cs="Mangal"/>
    </w:rPr>
  </w:style>
  <w:style w:type="paragraph" w:customStyle="1" w:styleId="Index">
    <w:name w:val="Index"/>
    <w:basedOn w:val="Normal"/>
    <w:rsid w:val="00C92E98"/>
    <w:pPr>
      <w:suppressLineNumbers/>
      <w:suppressAutoHyphens/>
      <w:spacing w:after="0" w:line="240" w:lineRule="auto"/>
    </w:pPr>
    <w:rPr>
      <w:rFonts w:eastAsia="SimSun" w:cs="Mangal"/>
      <w:color w:val="00000A"/>
      <w:szCs w:val="24"/>
      <w:lang w:val="en-US"/>
    </w:rPr>
  </w:style>
  <w:style w:type="paragraph" w:customStyle="1" w:styleId="ContentsHeading">
    <w:name w:val="Contents Heading"/>
    <w:basedOn w:val="Heading1"/>
    <w:next w:val="Normal"/>
    <w:rsid w:val="00C92E98"/>
    <w:pPr>
      <w:suppressAutoHyphens/>
      <w:spacing w:before="240" w:line="259" w:lineRule="auto"/>
    </w:pPr>
    <w:rPr>
      <w:rFonts w:eastAsia="SimSun" w:cs="Tahoma"/>
      <w:b w:val="0"/>
      <w:bCs w:val="0"/>
      <w:color w:val="365F91"/>
      <w:lang w:val="en-US"/>
    </w:rPr>
  </w:style>
  <w:style w:type="paragraph" w:customStyle="1" w:styleId="Contents1">
    <w:name w:val="Contents 1"/>
    <w:basedOn w:val="Normal"/>
    <w:next w:val="Normal"/>
    <w:autoRedefine/>
    <w:rsid w:val="00C92E98"/>
    <w:pPr>
      <w:suppressAutoHyphens/>
      <w:spacing w:before="120" w:after="100"/>
    </w:pPr>
    <w:rPr>
      <w:rFonts w:ascii="Cambria" w:eastAsia="SimSun" w:hAnsi="Cambria" w:cs="Cambria"/>
      <w:color w:val="00000A"/>
    </w:rPr>
  </w:style>
  <w:style w:type="paragraph" w:customStyle="1" w:styleId="Contents2">
    <w:name w:val="Contents 2"/>
    <w:basedOn w:val="Normal"/>
    <w:next w:val="Normal"/>
    <w:autoRedefine/>
    <w:rsid w:val="00C92E98"/>
    <w:pPr>
      <w:suppressAutoHyphens/>
      <w:spacing w:before="120" w:after="100"/>
      <w:ind w:left="220"/>
    </w:pPr>
    <w:rPr>
      <w:rFonts w:ascii="Cambria" w:eastAsia="SimSun" w:hAnsi="Cambria" w:cs="Cambria"/>
      <w:color w:val="00000A"/>
    </w:rPr>
  </w:style>
  <w:style w:type="paragraph" w:customStyle="1" w:styleId="Contents3">
    <w:name w:val="Contents 3"/>
    <w:basedOn w:val="Normal"/>
    <w:next w:val="Normal"/>
    <w:autoRedefine/>
    <w:rsid w:val="00C92E98"/>
    <w:pPr>
      <w:suppressAutoHyphens/>
      <w:spacing w:before="120" w:after="100"/>
      <w:ind w:left="440"/>
    </w:pPr>
    <w:rPr>
      <w:rFonts w:ascii="Cambria" w:eastAsia="SimSun" w:hAnsi="Cambria" w:cs="Cambria"/>
      <w:color w:val="00000A"/>
    </w:rPr>
  </w:style>
  <w:style w:type="paragraph" w:customStyle="1" w:styleId="FrameContents">
    <w:name w:val="Frame Contents"/>
    <w:basedOn w:val="Normal"/>
    <w:rsid w:val="00C92E98"/>
    <w:pPr>
      <w:suppressAutoHyphens/>
      <w:spacing w:after="0" w:line="240" w:lineRule="auto"/>
    </w:pPr>
    <w:rPr>
      <w:rFonts w:eastAsia="SimSun" w:cs="Tahoma"/>
      <w:color w:val="00000A"/>
      <w:szCs w:val="24"/>
      <w:lang w:val="en-US"/>
    </w:rPr>
  </w:style>
  <w:style w:type="paragraph" w:customStyle="1" w:styleId="Footnote0">
    <w:name w:val="Footnote"/>
    <w:basedOn w:val="Normal"/>
    <w:rsid w:val="00C92E98"/>
    <w:pPr>
      <w:suppressAutoHyphens/>
      <w:spacing w:after="0" w:line="240" w:lineRule="auto"/>
    </w:pPr>
    <w:rPr>
      <w:rFonts w:eastAsia="SimSun" w:cs="Tahoma"/>
      <w:color w:val="00000A"/>
      <w:szCs w:val="24"/>
      <w:lang w:val="en-US"/>
    </w:rPr>
  </w:style>
  <w:style w:type="paragraph" w:customStyle="1" w:styleId="Quotations">
    <w:name w:val="Quotations"/>
    <w:basedOn w:val="Normal"/>
    <w:rsid w:val="00C92E98"/>
    <w:pPr>
      <w:suppressAutoHyphens/>
      <w:spacing w:after="0" w:line="240" w:lineRule="auto"/>
    </w:pPr>
    <w:rPr>
      <w:rFonts w:eastAsia="SimSun" w:cs="Tahoma"/>
      <w:color w:val="00000A"/>
      <w:szCs w:val="24"/>
      <w:lang w:val="en-US"/>
    </w:rPr>
  </w:style>
  <w:style w:type="paragraph" w:styleId="Subtitle">
    <w:name w:val="Subtitle"/>
    <w:basedOn w:val="Heading"/>
    <w:link w:val="SubtitleChar"/>
    <w:qFormat/>
    <w:rsid w:val="00C92E98"/>
    <w:rPr>
      <w:rFonts w:cs="Times New Roman"/>
    </w:rPr>
  </w:style>
  <w:style w:type="character" w:customStyle="1" w:styleId="SubtitleChar">
    <w:name w:val="Subtitle Char"/>
    <w:basedOn w:val="DefaultParagraphFont"/>
    <w:link w:val="Subtitle"/>
    <w:rsid w:val="00C92E98"/>
    <w:rPr>
      <w:rFonts w:ascii="Liberation Sans" w:eastAsia="Microsoft YaHei" w:hAnsi="Liberation Sans" w:cs="Times New Roman"/>
      <w:color w:val="00000A"/>
      <w:sz w:val="28"/>
      <w:szCs w:val="28"/>
      <w:lang w:val="en-US"/>
    </w:rPr>
  </w:style>
  <w:style w:type="paragraph" w:customStyle="1" w:styleId="TableContents">
    <w:name w:val="Table Contents"/>
    <w:basedOn w:val="Normal"/>
    <w:rsid w:val="00C92E98"/>
    <w:pPr>
      <w:suppressAutoHyphens/>
      <w:spacing w:after="0" w:line="240" w:lineRule="auto"/>
    </w:pPr>
    <w:rPr>
      <w:rFonts w:eastAsia="SimSun" w:cs="Tahoma"/>
      <w:color w:val="00000A"/>
      <w:szCs w:val="24"/>
      <w:lang w:val="en-US"/>
    </w:rPr>
  </w:style>
  <w:style w:type="paragraph" w:customStyle="1" w:styleId="TableHeading">
    <w:name w:val="Table Heading"/>
    <w:basedOn w:val="TableContents"/>
    <w:rsid w:val="00C92E98"/>
  </w:style>
  <w:style w:type="character" w:customStyle="1" w:styleId="apple-converted-space">
    <w:name w:val="apple-converted-space"/>
    <w:rsid w:val="00C92E98"/>
  </w:style>
  <w:style w:type="character" w:customStyle="1" w:styleId="hps">
    <w:name w:val="hps"/>
    <w:rsid w:val="00C92E98"/>
  </w:style>
  <w:style w:type="paragraph" w:customStyle="1" w:styleId="MediumGrid1-Accent21">
    <w:name w:val="Medium Grid 1 - Accent 21"/>
    <w:basedOn w:val="Normal"/>
    <w:link w:val="MediumGrid1-Accent2Char"/>
    <w:uiPriority w:val="34"/>
    <w:qFormat/>
    <w:rsid w:val="00C92E98"/>
    <w:pPr>
      <w:ind w:left="720"/>
      <w:contextualSpacing/>
    </w:pPr>
    <w:rPr>
      <w:sz w:val="20"/>
      <w:szCs w:val="20"/>
      <w:lang w:val="x-none" w:eastAsia="x-none"/>
    </w:rPr>
  </w:style>
  <w:style w:type="paragraph" w:customStyle="1" w:styleId="Default">
    <w:name w:val="Default"/>
    <w:rsid w:val="00C92E98"/>
    <w:pPr>
      <w:autoSpaceDE w:val="0"/>
      <w:autoSpaceDN w:val="0"/>
      <w:adjustRightInd w:val="0"/>
      <w:spacing w:after="0" w:line="240" w:lineRule="auto"/>
    </w:pPr>
    <w:rPr>
      <w:rFonts w:ascii="Georgia" w:eastAsia="MS Mincho" w:hAnsi="Georgia" w:cs="Georgia"/>
      <w:color w:val="000000"/>
      <w:sz w:val="24"/>
      <w:szCs w:val="24"/>
      <w:lang w:val="ru-RU" w:eastAsia="ru-RU"/>
    </w:rPr>
  </w:style>
  <w:style w:type="paragraph" w:styleId="HTMLPreformatted">
    <w:name w:val="HTML Preformatted"/>
    <w:basedOn w:val="Normal"/>
    <w:link w:val="HTMLPreformattedChar"/>
    <w:uiPriority w:val="99"/>
    <w:unhideWhenUsed/>
    <w:rsid w:val="00C92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92E98"/>
    <w:rPr>
      <w:rFonts w:ascii="Courier New" w:eastAsia="Times New Roman" w:hAnsi="Courier New" w:cs="Times New Roman"/>
      <w:sz w:val="20"/>
      <w:szCs w:val="20"/>
      <w:lang w:val="ru-RU"/>
    </w:rPr>
  </w:style>
  <w:style w:type="character" w:customStyle="1" w:styleId="MediumGrid1-Accent2Char">
    <w:name w:val="Medium Grid 1 - Accent 2 Char"/>
    <w:link w:val="MediumGrid1-Accent21"/>
    <w:uiPriority w:val="34"/>
    <w:rsid w:val="00C92E98"/>
    <w:rPr>
      <w:rFonts w:ascii="Calibri" w:eastAsia="Calibri" w:hAnsi="Calibri" w:cs="Times New Roman"/>
      <w:sz w:val="20"/>
      <w:szCs w:val="20"/>
      <w:lang w:val="x-none" w:eastAsia="x-none"/>
    </w:rPr>
  </w:style>
  <w:style w:type="character" w:customStyle="1" w:styleId="atn">
    <w:name w:val="atn"/>
    <w:basedOn w:val="DefaultParagraphFont"/>
    <w:rsid w:val="00C92E98"/>
  </w:style>
  <w:style w:type="character" w:customStyle="1" w:styleId="shorttext">
    <w:name w:val="short_text"/>
    <w:basedOn w:val="DefaultParagraphFont"/>
    <w:rsid w:val="00C92E98"/>
  </w:style>
  <w:style w:type="character" w:customStyle="1" w:styleId="LightGrid-Accent3Char">
    <w:name w:val="Light Grid - Accent 3 Char"/>
    <w:link w:val="LightGrid-Accent3"/>
    <w:uiPriority w:val="34"/>
    <w:rsid w:val="00C92E98"/>
    <w:rPr>
      <w:rFonts w:ascii="Calibri" w:eastAsia="Calibri" w:hAnsi="Calibri"/>
      <w:sz w:val="22"/>
      <w:szCs w:val="22"/>
    </w:rPr>
  </w:style>
  <w:style w:type="table" w:styleId="LightGrid-Accent3">
    <w:name w:val="Light Grid Accent 3"/>
    <w:basedOn w:val="TableNormal"/>
    <w:link w:val="LightGrid-Accent3Char"/>
    <w:uiPriority w:val="34"/>
    <w:rsid w:val="00C92E98"/>
    <w:pPr>
      <w:spacing w:after="0" w:line="240" w:lineRule="auto"/>
    </w:pPr>
    <w:rPr>
      <w:rFonts w:ascii="Calibri" w:eastAsia="Calibri" w:hAnsi="Calibri"/>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PlainTable11">
    <w:name w:val="Plain Table 11"/>
    <w:basedOn w:val="TableNormal"/>
    <w:uiPriority w:val="41"/>
    <w:rsid w:val="00C92E98"/>
    <w:pPr>
      <w:spacing w:after="0" w:line="240" w:lineRule="auto"/>
    </w:pPr>
    <w:rPr>
      <w:rFonts w:ascii="Cambria" w:eastAsia="MS Mincho" w:hAnsi="Cambria" w:cs="Times New Roman"/>
      <w:sz w:val="20"/>
      <w:szCs w:val="20"/>
      <w:lang w:val="en-US" w:eastAsia="ro-RO"/>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C92E98"/>
    <w:pPr>
      <w:spacing w:after="0" w:line="240" w:lineRule="auto"/>
      <w:ind w:left="720"/>
      <w:contextualSpacing/>
    </w:pPr>
    <w:rPr>
      <w:rFonts w:eastAsia="MS Mincho"/>
      <w:szCs w:val="24"/>
      <w:lang w:val="en-US"/>
    </w:rPr>
  </w:style>
  <w:style w:type="numbering" w:customStyle="1" w:styleId="Velkodrka1">
    <w:name w:val="Velká odrážka1"/>
    <w:rsid w:val="00C92E98"/>
  </w:style>
  <w:style w:type="paragraph" w:styleId="Revision">
    <w:name w:val="Revision"/>
    <w:hidden/>
    <w:uiPriority w:val="99"/>
    <w:semiHidden/>
    <w:rsid w:val="00C92E98"/>
    <w:pPr>
      <w:spacing w:after="0" w:line="240" w:lineRule="auto"/>
    </w:pPr>
    <w:rPr>
      <w:rFonts w:ascii="Calibri" w:eastAsia="MS Mincho" w:hAnsi="Calibri" w:cs="Times New Roman"/>
      <w:szCs w:val="24"/>
      <w:lang w:val="en-US"/>
    </w:rPr>
  </w:style>
  <w:style w:type="character" w:customStyle="1" w:styleId="3">
    <w:name w:val="Основной текст (3)_"/>
    <w:basedOn w:val="DefaultParagraphFont"/>
    <w:link w:val="30"/>
    <w:rsid w:val="00C92E98"/>
    <w:rPr>
      <w:rFonts w:ascii="Times New Roman" w:eastAsia="Times New Roman" w:hAnsi="Times New Roman"/>
      <w:b/>
      <w:bCs/>
      <w:sz w:val="28"/>
      <w:szCs w:val="28"/>
      <w:shd w:val="clear" w:color="auto" w:fill="FFFFFF"/>
    </w:rPr>
  </w:style>
  <w:style w:type="paragraph" w:customStyle="1" w:styleId="30">
    <w:name w:val="Основной текст (3)"/>
    <w:basedOn w:val="Normal"/>
    <w:link w:val="3"/>
    <w:rsid w:val="00C92E98"/>
    <w:pPr>
      <w:widowControl w:val="0"/>
      <w:shd w:val="clear" w:color="auto" w:fill="FFFFFF"/>
      <w:spacing w:after="0" w:line="346" w:lineRule="exact"/>
      <w:jc w:val="both"/>
    </w:pPr>
    <w:rPr>
      <w:rFonts w:ascii="Times New Roman" w:eastAsia="Times New Roman" w:hAnsi="Times New Roman" w:cstheme="minorBidi"/>
      <w:b/>
      <w:bCs/>
      <w:sz w:val="28"/>
      <w:szCs w:val="28"/>
      <w:lang w:val="ro-RO"/>
    </w:rPr>
  </w:style>
  <w:style w:type="table" w:customStyle="1" w:styleId="GrilTabel1">
    <w:name w:val="Grilă Tabel1"/>
    <w:basedOn w:val="TableNormal"/>
    <w:next w:val="TableGrid"/>
    <w:uiPriority w:val="39"/>
    <w:rsid w:val="00C92E9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uiPriority w:val="39"/>
    <w:rsid w:val="00C92E9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3">
    <w:name w:val="Grilă Tabel3"/>
    <w:basedOn w:val="TableNormal"/>
    <w:next w:val="TableGrid"/>
    <w:uiPriority w:val="39"/>
    <w:rsid w:val="00C92E9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4">
    <w:name w:val="Grilă Tabel4"/>
    <w:basedOn w:val="TableNormal"/>
    <w:next w:val="TableGrid"/>
    <w:uiPriority w:val="39"/>
    <w:rsid w:val="00C92E9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6785</Words>
  <Characters>39359</Characters>
  <Application>Microsoft Office Word</Application>
  <DocSecurity>0</DocSecurity>
  <Lines>327</Lines>
  <Paragraphs>92</Paragraphs>
  <ScaleCrop>false</ScaleCrop>
  <Company/>
  <LinksUpToDate>false</LinksUpToDate>
  <CharactersWithSpaces>46052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2016-05-03T11:36:00Z</dcterms:created>
  <dcterms:modified xsi:type="dcterms:W3CDTF">2016-05-03T11:37:00Z</dcterms:modified>
</cp:coreProperties>
</file>