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0C" w:rsidRPr="00CE6109" w:rsidRDefault="00CE2D0C" w:rsidP="00CE2D0C">
      <w:pPr>
        <w:spacing w:after="0" w:line="240" w:lineRule="auto"/>
        <w:ind w:left="562" w:right="-51"/>
        <w:jc w:val="right"/>
        <w:rPr>
          <w:rFonts w:ascii="Times New Roman" w:hAnsi="Times New Roman"/>
          <w:i/>
          <w:color w:val="000000"/>
          <w:sz w:val="20"/>
          <w:szCs w:val="20"/>
          <w:lang w:val="ru-MO"/>
        </w:rPr>
      </w:pPr>
      <w:bookmarkStart w:id="0" w:name="_Toc443550615"/>
      <w:bookmarkStart w:id="1" w:name="_Toc447552128"/>
      <w:r w:rsidRPr="00CE6109">
        <w:rPr>
          <w:rFonts w:ascii="Times New Roman" w:hAnsi="Times New Roman"/>
          <w:i/>
          <w:color w:val="000000"/>
          <w:sz w:val="20"/>
          <w:szCs w:val="20"/>
          <w:lang w:val="ru-MO"/>
        </w:rPr>
        <w:t>Приложение №3</w:t>
      </w:r>
    </w:p>
    <w:p w:rsidR="00CE2D0C" w:rsidRPr="00CE6109" w:rsidRDefault="00CE2D0C" w:rsidP="00CE2D0C">
      <w:pPr>
        <w:spacing w:after="0" w:line="240" w:lineRule="auto"/>
        <w:ind w:left="562" w:right="-51"/>
        <w:jc w:val="right"/>
        <w:rPr>
          <w:rFonts w:ascii="Times New Roman" w:hAnsi="Times New Roman"/>
          <w:color w:val="000000"/>
          <w:sz w:val="20"/>
          <w:szCs w:val="20"/>
          <w:lang w:val="ru-MO"/>
        </w:rPr>
      </w:pPr>
      <w:r w:rsidRPr="00CE6109">
        <w:rPr>
          <w:rFonts w:ascii="Times New Roman" w:hAnsi="Times New Roman"/>
          <w:color w:val="000000"/>
          <w:sz w:val="20"/>
          <w:szCs w:val="20"/>
          <w:lang w:val="ru-MO"/>
        </w:rPr>
        <w:t>к Постановлению Счетной палаты №14 от 20.05.2016</w:t>
      </w:r>
    </w:p>
    <w:p w:rsidR="00CE2D0C" w:rsidRPr="00CE6109" w:rsidRDefault="00CE2D0C" w:rsidP="00CE2D0C">
      <w:pPr>
        <w:spacing w:after="0" w:line="240" w:lineRule="auto"/>
        <w:ind w:right="-51"/>
        <w:jc w:val="right"/>
        <w:rPr>
          <w:rFonts w:ascii="Times New Roman" w:hAnsi="Times New Roman"/>
          <w:b/>
          <w:color w:val="000000"/>
          <w:sz w:val="20"/>
          <w:szCs w:val="20"/>
          <w:lang w:val="ru-MO"/>
        </w:rPr>
      </w:pPr>
      <w:r w:rsidRPr="00CE6109">
        <w:rPr>
          <w:rFonts w:ascii="Times New Roman" w:hAnsi="Times New Roman"/>
          <w:b/>
          <w:color w:val="000000"/>
          <w:sz w:val="20"/>
          <w:szCs w:val="20"/>
          <w:lang w:val="ru-MO"/>
        </w:rPr>
        <w:t>Получатели Отчета:</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Парламент Республики Молдова</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Парламентская комиссия по социальной защите, здравоохранению и семье</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Правительство Республики Молдова</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Министерство здравоохранения</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ПМСУ Республиканская клиническая больница</w:t>
      </w:r>
    </w:p>
    <w:p w:rsidR="00CE2D0C" w:rsidRPr="00CE6109" w:rsidRDefault="00CE2D0C" w:rsidP="00CE2D0C">
      <w:pPr>
        <w:spacing w:after="0" w:line="240" w:lineRule="auto"/>
        <w:ind w:right="-51"/>
        <w:jc w:val="right"/>
        <w:rPr>
          <w:rFonts w:ascii="Times New Roman" w:hAnsi="Times New Roman"/>
          <w:i/>
          <w:color w:val="000000"/>
          <w:sz w:val="20"/>
          <w:szCs w:val="20"/>
          <w:lang w:val="ru-MO"/>
        </w:rPr>
      </w:pPr>
      <w:r w:rsidRPr="00CE6109">
        <w:rPr>
          <w:rFonts w:ascii="Times New Roman" w:hAnsi="Times New Roman"/>
          <w:i/>
          <w:color w:val="000000"/>
          <w:sz w:val="20"/>
          <w:szCs w:val="20"/>
          <w:lang w:val="ru-MO"/>
        </w:rPr>
        <w:t>гражданское общество, другие заинтересованные стороны</w:t>
      </w:r>
    </w:p>
    <w:p w:rsidR="00CE2D0C" w:rsidRPr="00CE6109" w:rsidRDefault="00CE2D0C" w:rsidP="00CE2D0C">
      <w:pPr>
        <w:ind w:right="-51"/>
        <w:jc w:val="center"/>
        <w:rPr>
          <w:rFonts w:ascii="Times New Roman" w:hAnsi="Times New Roman"/>
          <w:b/>
          <w:color w:val="000000"/>
          <w:sz w:val="28"/>
          <w:szCs w:val="28"/>
          <w:lang w:val="ru-MO"/>
        </w:rPr>
      </w:pPr>
    </w:p>
    <w:p w:rsidR="00CE2D0C" w:rsidRPr="00CE6109" w:rsidRDefault="00CE2D0C" w:rsidP="00CE2D0C">
      <w:pPr>
        <w:jc w:val="center"/>
        <w:rPr>
          <w:rFonts w:ascii="Times New Roman" w:hAnsi="Times New Roman"/>
          <w:b/>
          <w:color w:val="000000"/>
          <w:sz w:val="28"/>
          <w:szCs w:val="28"/>
          <w:lang w:val="ru-MO"/>
        </w:rPr>
      </w:pPr>
    </w:p>
    <w:p w:rsidR="00CE2D0C" w:rsidRPr="00CE6109" w:rsidRDefault="00CE2D0C" w:rsidP="00CE2D0C">
      <w:pPr>
        <w:jc w:val="center"/>
        <w:rPr>
          <w:rFonts w:ascii="Times New Roman" w:hAnsi="Times New Roman"/>
          <w:b/>
          <w:color w:val="000000"/>
          <w:sz w:val="28"/>
          <w:szCs w:val="28"/>
          <w:lang w:val="ru-MO"/>
        </w:rPr>
      </w:pPr>
    </w:p>
    <w:p w:rsidR="00CE2D0C" w:rsidRPr="00CE6109" w:rsidRDefault="00CE2D0C" w:rsidP="00CE2D0C">
      <w:pPr>
        <w:jc w:val="center"/>
        <w:rPr>
          <w:rFonts w:ascii="Times New Roman" w:hAnsi="Times New Roman"/>
          <w:b/>
          <w:color w:val="000000"/>
          <w:sz w:val="28"/>
          <w:szCs w:val="28"/>
          <w:lang w:val="ru-MO"/>
        </w:rPr>
      </w:pPr>
    </w:p>
    <w:p w:rsidR="00CE2D0C" w:rsidRPr="00CE6109" w:rsidRDefault="00CE2D0C" w:rsidP="00CE2D0C">
      <w:pPr>
        <w:spacing w:after="0"/>
        <w:jc w:val="center"/>
        <w:rPr>
          <w:rFonts w:ascii="Times New Roman" w:hAnsi="Times New Roman"/>
          <w:b/>
          <w:color w:val="000000"/>
          <w:sz w:val="32"/>
          <w:szCs w:val="32"/>
          <w:lang w:val="ru-MO"/>
        </w:rPr>
      </w:pPr>
      <w:r w:rsidRPr="00CE6109">
        <w:rPr>
          <w:rFonts w:ascii="Times New Roman" w:hAnsi="Times New Roman"/>
          <w:b/>
          <w:color w:val="000000"/>
          <w:sz w:val="32"/>
          <w:szCs w:val="32"/>
          <w:lang w:val="ru-MO"/>
        </w:rPr>
        <w:t>Отчет аудита соответствия управления и отражения в отчетности финансовых ситуаций ФОМС ПМСУ Республиканская клиническая больница за 2015 год</w:t>
      </w:r>
    </w:p>
    <w:p w:rsidR="00CE2D0C" w:rsidRPr="00CE6109" w:rsidRDefault="00CE2D0C" w:rsidP="00CE2D0C">
      <w:pPr>
        <w:rPr>
          <w:rFonts w:ascii="Times New Roman" w:hAnsi="Times New Roman"/>
          <w:b/>
          <w:color w:val="000000"/>
          <w:sz w:val="28"/>
          <w:szCs w:val="28"/>
          <w:lang w:val="ru-MO"/>
        </w:rPr>
      </w:pPr>
      <w:r w:rsidRPr="00CE6109">
        <w:rPr>
          <w:rFonts w:ascii="Arial" w:hAnsi="Arial" w:cs="Arial"/>
          <w:sz w:val="24"/>
          <w:szCs w:val="24"/>
          <w:lang w:val="ru-MO"/>
        </w:rPr>
        <w:br w:type="page"/>
      </w:r>
    </w:p>
    <w:p w:rsidR="00CE2D0C" w:rsidRPr="00CE6109" w:rsidRDefault="00CE2D0C" w:rsidP="00CE2D0C">
      <w:pPr>
        <w:pStyle w:val="Titlu1"/>
        <w:spacing w:after="240"/>
        <w:jc w:val="center"/>
        <w:rPr>
          <w:rFonts w:ascii="Times New Roman" w:hAnsi="Times New Roman"/>
          <w:b/>
          <w:color w:val="000000"/>
          <w:sz w:val="28"/>
          <w:szCs w:val="28"/>
          <w:lang w:val="ru-MO"/>
        </w:rPr>
      </w:pPr>
      <w:bookmarkStart w:id="2" w:name="_Toc454287219"/>
      <w:r w:rsidRPr="00CE6109">
        <w:rPr>
          <w:rFonts w:ascii="Times New Roman" w:hAnsi="Times New Roman"/>
          <w:b/>
          <w:color w:val="000000"/>
          <w:sz w:val="28"/>
          <w:szCs w:val="28"/>
          <w:lang w:val="ru-MO"/>
        </w:rPr>
        <w:lastRenderedPageBreak/>
        <w:t>АББРЕВИАТУРЫ</w:t>
      </w:r>
      <w:bookmarkEnd w:id="2"/>
    </w:p>
    <w:tbl>
      <w:tblPr>
        <w:tblW w:w="10060" w:type="dxa"/>
        <w:tblLook w:val="04A0"/>
      </w:tblPr>
      <w:tblGrid>
        <w:gridCol w:w="1598"/>
        <w:gridCol w:w="8462"/>
      </w:tblGrid>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АГЗ</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Агентство по государственным закупкам</w:t>
            </w:r>
          </w:p>
        </w:tc>
      </w:tr>
      <w:tr w:rsidR="00CE2D0C" w:rsidRPr="00C21C23"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 xml:space="preserve">АЛМИ  </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 xml:space="preserve">Агентство по лекарствам и медицинским изделиям </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СМП</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Стационарная медицинская помощь</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АСМП</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Амбулаторная специализированная медицинская помощь</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ОМС</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Обязательное медицинское страхование</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НМСК</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Национальная медицинская страховая компания</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ДСГ(DRG)</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Диагностически связанные группы</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 xml:space="preserve">ФОМС </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 xml:space="preserve">Фонды обязательного медицинского страхования </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ИСС</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Индекс сложности случаев</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ПМСУ</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Публичное медико-санитарное учреждение</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ИПЦ</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sz w:val="28"/>
                <w:szCs w:val="28"/>
                <w:lang w:val="ru-MO"/>
              </w:rPr>
              <w:t>Индекс потребительских цен</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РКБ</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Республиканская клиническая больница</w:t>
            </w:r>
          </w:p>
        </w:tc>
      </w:tr>
      <w:tr w:rsidR="00CE2D0C" w:rsidRPr="00CD59C4" w:rsidTr="00266330">
        <w:tc>
          <w:tcPr>
            <w:tcW w:w="1555" w:type="dxa"/>
          </w:tcPr>
          <w:p w:rsidR="00CE2D0C" w:rsidRPr="00CD59C4" w:rsidRDefault="00CE2D0C" w:rsidP="00266330">
            <w:pPr>
              <w:spacing w:after="0" w:line="240" w:lineRule="auto"/>
              <w:rPr>
                <w:rFonts w:ascii="Times New Roman" w:hAnsi="Times New Roman"/>
                <w:b/>
                <w:color w:val="000000"/>
                <w:sz w:val="28"/>
                <w:szCs w:val="28"/>
                <w:lang w:val="ru-MO"/>
              </w:rPr>
            </w:pPr>
            <w:r w:rsidRPr="00CD59C4">
              <w:rPr>
                <w:rFonts w:ascii="Times New Roman" w:hAnsi="Times New Roman"/>
                <w:b/>
                <w:color w:val="000000"/>
                <w:sz w:val="28"/>
                <w:szCs w:val="28"/>
                <w:lang w:val="ru-MO"/>
              </w:rPr>
              <w:t>ВКМУ</w:t>
            </w:r>
          </w:p>
        </w:tc>
        <w:tc>
          <w:tcPr>
            <w:tcW w:w="8505" w:type="dxa"/>
          </w:tcPr>
          <w:p w:rsidR="00CE2D0C" w:rsidRPr="00CD59C4" w:rsidRDefault="00CE2D0C" w:rsidP="00266330">
            <w:pPr>
              <w:spacing w:after="0" w:line="240" w:lineRule="auto"/>
              <w:rPr>
                <w:rFonts w:ascii="Times New Roman" w:hAnsi="Times New Roman"/>
                <w:color w:val="000000"/>
                <w:sz w:val="28"/>
                <w:szCs w:val="28"/>
                <w:lang w:val="ru-MO"/>
              </w:rPr>
            </w:pPr>
            <w:r w:rsidRPr="00CD59C4">
              <w:rPr>
                <w:rFonts w:ascii="Times New Roman" w:hAnsi="Times New Roman"/>
                <w:color w:val="000000"/>
                <w:sz w:val="28"/>
                <w:szCs w:val="28"/>
                <w:lang w:val="ru-MO"/>
              </w:rPr>
              <w:t>Высококвалифицированные медицинские услуги</w:t>
            </w:r>
          </w:p>
        </w:tc>
      </w:tr>
    </w:tbl>
    <w:p w:rsidR="00CE2D0C" w:rsidRPr="00CE6109" w:rsidRDefault="00CE2D0C" w:rsidP="00CE2D0C">
      <w:pPr>
        <w:spacing w:after="0"/>
        <w:rPr>
          <w:rFonts w:ascii="Times New Roman" w:hAnsi="Times New Roman"/>
          <w:b/>
          <w:color w:val="000000"/>
          <w:sz w:val="28"/>
          <w:szCs w:val="28"/>
          <w:lang w:val="ru-MO"/>
        </w:rPr>
      </w:pPr>
    </w:p>
    <w:p w:rsidR="00CE2D0C" w:rsidRPr="00CE6109" w:rsidRDefault="00CE2D0C" w:rsidP="00CE2D0C">
      <w:pPr>
        <w:rPr>
          <w:rFonts w:ascii="Times New Roman" w:hAnsi="Times New Roman"/>
          <w:b/>
          <w:color w:val="000000"/>
          <w:sz w:val="28"/>
          <w:szCs w:val="28"/>
          <w:lang w:val="ru-MO"/>
        </w:rPr>
      </w:pPr>
    </w:p>
    <w:p w:rsidR="00CE2D0C" w:rsidRPr="00CE6109" w:rsidRDefault="00CE2D0C" w:rsidP="00CE2D0C">
      <w:pPr>
        <w:rPr>
          <w:rFonts w:ascii="Times New Roman" w:hAnsi="Times New Roman"/>
          <w:b/>
          <w:color w:val="000000"/>
          <w:sz w:val="28"/>
          <w:szCs w:val="28"/>
          <w:lang w:val="ru-MO"/>
        </w:rPr>
      </w:pPr>
    </w:p>
    <w:p w:rsidR="00CE2D0C" w:rsidRPr="00CE6109" w:rsidRDefault="00CE2D0C" w:rsidP="00CE2D0C">
      <w:pPr>
        <w:rPr>
          <w:rFonts w:ascii="Times New Roman" w:hAnsi="Times New Roman"/>
          <w:b/>
          <w:color w:val="000000"/>
          <w:sz w:val="28"/>
          <w:szCs w:val="28"/>
          <w:lang w:val="ru-MO"/>
        </w:rPr>
      </w:pPr>
      <w:r w:rsidRPr="00CE6109">
        <w:rPr>
          <w:rFonts w:ascii="Times New Roman" w:hAnsi="Times New Roman"/>
          <w:b/>
          <w:color w:val="000000"/>
          <w:sz w:val="28"/>
          <w:szCs w:val="28"/>
          <w:lang w:val="ru-MO"/>
        </w:rPr>
        <w:br w:type="page"/>
      </w:r>
    </w:p>
    <w:p w:rsidR="00CE2D0C" w:rsidRPr="00CE6109" w:rsidRDefault="00CE2D0C" w:rsidP="00CE2D0C">
      <w:pPr>
        <w:pStyle w:val="Listparagraf"/>
        <w:numPr>
          <w:ilvl w:val="0"/>
          <w:numId w:val="1"/>
        </w:numPr>
        <w:tabs>
          <w:tab w:val="left" w:pos="851"/>
          <w:tab w:val="left" w:pos="1134"/>
        </w:tabs>
        <w:ind w:left="0" w:firstLine="567"/>
        <w:contextualSpacing w:val="0"/>
        <w:outlineLvl w:val="0"/>
        <w:rPr>
          <w:rFonts w:ascii="Times New Roman" w:hAnsi="Times New Roman"/>
          <w:b/>
          <w:color w:val="000000"/>
          <w:sz w:val="28"/>
          <w:szCs w:val="28"/>
          <w:lang w:val="ru-MO"/>
        </w:rPr>
      </w:pPr>
      <w:bookmarkStart w:id="3" w:name="_Toc443550603"/>
      <w:bookmarkStart w:id="4" w:name="_Toc447552116"/>
      <w:bookmarkStart w:id="5" w:name="_Toc454287220"/>
      <w:r w:rsidRPr="00CE6109">
        <w:rPr>
          <w:rFonts w:ascii="Times New Roman" w:hAnsi="Times New Roman"/>
          <w:b/>
          <w:color w:val="000000"/>
          <w:sz w:val="28"/>
          <w:szCs w:val="28"/>
          <w:lang w:val="ru-MO"/>
        </w:rPr>
        <w:lastRenderedPageBreak/>
        <w:t>КРАТКОЕ СОДЕРЖАНИЕ</w:t>
      </w:r>
      <w:bookmarkEnd w:id="3"/>
      <w:bookmarkEnd w:id="4"/>
      <w:bookmarkEnd w:id="5"/>
    </w:p>
    <w:p w:rsidR="00CE2D0C" w:rsidRPr="00CE6109" w:rsidRDefault="00CE2D0C" w:rsidP="00CE2D0C">
      <w:pPr>
        <w:pStyle w:val="Listparagraf"/>
        <w:tabs>
          <w:tab w:val="left" w:pos="851"/>
          <w:tab w:val="left" w:pos="1134"/>
        </w:tabs>
        <w:spacing w:before="240" w:after="0" w:line="276" w:lineRule="auto"/>
        <w:ind w:left="0" w:firstLine="567"/>
        <w:jc w:val="both"/>
        <w:rPr>
          <w:rFonts w:ascii="Times New Roman" w:eastAsia="Times New Roman" w:hAnsi="Times New Roman"/>
          <w:sz w:val="28"/>
          <w:szCs w:val="28"/>
          <w:lang w:val="ru-MO"/>
        </w:rPr>
      </w:pPr>
      <w:r w:rsidRPr="00CE6109">
        <w:rPr>
          <w:rFonts w:ascii="Times New Roman" w:hAnsi="Times New Roman"/>
          <w:color w:val="000000"/>
          <w:sz w:val="28"/>
          <w:szCs w:val="28"/>
          <w:lang w:val="ru-MO"/>
        </w:rPr>
        <w:t>Счетная палата провела аудиторскую миссию со специальной целью</w:t>
      </w:r>
      <w:r>
        <w:rPr>
          <w:rFonts w:ascii="Times New Roman" w:hAnsi="Times New Roman"/>
          <w:color w:val="000000"/>
          <w:sz w:val="28"/>
          <w:szCs w:val="28"/>
          <w:lang w:val="ru-MO"/>
        </w:rPr>
        <w:t>, с составлением аудиторских заключений, предоставляющих</w:t>
      </w:r>
      <w:r w:rsidRPr="00CE6109">
        <w:rPr>
          <w:rFonts w:ascii="Times New Roman" w:hAnsi="Times New Roman"/>
          <w:color w:val="000000"/>
          <w:sz w:val="28"/>
          <w:szCs w:val="28"/>
          <w:lang w:val="ru-MO"/>
        </w:rPr>
        <w:t xml:space="preserve"> достаточн</w:t>
      </w:r>
      <w:r>
        <w:rPr>
          <w:rFonts w:ascii="Times New Roman" w:hAnsi="Times New Roman"/>
          <w:color w:val="000000"/>
          <w:sz w:val="28"/>
          <w:szCs w:val="28"/>
          <w:lang w:val="ru-MO"/>
        </w:rPr>
        <w:t>ую</w:t>
      </w:r>
      <w:r w:rsidRPr="00CE6109">
        <w:rPr>
          <w:rFonts w:ascii="Times New Roman" w:hAnsi="Times New Roman"/>
          <w:color w:val="000000"/>
          <w:sz w:val="28"/>
          <w:szCs w:val="28"/>
          <w:lang w:val="ru-MO"/>
        </w:rPr>
        <w:t xml:space="preserve"> уверенност</w:t>
      </w:r>
      <w:r>
        <w:rPr>
          <w:rFonts w:ascii="Times New Roman" w:hAnsi="Times New Roman"/>
          <w:color w:val="000000"/>
          <w:sz w:val="28"/>
          <w:szCs w:val="28"/>
          <w:lang w:val="ru-MO"/>
        </w:rPr>
        <w:t xml:space="preserve">ь </w:t>
      </w:r>
      <w:r w:rsidRPr="00CE6109">
        <w:rPr>
          <w:rFonts w:ascii="Times New Roman" w:hAnsi="Times New Roman"/>
          <w:color w:val="000000"/>
          <w:sz w:val="28"/>
          <w:szCs w:val="28"/>
          <w:lang w:val="ru-MO"/>
        </w:rPr>
        <w:t xml:space="preserve">относительно того, что средства ФОМС, управляемые и отраженные в отчетности ПМСУ Республиканская клиническая больница (далее – ПМСУ РКБ), с точки зрения порядка контрактации медицинских услуг, администрирования лекарственных препаратов, отражения в отчетности износа основных средств, а также исполнения договоров </w:t>
      </w:r>
      <w:r>
        <w:rPr>
          <w:rFonts w:ascii="Times New Roman" w:hAnsi="Times New Roman"/>
          <w:color w:val="000000"/>
          <w:sz w:val="28"/>
          <w:szCs w:val="28"/>
          <w:lang w:val="ru-MO"/>
        </w:rPr>
        <w:t xml:space="preserve">о </w:t>
      </w:r>
      <w:r w:rsidRPr="00CE6109">
        <w:rPr>
          <w:rFonts w:ascii="Times New Roman" w:hAnsi="Times New Roman"/>
          <w:color w:val="000000"/>
          <w:sz w:val="28"/>
          <w:szCs w:val="28"/>
          <w:lang w:val="ru-MO"/>
        </w:rPr>
        <w:t>финансировани</w:t>
      </w:r>
      <w:r>
        <w:rPr>
          <w:rFonts w:ascii="Times New Roman" w:hAnsi="Times New Roman"/>
          <w:color w:val="000000"/>
          <w:sz w:val="28"/>
          <w:szCs w:val="28"/>
          <w:lang w:val="ru-MO"/>
        </w:rPr>
        <w:t>и</w:t>
      </w:r>
      <w:r w:rsidRPr="00CE6109">
        <w:rPr>
          <w:rFonts w:ascii="Times New Roman" w:hAnsi="Times New Roman"/>
          <w:color w:val="000000"/>
          <w:sz w:val="28"/>
          <w:szCs w:val="28"/>
          <w:lang w:val="ru-MO"/>
        </w:rPr>
        <w:t xml:space="preserve"> для реализации инвестиционных проектов были </w:t>
      </w:r>
      <w:r>
        <w:rPr>
          <w:rFonts w:ascii="Times New Roman" w:hAnsi="Times New Roman"/>
          <w:color w:val="000000"/>
          <w:sz w:val="28"/>
          <w:szCs w:val="28"/>
          <w:lang w:val="ru-MO"/>
        </w:rPr>
        <w:t>администрирова</w:t>
      </w:r>
      <w:r w:rsidRPr="00CE6109">
        <w:rPr>
          <w:rFonts w:ascii="Times New Roman" w:hAnsi="Times New Roman"/>
          <w:color w:val="000000"/>
          <w:sz w:val="28"/>
          <w:szCs w:val="28"/>
          <w:lang w:val="ru-MO"/>
        </w:rPr>
        <w:t>ны в соответствии с требованиями законодательства, представляют реальное и достоверное отражение ситуации путем предоставления достоверных и исчерпывающих данных при консолидации Отчета Правительства об исполнении ФОМС за 2015 год. В целях обеспечения доверия получателей отчет</w:t>
      </w:r>
      <w:r>
        <w:rPr>
          <w:rFonts w:ascii="Times New Roman" w:hAnsi="Times New Roman"/>
          <w:color w:val="000000"/>
          <w:sz w:val="28"/>
          <w:szCs w:val="28"/>
          <w:lang w:val="ru-MO"/>
        </w:rPr>
        <w:t>ов</w:t>
      </w:r>
      <w:r w:rsidRPr="00CE6109">
        <w:rPr>
          <w:rFonts w:ascii="Times New Roman" w:hAnsi="Times New Roman"/>
          <w:color w:val="000000"/>
          <w:sz w:val="28"/>
          <w:szCs w:val="28"/>
          <w:lang w:val="ru-MO"/>
        </w:rPr>
        <w:t>, выводы, изложенные в Отчете аудита, подкреплены информацией и независимой оценкой, в соответствии со Стандартами аудита, применяемыми Счетной палатой</w:t>
      </w:r>
      <w:r w:rsidRPr="00CE6109">
        <w:rPr>
          <w:rStyle w:val="Referinnotdesubsol"/>
          <w:rFonts w:ascii="Times New Roman" w:eastAsia="Times New Roman" w:hAnsi="Times New Roman"/>
          <w:sz w:val="28"/>
          <w:szCs w:val="28"/>
          <w:lang w:val="ru-MO"/>
        </w:rPr>
        <w:footnoteReference w:id="2"/>
      </w:r>
      <w:r w:rsidRPr="00CE6109">
        <w:rPr>
          <w:rFonts w:ascii="Times New Roman" w:eastAsia="Times New Roman" w:hAnsi="Times New Roman"/>
          <w:sz w:val="28"/>
          <w:szCs w:val="28"/>
          <w:lang w:val="ru-MO"/>
        </w:rPr>
        <w:t>.</w:t>
      </w:r>
    </w:p>
    <w:p w:rsidR="00CE2D0C" w:rsidRPr="00CE6109" w:rsidRDefault="00CE2D0C" w:rsidP="00CE2D0C">
      <w:pPr>
        <w:pStyle w:val="Listparagraf"/>
        <w:tabs>
          <w:tab w:val="left" w:pos="851"/>
          <w:tab w:val="left" w:pos="1134"/>
        </w:tabs>
        <w:spacing w:before="240" w:after="0" w:line="276" w:lineRule="auto"/>
        <w:ind w:left="0" w:firstLine="567"/>
        <w:jc w:val="center"/>
        <w:rPr>
          <w:rFonts w:ascii="Times New Roman" w:eastAsia="Times New Roman" w:hAnsi="Times New Roman"/>
          <w:b/>
          <w:sz w:val="28"/>
          <w:szCs w:val="28"/>
          <w:lang w:val="ru-MO"/>
        </w:rPr>
      </w:pPr>
      <w:r w:rsidRPr="00D65CD1">
        <w:rPr>
          <w:rFonts w:ascii="Times New Roman" w:eastAsia="Times New Roman" w:hAnsi="Times New Roman"/>
          <w:b/>
          <w:noProof/>
          <w:sz w:val="28"/>
          <w:szCs w:val="28"/>
          <w:lang w:val="ru-MO"/>
        </w:rPr>
        <w:pict>
          <v:roundrect id="Rounded Rectangle 1" o:spid="_x0000_s1026" style="position:absolute;left:0;text-align:left;margin-left:-21.4pt;margin-top:.25pt;width:528pt;height:363.45pt;z-index:-2516561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" strokecolor="#7030a0" strokeweight="1pt">
            <v:stroke joinstyle="miter"/>
            <w10:wrap anchorx="margin"/>
          </v:roundrect>
        </w:pict>
      </w:r>
      <w:r>
        <w:rPr>
          <w:rFonts w:ascii="Times New Roman" w:eastAsia="Times New Roman" w:hAnsi="Times New Roman"/>
          <w:b/>
          <w:sz w:val="28"/>
          <w:szCs w:val="28"/>
          <w:lang w:val="ru-MO"/>
        </w:rPr>
        <w:t xml:space="preserve">ЗАКЛЮЧЕНИЕ </w:t>
      </w:r>
      <w:r w:rsidRPr="00CE6109">
        <w:rPr>
          <w:rFonts w:ascii="Times New Roman" w:eastAsia="Times New Roman" w:hAnsi="Times New Roman"/>
          <w:b/>
          <w:sz w:val="28"/>
          <w:szCs w:val="28"/>
          <w:lang w:val="ru-MO"/>
        </w:rPr>
        <w:t>АУДИТ</w:t>
      </w:r>
      <w:r>
        <w:rPr>
          <w:rFonts w:ascii="Times New Roman" w:eastAsia="Times New Roman" w:hAnsi="Times New Roman"/>
          <w:b/>
          <w:sz w:val="28"/>
          <w:szCs w:val="28"/>
          <w:lang w:val="ru-MO"/>
        </w:rPr>
        <w:t>А</w:t>
      </w:r>
    </w:p>
    <w:p w:rsidR="00CE2D0C" w:rsidRPr="00CE6109" w:rsidRDefault="00CE2D0C" w:rsidP="00CE2D0C">
      <w:pPr>
        <w:pStyle w:val="Listparagraf"/>
        <w:spacing w:before="120" w:after="120" w:line="240" w:lineRule="auto"/>
        <w:ind w:left="0" w:firstLine="567"/>
        <w:contextualSpacing w:val="0"/>
        <w:jc w:val="both"/>
        <w:rPr>
          <w:rFonts w:ascii="Times New Roman" w:hAnsi="Times New Roman"/>
          <w:color w:val="000000"/>
          <w:sz w:val="24"/>
          <w:szCs w:val="24"/>
          <w:lang w:val="ru-MO"/>
        </w:rPr>
      </w:pPr>
      <w:r w:rsidRPr="00CE6109">
        <w:rPr>
          <w:rFonts w:ascii="Times New Roman" w:hAnsi="Times New Roman"/>
          <w:sz w:val="24"/>
          <w:szCs w:val="24"/>
          <w:lang w:val="ru-MO"/>
        </w:rPr>
        <w:t xml:space="preserve">На основании проводимых аудиторских мероприятий, аудиторская группа установила, что деятельность и операции, осуществляемые ПМСУ Республиканская клиническая больница в процессе управления и отражения в отчетности средств ФОМС за 2015 год, с точки зрения порядка контрактации медицинских услуг, администрирования лекарственных препаратов, отражения в отчетности износа основных средств, а также исполнения договоров </w:t>
      </w:r>
      <w:r>
        <w:rPr>
          <w:rFonts w:ascii="Times New Roman" w:hAnsi="Times New Roman"/>
          <w:sz w:val="24"/>
          <w:szCs w:val="24"/>
          <w:lang w:val="ru-MO"/>
        </w:rPr>
        <w:t xml:space="preserve">о </w:t>
      </w:r>
      <w:r w:rsidRPr="00CE6109">
        <w:rPr>
          <w:rFonts w:ascii="Times New Roman" w:hAnsi="Times New Roman"/>
          <w:sz w:val="24"/>
          <w:szCs w:val="24"/>
          <w:lang w:val="ru-MO"/>
        </w:rPr>
        <w:t>финансировани</w:t>
      </w:r>
      <w:r>
        <w:rPr>
          <w:rFonts w:ascii="Times New Roman" w:hAnsi="Times New Roman"/>
          <w:sz w:val="24"/>
          <w:szCs w:val="24"/>
          <w:lang w:val="ru-MO"/>
        </w:rPr>
        <w:t>и</w:t>
      </w:r>
      <w:r w:rsidRPr="00CE6109">
        <w:rPr>
          <w:rFonts w:ascii="Times New Roman" w:hAnsi="Times New Roman"/>
          <w:sz w:val="24"/>
          <w:szCs w:val="24"/>
          <w:lang w:val="ru-MO"/>
        </w:rPr>
        <w:t xml:space="preserve"> для реализации инвестиционных проектов, соответствуют применяемым критериям, за исключением некоторых аспектов, касающихся: </w:t>
      </w:r>
      <w:r w:rsidRPr="00CE6109">
        <w:rPr>
          <w:rFonts w:ascii="Times New Roman" w:hAnsi="Times New Roman"/>
          <w:b/>
          <w:sz w:val="24"/>
          <w:szCs w:val="24"/>
          <w:lang w:val="ru-MO"/>
        </w:rPr>
        <w:t>(i)</w:t>
      </w:r>
      <w:r w:rsidRPr="00CE6109">
        <w:rPr>
          <w:rFonts w:ascii="Times New Roman" w:hAnsi="Times New Roman"/>
          <w:sz w:val="24"/>
          <w:szCs w:val="24"/>
          <w:lang w:val="ru-MO"/>
        </w:rPr>
        <w:t xml:space="preserve"> прозрачности процесса контрактации медицинских услуг (248,4 млн. леев) </w:t>
      </w:r>
      <w:r w:rsidRPr="00CE6109">
        <w:rPr>
          <w:rFonts w:ascii="Times New Roman" w:hAnsi="Times New Roman"/>
          <w:b/>
          <w:sz w:val="24"/>
          <w:szCs w:val="24"/>
          <w:lang w:val="ru-MO"/>
        </w:rPr>
        <w:t>(ii)</w:t>
      </w:r>
      <w:r w:rsidRPr="00CE6109">
        <w:rPr>
          <w:rFonts w:ascii="Times New Roman" w:hAnsi="Times New Roman"/>
          <w:sz w:val="24"/>
          <w:szCs w:val="24"/>
          <w:lang w:val="ru-MO"/>
        </w:rPr>
        <w:t xml:space="preserve"> администрирования лекарственных препаратов для лечения пациентов (114,9 млн. леев), </w:t>
      </w:r>
      <w:r w:rsidRPr="00CE6109">
        <w:rPr>
          <w:rFonts w:ascii="Times New Roman" w:hAnsi="Times New Roman"/>
          <w:b/>
          <w:sz w:val="24"/>
          <w:szCs w:val="24"/>
          <w:lang w:val="ru-MO"/>
        </w:rPr>
        <w:t>(iii)</w:t>
      </w:r>
      <w:r w:rsidRPr="00CE6109">
        <w:rPr>
          <w:rFonts w:ascii="Times New Roman" w:hAnsi="Times New Roman"/>
          <w:sz w:val="24"/>
          <w:szCs w:val="24"/>
          <w:lang w:val="ru-MO"/>
        </w:rPr>
        <w:t xml:space="preserve"> невыполнения намеченной цели одного инвестиционного проекта, выраженного в неиспользовании помещения по назначению (11,5 млн. леев)</w:t>
      </w:r>
      <w:r w:rsidRPr="00CE6109">
        <w:rPr>
          <w:rFonts w:ascii="Times New Roman" w:hAnsi="Times New Roman"/>
          <w:color w:val="000000"/>
          <w:sz w:val="24"/>
          <w:szCs w:val="24"/>
          <w:lang w:val="ru-MO"/>
        </w:rPr>
        <w:t xml:space="preserve">. </w:t>
      </w:r>
    </w:p>
    <w:p w:rsidR="00CE2D0C" w:rsidRPr="00CE6109" w:rsidRDefault="00CE2D0C" w:rsidP="00CE2D0C">
      <w:pPr>
        <w:pStyle w:val="Listparagraf"/>
        <w:spacing w:before="120" w:after="120" w:line="240" w:lineRule="auto"/>
        <w:ind w:left="0" w:firstLine="567"/>
        <w:contextualSpacing w:val="0"/>
        <w:jc w:val="both"/>
        <w:rPr>
          <w:rFonts w:ascii="Times New Roman" w:hAnsi="Times New Roman"/>
          <w:color w:val="000000"/>
          <w:sz w:val="24"/>
          <w:szCs w:val="24"/>
          <w:lang w:val="ru-MO"/>
        </w:rPr>
      </w:pPr>
      <w:r w:rsidRPr="00CE6109">
        <w:rPr>
          <w:rFonts w:ascii="Times New Roman" w:hAnsi="Times New Roman"/>
          <w:sz w:val="24"/>
          <w:szCs w:val="24"/>
          <w:lang w:val="ru-MO"/>
        </w:rPr>
        <w:t xml:space="preserve">Аудиторская группа отмечает, что информация, представленная ПМСУ Республиканская клиническая больница </w:t>
      </w:r>
      <w:r>
        <w:rPr>
          <w:rFonts w:ascii="Times New Roman" w:hAnsi="Times New Roman"/>
          <w:sz w:val="24"/>
          <w:szCs w:val="24"/>
          <w:lang w:val="ru-MO"/>
        </w:rPr>
        <w:t>по</w:t>
      </w:r>
      <w:r w:rsidRPr="00CE6109">
        <w:rPr>
          <w:rFonts w:ascii="Times New Roman" w:hAnsi="Times New Roman"/>
          <w:sz w:val="24"/>
          <w:szCs w:val="24"/>
          <w:lang w:val="ru-MO"/>
        </w:rPr>
        <w:t xml:space="preserve"> исполнени</w:t>
      </w:r>
      <w:r>
        <w:rPr>
          <w:rFonts w:ascii="Times New Roman" w:hAnsi="Times New Roman"/>
          <w:sz w:val="24"/>
          <w:szCs w:val="24"/>
          <w:lang w:val="ru-MO"/>
        </w:rPr>
        <w:t>ю</w:t>
      </w:r>
      <w:r w:rsidRPr="00CE6109">
        <w:rPr>
          <w:rFonts w:ascii="Times New Roman" w:hAnsi="Times New Roman"/>
          <w:sz w:val="24"/>
          <w:szCs w:val="24"/>
          <w:lang w:val="ru-MO"/>
        </w:rPr>
        <w:t xml:space="preserve"> средств ФОМС, связанных с порядком контрактации медицинских услуг, администрирования лекарственных препаратов и отражения в отчетности износа основных средств</w:t>
      </w:r>
      <w:r>
        <w:rPr>
          <w:rFonts w:ascii="Times New Roman" w:hAnsi="Times New Roman"/>
          <w:sz w:val="24"/>
          <w:szCs w:val="24"/>
          <w:lang w:val="ru-MO"/>
        </w:rPr>
        <w:t xml:space="preserve">, </w:t>
      </w:r>
      <w:r w:rsidRPr="00CE6109">
        <w:rPr>
          <w:rFonts w:ascii="Times New Roman" w:hAnsi="Times New Roman"/>
          <w:sz w:val="24"/>
          <w:szCs w:val="24"/>
          <w:lang w:val="ru-MO"/>
        </w:rPr>
        <w:t xml:space="preserve">представляет собой реальное и достоверное отражение ситуации, с предоставлением достоверных и исчерпывающих данных при консолидации Отчета Правительства об исполнении фондов обязательного медицинского страхования за 2015 год, за исключением расходов на лекарства, обусловленных: </w:t>
      </w:r>
      <w:r w:rsidRPr="00CE6109">
        <w:rPr>
          <w:rFonts w:ascii="Times New Roman" w:hAnsi="Times New Roman"/>
          <w:b/>
          <w:sz w:val="24"/>
          <w:szCs w:val="24"/>
          <w:lang w:val="ru-MO"/>
        </w:rPr>
        <w:t>(i)</w:t>
      </w:r>
      <w:r w:rsidRPr="00CE6109">
        <w:rPr>
          <w:rFonts w:ascii="Times New Roman" w:hAnsi="Times New Roman"/>
          <w:sz w:val="24"/>
          <w:szCs w:val="24"/>
          <w:lang w:val="ru-MO"/>
        </w:rPr>
        <w:t xml:space="preserve"> заполнением медицинских </w:t>
      </w:r>
      <w:r>
        <w:rPr>
          <w:rFonts w:ascii="Times New Roman" w:hAnsi="Times New Roman"/>
          <w:sz w:val="24"/>
          <w:szCs w:val="24"/>
          <w:lang w:val="ru-MO"/>
        </w:rPr>
        <w:t>карточек</w:t>
      </w:r>
      <w:r w:rsidRPr="00CE6109">
        <w:rPr>
          <w:rFonts w:ascii="Times New Roman" w:hAnsi="Times New Roman"/>
          <w:sz w:val="24"/>
          <w:szCs w:val="24"/>
          <w:lang w:val="ru-MO"/>
        </w:rPr>
        <w:t xml:space="preserve"> и </w:t>
      </w:r>
      <w:r>
        <w:rPr>
          <w:rFonts w:ascii="Times New Roman" w:hAnsi="Times New Roman"/>
          <w:sz w:val="24"/>
          <w:szCs w:val="24"/>
          <w:lang w:val="ru-MO"/>
        </w:rPr>
        <w:t>чеков</w:t>
      </w:r>
      <w:r w:rsidRPr="00CE6109">
        <w:rPr>
          <w:rFonts w:ascii="Times New Roman" w:hAnsi="Times New Roman"/>
          <w:sz w:val="24"/>
          <w:szCs w:val="24"/>
          <w:lang w:val="ru-MO"/>
        </w:rPr>
        <w:t xml:space="preserve"> о выдаче лекарственных средств пациентам с внесением корректировок в отношении объема, типа и дозы лекарственных препаратов, что не гарантирует обоснование их списания и реально</w:t>
      </w:r>
      <w:r>
        <w:rPr>
          <w:rFonts w:ascii="Times New Roman" w:hAnsi="Times New Roman"/>
          <w:sz w:val="24"/>
          <w:szCs w:val="24"/>
          <w:lang w:val="ru-MO"/>
        </w:rPr>
        <w:t>е</w:t>
      </w:r>
      <w:r w:rsidRPr="00CE6109">
        <w:rPr>
          <w:rFonts w:ascii="Times New Roman" w:hAnsi="Times New Roman"/>
          <w:sz w:val="24"/>
          <w:szCs w:val="24"/>
          <w:lang w:val="ru-MO"/>
        </w:rPr>
        <w:t xml:space="preserve"> администрировани</w:t>
      </w:r>
      <w:r>
        <w:rPr>
          <w:rFonts w:ascii="Times New Roman" w:hAnsi="Times New Roman"/>
          <w:sz w:val="24"/>
          <w:szCs w:val="24"/>
          <w:lang w:val="ru-MO"/>
        </w:rPr>
        <w:t>е</w:t>
      </w:r>
      <w:r w:rsidRPr="00CE6109">
        <w:rPr>
          <w:rFonts w:ascii="Times New Roman" w:hAnsi="Times New Roman"/>
          <w:sz w:val="24"/>
          <w:szCs w:val="24"/>
          <w:lang w:val="ru-MO"/>
        </w:rPr>
        <w:t xml:space="preserve"> пациентам (63,5 млн. леев); </w:t>
      </w:r>
      <w:r w:rsidRPr="00CE6109">
        <w:rPr>
          <w:rFonts w:ascii="Times New Roman" w:hAnsi="Times New Roman"/>
          <w:b/>
          <w:sz w:val="24"/>
          <w:szCs w:val="24"/>
          <w:lang w:val="ru-MO"/>
        </w:rPr>
        <w:t>(ii)</w:t>
      </w:r>
      <w:r w:rsidRPr="00CE6109">
        <w:rPr>
          <w:rFonts w:ascii="Times New Roman" w:hAnsi="Times New Roman"/>
          <w:sz w:val="24"/>
          <w:szCs w:val="24"/>
          <w:lang w:val="ru-MO"/>
        </w:rPr>
        <w:t xml:space="preserve"> включение в счет на оплату стационарной медицинской помощи медикаментов, предусмотренных для Национальных программ (53,2 млн. леев)</w:t>
      </w:r>
      <w:r w:rsidRPr="00CE6109">
        <w:rPr>
          <w:rFonts w:ascii="Times New Roman" w:hAnsi="Times New Roman"/>
          <w:color w:val="000000"/>
          <w:sz w:val="24"/>
          <w:szCs w:val="24"/>
          <w:lang w:val="ru-MO"/>
        </w:rPr>
        <w:t>.</w:t>
      </w:r>
    </w:p>
    <w:p w:rsidR="00CE2D0C" w:rsidRPr="00CE6109" w:rsidRDefault="00CE2D0C" w:rsidP="00CE2D0C">
      <w:pPr>
        <w:pStyle w:val="Listparagraf"/>
        <w:spacing w:before="120" w:after="120" w:line="240" w:lineRule="auto"/>
        <w:ind w:left="0"/>
        <w:contextualSpacing w:val="0"/>
        <w:jc w:val="both"/>
        <w:rPr>
          <w:rFonts w:ascii="Times New Roman" w:hAnsi="Times New Roman"/>
          <w:color w:val="000000"/>
          <w:sz w:val="24"/>
          <w:szCs w:val="24"/>
          <w:lang w:val="ru-MO"/>
        </w:rPr>
      </w:pP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eastAsia="Times New Roman" w:hAnsi="Times New Roman"/>
          <w:sz w:val="28"/>
          <w:szCs w:val="28"/>
          <w:lang w:val="ru-MO"/>
        </w:rPr>
        <w:lastRenderedPageBreak/>
        <w:t xml:space="preserve">В системе обязательного медицинского страхования, ПМСУ РКБ является публичным учреждением национального уровня, основная цель которого направлена на укрепление здоровья населения Республики Молдова, организацию и обеспечение медицинской помощью, основанной на </w:t>
      </w:r>
      <w:r>
        <w:rPr>
          <w:rFonts w:ascii="Times New Roman" w:eastAsia="Times New Roman" w:hAnsi="Times New Roman"/>
          <w:sz w:val="28"/>
          <w:szCs w:val="28"/>
          <w:lang w:val="ru-MO"/>
        </w:rPr>
        <w:t>современных</w:t>
      </w:r>
      <w:r w:rsidRPr="00CE6109">
        <w:rPr>
          <w:rFonts w:ascii="Times New Roman" w:eastAsia="Times New Roman" w:hAnsi="Times New Roman"/>
          <w:sz w:val="28"/>
          <w:szCs w:val="28"/>
          <w:lang w:val="ru-MO"/>
        </w:rPr>
        <w:t xml:space="preserve"> медицинских технологиях, и предоставление экономически эффективных и качественных медицинских услуг</w:t>
      </w:r>
      <w:r w:rsidRPr="00CE6109">
        <w:rPr>
          <w:rStyle w:val="Referinnotdesubsol"/>
          <w:rFonts w:ascii="Times New Roman" w:eastAsia="Times New Roman" w:hAnsi="Times New Roman"/>
          <w:sz w:val="28"/>
          <w:szCs w:val="28"/>
          <w:lang w:val="ru-MO"/>
        </w:rPr>
        <w:footnoteReference w:id="3"/>
      </w:r>
      <w:r w:rsidRPr="00CE6109">
        <w:rPr>
          <w:rFonts w:ascii="Times New Roman" w:eastAsia="Times New Roman" w:hAnsi="Times New Roman"/>
          <w:sz w:val="28"/>
          <w:szCs w:val="28"/>
          <w:lang w:val="ru-MO"/>
        </w:rPr>
        <w:t xml:space="preserve">. Так, на конец 2015 года ПМСУ РКБ зарегистрировала общий объем доходов в сумме 362,3 млн. леев, наиболее значительный удельный вес составляют финансовые средства, полученные из ФОМС – 71,1%, которые увеличились по сравнению с прошлым годом на 10,4 п.п. Кроме того, расходы, понесенные учреждением за счет финансовых средств, полученных на основании договора </w:t>
      </w:r>
      <w:r>
        <w:rPr>
          <w:rFonts w:ascii="Times New Roman" w:eastAsia="Times New Roman" w:hAnsi="Times New Roman"/>
          <w:sz w:val="28"/>
          <w:szCs w:val="28"/>
          <w:lang w:val="ru-MO"/>
        </w:rPr>
        <w:t>о</w:t>
      </w:r>
      <w:r w:rsidRPr="00CE6109">
        <w:rPr>
          <w:rFonts w:ascii="Times New Roman" w:eastAsia="Times New Roman" w:hAnsi="Times New Roman"/>
          <w:sz w:val="28"/>
          <w:szCs w:val="28"/>
          <w:lang w:val="ru-MO"/>
        </w:rPr>
        <w:t xml:space="preserve"> предоставлени</w:t>
      </w:r>
      <w:r>
        <w:rPr>
          <w:rFonts w:ascii="Times New Roman" w:eastAsia="Times New Roman" w:hAnsi="Times New Roman"/>
          <w:sz w:val="28"/>
          <w:szCs w:val="28"/>
          <w:lang w:val="ru-MO"/>
        </w:rPr>
        <w:t>и</w:t>
      </w:r>
      <w:r w:rsidRPr="00CE6109">
        <w:rPr>
          <w:rFonts w:ascii="Times New Roman" w:eastAsia="Times New Roman" w:hAnsi="Times New Roman"/>
          <w:sz w:val="28"/>
          <w:szCs w:val="28"/>
          <w:lang w:val="ru-MO"/>
        </w:rPr>
        <w:t xml:space="preserve"> медицинской помощи в рамках ОМС, зарегистрировали в 2015 году увеличение на 38,3 млн. леев по сравнению с 2014 годом. Наиболее значительны</w:t>
      </w:r>
      <w:r>
        <w:rPr>
          <w:rFonts w:ascii="Times New Roman" w:eastAsia="Times New Roman" w:hAnsi="Times New Roman"/>
          <w:sz w:val="28"/>
          <w:szCs w:val="28"/>
          <w:lang w:val="ru-MO"/>
        </w:rPr>
        <w:t>й</w:t>
      </w:r>
      <w:r w:rsidRPr="00CE6109">
        <w:rPr>
          <w:rFonts w:ascii="Times New Roman" w:eastAsia="Times New Roman" w:hAnsi="Times New Roman"/>
          <w:sz w:val="28"/>
          <w:szCs w:val="28"/>
          <w:lang w:val="ru-MO"/>
        </w:rPr>
        <w:t xml:space="preserve"> </w:t>
      </w:r>
      <w:r>
        <w:rPr>
          <w:rFonts w:ascii="Times New Roman" w:eastAsia="Times New Roman" w:hAnsi="Times New Roman"/>
          <w:sz w:val="28"/>
          <w:szCs w:val="28"/>
          <w:lang w:val="ru-MO"/>
        </w:rPr>
        <w:t>рост</w:t>
      </w:r>
      <w:r w:rsidRPr="00CE6109">
        <w:rPr>
          <w:rFonts w:ascii="Times New Roman" w:eastAsia="Times New Roman" w:hAnsi="Times New Roman"/>
          <w:sz w:val="28"/>
          <w:szCs w:val="28"/>
          <w:lang w:val="ru-MO"/>
        </w:rPr>
        <w:t xml:space="preserve"> зарегистрировали расходы на </w:t>
      </w:r>
      <w:r>
        <w:rPr>
          <w:rFonts w:ascii="Times New Roman" w:eastAsia="Times New Roman" w:hAnsi="Times New Roman"/>
          <w:sz w:val="28"/>
          <w:szCs w:val="28"/>
          <w:lang w:val="ru-MO"/>
        </w:rPr>
        <w:t>лекартсва</w:t>
      </w:r>
      <w:r w:rsidRPr="00CE6109">
        <w:rPr>
          <w:rFonts w:ascii="Times New Roman" w:eastAsia="Times New Roman" w:hAnsi="Times New Roman"/>
          <w:sz w:val="28"/>
          <w:szCs w:val="28"/>
          <w:lang w:val="ru-MO"/>
        </w:rPr>
        <w:t xml:space="preserve"> и расходные материалы, оплату труда и затраты на износ основных средств, рассчитанные исходя из доли доходов от НМСК в общем объеме накопленных доходов</w:t>
      </w:r>
      <w:r w:rsidRPr="00CE6109">
        <w:rPr>
          <w:rFonts w:ascii="Times New Roman" w:hAnsi="Times New Roman"/>
          <w:sz w:val="28"/>
          <w:szCs w:val="28"/>
          <w:lang w:val="ru-MO"/>
        </w:rPr>
        <w:t>.</w:t>
      </w:r>
    </w:p>
    <w:p w:rsidR="00CE2D0C" w:rsidRPr="00CE6109" w:rsidRDefault="00CE2D0C" w:rsidP="00CE2D0C">
      <w:pPr>
        <w:tabs>
          <w:tab w:val="left" w:pos="851"/>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В ходе проведения аудиторской миссии со специальной целью были выявлены некоторые </w:t>
      </w:r>
      <w:r w:rsidRPr="00CE6109">
        <w:rPr>
          <w:rFonts w:ascii="Times New Roman" w:eastAsia="Times New Roman" w:hAnsi="Times New Roman"/>
          <w:b/>
          <w:sz w:val="28"/>
          <w:szCs w:val="28"/>
          <w:lang w:val="ru-MO"/>
        </w:rPr>
        <w:t>несоответствия и недостатки функционирования внутреннего контроля</w:t>
      </w:r>
      <w:r w:rsidRPr="00CE6109">
        <w:rPr>
          <w:rFonts w:ascii="Times New Roman" w:eastAsia="Times New Roman" w:hAnsi="Times New Roman"/>
          <w:sz w:val="28"/>
          <w:szCs w:val="28"/>
          <w:lang w:val="ru-MO"/>
        </w:rPr>
        <w:t xml:space="preserve">, связанные с обеспечением учреждения необходимыми медикаментами для лечения госпитализированных </w:t>
      </w:r>
      <w:r>
        <w:rPr>
          <w:rFonts w:ascii="Times New Roman" w:eastAsia="Times New Roman" w:hAnsi="Times New Roman"/>
          <w:sz w:val="28"/>
          <w:szCs w:val="28"/>
          <w:lang w:val="ru-MO"/>
        </w:rPr>
        <w:t>больных</w:t>
      </w:r>
      <w:r w:rsidRPr="00CE6109">
        <w:rPr>
          <w:rFonts w:ascii="Times New Roman" w:eastAsia="Times New Roman" w:hAnsi="Times New Roman"/>
          <w:sz w:val="28"/>
          <w:szCs w:val="28"/>
          <w:lang w:val="ru-MO"/>
        </w:rPr>
        <w:t>, а именно:</w:t>
      </w:r>
    </w:p>
    <w:p w:rsidR="00CE2D0C" w:rsidRPr="00CE6109" w:rsidRDefault="00CE2D0C" w:rsidP="00CE2D0C">
      <w:pPr>
        <w:pStyle w:val="Listparagraf"/>
        <w:numPr>
          <w:ilvl w:val="0"/>
          <w:numId w:val="12"/>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eastAsia="Times New Roman" w:hAnsi="Times New Roman"/>
          <w:sz w:val="28"/>
          <w:szCs w:val="28"/>
          <w:lang w:val="ru-MO"/>
        </w:rPr>
        <w:t>отсутствие подтверждающих документов о за</w:t>
      </w:r>
      <w:r>
        <w:rPr>
          <w:rFonts w:ascii="Times New Roman" w:eastAsia="Times New Roman" w:hAnsi="Times New Roman"/>
          <w:sz w:val="28"/>
          <w:szCs w:val="28"/>
          <w:lang w:val="ru-MO"/>
        </w:rPr>
        <w:t>просе</w:t>
      </w:r>
      <w:r w:rsidRPr="00CE6109">
        <w:rPr>
          <w:rFonts w:ascii="Times New Roman" w:eastAsia="Times New Roman" w:hAnsi="Times New Roman"/>
          <w:sz w:val="28"/>
          <w:szCs w:val="28"/>
          <w:lang w:val="ru-MO"/>
        </w:rPr>
        <w:t xml:space="preserve"> лекарственных средств у поставщиков</w:t>
      </w:r>
      <w:r w:rsidRPr="00CE6109">
        <w:rPr>
          <w:rFonts w:ascii="Times New Roman" w:hAnsi="Times New Roman"/>
          <w:sz w:val="28"/>
          <w:szCs w:val="28"/>
          <w:lang w:val="ru-MO"/>
        </w:rPr>
        <w:t xml:space="preserve">; </w:t>
      </w:r>
    </w:p>
    <w:p w:rsidR="00CE2D0C" w:rsidRPr="00CE6109" w:rsidRDefault="00CE2D0C" w:rsidP="00CE2D0C">
      <w:pPr>
        <w:pStyle w:val="Listparagraf"/>
        <w:numPr>
          <w:ilvl w:val="0"/>
          <w:numId w:val="12"/>
        </w:numPr>
        <w:tabs>
          <w:tab w:val="left" w:pos="851"/>
        </w:tabs>
        <w:spacing w:before="240" w:after="0" w:line="276" w:lineRule="auto"/>
        <w:ind w:left="0" w:firstLine="567"/>
        <w:jc w:val="both"/>
        <w:rPr>
          <w:rFonts w:ascii="Times New Roman" w:hAnsi="Times New Roman"/>
          <w:sz w:val="28"/>
          <w:szCs w:val="28"/>
          <w:lang w:val="ru-MO"/>
        </w:rPr>
      </w:pPr>
      <w:r w:rsidRPr="00CE6109">
        <w:rPr>
          <w:rFonts w:ascii="Times New Roman" w:eastAsia="Times New Roman" w:hAnsi="Times New Roman"/>
          <w:sz w:val="28"/>
          <w:szCs w:val="28"/>
          <w:lang w:val="ru-MO"/>
        </w:rPr>
        <w:t>неполное освобождение из аптеки лекарственных средств, запрашиваемых отделениями, а также отсутствие документов, подтверждающих их необходимость</w:t>
      </w:r>
      <w:r w:rsidRPr="00CE6109">
        <w:rPr>
          <w:rFonts w:ascii="Times New Roman" w:hAnsi="Times New Roman"/>
          <w:sz w:val="28"/>
          <w:szCs w:val="28"/>
          <w:lang w:val="ru-MO"/>
        </w:rPr>
        <w:t xml:space="preserve">; </w:t>
      </w:r>
    </w:p>
    <w:p w:rsidR="00CE2D0C" w:rsidRPr="00CE6109" w:rsidRDefault="00CE2D0C" w:rsidP="00CE2D0C">
      <w:pPr>
        <w:pStyle w:val="Listparagraf"/>
        <w:numPr>
          <w:ilvl w:val="0"/>
          <w:numId w:val="12"/>
        </w:numPr>
        <w:tabs>
          <w:tab w:val="left" w:pos="851"/>
        </w:tabs>
        <w:spacing w:before="240" w:after="0" w:line="276" w:lineRule="auto"/>
        <w:ind w:left="0" w:firstLine="567"/>
        <w:jc w:val="both"/>
        <w:rPr>
          <w:rFonts w:ascii="Times New Roman" w:hAnsi="Times New Roman"/>
          <w:sz w:val="28"/>
          <w:szCs w:val="28"/>
          <w:lang w:val="ru-MO"/>
        </w:rPr>
      </w:pPr>
      <w:r w:rsidRPr="00CE6109">
        <w:rPr>
          <w:rFonts w:ascii="Times New Roman" w:eastAsia="Times New Roman" w:hAnsi="Times New Roman"/>
          <w:sz w:val="28"/>
          <w:szCs w:val="28"/>
          <w:lang w:val="ru-MO"/>
        </w:rPr>
        <w:t xml:space="preserve">ненадлежащее заполнение медицинских </w:t>
      </w:r>
      <w:r>
        <w:rPr>
          <w:rFonts w:ascii="Times New Roman" w:eastAsia="Times New Roman" w:hAnsi="Times New Roman"/>
          <w:sz w:val="28"/>
          <w:szCs w:val="28"/>
          <w:lang w:val="ru-MO"/>
        </w:rPr>
        <w:t>карточек</w:t>
      </w:r>
      <w:r w:rsidRPr="00CE6109">
        <w:rPr>
          <w:rFonts w:ascii="Times New Roman" w:hAnsi="Times New Roman"/>
          <w:sz w:val="28"/>
          <w:szCs w:val="28"/>
          <w:lang w:val="ru-MO"/>
        </w:rPr>
        <w:t xml:space="preserve">; </w:t>
      </w:r>
    </w:p>
    <w:p w:rsidR="00CE2D0C" w:rsidRPr="00CE6109" w:rsidRDefault="00CE2D0C" w:rsidP="00CE2D0C">
      <w:pPr>
        <w:pStyle w:val="Listparagraf"/>
        <w:numPr>
          <w:ilvl w:val="0"/>
          <w:numId w:val="12"/>
        </w:numPr>
        <w:tabs>
          <w:tab w:val="left" w:pos="851"/>
        </w:tabs>
        <w:spacing w:before="240" w:after="0" w:line="276" w:lineRule="auto"/>
        <w:ind w:left="0" w:firstLine="567"/>
        <w:jc w:val="both"/>
        <w:rPr>
          <w:rFonts w:ascii="Times New Roman" w:hAnsi="Times New Roman"/>
          <w:sz w:val="28"/>
          <w:szCs w:val="28"/>
          <w:lang w:val="ru-MO"/>
        </w:rPr>
      </w:pPr>
      <w:r w:rsidRPr="00CE6109">
        <w:rPr>
          <w:rFonts w:ascii="Times New Roman" w:eastAsia="Times New Roman" w:hAnsi="Times New Roman"/>
          <w:sz w:val="28"/>
          <w:szCs w:val="28"/>
          <w:lang w:val="ru-MO"/>
        </w:rPr>
        <w:t xml:space="preserve">ненадлежащее заполнение </w:t>
      </w:r>
      <w:r>
        <w:rPr>
          <w:rFonts w:ascii="Times New Roman" w:eastAsia="Times New Roman" w:hAnsi="Times New Roman"/>
          <w:sz w:val="28"/>
          <w:szCs w:val="28"/>
          <w:lang w:val="ru-MO"/>
        </w:rPr>
        <w:t>чеков</w:t>
      </w:r>
      <w:r w:rsidRPr="00CE6109">
        <w:rPr>
          <w:rFonts w:ascii="Times New Roman" w:eastAsia="Times New Roman" w:hAnsi="Times New Roman"/>
          <w:sz w:val="28"/>
          <w:szCs w:val="28"/>
          <w:lang w:val="ru-MO"/>
        </w:rPr>
        <w:t xml:space="preserve"> о выдаче лекарств после даты выписки пациентов</w:t>
      </w:r>
      <w:r w:rsidRPr="00CE6109">
        <w:rPr>
          <w:rFonts w:ascii="Times New Roman" w:hAnsi="Times New Roman"/>
          <w:sz w:val="28"/>
          <w:szCs w:val="28"/>
          <w:lang w:val="ru-MO"/>
        </w:rPr>
        <w:t xml:space="preserve"> из больницы;</w:t>
      </w:r>
    </w:p>
    <w:p w:rsidR="00CE2D0C" w:rsidRPr="00CE6109" w:rsidRDefault="00CE2D0C" w:rsidP="00CE2D0C">
      <w:pPr>
        <w:pStyle w:val="Listparagraf"/>
        <w:numPr>
          <w:ilvl w:val="0"/>
          <w:numId w:val="12"/>
        </w:numPr>
        <w:tabs>
          <w:tab w:val="left" w:pos="851"/>
        </w:tabs>
        <w:spacing w:before="240"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отсутствие взаимосвязанного программного обеспечения (</w:t>
      </w:r>
      <w:r w:rsidRPr="00CE6109">
        <w:rPr>
          <w:rFonts w:ascii="Times New Roman" w:hAnsi="Times New Roman"/>
          <w:sz w:val="28"/>
          <w:szCs w:val="28"/>
          <w:lang w:val="ru-MO"/>
        </w:rPr>
        <w:t>soft)</w:t>
      </w:r>
      <w:r w:rsidRPr="00CE6109">
        <w:rPr>
          <w:rFonts w:ascii="Times New Roman" w:eastAsia="Times New Roman" w:hAnsi="Times New Roman"/>
          <w:sz w:val="28"/>
          <w:szCs w:val="28"/>
          <w:lang w:val="ru-MO"/>
        </w:rPr>
        <w:t xml:space="preserve"> между аптекой, отделениями и отделом бухгалтерского учета, чем не обеспечивается надлежащий учет и прозрачность процесса назначения, заказа-выдачи медикаментов, использования для лечения пациентов и их списания</w:t>
      </w:r>
      <w:r w:rsidRPr="00CE6109">
        <w:rPr>
          <w:rFonts w:ascii="Times New Roman" w:hAnsi="Times New Roman"/>
          <w:sz w:val="28"/>
          <w:szCs w:val="28"/>
          <w:lang w:val="ru-MO"/>
        </w:rPr>
        <w:t>.</w:t>
      </w:r>
    </w:p>
    <w:p w:rsidR="00CE2D0C" w:rsidRPr="00CE6109" w:rsidRDefault="00CE2D0C" w:rsidP="00CE2D0C">
      <w:pPr>
        <w:pStyle w:val="Listparagraf"/>
        <w:spacing w:after="0"/>
        <w:ind w:left="0" w:firstLine="567"/>
        <w:jc w:val="both"/>
        <w:rPr>
          <w:lang w:val="ru-MO"/>
        </w:rPr>
      </w:pPr>
      <w:r w:rsidRPr="00CE6109">
        <w:rPr>
          <w:rFonts w:ascii="Times New Roman" w:eastAsia="Times New Roman" w:hAnsi="Times New Roman"/>
          <w:sz w:val="28"/>
          <w:szCs w:val="28"/>
          <w:lang w:val="ru-MO"/>
        </w:rPr>
        <w:t>Эти обстоятельства отрицательно влияют на обеспечение отделений необходимыми медикаментами для оказания качественных медицинских услуг застрахованным пациентам и не позволяют аудиту высказать</w:t>
      </w:r>
      <w:r>
        <w:rPr>
          <w:rFonts w:ascii="Times New Roman" w:eastAsia="Times New Roman" w:hAnsi="Times New Roman"/>
          <w:sz w:val="28"/>
          <w:szCs w:val="28"/>
          <w:lang w:val="ru-MO"/>
        </w:rPr>
        <w:t xml:space="preserve"> мнение</w:t>
      </w:r>
      <w:r w:rsidRPr="00CE6109">
        <w:rPr>
          <w:rFonts w:ascii="Times New Roman" w:eastAsia="Times New Roman" w:hAnsi="Times New Roman"/>
          <w:sz w:val="28"/>
          <w:szCs w:val="28"/>
          <w:lang w:val="ru-MO"/>
        </w:rPr>
        <w:t xml:space="preserve"> относительно правильности и полноты списания используемых медикаментов, а также обоснования их отнесения на расходы периода</w:t>
      </w:r>
      <w:r w:rsidRPr="00CE6109">
        <w:rPr>
          <w:rFonts w:ascii="Times New Roman" w:hAnsi="Times New Roman"/>
          <w:sz w:val="28"/>
          <w:szCs w:val="28"/>
          <w:lang w:val="ru-MO"/>
        </w:rPr>
        <w:t>.</w:t>
      </w:r>
    </w:p>
    <w:p w:rsidR="00CE2D0C" w:rsidRPr="00CE6109" w:rsidRDefault="00CE2D0C" w:rsidP="00CE2D0C">
      <w:pPr>
        <w:tabs>
          <w:tab w:val="left" w:pos="851"/>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Планирование потребностей в финансовых средствах ПМСУ РКБ, контрактация медицинских услуг из ФОМС и поступление соответствующих </w:t>
      </w:r>
      <w:r w:rsidRPr="00CE6109">
        <w:rPr>
          <w:rFonts w:ascii="Times New Roman" w:eastAsia="Times New Roman" w:hAnsi="Times New Roman"/>
          <w:sz w:val="28"/>
          <w:szCs w:val="28"/>
          <w:lang w:val="ru-MO"/>
        </w:rPr>
        <w:lastRenderedPageBreak/>
        <w:t>финансовых средств были проведены в отсутствие прозрачности и обоснования реально необходимых финансовых средств, аудитом установлено следующее:</w:t>
      </w:r>
    </w:p>
    <w:p w:rsidR="00CE2D0C" w:rsidRPr="00CE6109" w:rsidRDefault="00CE2D0C" w:rsidP="00CE2D0C">
      <w:pPr>
        <w:pStyle w:val="Listparagraf"/>
        <w:numPr>
          <w:ilvl w:val="0"/>
          <w:numId w:val="18"/>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hAnsi="Times New Roman"/>
          <w:sz w:val="28"/>
          <w:szCs w:val="28"/>
          <w:lang w:val="ru-MO"/>
        </w:rPr>
        <w:t>потребности учреждения в финансовых средствах для обеспечения предоставления качественных медицинских услуг и в полном объеме были покрыты договорной суммой на уровне 53,7%;</w:t>
      </w:r>
    </w:p>
    <w:p w:rsidR="00CE2D0C" w:rsidRPr="00CE6109" w:rsidRDefault="00CE2D0C" w:rsidP="00CE2D0C">
      <w:pPr>
        <w:pStyle w:val="Listparagraf"/>
        <w:numPr>
          <w:ilvl w:val="0"/>
          <w:numId w:val="18"/>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этап контрактации не был проведен прозрачно, в зависимости от эффективности и сложности пролеченных случаев</w:t>
      </w:r>
      <w:r w:rsidRPr="007F5D3C">
        <w:rPr>
          <w:rFonts w:ascii="Times New Roman" w:eastAsia="Times New Roman" w:hAnsi="Times New Roman"/>
          <w:sz w:val="28"/>
          <w:szCs w:val="28"/>
          <w:lang w:val="ru-MO"/>
        </w:rPr>
        <w:t xml:space="preserve"> </w:t>
      </w:r>
      <w:r>
        <w:rPr>
          <w:rFonts w:ascii="Times New Roman" w:eastAsia="Times New Roman" w:hAnsi="Times New Roman"/>
          <w:sz w:val="28"/>
          <w:szCs w:val="28"/>
          <w:lang w:val="ru-MO"/>
        </w:rPr>
        <w:t xml:space="preserve">в </w:t>
      </w:r>
      <w:r w:rsidRPr="00CE6109">
        <w:rPr>
          <w:rFonts w:ascii="Times New Roman" w:eastAsia="Times New Roman" w:hAnsi="Times New Roman"/>
          <w:sz w:val="28"/>
          <w:szCs w:val="28"/>
          <w:lang w:val="ru-MO"/>
        </w:rPr>
        <w:t>учреждени</w:t>
      </w:r>
      <w:r>
        <w:rPr>
          <w:rFonts w:ascii="Times New Roman" w:eastAsia="Times New Roman" w:hAnsi="Times New Roman"/>
          <w:sz w:val="28"/>
          <w:szCs w:val="28"/>
          <w:lang w:val="ru-MO"/>
        </w:rPr>
        <w:t>и</w:t>
      </w:r>
      <w:r w:rsidRPr="00CE6109">
        <w:rPr>
          <w:rFonts w:ascii="Times New Roman" w:eastAsia="Times New Roman" w:hAnsi="Times New Roman"/>
          <w:sz w:val="28"/>
          <w:szCs w:val="28"/>
          <w:lang w:val="ru-MO"/>
        </w:rPr>
        <w:t xml:space="preserve">, а договор не включает в себя все элементы, связанные с системой </w:t>
      </w:r>
      <w:r>
        <w:rPr>
          <w:rFonts w:ascii="Times New Roman" w:eastAsia="Times New Roman" w:hAnsi="Times New Roman"/>
          <w:sz w:val="28"/>
          <w:szCs w:val="28"/>
          <w:lang w:val="ru-MO"/>
        </w:rPr>
        <w:t xml:space="preserve">ДСГ </w:t>
      </w:r>
      <w:r w:rsidRPr="00CE6109">
        <w:rPr>
          <w:rFonts w:ascii="Times New Roman" w:eastAsia="Times New Roman" w:hAnsi="Times New Roman"/>
          <w:sz w:val="28"/>
          <w:szCs w:val="28"/>
          <w:lang w:val="ru-MO"/>
        </w:rPr>
        <w:t>(Case-Mix)</w:t>
      </w:r>
      <w:r w:rsidRPr="00CE6109">
        <w:rPr>
          <w:rFonts w:ascii="Times New Roman" w:hAnsi="Times New Roman"/>
          <w:sz w:val="28"/>
          <w:szCs w:val="28"/>
          <w:lang w:val="ru-MO"/>
        </w:rPr>
        <w:t xml:space="preserve">; </w:t>
      </w:r>
    </w:p>
    <w:p w:rsidR="00CE2D0C" w:rsidRPr="00CE6109" w:rsidRDefault="00CE2D0C" w:rsidP="00CE2D0C">
      <w:pPr>
        <w:pStyle w:val="Listparagraf"/>
        <w:numPr>
          <w:ilvl w:val="0"/>
          <w:numId w:val="18"/>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реализация ПМСУ РКБ в течение 2015 года сложных случаев обусловило осуществление дополнительных расходов, непокрытых договором и, соответственно, привело к не</w:t>
      </w:r>
      <w:r>
        <w:rPr>
          <w:rFonts w:ascii="Times New Roman" w:eastAsia="Times New Roman" w:hAnsi="Times New Roman"/>
          <w:sz w:val="28"/>
          <w:szCs w:val="28"/>
          <w:lang w:val="ru-MO"/>
        </w:rPr>
        <w:t>хватке</w:t>
      </w:r>
      <w:r w:rsidRPr="00CE6109">
        <w:rPr>
          <w:rFonts w:ascii="Times New Roman" w:eastAsia="Times New Roman" w:hAnsi="Times New Roman"/>
          <w:sz w:val="28"/>
          <w:szCs w:val="28"/>
          <w:lang w:val="ru-MO"/>
        </w:rPr>
        <w:t xml:space="preserve"> финансовых средств (7,5 млн. леев);</w:t>
      </w:r>
    </w:p>
    <w:p w:rsidR="00CE2D0C" w:rsidRPr="00CE6109" w:rsidRDefault="00CE2D0C" w:rsidP="00CE2D0C">
      <w:pPr>
        <w:pStyle w:val="Listparagraf"/>
        <w:numPr>
          <w:ilvl w:val="0"/>
          <w:numId w:val="18"/>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hAnsi="Times New Roman"/>
          <w:bCs/>
          <w:sz w:val="28"/>
          <w:szCs w:val="28"/>
          <w:lang w:val="ru-MO" w:eastAsia="ro-RO"/>
        </w:rPr>
        <w:t>необеспечение ПМСУ РКБ надлежащего и своевременного поступления финансовых средств, связанных с оплатой контрактованных медицинских услуг из ФОМС</w:t>
      </w:r>
      <w:r>
        <w:rPr>
          <w:rFonts w:ascii="Times New Roman" w:hAnsi="Times New Roman"/>
          <w:bCs/>
          <w:sz w:val="28"/>
          <w:szCs w:val="28"/>
          <w:lang w:val="ru-MO" w:eastAsia="ro-RO"/>
        </w:rPr>
        <w:t>,</w:t>
      </w:r>
      <w:r w:rsidRPr="00CE6109">
        <w:rPr>
          <w:rFonts w:ascii="Times New Roman" w:hAnsi="Times New Roman"/>
          <w:bCs/>
          <w:sz w:val="28"/>
          <w:szCs w:val="28"/>
          <w:lang w:val="ru-MO" w:eastAsia="ro-RO"/>
        </w:rPr>
        <w:t xml:space="preserve"> обусловило невыполнение в срок обязательств перед поставщиками, накопление долгов, а также неполное и ненадлежащее исполнение договоров о закупке лекарств.</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hAnsi="Times New Roman"/>
          <w:sz w:val="28"/>
          <w:szCs w:val="28"/>
          <w:lang w:val="ru-MO"/>
        </w:rPr>
        <w:t xml:space="preserve">Относительно соответствия использования средств из Фонда развития и модернизации публичных поставщиков медицинских услуг </w:t>
      </w:r>
      <w:r>
        <w:rPr>
          <w:rFonts w:ascii="Times New Roman" w:hAnsi="Times New Roman"/>
          <w:sz w:val="28"/>
          <w:szCs w:val="28"/>
          <w:lang w:val="ru-MO"/>
        </w:rPr>
        <w:t>за счет</w:t>
      </w:r>
      <w:r w:rsidRPr="00CE6109">
        <w:rPr>
          <w:rFonts w:ascii="Times New Roman" w:hAnsi="Times New Roman"/>
          <w:sz w:val="28"/>
          <w:szCs w:val="28"/>
          <w:lang w:val="ru-MO"/>
        </w:rPr>
        <w:t xml:space="preserve"> ФОМС отмечается, что задержка оплаты капитальных работ и необходимость устранения ряда недостатков, возникших в ходе реализации инвестиционного проекта „Создание департаментов Эндоурологии и Лечения аритмий сердца в ПМСУ РКБ”, определили недостижение цели проекта и ненадлежащее, неэффективное и нерезультативное использование государственных средств на сумму около 11,5 млн. леев. Кроме того, неутверждение Министерством здравоохранения стоимости </w:t>
      </w:r>
      <w:r>
        <w:rPr>
          <w:rFonts w:ascii="Times New Roman" w:hAnsi="Times New Roman"/>
          <w:sz w:val="28"/>
          <w:szCs w:val="28"/>
          <w:lang w:val="ru-MO"/>
        </w:rPr>
        <w:t>ис</w:t>
      </w:r>
      <w:r w:rsidRPr="00CE6109">
        <w:rPr>
          <w:rFonts w:ascii="Times New Roman" w:hAnsi="Times New Roman"/>
          <w:sz w:val="28"/>
          <w:szCs w:val="28"/>
          <w:lang w:val="ru-MO"/>
        </w:rPr>
        <w:t xml:space="preserve">следований, проведенных ПМСУ Институт </w:t>
      </w:r>
      <w:r>
        <w:rPr>
          <w:rFonts w:ascii="Times New Roman" w:hAnsi="Times New Roman"/>
          <w:sz w:val="28"/>
          <w:szCs w:val="28"/>
          <w:lang w:val="ru-MO"/>
        </w:rPr>
        <w:t>к</w:t>
      </w:r>
      <w:r w:rsidRPr="00CE6109">
        <w:rPr>
          <w:rFonts w:ascii="Times New Roman" w:hAnsi="Times New Roman"/>
          <w:sz w:val="28"/>
          <w:szCs w:val="28"/>
          <w:lang w:val="ru-MO"/>
        </w:rPr>
        <w:t xml:space="preserve">ардиологии при помощи оборудования электрофизиологии, их </w:t>
      </w:r>
      <w:r>
        <w:rPr>
          <w:rFonts w:ascii="Times New Roman" w:hAnsi="Times New Roman"/>
          <w:sz w:val="28"/>
          <w:szCs w:val="28"/>
          <w:lang w:val="ru-MO"/>
        </w:rPr>
        <w:t>не</w:t>
      </w:r>
      <w:r w:rsidRPr="00CE6109">
        <w:rPr>
          <w:rFonts w:ascii="Times New Roman" w:hAnsi="Times New Roman"/>
          <w:sz w:val="28"/>
          <w:szCs w:val="28"/>
          <w:lang w:val="ru-MO"/>
        </w:rPr>
        <w:t xml:space="preserve">включение в Каталог цен, а также в Единую программу ОМС не </w:t>
      </w:r>
      <w:r>
        <w:rPr>
          <w:rFonts w:ascii="Times New Roman" w:hAnsi="Times New Roman"/>
          <w:sz w:val="28"/>
          <w:szCs w:val="28"/>
          <w:lang w:val="ru-MO"/>
        </w:rPr>
        <w:t>позволяет</w:t>
      </w:r>
      <w:r w:rsidRPr="00CE6109">
        <w:rPr>
          <w:rFonts w:ascii="Times New Roman" w:hAnsi="Times New Roman"/>
          <w:sz w:val="28"/>
          <w:szCs w:val="28"/>
          <w:lang w:val="ru-MO"/>
        </w:rPr>
        <w:t xml:space="preserve"> контракт</w:t>
      </w:r>
      <w:r>
        <w:rPr>
          <w:rFonts w:ascii="Times New Roman" w:hAnsi="Times New Roman"/>
          <w:sz w:val="28"/>
          <w:szCs w:val="28"/>
          <w:lang w:val="ru-MO"/>
        </w:rPr>
        <w:t>овать</w:t>
      </w:r>
      <w:r w:rsidRPr="00CE6109">
        <w:rPr>
          <w:rFonts w:ascii="Times New Roman" w:hAnsi="Times New Roman"/>
          <w:sz w:val="28"/>
          <w:szCs w:val="28"/>
          <w:lang w:val="ru-MO"/>
        </w:rPr>
        <w:t xml:space="preserve"> эти услуг</w:t>
      </w:r>
      <w:r>
        <w:rPr>
          <w:rFonts w:ascii="Times New Roman" w:hAnsi="Times New Roman"/>
          <w:sz w:val="28"/>
          <w:szCs w:val="28"/>
          <w:lang w:val="ru-MO"/>
        </w:rPr>
        <w:t>и</w:t>
      </w:r>
      <w:r w:rsidRPr="00CE6109">
        <w:rPr>
          <w:rFonts w:ascii="Times New Roman" w:hAnsi="Times New Roman"/>
          <w:sz w:val="28"/>
          <w:szCs w:val="28"/>
          <w:lang w:val="ru-MO"/>
        </w:rPr>
        <w:t xml:space="preserve"> </w:t>
      </w:r>
      <w:r>
        <w:rPr>
          <w:rFonts w:ascii="Times New Roman" w:hAnsi="Times New Roman"/>
          <w:sz w:val="28"/>
          <w:szCs w:val="28"/>
          <w:lang w:val="ru-MO"/>
        </w:rPr>
        <w:t xml:space="preserve">с </w:t>
      </w:r>
      <w:r w:rsidRPr="00CE6109">
        <w:rPr>
          <w:rFonts w:ascii="Times New Roman" w:hAnsi="Times New Roman"/>
          <w:sz w:val="28"/>
          <w:szCs w:val="28"/>
          <w:lang w:val="ru-MO"/>
        </w:rPr>
        <w:t>НМСК и создает для ПМСУ Институт кардиологии риск несения непокрытых расходов и регистрации в будущем убытков или непредоставления медицинских услуг пациентам</w:t>
      </w:r>
      <w:r w:rsidRPr="00CE6109">
        <w:rPr>
          <w:rFonts w:ascii="Times New Roman" w:eastAsia="Times New Roman" w:hAnsi="Times New Roman"/>
          <w:sz w:val="28"/>
          <w:szCs w:val="28"/>
          <w:lang w:val="ru-MO"/>
        </w:rPr>
        <w:t xml:space="preserve">. </w:t>
      </w:r>
    </w:p>
    <w:p w:rsidR="00CE2D0C" w:rsidRPr="00CE6109" w:rsidRDefault="00CE2D0C" w:rsidP="00CE2D0C">
      <w:pPr>
        <w:tabs>
          <w:tab w:val="left" w:pos="851"/>
        </w:tabs>
        <w:spacing w:after="0" w:line="276" w:lineRule="auto"/>
        <w:ind w:firstLine="567"/>
        <w:jc w:val="both"/>
        <w:rPr>
          <w:rFonts w:ascii="Times New Roman" w:eastAsia="Times New Roman" w:hAnsi="Times New Roman"/>
          <w:sz w:val="28"/>
          <w:szCs w:val="28"/>
          <w:lang w:val="ru-MO"/>
        </w:rPr>
      </w:pPr>
      <w:r w:rsidRPr="00CE6109">
        <w:rPr>
          <w:rFonts w:ascii="Times New Roman" w:hAnsi="Times New Roman"/>
          <w:sz w:val="28"/>
          <w:szCs w:val="28"/>
          <w:lang w:val="ru-MO"/>
        </w:rPr>
        <w:t xml:space="preserve">Также аудит отмечает, что </w:t>
      </w:r>
      <w:r>
        <w:rPr>
          <w:rFonts w:ascii="Times New Roman" w:hAnsi="Times New Roman"/>
          <w:sz w:val="28"/>
          <w:szCs w:val="28"/>
          <w:lang w:val="ru-MO"/>
        </w:rPr>
        <w:t>отраж</w:t>
      </w:r>
      <w:r w:rsidRPr="00CE6109">
        <w:rPr>
          <w:rFonts w:ascii="Times New Roman" w:hAnsi="Times New Roman"/>
          <w:sz w:val="28"/>
          <w:szCs w:val="28"/>
          <w:lang w:val="ru-MO"/>
        </w:rPr>
        <w:t>ение в отчете об исполнении сметы доходов и расходов суммы износа основных средств, без его включения в стоимость пролеченного случая в рамках стационарной медицинской помощи</w:t>
      </w:r>
      <w:r>
        <w:rPr>
          <w:rFonts w:ascii="Times New Roman" w:hAnsi="Times New Roman"/>
          <w:sz w:val="28"/>
          <w:szCs w:val="28"/>
          <w:lang w:val="ru-MO"/>
        </w:rPr>
        <w:t>,</w:t>
      </w:r>
      <w:r w:rsidRPr="00CE6109">
        <w:rPr>
          <w:rFonts w:ascii="Times New Roman" w:hAnsi="Times New Roman"/>
          <w:sz w:val="28"/>
          <w:szCs w:val="28"/>
          <w:lang w:val="ru-MO"/>
        </w:rPr>
        <w:t xml:space="preserve"> </w:t>
      </w:r>
      <w:r>
        <w:rPr>
          <w:rFonts w:ascii="Times New Roman" w:hAnsi="Times New Roman"/>
          <w:sz w:val="28"/>
          <w:szCs w:val="28"/>
          <w:lang w:val="ru-MO"/>
        </w:rPr>
        <w:t>оплачив</w:t>
      </w:r>
      <w:r w:rsidRPr="00CE6109">
        <w:rPr>
          <w:rFonts w:ascii="Times New Roman" w:hAnsi="Times New Roman"/>
          <w:sz w:val="28"/>
          <w:szCs w:val="28"/>
          <w:lang w:val="ru-MO"/>
        </w:rPr>
        <w:t xml:space="preserve">аемой на основе </w:t>
      </w:r>
      <w:r>
        <w:rPr>
          <w:rFonts w:ascii="Times New Roman" w:hAnsi="Times New Roman"/>
          <w:sz w:val="28"/>
          <w:szCs w:val="28"/>
          <w:lang w:val="ru-MO"/>
        </w:rPr>
        <w:t>ДСГ (DRG)</w:t>
      </w:r>
      <w:r w:rsidRPr="00CE6109">
        <w:rPr>
          <w:rFonts w:ascii="Times New Roman" w:hAnsi="Times New Roman"/>
          <w:sz w:val="28"/>
          <w:szCs w:val="28"/>
          <w:lang w:val="ru-MO"/>
        </w:rPr>
        <w:t>, не обеспечивает возмещение стоимости активов на протяжении всего периода их функционирования.</w:t>
      </w:r>
    </w:p>
    <w:p w:rsidR="00CE2D0C" w:rsidRPr="00CE6109" w:rsidRDefault="00CE2D0C" w:rsidP="00CE2D0C">
      <w:pPr>
        <w:pStyle w:val="Listparagraf"/>
        <w:spacing w:line="276" w:lineRule="auto"/>
        <w:ind w:left="1080"/>
        <w:rPr>
          <w:rFonts w:ascii="Times New Roman" w:hAnsi="Times New Roman"/>
          <w:b/>
          <w:color w:val="000000"/>
          <w:sz w:val="28"/>
          <w:szCs w:val="28"/>
          <w:lang w:val="ru-MO"/>
        </w:rPr>
      </w:pPr>
      <w:r w:rsidRPr="00CE6109">
        <w:rPr>
          <w:rFonts w:ascii="Times New Roman" w:hAnsi="Times New Roman"/>
          <w:b/>
          <w:color w:val="000000"/>
          <w:sz w:val="28"/>
          <w:szCs w:val="28"/>
          <w:lang w:val="ru-MO"/>
        </w:rPr>
        <w:br w:type="page"/>
      </w:r>
    </w:p>
    <w:p w:rsidR="00CE2D0C" w:rsidRPr="00CE6109" w:rsidRDefault="00CE2D0C" w:rsidP="00CE2D0C">
      <w:pPr>
        <w:pStyle w:val="Listparagraf"/>
        <w:numPr>
          <w:ilvl w:val="0"/>
          <w:numId w:val="1"/>
        </w:numPr>
        <w:tabs>
          <w:tab w:val="left" w:pos="993"/>
        </w:tabs>
        <w:spacing w:line="276" w:lineRule="auto"/>
        <w:ind w:left="0" w:firstLine="567"/>
        <w:contextualSpacing w:val="0"/>
        <w:jc w:val="both"/>
        <w:outlineLvl w:val="0"/>
        <w:rPr>
          <w:rFonts w:ascii="Times New Roman" w:hAnsi="Times New Roman"/>
          <w:b/>
          <w:color w:val="000000"/>
          <w:sz w:val="28"/>
          <w:szCs w:val="28"/>
          <w:lang w:val="ru-MO"/>
        </w:rPr>
      </w:pPr>
      <w:bookmarkStart w:id="6" w:name="_Toc443550604"/>
      <w:bookmarkStart w:id="7" w:name="_Toc447552117"/>
      <w:bookmarkStart w:id="8" w:name="_Toc454287221"/>
      <w:r w:rsidRPr="00CE6109">
        <w:rPr>
          <w:rFonts w:ascii="Times New Roman" w:hAnsi="Times New Roman"/>
          <w:b/>
          <w:color w:val="000000"/>
          <w:sz w:val="28"/>
          <w:szCs w:val="28"/>
          <w:lang w:val="ru-MO"/>
        </w:rPr>
        <w:lastRenderedPageBreak/>
        <w:t>ВВЕДЕНИЕ</w:t>
      </w:r>
      <w:bookmarkEnd w:id="6"/>
      <w:bookmarkEnd w:id="7"/>
      <w:bookmarkEnd w:id="8"/>
    </w:p>
    <w:p w:rsidR="00CE2D0C" w:rsidRPr="00CE6109" w:rsidRDefault="00CE2D0C" w:rsidP="00CE2D0C">
      <w:pPr>
        <w:pStyle w:val="Listparagraf"/>
        <w:numPr>
          <w:ilvl w:val="1"/>
          <w:numId w:val="1"/>
        </w:numPr>
        <w:tabs>
          <w:tab w:val="left" w:pos="993"/>
        </w:tabs>
        <w:spacing w:line="276" w:lineRule="auto"/>
        <w:ind w:left="0" w:firstLine="567"/>
        <w:outlineLvl w:val="1"/>
        <w:rPr>
          <w:rFonts w:ascii="Times New Roman" w:hAnsi="Times New Roman"/>
          <w:b/>
          <w:color w:val="000000"/>
          <w:sz w:val="28"/>
          <w:szCs w:val="28"/>
          <w:lang w:val="ru-MO"/>
        </w:rPr>
      </w:pPr>
      <w:bookmarkStart w:id="9" w:name="_Toc454287222"/>
      <w:bookmarkStart w:id="10" w:name="_Toc443550605"/>
      <w:bookmarkStart w:id="11" w:name="_Toc447552118"/>
      <w:r w:rsidRPr="00CE6109">
        <w:rPr>
          <w:rFonts w:ascii="Times New Roman" w:hAnsi="Times New Roman"/>
          <w:b/>
          <w:color w:val="000000"/>
          <w:sz w:val="28"/>
          <w:szCs w:val="28"/>
          <w:lang w:val="ru-MO"/>
        </w:rPr>
        <w:t>Законный мандат и период аудита</w:t>
      </w:r>
      <w:bookmarkEnd w:id="9"/>
      <w:r w:rsidRPr="00CE6109">
        <w:rPr>
          <w:rFonts w:ascii="Times New Roman" w:hAnsi="Times New Roman"/>
          <w:b/>
          <w:color w:val="000000"/>
          <w:sz w:val="28"/>
          <w:szCs w:val="28"/>
          <w:lang w:val="ru-MO"/>
        </w:rPr>
        <w:t xml:space="preserve"> </w:t>
      </w:r>
      <w:bookmarkEnd w:id="10"/>
      <w:bookmarkEnd w:id="11"/>
    </w:p>
    <w:p w:rsidR="00CE2D0C" w:rsidRPr="00CE6109" w:rsidRDefault="00CE2D0C" w:rsidP="00CE2D0C">
      <w:pPr>
        <w:pStyle w:val="Listparagraf"/>
        <w:tabs>
          <w:tab w:val="left" w:pos="993"/>
        </w:tabs>
        <w:spacing w:after="0" w:line="276" w:lineRule="auto"/>
        <w:ind w:left="0" w:firstLine="567"/>
        <w:contextualSpacing w:val="0"/>
        <w:jc w:val="both"/>
        <w:rPr>
          <w:rFonts w:ascii="Times New Roman" w:hAnsi="Times New Roman"/>
          <w:color w:val="000000"/>
          <w:sz w:val="28"/>
          <w:szCs w:val="28"/>
          <w:lang w:val="ru-MO"/>
        </w:rPr>
      </w:pPr>
      <w:r w:rsidRPr="00CE6109">
        <w:rPr>
          <w:rFonts w:ascii="Times New Roman" w:hAnsi="Times New Roman"/>
          <w:color w:val="000000"/>
          <w:sz w:val="28"/>
          <w:szCs w:val="28"/>
          <w:lang w:val="ru-MO"/>
        </w:rPr>
        <w:t xml:space="preserve">Аудит со специальной целью проверки соответствия порядка контрактации, управления и отражения в отчетности финансовых ситуаций ФОМС </w:t>
      </w:r>
      <w:r>
        <w:rPr>
          <w:rFonts w:ascii="Times New Roman" w:hAnsi="Times New Roman"/>
          <w:color w:val="000000"/>
          <w:sz w:val="28"/>
          <w:szCs w:val="28"/>
          <w:lang w:val="ru-MO"/>
        </w:rPr>
        <w:t xml:space="preserve">в </w:t>
      </w:r>
      <w:r w:rsidRPr="00CE6109">
        <w:rPr>
          <w:rFonts w:ascii="Times New Roman" w:hAnsi="Times New Roman"/>
          <w:color w:val="000000"/>
          <w:sz w:val="28"/>
          <w:szCs w:val="28"/>
          <w:lang w:val="ru-MO"/>
        </w:rPr>
        <w:t>ПМСУ РКБ в 2015 году был проведен в соответствии со ст.28 и с.31 Закона о Счетной палате №261-XVI от 05.12.2008 и в соответствии с Программами аудиторской деятельности Счетной палаты на 2015</w:t>
      </w:r>
      <w:r w:rsidRPr="00CE6109">
        <w:rPr>
          <w:rStyle w:val="Referinnotdesubsol"/>
          <w:rFonts w:ascii="Times New Roman" w:hAnsi="Times New Roman"/>
          <w:sz w:val="28"/>
          <w:szCs w:val="28"/>
          <w:lang w:val="ru-MO"/>
        </w:rPr>
        <w:footnoteReference w:id="4"/>
      </w:r>
      <w:r w:rsidRPr="00CE6109">
        <w:rPr>
          <w:rFonts w:ascii="Times New Roman" w:hAnsi="Times New Roman"/>
          <w:color w:val="000000"/>
          <w:sz w:val="28"/>
          <w:szCs w:val="28"/>
          <w:lang w:val="ru-MO"/>
        </w:rPr>
        <w:t xml:space="preserve"> и, соответственно, 2016</w:t>
      </w:r>
      <w:r w:rsidRPr="00CE6109">
        <w:rPr>
          <w:rStyle w:val="Referinnotdesubsol"/>
          <w:rFonts w:ascii="Times New Roman" w:hAnsi="Times New Roman"/>
          <w:sz w:val="28"/>
          <w:szCs w:val="28"/>
          <w:lang w:val="ru-MO"/>
        </w:rPr>
        <w:footnoteReference w:id="5"/>
      </w:r>
      <w:r w:rsidRPr="00CE6109">
        <w:rPr>
          <w:rFonts w:ascii="Times New Roman" w:hAnsi="Times New Roman"/>
          <w:color w:val="000000"/>
          <w:sz w:val="28"/>
          <w:szCs w:val="28"/>
          <w:lang w:val="ru-MO"/>
        </w:rPr>
        <w:t xml:space="preserve"> годы</w:t>
      </w:r>
      <w:r w:rsidRPr="00CE6109">
        <w:rPr>
          <w:rFonts w:ascii="Times New Roman" w:hAnsi="Times New Roman"/>
          <w:sz w:val="28"/>
          <w:szCs w:val="28"/>
          <w:lang w:val="ru-MO"/>
        </w:rPr>
        <w:t>.</w:t>
      </w:r>
    </w:p>
    <w:p w:rsidR="00CE2D0C" w:rsidRPr="00CE6109" w:rsidRDefault="00CE2D0C" w:rsidP="00CE2D0C">
      <w:pPr>
        <w:pStyle w:val="Listparagraf"/>
        <w:numPr>
          <w:ilvl w:val="1"/>
          <w:numId w:val="1"/>
        </w:numPr>
        <w:tabs>
          <w:tab w:val="left" w:pos="993"/>
        </w:tabs>
        <w:spacing w:before="240" w:after="0" w:line="276" w:lineRule="auto"/>
        <w:ind w:left="0" w:firstLine="567"/>
        <w:contextualSpacing w:val="0"/>
        <w:jc w:val="both"/>
        <w:outlineLvl w:val="1"/>
        <w:rPr>
          <w:rFonts w:ascii="Times New Roman" w:hAnsi="Times New Roman"/>
          <w:b/>
          <w:color w:val="000000"/>
          <w:sz w:val="28"/>
          <w:szCs w:val="28"/>
          <w:lang w:val="ru-MO"/>
        </w:rPr>
      </w:pPr>
      <w:bookmarkStart w:id="12" w:name="_Toc443550606"/>
      <w:bookmarkStart w:id="13" w:name="_Toc447552119"/>
      <w:bookmarkStart w:id="14" w:name="_Toc454287223"/>
      <w:r w:rsidRPr="00CE6109">
        <w:rPr>
          <w:rFonts w:ascii="Times New Roman" w:hAnsi="Times New Roman"/>
          <w:b/>
          <w:color w:val="000000"/>
          <w:sz w:val="28"/>
          <w:szCs w:val="28"/>
          <w:lang w:val="ru-MO"/>
        </w:rPr>
        <w:t>Цель аудиторской миссии</w:t>
      </w:r>
      <w:bookmarkEnd w:id="12"/>
      <w:bookmarkEnd w:id="13"/>
      <w:bookmarkEnd w:id="14"/>
    </w:p>
    <w:p w:rsidR="00CE2D0C" w:rsidRPr="00CE6109" w:rsidRDefault="00CE2D0C" w:rsidP="00CE2D0C">
      <w:pPr>
        <w:tabs>
          <w:tab w:val="left" w:pos="993"/>
        </w:tabs>
        <w:spacing w:line="276" w:lineRule="auto"/>
        <w:ind w:firstLine="567"/>
        <w:jc w:val="both"/>
        <w:rPr>
          <w:rFonts w:ascii="Times New Roman" w:hAnsi="Times New Roman"/>
          <w:color w:val="000000"/>
          <w:sz w:val="28"/>
          <w:szCs w:val="28"/>
          <w:lang w:val="ru-MO"/>
        </w:rPr>
      </w:pPr>
      <w:r w:rsidRPr="00CE6109">
        <w:rPr>
          <w:rFonts w:ascii="Times New Roman" w:hAnsi="Times New Roman"/>
          <w:b/>
          <w:i/>
          <w:color w:val="000000"/>
          <w:sz w:val="28"/>
          <w:szCs w:val="28"/>
          <w:lang w:val="ru-MO"/>
        </w:rPr>
        <w:t xml:space="preserve">Цель аудита </w:t>
      </w:r>
      <w:r w:rsidRPr="00CE6109">
        <w:rPr>
          <w:rFonts w:ascii="Times New Roman" w:hAnsi="Times New Roman"/>
          <w:color w:val="000000"/>
          <w:sz w:val="28"/>
          <w:szCs w:val="28"/>
          <w:lang w:val="ru-MO"/>
        </w:rPr>
        <w:t xml:space="preserve">состояла в получении достаточной уверенности, путем выражения аудиторских </w:t>
      </w:r>
      <w:r>
        <w:rPr>
          <w:rFonts w:ascii="Times New Roman" w:hAnsi="Times New Roman"/>
          <w:color w:val="000000"/>
          <w:sz w:val="28"/>
          <w:szCs w:val="28"/>
          <w:lang w:val="ru-MO"/>
        </w:rPr>
        <w:t>заключ</w:t>
      </w:r>
      <w:r w:rsidRPr="00CE6109">
        <w:rPr>
          <w:rFonts w:ascii="Times New Roman" w:hAnsi="Times New Roman"/>
          <w:color w:val="000000"/>
          <w:sz w:val="28"/>
          <w:szCs w:val="28"/>
          <w:lang w:val="ru-MO"/>
        </w:rPr>
        <w:t xml:space="preserve">ений относительно того, что средства ФОМС, управляемые и отраженные в отчетности ПМСУ РКБ, с точки зрения контрактации медицинских услуг, администрирования лекарственных препаратов, отражения в отчетности износа основных средств, а также исполнения договоров </w:t>
      </w:r>
      <w:r>
        <w:rPr>
          <w:rFonts w:ascii="Times New Roman" w:hAnsi="Times New Roman"/>
          <w:color w:val="000000"/>
          <w:sz w:val="28"/>
          <w:szCs w:val="28"/>
          <w:lang w:val="ru-MO"/>
        </w:rPr>
        <w:t xml:space="preserve">о </w:t>
      </w:r>
      <w:r w:rsidRPr="00CE6109">
        <w:rPr>
          <w:rFonts w:ascii="Times New Roman" w:hAnsi="Times New Roman"/>
          <w:color w:val="000000"/>
          <w:sz w:val="28"/>
          <w:szCs w:val="28"/>
          <w:lang w:val="ru-MO"/>
        </w:rPr>
        <w:t>финансировани</w:t>
      </w:r>
      <w:r>
        <w:rPr>
          <w:rFonts w:ascii="Times New Roman" w:hAnsi="Times New Roman"/>
          <w:color w:val="000000"/>
          <w:sz w:val="28"/>
          <w:szCs w:val="28"/>
          <w:lang w:val="ru-MO"/>
        </w:rPr>
        <w:t>и</w:t>
      </w:r>
      <w:r w:rsidRPr="00CE6109">
        <w:rPr>
          <w:rFonts w:ascii="Times New Roman" w:hAnsi="Times New Roman"/>
          <w:color w:val="000000"/>
          <w:sz w:val="28"/>
          <w:szCs w:val="28"/>
          <w:lang w:val="ru-MO"/>
        </w:rPr>
        <w:t xml:space="preserve"> для реализации инвестиционных проектов, были </w:t>
      </w:r>
      <w:r>
        <w:rPr>
          <w:rFonts w:ascii="Times New Roman" w:hAnsi="Times New Roman"/>
          <w:color w:val="000000"/>
          <w:sz w:val="28"/>
          <w:szCs w:val="28"/>
          <w:lang w:val="ru-MO"/>
        </w:rPr>
        <w:t>администрирова</w:t>
      </w:r>
      <w:r w:rsidRPr="00CE6109">
        <w:rPr>
          <w:rFonts w:ascii="Times New Roman" w:hAnsi="Times New Roman"/>
          <w:color w:val="000000"/>
          <w:sz w:val="28"/>
          <w:szCs w:val="28"/>
          <w:lang w:val="ru-MO"/>
        </w:rPr>
        <w:t xml:space="preserve">ны в соответствии с требованиями законодательства, представляют реальное и </w:t>
      </w:r>
      <w:r>
        <w:rPr>
          <w:rFonts w:ascii="Times New Roman" w:hAnsi="Times New Roman"/>
          <w:color w:val="000000"/>
          <w:sz w:val="28"/>
          <w:szCs w:val="28"/>
          <w:lang w:val="ru-MO"/>
        </w:rPr>
        <w:t>правиль</w:t>
      </w:r>
      <w:r w:rsidRPr="00CE6109">
        <w:rPr>
          <w:rFonts w:ascii="Times New Roman" w:hAnsi="Times New Roman"/>
          <w:color w:val="000000"/>
          <w:sz w:val="28"/>
          <w:szCs w:val="28"/>
          <w:lang w:val="ru-MO"/>
        </w:rPr>
        <w:t>ное отражение ситуации путем предоставления достоверных и исчерпывающих данных при консолидации Отчета Правительства об исполнении ФОМС за 2015 год.</w:t>
      </w:r>
    </w:p>
    <w:p w:rsidR="00CE2D0C" w:rsidRPr="00CE6109" w:rsidRDefault="00CE2D0C" w:rsidP="00CE2D0C">
      <w:pPr>
        <w:pStyle w:val="Titlu2"/>
        <w:numPr>
          <w:ilvl w:val="1"/>
          <w:numId w:val="1"/>
        </w:numPr>
        <w:tabs>
          <w:tab w:val="left" w:pos="993"/>
        </w:tabs>
        <w:spacing w:line="276" w:lineRule="auto"/>
        <w:ind w:left="0" w:firstLine="567"/>
        <w:jc w:val="both"/>
        <w:rPr>
          <w:rFonts w:ascii="Times New Roman" w:hAnsi="Times New Roman"/>
          <w:b/>
          <w:color w:val="000000"/>
          <w:sz w:val="28"/>
          <w:szCs w:val="28"/>
          <w:lang w:val="ru-MO"/>
        </w:rPr>
      </w:pPr>
      <w:bookmarkStart w:id="15" w:name="_Toc443550608"/>
      <w:bookmarkStart w:id="16" w:name="_Toc447552121"/>
      <w:bookmarkStart w:id="17" w:name="_Toc454287224"/>
      <w:r w:rsidRPr="00CE6109">
        <w:rPr>
          <w:rFonts w:ascii="Times New Roman" w:hAnsi="Times New Roman"/>
          <w:b/>
          <w:color w:val="000000"/>
          <w:sz w:val="28"/>
          <w:szCs w:val="28"/>
          <w:lang w:val="ru-MO"/>
        </w:rPr>
        <w:t>Ответственность сторон</w:t>
      </w:r>
      <w:bookmarkStart w:id="18" w:name="_Toc443550609"/>
      <w:bookmarkStart w:id="19" w:name="_Toc447552122"/>
      <w:bookmarkEnd w:id="15"/>
      <w:bookmarkEnd w:id="16"/>
      <w:bookmarkEnd w:id="17"/>
    </w:p>
    <w:p w:rsidR="00CE2D0C" w:rsidRPr="00CE6109" w:rsidRDefault="00CE2D0C" w:rsidP="00CE2D0C">
      <w:pPr>
        <w:spacing w:after="0" w:line="276" w:lineRule="auto"/>
        <w:ind w:firstLine="567"/>
        <w:jc w:val="both"/>
        <w:rPr>
          <w:rFonts w:ascii="Times New Roman" w:hAnsi="Times New Roman"/>
          <w:b/>
          <w:color w:val="000000"/>
          <w:sz w:val="28"/>
          <w:szCs w:val="28"/>
          <w:lang w:val="ru-MO"/>
        </w:rPr>
      </w:pPr>
      <w:r w:rsidRPr="00CE6109">
        <w:rPr>
          <w:rFonts w:ascii="Times New Roman" w:hAnsi="Times New Roman"/>
          <w:b/>
          <w:i/>
          <w:color w:val="000000"/>
          <w:sz w:val="28"/>
          <w:szCs w:val="28"/>
          <w:lang w:val="ru-MO"/>
        </w:rPr>
        <w:t>Ответственность аудиторской группы</w:t>
      </w:r>
      <w:bookmarkEnd w:id="18"/>
      <w:bookmarkEnd w:id="19"/>
      <w:r w:rsidRPr="00CE6109">
        <w:rPr>
          <w:rFonts w:ascii="Times New Roman" w:hAnsi="Times New Roman"/>
          <w:color w:val="000000"/>
          <w:sz w:val="28"/>
          <w:szCs w:val="28"/>
          <w:lang w:val="ru-MO"/>
        </w:rPr>
        <w:t xml:space="preserve"> состояла в получении достаточных, релевантных и адекватных аудиторских доказательств, для подтверждения констатаций  и выражения аудиторских мнений относительно соответствия управления и отчетности средств ФОМС ПМСУ РКБ, обеспечивающих реальное и </w:t>
      </w:r>
      <w:r>
        <w:rPr>
          <w:rFonts w:ascii="Times New Roman" w:hAnsi="Times New Roman"/>
          <w:color w:val="000000"/>
          <w:sz w:val="28"/>
          <w:szCs w:val="28"/>
          <w:lang w:val="ru-MO"/>
        </w:rPr>
        <w:t>правиль</w:t>
      </w:r>
      <w:r w:rsidRPr="00CE6109">
        <w:rPr>
          <w:rFonts w:ascii="Times New Roman" w:hAnsi="Times New Roman"/>
          <w:color w:val="000000"/>
          <w:sz w:val="28"/>
          <w:szCs w:val="28"/>
          <w:lang w:val="ru-MO"/>
        </w:rPr>
        <w:t>ное отражение ситуации путем предоставления достоверных и исчерпывающих данных при консолидации Отчета Правительства об исполнении ФОМС за 2015 год.</w:t>
      </w:r>
    </w:p>
    <w:p w:rsidR="00CE2D0C" w:rsidRPr="00CE6109" w:rsidRDefault="00CE2D0C" w:rsidP="00CE2D0C">
      <w:pPr>
        <w:spacing w:line="276" w:lineRule="auto"/>
        <w:ind w:firstLine="567"/>
        <w:jc w:val="both"/>
        <w:rPr>
          <w:rFonts w:ascii="Times New Roman" w:hAnsi="Times New Roman"/>
          <w:color w:val="000000"/>
          <w:sz w:val="28"/>
          <w:szCs w:val="28"/>
          <w:lang w:val="ru-MO"/>
        </w:rPr>
      </w:pPr>
      <w:bookmarkStart w:id="20" w:name="_Toc443550610"/>
      <w:bookmarkStart w:id="21" w:name="_Toc447552123"/>
      <w:r w:rsidRPr="00CE6109">
        <w:rPr>
          <w:rFonts w:ascii="Times New Roman" w:hAnsi="Times New Roman"/>
          <w:b/>
          <w:i/>
          <w:color w:val="000000"/>
          <w:sz w:val="28"/>
          <w:szCs w:val="28"/>
          <w:lang w:val="ru-MO"/>
        </w:rPr>
        <w:t xml:space="preserve">Ответственность руководства ПМСУ РКБ </w:t>
      </w:r>
      <w:r w:rsidRPr="00CE6109">
        <w:rPr>
          <w:rFonts w:ascii="Times New Roman" w:hAnsi="Times New Roman"/>
          <w:color w:val="000000"/>
          <w:sz w:val="28"/>
          <w:szCs w:val="28"/>
          <w:lang w:val="ru-MO"/>
        </w:rPr>
        <w:t>состояла в составлении и отражении в отчетности, в установленном порядке и сроке, информации об управлении средствами ФОМС в соответствии с законодательной и нормативной базой, путем внедрения необходимой и эффективной системы внутреннего контроля, которая гарантировала бы надлежащее управление, а также отсутствие существенных искажений, обусловленных мошенничеством или ошибкой</w:t>
      </w:r>
      <w:bookmarkEnd w:id="20"/>
      <w:bookmarkEnd w:id="21"/>
      <w:r w:rsidRPr="00CE6109">
        <w:rPr>
          <w:rFonts w:ascii="Times New Roman" w:hAnsi="Times New Roman"/>
          <w:color w:val="000000"/>
          <w:sz w:val="28"/>
          <w:szCs w:val="28"/>
          <w:lang w:val="ru-MO"/>
        </w:rPr>
        <w:t>.</w:t>
      </w:r>
    </w:p>
    <w:p w:rsidR="00CE2D0C" w:rsidRPr="00CE6109" w:rsidRDefault="00CE2D0C" w:rsidP="00CE2D0C">
      <w:pPr>
        <w:pStyle w:val="Titlu2"/>
        <w:ind w:firstLine="567"/>
        <w:rPr>
          <w:rFonts w:ascii="Times New Roman" w:hAnsi="Times New Roman"/>
          <w:b/>
          <w:color w:val="000000"/>
          <w:sz w:val="28"/>
          <w:szCs w:val="28"/>
          <w:lang w:val="ru-MO"/>
        </w:rPr>
      </w:pPr>
      <w:bookmarkStart w:id="22" w:name="_Toc443550611"/>
      <w:bookmarkStart w:id="23" w:name="_Toc447552124"/>
      <w:bookmarkStart w:id="24" w:name="_Toc454287225"/>
      <w:r w:rsidRPr="00CE6109">
        <w:rPr>
          <w:rFonts w:ascii="Times New Roman" w:hAnsi="Times New Roman"/>
          <w:b/>
          <w:color w:val="000000"/>
          <w:sz w:val="28"/>
          <w:szCs w:val="28"/>
          <w:lang w:val="ru-MO"/>
        </w:rPr>
        <w:lastRenderedPageBreak/>
        <w:t>2.4 Методология аудита</w:t>
      </w:r>
      <w:bookmarkEnd w:id="22"/>
      <w:bookmarkEnd w:id="23"/>
      <w:bookmarkEnd w:id="24"/>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hAnsi="Times New Roman"/>
          <w:color w:val="000000"/>
          <w:sz w:val="28"/>
          <w:szCs w:val="28"/>
          <w:lang w:val="ru-MO"/>
        </w:rPr>
        <w:t xml:space="preserve">Аудиторская миссия была проведена в соответствии с Международными </w:t>
      </w:r>
      <w:r>
        <w:rPr>
          <w:rFonts w:ascii="Times New Roman" w:hAnsi="Times New Roman"/>
          <w:color w:val="000000"/>
          <w:sz w:val="28"/>
          <w:szCs w:val="28"/>
          <w:lang w:val="ru-MO"/>
        </w:rPr>
        <w:t>с</w:t>
      </w:r>
      <w:r w:rsidRPr="00CE6109">
        <w:rPr>
          <w:rFonts w:ascii="Times New Roman" w:hAnsi="Times New Roman"/>
          <w:color w:val="000000"/>
          <w:sz w:val="28"/>
          <w:szCs w:val="28"/>
          <w:lang w:val="ru-MO"/>
        </w:rPr>
        <w:t xml:space="preserve">тандартами </w:t>
      </w:r>
      <w:r>
        <w:rPr>
          <w:rFonts w:ascii="Times New Roman" w:hAnsi="Times New Roman"/>
          <w:color w:val="000000"/>
          <w:sz w:val="28"/>
          <w:szCs w:val="28"/>
          <w:lang w:val="ru-MO"/>
        </w:rPr>
        <w:t>а</w:t>
      </w:r>
      <w:r w:rsidRPr="00CE6109">
        <w:rPr>
          <w:rFonts w:ascii="Times New Roman" w:hAnsi="Times New Roman"/>
          <w:color w:val="000000"/>
          <w:sz w:val="28"/>
          <w:szCs w:val="28"/>
          <w:lang w:val="ru-MO"/>
        </w:rPr>
        <w:t>удита, применяемыми Счетной палатой</w:t>
      </w:r>
      <w:r w:rsidRPr="00CE6109">
        <w:rPr>
          <w:rStyle w:val="Referinnotdesubsol"/>
          <w:rFonts w:ascii="Times New Roman" w:hAnsi="Times New Roman"/>
          <w:color w:val="000000"/>
          <w:sz w:val="28"/>
          <w:szCs w:val="28"/>
          <w:lang w:val="ru-MO"/>
        </w:rPr>
        <w:footnoteReference w:id="6"/>
      </w:r>
      <w:r w:rsidRPr="00CE6109">
        <w:rPr>
          <w:rFonts w:ascii="Times New Roman" w:hAnsi="Times New Roman"/>
          <w:color w:val="000000"/>
          <w:sz w:val="28"/>
          <w:szCs w:val="28"/>
          <w:lang w:val="ru-MO"/>
        </w:rPr>
        <w:t>, с применением специальных Руководящих принципов</w:t>
      </w:r>
      <w:r w:rsidRPr="00CE6109">
        <w:rPr>
          <w:rStyle w:val="Referinnotdesubsol"/>
          <w:rFonts w:ascii="Times New Roman" w:hAnsi="Times New Roman"/>
          <w:color w:val="000000"/>
          <w:sz w:val="28"/>
          <w:szCs w:val="28"/>
          <w:lang w:val="ru-MO"/>
        </w:rPr>
        <w:footnoteReference w:id="7"/>
      </w:r>
      <w:r w:rsidRPr="00CE6109">
        <w:rPr>
          <w:rFonts w:ascii="Times New Roman" w:hAnsi="Times New Roman"/>
          <w:color w:val="000000"/>
          <w:sz w:val="28"/>
          <w:szCs w:val="28"/>
          <w:lang w:val="ru-MO"/>
        </w:rPr>
        <w:t xml:space="preserve">. Так, для получения </w:t>
      </w:r>
      <w:r>
        <w:rPr>
          <w:rFonts w:ascii="Times New Roman" w:hAnsi="Times New Roman"/>
          <w:color w:val="000000"/>
          <w:sz w:val="28"/>
          <w:szCs w:val="28"/>
          <w:lang w:val="ru-MO"/>
        </w:rPr>
        <w:t>обоснован</w:t>
      </w:r>
      <w:r w:rsidRPr="00CE6109">
        <w:rPr>
          <w:rFonts w:ascii="Times New Roman" w:hAnsi="Times New Roman"/>
          <w:color w:val="000000"/>
          <w:sz w:val="28"/>
          <w:szCs w:val="28"/>
          <w:lang w:val="ru-MO"/>
        </w:rPr>
        <w:t>ных доказательств того, что средства ФОМС были администрированы и отражены в отчетности в надлежащем порядке и представляют реальную и достоверную ситуацию за 2015 год, аудит провел оценку некоторых элементов внутреннего контроля и применил процедуры по существу, посредством различных техник и аналитических методов (Приложение №1). Для реализации установленной цели и с учетом порога существенности, были определены области, подверженные рискам, и были проаудированы следующие аспекты</w:t>
      </w:r>
      <w:r w:rsidRPr="00CE6109">
        <w:rPr>
          <w:rFonts w:ascii="Times New Roman" w:eastAsia="Times New Roman" w:hAnsi="Times New Roman"/>
          <w:sz w:val="28"/>
          <w:szCs w:val="28"/>
          <w:lang w:val="ru-MO"/>
        </w:rPr>
        <w:t>:</w:t>
      </w:r>
    </w:p>
    <w:p w:rsidR="00CE2D0C" w:rsidRPr="00CE6109" w:rsidRDefault="00CE2D0C" w:rsidP="00CE2D0C">
      <w:pPr>
        <w:pStyle w:val="Listparagraf"/>
        <w:numPr>
          <w:ilvl w:val="0"/>
          <w:numId w:val="20"/>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соответствие планирования, контрактации, исполнения и </w:t>
      </w:r>
      <w:r>
        <w:rPr>
          <w:rFonts w:ascii="Times New Roman" w:eastAsia="Times New Roman" w:hAnsi="Times New Roman"/>
          <w:sz w:val="28"/>
          <w:szCs w:val="28"/>
          <w:lang w:val="ru-MO"/>
        </w:rPr>
        <w:t>поступле</w:t>
      </w:r>
      <w:r w:rsidRPr="00CE6109">
        <w:rPr>
          <w:rFonts w:ascii="Times New Roman" w:eastAsia="Times New Roman" w:hAnsi="Times New Roman"/>
          <w:sz w:val="28"/>
          <w:szCs w:val="28"/>
          <w:lang w:val="ru-MO"/>
        </w:rPr>
        <w:t>ния денежных средств, связанных с медицинскими услугами, оказываемыми в рамках</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ОМС;</w:t>
      </w:r>
    </w:p>
    <w:p w:rsidR="00CE2D0C" w:rsidRPr="00CE6109" w:rsidRDefault="00CE2D0C" w:rsidP="00CE2D0C">
      <w:pPr>
        <w:pStyle w:val="Listparagraf"/>
        <w:numPr>
          <w:ilvl w:val="0"/>
          <w:numId w:val="20"/>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соответствие обеспечения необходимыми медикаментами для лечения застрахованных пациентов;</w:t>
      </w:r>
    </w:p>
    <w:p w:rsidR="00CE2D0C" w:rsidRPr="00CE6109" w:rsidRDefault="00CE2D0C" w:rsidP="00CE2D0C">
      <w:pPr>
        <w:pStyle w:val="Listparagraf"/>
        <w:numPr>
          <w:ilvl w:val="0"/>
          <w:numId w:val="20"/>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соответствие учета и отчетности расход</w:t>
      </w:r>
      <w:r>
        <w:rPr>
          <w:rFonts w:ascii="Times New Roman" w:eastAsia="Times New Roman" w:hAnsi="Times New Roman"/>
          <w:sz w:val="28"/>
          <w:szCs w:val="28"/>
          <w:lang w:val="ru-MO"/>
        </w:rPr>
        <w:t>ов</w:t>
      </w:r>
      <w:r w:rsidRPr="00CE6109">
        <w:rPr>
          <w:rFonts w:ascii="Times New Roman" w:eastAsia="Times New Roman" w:hAnsi="Times New Roman"/>
          <w:sz w:val="28"/>
          <w:szCs w:val="28"/>
          <w:lang w:val="ru-MO"/>
        </w:rPr>
        <w:t xml:space="preserve"> на износ основных средств;</w:t>
      </w:r>
    </w:p>
    <w:p w:rsidR="00CE2D0C" w:rsidRPr="00CE6109" w:rsidRDefault="00CE2D0C" w:rsidP="00CE2D0C">
      <w:pPr>
        <w:pStyle w:val="Listparagraf"/>
        <w:numPr>
          <w:ilvl w:val="0"/>
          <w:numId w:val="20"/>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соответствие использования учреждением средств из Фонда развития и модернизации публичных поставщиков медицинских услуг.</w:t>
      </w:r>
    </w:p>
    <w:p w:rsidR="00CE2D0C" w:rsidRPr="00CE6109" w:rsidRDefault="00CE2D0C" w:rsidP="00CE2D0C">
      <w:pPr>
        <w:pStyle w:val="Listparagraf"/>
        <w:spacing w:before="120" w:after="120" w:line="276" w:lineRule="auto"/>
        <w:ind w:left="0" w:firstLine="720"/>
        <w:contextualSpacing w:val="0"/>
        <w:jc w:val="both"/>
        <w:rPr>
          <w:rFonts w:ascii="Times New Roman" w:hAnsi="Times New Roman"/>
          <w:color w:val="000000"/>
          <w:sz w:val="28"/>
          <w:szCs w:val="28"/>
          <w:lang w:val="ru-MO"/>
        </w:rPr>
      </w:pPr>
      <w:r w:rsidRPr="00CE6109">
        <w:rPr>
          <w:rFonts w:ascii="Times New Roman" w:hAnsi="Times New Roman"/>
          <w:color w:val="000000"/>
          <w:sz w:val="28"/>
          <w:szCs w:val="28"/>
          <w:lang w:val="ru-MO"/>
        </w:rPr>
        <w:t>Критери</w:t>
      </w:r>
      <w:r>
        <w:rPr>
          <w:rFonts w:ascii="Times New Roman" w:hAnsi="Times New Roman"/>
          <w:color w:val="000000"/>
          <w:sz w:val="28"/>
          <w:szCs w:val="28"/>
          <w:lang w:val="ru-MO"/>
        </w:rPr>
        <w:t>и</w:t>
      </w:r>
      <w:r w:rsidRPr="00CE6109">
        <w:rPr>
          <w:rFonts w:ascii="Times New Roman" w:hAnsi="Times New Roman"/>
          <w:color w:val="000000"/>
          <w:sz w:val="28"/>
          <w:szCs w:val="28"/>
          <w:lang w:val="ru-MO"/>
        </w:rPr>
        <w:t xml:space="preserve">, на которых основаны выводы аудита, явились положения законодательных и нормативных актов в сферах, касающихся планирования, контрактации, исполнения и отчетности средств ФОМС, а также </w:t>
      </w:r>
      <w:r>
        <w:rPr>
          <w:rFonts w:ascii="Times New Roman" w:hAnsi="Times New Roman"/>
          <w:color w:val="000000"/>
          <w:sz w:val="28"/>
          <w:szCs w:val="28"/>
          <w:lang w:val="ru-MO"/>
        </w:rPr>
        <w:t xml:space="preserve">база для </w:t>
      </w:r>
      <w:r w:rsidRPr="00CE6109">
        <w:rPr>
          <w:rFonts w:ascii="Times New Roman" w:hAnsi="Times New Roman"/>
          <w:color w:val="000000"/>
          <w:sz w:val="28"/>
          <w:szCs w:val="28"/>
          <w:lang w:val="ru-MO"/>
        </w:rPr>
        <w:t xml:space="preserve"> финансовой отчетности, предназначенная для обеспечения предоставления реалистичных финансов</w:t>
      </w:r>
      <w:r>
        <w:rPr>
          <w:rFonts w:ascii="Times New Roman" w:hAnsi="Times New Roman"/>
          <w:color w:val="000000"/>
          <w:sz w:val="28"/>
          <w:szCs w:val="28"/>
          <w:lang w:val="ru-MO"/>
        </w:rPr>
        <w:t xml:space="preserve">ых </w:t>
      </w:r>
      <w:r w:rsidRPr="00CE6109">
        <w:rPr>
          <w:rFonts w:ascii="Times New Roman" w:hAnsi="Times New Roman"/>
          <w:color w:val="000000"/>
          <w:sz w:val="28"/>
          <w:szCs w:val="28"/>
          <w:lang w:val="ru-MO"/>
        </w:rPr>
        <w:t>данных/информаци</w:t>
      </w:r>
      <w:r>
        <w:rPr>
          <w:rFonts w:ascii="Times New Roman" w:hAnsi="Times New Roman"/>
          <w:color w:val="000000"/>
          <w:sz w:val="28"/>
          <w:szCs w:val="28"/>
          <w:lang w:val="ru-MO"/>
        </w:rPr>
        <w:t>й</w:t>
      </w:r>
      <w:r w:rsidRPr="00CE6109">
        <w:rPr>
          <w:rFonts w:ascii="Times New Roman" w:hAnsi="Times New Roman"/>
          <w:color w:val="000000"/>
          <w:sz w:val="28"/>
          <w:szCs w:val="28"/>
          <w:lang w:val="ru-MO"/>
        </w:rPr>
        <w:t xml:space="preserve"> </w:t>
      </w:r>
      <w:r>
        <w:rPr>
          <w:rFonts w:ascii="Times New Roman" w:hAnsi="Times New Roman"/>
          <w:color w:val="000000"/>
          <w:sz w:val="28"/>
          <w:szCs w:val="28"/>
          <w:lang w:val="ru-MO"/>
        </w:rPr>
        <w:t xml:space="preserve">о </w:t>
      </w:r>
      <w:r w:rsidRPr="00CE6109">
        <w:rPr>
          <w:rFonts w:ascii="Times New Roman" w:hAnsi="Times New Roman"/>
          <w:color w:val="000000"/>
          <w:sz w:val="28"/>
          <w:szCs w:val="28"/>
          <w:lang w:val="ru-MO"/>
        </w:rPr>
        <w:t>субъект</w:t>
      </w:r>
      <w:r>
        <w:rPr>
          <w:rFonts w:ascii="Times New Roman" w:hAnsi="Times New Roman"/>
          <w:color w:val="000000"/>
          <w:sz w:val="28"/>
          <w:szCs w:val="28"/>
          <w:lang w:val="ru-MO"/>
        </w:rPr>
        <w:t>е</w:t>
      </w:r>
      <w:r w:rsidRPr="00CE6109">
        <w:rPr>
          <w:rFonts w:ascii="Times New Roman" w:hAnsi="Times New Roman"/>
          <w:color w:val="000000"/>
          <w:sz w:val="28"/>
          <w:szCs w:val="28"/>
          <w:lang w:val="ru-MO"/>
        </w:rPr>
        <w:t>, которые лежат в основе систематизированных и консолидированных данных Отчета Правительства об исполнении ФОМС за 2015 год.</w:t>
      </w:r>
    </w:p>
    <w:p w:rsidR="00CE2D0C" w:rsidRPr="00CE6109" w:rsidRDefault="00CE2D0C" w:rsidP="00CE2D0C">
      <w:pPr>
        <w:pStyle w:val="Listparagraf"/>
        <w:numPr>
          <w:ilvl w:val="0"/>
          <w:numId w:val="1"/>
        </w:numPr>
        <w:tabs>
          <w:tab w:val="left" w:pos="993"/>
        </w:tabs>
        <w:spacing w:before="240" w:line="276" w:lineRule="auto"/>
        <w:ind w:left="0" w:firstLine="567"/>
        <w:outlineLvl w:val="0"/>
        <w:rPr>
          <w:rFonts w:ascii="Times New Roman" w:hAnsi="Times New Roman"/>
          <w:b/>
          <w:color w:val="000000"/>
          <w:sz w:val="28"/>
          <w:szCs w:val="28"/>
          <w:lang w:val="ru-MO"/>
        </w:rPr>
      </w:pPr>
      <w:bookmarkStart w:id="25" w:name="_Toc443550612"/>
      <w:bookmarkStart w:id="26" w:name="_Toc447552125"/>
      <w:bookmarkStart w:id="27" w:name="_Toc454287226"/>
      <w:r w:rsidRPr="00CE6109">
        <w:rPr>
          <w:rFonts w:ascii="Times New Roman" w:hAnsi="Times New Roman"/>
          <w:b/>
          <w:color w:val="000000"/>
          <w:sz w:val="28"/>
          <w:szCs w:val="28"/>
          <w:lang w:val="ru-MO"/>
        </w:rPr>
        <w:t>ОБЩЕЕ ПРЕДСТАВЛЕНИЕ</w:t>
      </w:r>
      <w:bookmarkEnd w:id="25"/>
      <w:bookmarkEnd w:id="26"/>
      <w:bookmarkEnd w:id="27"/>
    </w:p>
    <w:p w:rsidR="00CE2D0C" w:rsidRPr="00CE6109" w:rsidRDefault="00CE2D0C" w:rsidP="00CE2D0C">
      <w:pPr>
        <w:pStyle w:val="Listparagraf"/>
        <w:numPr>
          <w:ilvl w:val="1"/>
          <w:numId w:val="1"/>
        </w:numPr>
        <w:tabs>
          <w:tab w:val="left" w:pos="993"/>
        </w:tabs>
        <w:spacing w:line="276" w:lineRule="auto"/>
        <w:ind w:left="0" w:firstLine="567"/>
        <w:jc w:val="both"/>
        <w:outlineLvl w:val="1"/>
        <w:rPr>
          <w:rFonts w:ascii="Times New Roman" w:hAnsi="Times New Roman"/>
          <w:color w:val="000000"/>
          <w:sz w:val="28"/>
          <w:szCs w:val="28"/>
          <w:lang w:val="ru-MO"/>
        </w:rPr>
      </w:pPr>
      <w:bookmarkStart w:id="28" w:name="_Toc454287227"/>
      <w:bookmarkStart w:id="29" w:name="_Toc443550613"/>
      <w:bookmarkStart w:id="30" w:name="_Toc447552126"/>
      <w:r w:rsidRPr="00CE6109">
        <w:rPr>
          <w:rFonts w:ascii="Times New Roman" w:hAnsi="Times New Roman"/>
          <w:b/>
          <w:bCs/>
          <w:sz w:val="28"/>
          <w:szCs w:val="28"/>
          <w:lang w:val="ru-MO"/>
        </w:rPr>
        <w:t>Институциональная база по организации и управлению медицинской помощью в системе ОМС в рамках ПМСУ РКБ</w:t>
      </w:r>
      <w:bookmarkEnd w:id="28"/>
      <w:r w:rsidRPr="00CE6109">
        <w:rPr>
          <w:rFonts w:ascii="Times New Roman" w:hAnsi="Times New Roman"/>
          <w:b/>
          <w:bCs/>
          <w:sz w:val="28"/>
          <w:szCs w:val="28"/>
          <w:lang w:val="ru-MO"/>
        </w:rPr>
        <w:t xml:space="preserve"> </w:t>
      </w:r>
      <w:bookmarkEnd w:id="29"/>
      <w:bookmarkEnd w:id="30"/>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eastAsia="ru-RU"/>
        </w:rPr>
        <w:t xml:space="preserve">ПМСУ РКБ </w:t>
      </w:r>
      <w:r w:rsidRPr="00CE6109">
        <w:rPr>
          <w:rFonts w:ascii="Times New Roman" w:hAnsi="Times New Roman"/>
          <w:bCs/>
          <w:sz w:val="28"/>
          <w:szCs w:val="28"/>
          <w:lang w:val="ru-MO" w:eastAsia="ru-RU"/>
        </w:rPr>
        <w:t xml:space="preserve">является публичным учреждением республиканского уровня, </w:t>
      </w:r>
      <w:r w:rsidRPr="00CE6109">
        <w:rPr>
          <w:rFonts w:ascii="Times New Roman" w:hAnsi="Times New Roman"/>
          <w:sz w:val="28"/>
          <w:szCs w:val="28"/>
          <w:lang w:val="ru-MO"/>
        </w:rPr>
        <w:t>включенным в систему обязательного медицинского страхования</w:t>
      </w:r>
      <w:r w:rsidRPr="00CE6109">
        <w:rPr>
          <w:rFonts w:ascii="Times New Roman" w:hAnsi="Times New Roman"/>
          <w:bCs/>
          <w:sz w:val="28"/>
          <w:szCs w:val="28"/>
          <w:lang w:val="ru-MO"/>
        </w:rPr>
        <w:t>, о</w:t>
      </w:r>
      <w:r w:rsidRPr="00CE6109">
        <w:rPr>
          <w:rFonts w:ascii="Times New Roman" w:hAnsi="Times New Roman"/>
          <w:bCs/>
          <w:sz w:val="28"/>
          <w:szCs w:val="28"/>
          <w:lang w:val="ru-MO" w:eastAsia="ru-RU"/>
        </w:rPr>
        <w:t xml:space="preserve">сновной целью которого является </w:t>
      </w:r>
      <w:r w:rsidRPr="00CE6109">
        <w:rPr>
          <w:rFonts w:ascii="Times New Roman" w:hAnsi="Times New Roman"/>
          <w:sz w:val="28"/>
          <w:szCs w:val="28"/>
          <w:lang w:val="ru-MO"/>
        </w:rPr>
        <w:t xml:space="preserve">улучшение здоровья населения посредством организации и обеспечения медицинской помощи, основанной на современных медицинских технологиях, и предоставление высокоэффективных и </w:t>
      </w:r>
      <w:r w:rsidRPr="00CE6109">
        <w:rPr>
          <w:rFonts w:ascii="Times New Roman" w:hAnsi="Times New Roman"/>
          <w:sz w:val="28"/>
          <w:szCs w:val="28"/>
          <w:lang w:val="ru-MO"/>
        </w:rPr>
        <w:lastRenderedPageBreak/>
        <w:t>качественных медицинских услуг</w:t>
      </w:r>
      <w:r w:rsidRPr="00CE6109">
        <w:rPr>
          <w:rStyle w:val="Referinnotdesubsol"/>
          <w:rFonts w:ascii="Times New Roman" w:eastAsia="Times New Roman" w:hAnsi="Times New Roman"/>
          <w:sz w:val="28"/>
          <w:szCs w:val="28"/>
          <w:lang w:val="ru-MO"/>
        </w:rPr>
        <w:footnoteReference w:id="8"/>
      </w:r>
      <w:r w:rsidRPr="00CE6109">
        <w:rPr>
          <w:rFonts w:ascii="Times New Roman" w:hAnsi="Times New Roman"/>
          <w:sz w:val="28"/>
          <w:szCs w:val="28"/>
          <w:lang w:val="ru-MO"/>
        </w:rPr>
        <w:t>. ПМСУ РБК осуществляет некоммерческую деятельность на принципах самофинансирования, бесприбыльности, на основании действующего законодательства и собственного Положения</w:t>
      </w:r>
      <w:r w:rsidRPr="00CE6109">
        <w:rPr>
          <w:rFonts w:ascii="Times New Roman" w:eastAsia="Times New Roman" w:hAnsi="Times New Roman"/>
          <w:sz w:val="28"/>
          <w:szCs w:val="28"/>
          <w:lang w:val="ru-MO"/>
        </w:rPr>
        <w:t>.</w:t>
      </w:r>
    </w:p>
    <w:p w:rsidR="00CE2D0C" w:rsidRPr="00CE6109" w:rsidRDefault="00CE2D0C" w:rsidP="00CE2D0C">
      <w:pPr>
        <w:tabs>
          <w:tab w:val="left" w:pos="851"/>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b/>
          <w:i/>
          <w:sz w:val="28"/>
          <w:szCs w:val="28"/>
          <w:lang w:val="ru-MO"/>
        </w:rPr>
        <w:t>Институциональная база руководств</w:t>
      </w:r>
      <w:r>
        <w:rPr>
          <w:rFonts w:ascii="Times New Roman" w:eastAsia="Times New Roman" w:hAnsi="Times New Roman"/>
          <w:b/>
          <w:i/>
          <w:sz w:val="28"/>
          <w:szCs w:val="28"/>
          <w:lang w:val="ru-MO"/>
        </w:rPr>
        <w:t>а</w:t>
      </w:r>
      <w:r w:rsidRPr="00CE6109">
        <w:rPr>
          <w:rFonts w:ascii="Times New Roman" w:eastAsia="Times New Roman" w:hAnsi="Times New Roman"/>
          <w:b/>
          <w:i/>
          <w:sz w:val="28"/>
          <w:szCs w:val="28"/>
          <w:lang w:val="ru-MO"/>
        </w:rPr>
        <w:t xml:space="preserve"> и управлени</w:t>
      </w:r>
      <w:r>
        <w:rPr>
          <w:rFonts w:ascii="Times New Roman" w:eastAsia="Times New Roman" w:hAnsi="Times New Roman"/>
          <w:b/>
          <w:i/>
          <w:sz w:val="28"/>
          <w:szCs w:val="28"/>
          <w:lang w:val="ru-MO"/>
        </w:rPr>
        <w:t>я</w:t>
      </w:r>
      <w:r w:rsidRPr="00CE6109">
        <w:rPr>
          <w:rFonts w:ascii="Times New Roman" w:eastAsia="Times New Roman" w:hAnsi="Times New Roman"/>
          <w:b/>
          <w:i/>
          <w:sz w:val="28"/>
          <w:szCs w:val="28"/>
          <w:lang w:val="ru-MO"/>
        </w:rPr>
        <w:t xml:space="preserve"> ПМСУ РКБ </w:t>
      </w:r>
      <w:r w:rsidRPr="00CE6109">
        <w:rPr>
          <w:rFonts w:ascii="Times New Roman" w:eastAsia="Times New Roman" w:hAnsi="Times New Roman"/>
          <w:sz w:val="28"/>
          <w:szCs w:val="28"/>
          <w:lang w:val="ru-MO"/>
        </w:rPr>
        <w:t>представлена:</w:t>
      </w:r>
    </w:p>
    <w:p w:rsidR="00CE2D0C" w:rsidRPr="00CE6109" w:rsidRDefault="00CE2D0C" w:rsidP="00CE2D0C">
      <w:pPr>
        <w:pStyle w:val="Listparagraf"/>
        <w:numPr>
          <w:ilvl w:val="0"/>
          <w:numId w:val="14"/>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hAnsi="Times New Roman"/>
          <w:i/>
          <w:sz w:val="28"/>
          <w:szCs w:val="28"/>
          <w:lang w:val="ru-MO"/>
        </w:rPr>
        <w:t>Министерством здравоохранения</w:t>
      </w:r>
      <w:r w:rsidRPr="00CE6109">
        <w:rPr>
          <w:rFonts w:ascii="Times New Roman" w:hAnsi="Times New Roman"/>
          <w:sz w:val="28"/>
          <w:szCs w:val="28"/>
          <w:lang w:val="ru-MO"/>
        </w:rPr>
        <w:t xml:space="preserve"> в качестве учредителя – обладает полномочиями по предложению/принятию решений о создании, реорганизации или ликвидации учреждения, приему на работу и освобождении от должности директора и заместителей, утверждению организационной структуры и штатного расписания, согласованию сметы доходов и расходов, согласованию операций с третьими лицами, по которым сумма договора превышает 25% от суммы запланированных основных средств и т.д.; </w:t>
      </w:r>
    </w:p>
    <w:p w:rsidR="00CE2D0C" w:rsidRPr="00CE6109" w:rsidRDefault="00CE2D0C" w:rsidP="00CE2D0C">
      <w:pPr>
        <w:pStyle w:val="Listparagraf"/>
        <w:numPr>
          <w:ilvl w:val="0"/>
          <w:numId w:val="14"/>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hAnsi="Times New Roman"/>
          <w:bCs/>
          <w:i/>
          <w:iCs/>
          <w:sz w:val="28"/>
          <w:szCs w:val="28"/>
          <w:lang w:val="ru-MO"/>
        </w:rPr>
        <w:t>Административным советом</w:t>
      </w:r>
      <w:r w:rsidRPr="00CE6109">
        <w:rPr>
          <w:rFonts w:ascii="Times New Roman" w:hAnsi="Times New Roman"/>
          <w:bCs/>
          <w:iCs/>
          <w:sz w:val="28"/>
          <w:szCs w:val="28"/>
          <w:lang w:val="ru-MO"/>
        </w:rPr>
        <w:t xml:space="preserve"> в качестве коллегиального органа управления и надзора за учреждением, представляющего интересы государства, наделенного полномочиями по рассмотрению и утверждению планов, квартальных и годовых отчетов о деятельности, рассмотрению и представлению на согласование учредителю сметы доходов и расходов и др.;</w:t>
      </w:r>
    </w:p>
    <w:p w:rsidR="00CE2D0C" w:rsidRPr="00CE6109" w:rsidRDefault="00CE2D0C" w:rsidP="00CE2D0C">
      <w:pPr>
        <w:pStyle w:val="Listparagraf"/>
        <w:numPr>
          <w:ilvl w:val="0"/>
          <w:numId w:val="14"/>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i/>
          <w:sz w:val="28"/>
          <w:szCs w:val="28"/>
          <w:lang w:val="ru-MO"/>
        </w:rPr>
        <w:t>Директором учреждения</w:t>
      </w:r>
      <w:r w:rsidRPr="00CE6109">
        <w:rPr>
          <w:rFonts w:ascii="Times New Roman" w:eastAsia="Times New Roman" w:hAnsi="Times New Roman"/>
          <w:sz w:val="28"/>
          <w:szCs w:val="28"/>
          <w:lang w:val="ru-MO"/>
        </w:rPr>
        <w:t xml:space="preserve"> в качестве ответственного лица, наделенного правом хозяйственного управления и оперативного руководства ПМСУ РКБ;</w:t>
      </w:r>
    </w:p>
    <w:p w:rsidR="00CE2D0C" w:rsidRPr="00CE6109" w:rsidRDefault="00CE2D0C" w:rsidP="00CE2D0C">
      <w:pPr>
        <w:pStyle w:val="Listparagraf"/>
        <w:numPr>
          <w:ilvl w:val="0"/>
          <w:numId w:val="14"/>
        </w:numPr>
        <w:tabs>
          <w:tab w:val="left" w:pos="851"/>
        </w:tabs>
        <w:spacing w:line="276" w:lineRule="auto"/>
        <w:ind w:left="0" w:firstLine="567"/>
        <w:jc w:val="both"/>
        <w:rPr>
          <w:rFonts w:ascii="Times New Roman" w:eastAsia="Times New Roman" w:hAnsi="Times New Roman"/>
          <w:sz w:val="28"/>
          <w:szCs w:val="28"/>
          <w:lang w:val="ru-MO"/>
        </w:rPr>
      </w:pPr>
      <w:r w:rsidRPr="00CE6109">
        <w:rPr>
          <w:rFonts w:ascii="Times New Roman" w:hAnsi="Times New Roman"/>
          <w:i/>
          <w:sz w:val="28"/>
          <w:szCs w:val="28"/>
          <w:lang w:val="ru-MO"/>
        </w:rPr>
        <w:t xml:space="preserve">Национальной медицинской страховой компанией </w:t>
      </w:r>
      <w:r w:rsidRPr="00CE6109">
        <w:rPr>
          <w:rFonts w:ascii="Times New Roman" w:hAnsi="Times New Roman"/>
          <w:sz w:val="28"/>
          <w:szCs w:val="28"/>
          <w:lang w:val="ru-MO"/>
        </w:rPr>
        <w:t>в качестве управляющего средствами фондов обязательного медицинского страхования, наделенного полномочиями по организации, проведению и управлению процессом обязательного медицинского страхования, ведению переговоров и заключению с поставщиками услуг договоров финансирования медицинских услуг, контролю качества предоставляемой медицинской помощи и внедрению нормативной базы, связанной с медицинским страхованием и др</w:t>
      </w:r>
      <w:r w:rsidRPr="00CE6109">
        <w:rPr>
          <w:rFonts w:ascii="Times New Roman" w:eastAsia="Times New Roman" w:hAnsi="Times New Roman"/>
          <w:sz w:val="28"/>
          <w:szCs w:val="28"/>
          <w:lang w:val="ru-MO"/>
        </w:rPr>
        <w:t>.</w:t>
      </w:r>
    </w:p>
    <w:p w:rsidR="00CE2D0C" w:rsidRPr="00CE6109" w:rsidRDefault="00CE2D0C" w:rsidP="00CE2D0C">
      <w:pPr>
        <w:tabs>
          <w:tab w:val="left" w:pos="851"/>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ПМСУ РКБ предоставляет широкий спектр комплексных медицинских услуг, с использованием уникального современного оборудования, </w:t>
      </w:r>
      <w:r>
        <w:rPr>
          <w:rFonts w:ascii="Times New Roman" w:eastAsia="Times New Roman" w:hAnsi="Times New Roman"/>
          <w:sz w:val="28"/>
          <w:szCs w:val="28"/>
          <w:lang w:val="ru-MO"/>
        </w:rPr>
        <w:t xml:space="preserve">а </w:t>
      </w:r>
      <w:r w:rsidRPr="00CE6109">
        <w:rPr>
          <w:rFonts w:ascii="Times New Roman" w:eastAsia="Times New Roman" w:hAnsi="Times New Roman"/>
          <w:sz w:val="28"/>
          <w:szCs w:val="28"/>
          <w:lang w:val="ru-MO"/>
        </w:rPr>
        <w:t>стационарные медицинские услуги оказываются на базе 775 коек. В течение 2015 года ежедневно были заняты 650 коек, в основном хирургического профиля (66,9%). Кроме того, по медицинской и научной части учреждение включает 12 терапевтических отделений, 17 хирургических отделений, 7 отделений интенсивной терапии и реанимации и 5 лабораторий.</w:t>
      </w:r>
    </w:p>
    <w:p w:rsidR="00CE2D0C" w:rsidRPr="00CE6109" w:rsidRDefault="00CE2D0C" w:rsidP="00CE2D0C">
      <w:pPr>
        <w:pStyle w:val="Listparagraf"/>
        <w:numPr>
          <w:ilvl w:val="1"/>
          <w:numId w:val="1"/>
        </w:numPr>
        <w:tabs>
          <w:tab w:val="left" w:pos="993"/>
          <w:tab w:val="left" w:pos="1134"/>
        </w:tabs>
        <w:spacing w:before="240" w:line="276" w:lineRule="auto"/>
        <w:ind w:left="0" w:firstLine="567"/>
        <w:jc w:val="both"/>
        <w:outlineLvl w:val="1"/>
        <w:rPr>
          <w:rFonts w:ascii="Times New Roman" w:hAnsi="Times New Roman"/>
          <w:b/>
          <w:color w:val="000000"/>
          <w:sz w:val="28"/>
          <w:szCs w:val="28"/>
          <w:lang w:val="ru-MO"/>
        </w:rPr>
      </w:pPr>
      <w:bookmarkStart w:id="31" w:name="_Toc454287228"/>
      <w:r w:rsidRPr="00CE6109">
        <w:rPr>
          <w:rFonts w:ascii="Times New Roman" w:hAnsi="Times New Roman"/>
          <w:b/>
          <w:color w:val="000000"/>
          <w:sz w:val="28"/>
          <w:szCs w:val="28"/>
          <w:lang w:val="ru-MO"/>
        </w:rPr>
        <w:t>Свод показателей доходов и расходов ПМСУ РКБ в динамике за 2013-2015 годы</w:t>
      </w:r>
      <w:bookmarkEnd w:id="31"/>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Pr>
          <w:rFonts w:ascii="Times New Roman" w:hAnsi="Times New Roman"/>
          <w:sz w:val="28"/>
          <w:szCs w:val="28"/>
          <w:lang w:val="ru-MO"/>
        </w:rPr>
        <w:t>В</w:t>
      </w:r>
      <w:r w:rsidRPr="00CE6109">
        <w:rPr>
          <w:rFonts w:ascii="Times New Roman" w:hAnsi="Times New Roman"/>
          <w:sz w:val="28"/>
          <w:szCs w:val="28"/>
          <w:lang w:val="ru-MO"/>
        </w:rPr>
        <w:t xml:space="preserve"> конц</w:t>
      </w:r>
      <w:r>
        <w:rPr>
          <w:rFonts w:ascii="Times New Roman" w:hAnsi="Times New Roman"/>
          <w:sz w:val="28"/>
          <w:szCs w:val="28"/>
          <w:lang w:val="ru-MO"/>
        </w:rPr>
        <w:t>е</w:t>
      </w:r>
      <w:r w:rsidRPr="00CE6109">
        <w:rPr>
          <w:rFonts w:ascii="Times New Roman" w:hAnsi="Times New Roman"/>
          <w:sz w:val="28"/>
          <w:szCs w:val="28"/>
          <w:lang w:val="ru-MO"/>
        </w:rPr>
        <w:t xml:space="preserve"> 2015 года ПМСУ РКБ зарегистрировала доход в сумме 362,3 млн. леев, </w:t>
      </w:r>
      <w:r>
        <w:rPr>
          <w:rFonts w:ascii="Times New Roman" w:hAnsi="Times New Roman"/>
          <w:sz w:val="28"/>
          <w:szCs w:val="28"/>
          <w:lang w:val="ru-MO"/>
        </w:rPr>
        <w:t>или</w:t>
      </w:r>
      <w:r w:rsidRPr="00CE6109">
        <w:rPr>
          <w:rFonts w:ascii="Times New Roman" w:hAnsi="Times New Roman"/>
          <w:sz w:val="28"/>
          <w:szCs w:val="28"/>
          <w:lang w:val="ru-MO"/>
        </w:rPr>
        <w:t xml:space="preserve"> на 42,7 млн. леев больше по сравнению с тем же периодом </w:t>
      </w:r>
      <w:r w:rsidRPr="00CE6109">
        <w:rPr>
          <w:rFonts w:ascii="Times New Roman" w:hAnsi="Times New Roman"/>
          <w:sz w:val="28"/>
          <w:szCs w:val="28"/>
          <w:lang w:val="ru-MO"/>
        </w:rPr>
        <w:lastRenderedPageBreak/>
        <w:t>предыдущего года. Значительный удельный вес в общей структуре доходов занимают ресурсы, поступившие из ФОМС на основании договора на предоставление медицинской помощи в рамках ОМС – 71,1%, которые увелич</w:t>
      </w:r>
      <w:r>
        <w:rPr>
          <w:rFonts w:ascii="Times New Roman" w:hAnsi="Times New Roman"/>
          <w:sz w:val="28"/>
          <w:szCs w:val="28"/>
          <w:lang w:val="ru-MO"/>
        </w:rPr>
        <w:t>ились</w:t>
      </w:r>
      <w:r w:rsidRPr="00CE6109">
        <w:rPr>
          <w:rFonts w:ascii="Times New Roman" w:hAnsi="Times New Roman"/>
          <w:sz w:val="28"/>
          <w:szCs w:val="28"/>
          <w:lang w:val="ru-MO"/>
        </w:rPr>
        <w:t xml:space="preserve"> на 22,9 млн. леев по сравнению с 2014 годом и на 41,2 млн. леев по сравнению с 2013 годом. Динамика доходов и расходов ФОМС за 2013-2015 годы представлена в следующей таблице:</w:t>
      </w:r>
    </w:p>
    <w:p w:rsidR="00CE2D0C" w:rsidRPr="00CE6109" w:rsidRDefault="00CE2D0C" w:rsidP="00CE2D0C">
      <w:pPr>
        <w:tabs>
          <w:tab w:val="left" w:pos="851"/>
        </w:tabs>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Таблица №1</w:t>
      </w:r>
    </w:p>
    <w:p w:rsidR="00CE2D0C" w:rsidRPr="00CE6109" w:rsidRDefault="00CE2D0C" w:rsidP="00CE2D0C">
      <w:pPr>
        <w:tabs>
          <w:tab w:val="left" w:pos="851"/>
        </w:tabs>
        <w:spacing w:after="0" w:line="240" w:lineRule="auto"/>
        <w:ind w:firstLine="567"/>
        <w:jc w:val="center"/>
        <w:rPr>
          <w:rFonts w:ascii="Times New Roman" w:hAnsi="Times New Roman"/>
          <w:b/>
          <w:i/>
          <w:sz w:val="24"/>
          <w:szCs w:val="24"/>
          <w:lang w:val="ru-MO"/>
        </w:rPr>
      </w:pPr>
      <w:r w:rsidRPr="00CE6109">
        <w:rPr>
          <w:rFonts w:ascii="Times New Roman" w:hAnsi="Times New Roman"/>
          <w:b/>
          <w:i/>
          <w:sz w:val="24"/>
          <w:szCs w:val="24"/>
          <w:lang w:val="ru-MO"/>
        </w:rPr>
        <w:t xml:space="preserve">Ситуация  поступивших доходов и понесенных расходов ПМСУ РКБ за счет средств ФОМС за 2013-2015 годы </w:t>
      </w: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709"/>
        <w:gridCol w:w="1007"/>
        <w:gridCol w:w="709"/>
        <w:gridCol w:w="1007"/>
        <w:gridCol w:w="678"/>
        <w:gridCol w:w="1007"/>
        <w:gridCol w:w="1166"/>
        <w:gridCol w:w="1166"/>
        <w:gridCol w:w="1276"/>
        <w:gridCol w:w="763"/>
      </w:tblGrid>
      <w:tr w:rsidR="00CE2D0C" w:rsidRPr="00CD59C4" w:rsidTr="00266330">
        <w:trPr>
          <w:trHeight w:val="576"/>
        </w:trPr>
        <w:tc>
          <w:tcPr>
            <w:tcW w:w="1540" w:type="dxa"/>
            <w:shd w:val="clear" w:color="auto" w:fill="E2EFD9"/>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Показатели</w:t>
            </w:r>
          </w:p>
        </w:tc>
        <w:tc>
          <w:tcPr>
            <w:tcW w:w="709" w:type="dxa"/>
            <w:shd w:val="clear" w:color="auto" w:fill="E2EFD9"/>
            <w:vAlign w:val="center"/>
            <w:hideMark/>
          </w:tcPr>
          <w:p w:rsidR="00CE2D0C" w:rsidRPr="00CE6109" w:rsidRDefault="00CE2D0C" w:rsidP="00266330">
            <w:pPr>
              <w:spacing w:after="0" w:line="240" w:lineRule="auto"/>
              <w:ind w:hanging="137"/>
              <w:rPr>
                <w:rFonts w:eastAsia="Times New Roman"/>
                <w:b/>
                <w:bCs/>
                <w:color w:val="000000"/>
                <w:sz w:val="18"/>
                <w:szCs w:val="18"/>
                <w:lang w:val="ru-MO"/>
              </w:rPr>
            </w:pPr>
            <w:r w:rsidRPr="00CE6109">
              <w:rPr>
                <w:rFonts w:eastAsia="Times New Roman"/>
                <w:b/>
                <w:bCs/>
                <w:color w:val="000000"/>
                <w:sz w:val="18"/>
                <w:szCs w:val="18"/>
                <w:lang w:val="ru-MO"/>
              </w:rPr>
              <w:t>2013 г. млн. леев</w:t>
            </w:r>
          </w:p>
        </w:tc>
        <w:tc>
          <w:tcPr>
            <w:tcW w:w="1007" w:type="dxa"/>
            <w:shd w:val="clear" w:color="auto" w:fill="E2EFD9"/>
            <w:vAlign w:val="center"/>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удельный вес в общем объеме, %</w:t>
            </w:r>
          </w:p>
        </w:tc>
        <w:tc>
          <w:tcPr>
            <w:tcW w:w="709" w:type="dxa"/>
            <w:shd w:val="clear" w:color="auto" w:fill="E2EFD9"/>
            <w:vAlign w:val="center"/>
            <w:hideMark/>
          </w:tcPr>
          <w:p w:rsidR="00CE2D0C" w:rsidRPr="00CE6109" w:rsidRDefault="00CE2D0C" w:rsidP="00266330">
            <w:pPr>
              <w:spacing w:after="0" w:line="240" w:lineRule="auto"/>
              <w:ind w:hanging="152"/>
              <w:jc w:val="center"/>
              <w:rPr>
                <w:rFonts w:eastAsia="Times New Roman"/>
                <w:b/>
                <w:bCs/>
                <w:color w:val="000000"/>
                <w:sz w:val="18"/>
                <w:szCs w:val="18"/>
                <w:lang w:val="ru-MO"/>
              </w:rPr>
            </w:pPr>
            <w:r w:rsidRPr="00CE6109">
              <w:rPr>
                <w:rFonts w:eastAsia="Times New Roman"/>
                <w:b/>
                <w:bCs/>
                <w:color w:val="000000"/>
                <w:sz w:val="18"/>
                <w:szCs w:val="18"/>
                <w:lang w:val="ru-MO"/>
              </w:rPr>
              <w:t>2014 г. млн. леев</w:t>
            </w:r>
          </w:p>
        </w:tc>
        <w:tc>
          <w:tcPr>
            <w:tcW w:w="1007" w:type="dxa"/>
            <w:shd w:val="clear" w:color="auto" w:fill="E2EFD9"/>
            <w:vAlign w:val="center"/>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удельный вес в общем объеме, %</w:t>
            </w:r>
          </w:p>
        </w:tc>
        <w:tc>
          <w:tcPr>
            <w:tcW w:w="678" w:type="dxa"/>
            <w:shd w:val="clear" w:color="auto" w:fill="E2EFD9"/>
            <w:vAlign w:val="center"/>
            <w:hideMark/>
          </w:tcPr>
          <w:p w:rsidR="00CE2D0C" w:rsidRPr="00CE6109" w:rsidRDefault="00CE2D0C" w:rsidP="00266330">
            <w:pPr>
              <w:spacing w:after="0" w:line="240" w:lineRule="auto"/>
              <w:ind w:hanging="96"/>
              <w:jc w:val="center"/>
              <w:rPr>
                <w:rFonts w:eastAsia="Times New Roman"/>
                <w:b/>
                <w:bCs/>
                <w:color w:val="000000"/>
                <w:sz w:val="18"/>
                <w:szCs w:val="18"/>
                <w:lang w:val="ru-MO"/>
              </w:rPr>
            </w:pPr>
            <w:r w:rsidRPr="00CE6109">
              <w:rPr>
                <w:rFonts w:eastAsia="Times New Roman"/>
                <w:b/>
                <w:bCs/>
                <w:color w:val="000000"/>
                <w:sz w:val="18"/>
                <w:szCs w:val="18"/>
                <w:lang w:val="ru-MO"/>
              </w:rPr>
              <w:t>2015 г. млн. леев</w:t>
            </w:r>
          </w:p>
        </w:tc>
        <w:tc>
          <w:tcPr>
            <w:tcW w:w="1007" w:type="dxa"/>
            <w:shd w:val="clear" w:color="auto" w:fill="E2EFD9"/>
            <w:vAlign w:val="center"/>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удельный вес в общем объеме, %</w:t>
            </w:r>
          </w:p>
        </w:tc>
        <w:tc>
          <w:tcPr>
            <w:tcW w:w="1166" w:type="dxa"/>
            <w:shd w:val="clear" w:color="auto" w:fill="E2EFD9"/>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Отклонения (2015-2013 г.г.), млн. леев</w:t>
            </w:r>
          </w:p>
        </w:tc>
        <w:tc>
          <w:tcPr>
            <w:tcW w:w="1166" w:type="dxa"/>
            <w:shd w:val="clear" w:color="auto" w:fill="E2EFD9"/>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 xml:space="preserve">Отклонения </w:t>
            </w:r>
          </w:p>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(2015-2014 г.г.), млн. леев</w:t>
            </w:r>
          </w:p>
        </w:tc>
        <w:tc>
          <w:tcPr>
            <w:tcW w:w="1276" w:type="dxa"/>
            <w:shd w:val="clear" w:color="auto" w:fill="E2EFD9"/>
            <w:vAlign w:val="center"/>
            <w:hideMark/>
          </w:tcPr>
          <w:p w:rsidR="00CE2D0C" w:rsidRPr="00CE6109" w:rsidRDefault="00CE2D0C" w:rsidP="00266330">
            <w:pPr>
              <w:spacing w:after="0" w:line="240" w:lineRule="auto"/>
              <w:jc w:val="center"/>
              <w:rPr>
                <w:rFonts w:eastAsia="Times New Roman"/>
                <w:b/>
                <w:bCs/>
                <w:sz w:val="18"/>
                <w:szCs w:val="18"/>
                <w:lang w:val="ru-MO"/>
              </w:rPr>
            </w:pPr>
            <w:r w:rsidRPr="00CE6109">
              <w:rPr>
                <w:rFonts w:eastAsia="Times New Roman"/>
                <w:b/>
                <w:bCs/>
                <w:color w:val="000000"/>
                <w:sz w:val="18"/>
                <w:szCs w:val="18"/>
                <w:lang w:val="ru-MO"/>
              </w:rPr>
              <w:t>темпы роста,</w:t>
            </w:r>
            <w:r w:rsidRPr="00CE6109">
              <w:rPr>
                <w:rFonts w:eastAsia="Times New Roman"/>
                <w:b/>
                <w:bCs/>
                <w:sz w:val="18"/>
                <w:szCs w:val="18"/>
                <w:lang w:val="ru-MO"/>
              </w:rPr>
              <w:t xml:space="preserve"> 2015/2013 г.г., %</w:t>
            </w:r>
          </w:p>
        </w:tc>
        <w:tc>
          <w:tcPr>
            <w:tcW w:w="763" w:type="dxa"/>
            <w:shd w:val="clear" w:color="auto" w:fill="E2EFD9"/>
            <w:vAlign w:val="center"/>
            <w:hideMark/>
          </w:tcPr>
          <w:p w:rsidR="00CE2D0C" w:rsidRPr="00CE6109" w:rsidRDefault="00CE2D0C" w:rsidP="00266330">
            <w:pPr>
              <w:spacing w:after="0" w:line="240" w:lineRule="auto"/>
              <w:jc w:val="center"/>
              <w:rPr>
                <w:rFonts w:eastAsia="Times New Roman"/>
                <w:b/>
                <w:bCs/>
                <w:sz w:val="18"/>
                <w:szCs w:val="18"/>
                <w:lang w:val="ru-MO"/>
              </w:rPr>
            </w:pPr>
            <w:r w:rsidRPr="00CE6109">
              <w:rPr>
                <w:rFonts w:eastAsia="Times New Roman"/>
                <w:b/>
                <w:bCs/>
                <w:color w:val="000000"/>
                <w:sz w:val="18"/>
                <w:szCs w:val="18"/>
                <w:lang w:val="ru-MO"/>
              </w:rPr>
              <w:t>темпы роста</w:t>
            </w:r>
            <w:r w:rsidRPr="00CE6109">
              <w:rPr>
                <w:rFonts w:eastAsia="Times New Roman"/>
                <w:b/>
                <w:bCs/>
                <w:sz w:val="18"/>
                <w:szCs w:val="18"/>
                <w:lang w:val="ru-MO"/>
              </w:rPr>
              <w:t>, 2015/2014г.г., %</w:t>
            </w:r>
          </w:p>
        </w:tc>
      </w:tr>
      <w:tr w:rsidR="00CE2D0C" w:rsidRPr="00CD59C4" w:rsidTr="00266330">
        <w:trPr>
          <w:trHeight w:val="288"/>
        </w:trPr>
        <w:tc>
          <w:tcPr>
            <w:tcW w:w="1540" w:type="dxa"/>
            <w:shd w:val="clear" w:color="auto" w:fill="FBE4D5"/>
            <w:noWrap/>
            <w:vAlign w:val="center"/>
            <w:hideMark/>
          </w:tcPr>
          <w:p w:rsidR="00CE2D0C" w:rsidRPr="00CE6109" w:rsidRDefault="00CE2D0C" w:rsidP="00266330">
            <w:pPr>
              <w:spacing w:after="0" w:line="240" w:lineRule="auto"/>
              <w:rPr>
                <w:rFonts w:eastAsia="Times New Roman"/>
                <w:b/>
                <w:bCs/>
                <w:color w:val="000000"/>
                <w:sz w:val="18"/>
                <w:szCs w:val="18"/>
                <w:lang w:val="ru-MO"/>
              </w:rPr>
            </w:pPr>
            <w:r w:rsidRPr="00CE6109">
              <w:rPr>
                <w:rFonts w:eastAsia="Times New Roman"/>
                <w:b/>
                <w:bCs/>
                <w:color w:val="000000"/>
                <w:sz w:val="18"/>
                <w:szCs w:val="18"/>
                <w:lang w:val="ru-MO"/>
              </w:rPr>
              <w:t>Всего доходов, в том числе</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201,4</w:t>
            </w:r>
          </w:p>
        </w:tc>
        <w:tc>
          <w:tcPr>
            <w:tcW w:w="1007" w:type="dxa"/>
            <w:shd w:val="clear" w:color="auto" w:fill="FBE4D5"/>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219,7</w:t>
            </w:r>
          </w:p>
        </w:tc>
        <w:tc>
          <w:tcPr>
            <w:tcW w:w="1007" w:type="dxa"/>
            <w:shd w:val="clear" w:color="auto" w:fill="FBE4D5"/>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678"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242,6</w:t>
            </w:r>
          </w:p>
        </w:tc>
        <w:tc>
          <w:tcPr>
            <w:tcW w:w="1007" w:type="dxa"/>
            <w:shd w:val="clear" w:color="auto" w:fill="FBE4D5"/>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41,2</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23,0</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120,4</w:t>
            </w:r>
          </w:p>
        </w:tc>
        <w:tc>
          <w:tcPr>
            <w:tcW w:w="763" w:type="dxa"/>
            <w:shd w:val="clear" w:color="auto" w:fill="FBE4D5"/>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110,4</w:t>
            </w:r>
          </w:p>
        </w:tc>
      </w:tr>
      <w:tr w:rsidR="00CE2D0C" w:rsidRPr="00CD59C4" w:rsidTr="00266330">
        <w:trPr>
          <w:trHeight w:val="288"/>
        </w:trPr>
        <w:tc>
          <w:tcPr>
            <w:tcW w:w="1540" w:type="dxa"/>
            <w:shd w:val="clear" w:color="auto" w:fill="FBE4D5"/>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Контрактованная сумма</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201,3</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99,95</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219,6</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99,95</w:t>
            </w:r>
          </w:p>
        </w:tc>
        <w:tc>
          <w:tcPr>
            <w:tcW w:w="678"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242,6</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100,00</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41,2</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23,0</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120,5</w:t>
            </w:r>
          </w:p>
        </w:tc>
        <w:tc>
          <w:tcPr>
            <w:tcW w:w="763"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110,5</w:t>
            </w:r>
          </w:p>
        </w:tc>
      </w:tr>
      <w:tr w:rsidR="00CE2D0C" w:rsidRPr="00CD59C4" w:rsidTr="00266330">
        <w:trPr>
          <w:trHeight w:val="288"/>
        </w:trPr>
        <w:tc>
          <w:tcPr>
            <w:tcW w:w="1540" w:type="dxa"/>
            <w:shd w:val="clear" w:color="auto" w:fill="FBE4D5"/>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Процентная ставка к остатку денежных средств</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0,05</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0,05</w:t>
            </w:r>
          </w:p>
        </w:tc>
        <w:tc>
          <w:tcPr>
            <w:tcW w:w="678"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0,00</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26,2</w:t>
            </w:r>
          </w:p>
        </w:tc>
        <w:tc>
          <w:tcPr>
            <w:tcW w:w="763"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30,6</w:t>
            </w:r>
          </w:p>
        </w:tc>
      </w:tr>
      <w:tr w:rsidR="00CE2D0C" w:rsidRPr="00CD59C4" w:rsidTr="00266330">
        <w:trPr>
          <w:trHeight w:val="288"/>
        </w:trPr>
        <w:tc>
          <w:tcPr>
            <w:tcW w:w="1540" w:type="dxa"/>
            <w:shd w:val="clear" w:color="auto" w:fill="FBE4D5"/>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Прочие доходы</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0,00</w:t>
            </w:r>
          </w:p>
        </w:tc>
        <w:tc>
          <w:tcPr>
            <w:tcW w:w="709"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0,00</w:t>
            </w:r>
          </w:p>
        </w:tc>
        <w:tc>
          <w:tcPr>
            <w:tcW w:w="678"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007" w:type="dxa"/>
            <w:shd w:val="clear" w:color="auto" w:fill="FBE4D5"/>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0,00</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16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w:t>
            </w:r>
          </w:p>
        </w:tc>
        <w:tc>
          <w:tcPr>
            <w:tcW w:w="763" w:type="dxa"/>
            <w:shd w:val="clear" w:color="auto" w:fill="FBE4D5"/>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w:t>
            </w:r>
          </w:p>
        </w:tc>
      </w:tr>
      <w:tr w:rsidR="00CE2D0C" w:rsidRPr="00CD59C4" w:rsidTr="00266330">
        <w:trPr>
          <w:trHeight w:val="288"/>
        </w:trPr>
        <w:tc>
          <w:tcPr>
            <w:tcW w:w="1540" w:type="dxa"/>
            <w:shd w:val="clear" w:color="auto" w:fill="DEEAF6"/>
            <w:noWrap/>
            <w:vAlign w:val="center"/>
            <w:hideMark/>
          </w:tcPr>
          <w:p w:rsidR="00CE2D0C" w:rsidRPr="00CE6109" w:rsidRDefault="00CE2D0C" w:rsidP="00266330">
            <w:pPr>
              <w:spacing w:after="0" w:line="240" w:lineRule="auto"/>
              <w:rPr>
                <w:rFonts w:eastAsia="Times New Roman"/>
                <w:b/>
                <w:bCs/>
                <w:color w:val="000000"/>
                <w:sz w:val="18"/>
                <w:szCs w:val="18"/>
                <w:lang w:val="ru-MO"/>
              </w:rPr>
            </w:pPr>
            <w:r w:rsidRPr="00CE6109">
              <w:rPr>
                <w:rFonts w:eastAsia="Times New Roman"/>
                <w:b/>
                <w:bCs/>
                <w:color w:val="000000"/>
                <w:sz w:val="18"/>
                <w:szCs w:val="18"/>
                <w:lang w:val="ru-MO"/>
              </w:rPr>
              <w:t>Всего расходов, в том числе</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214,2</w:t>
            </w:r>
          </w:p>
        </w:tc>
        <w:tc>
          <w:tcPr>
            <w:tcW w:w="1007" w:type="dxa"/>
            <w:shd w:val="clear" w:color="auto" w:fill="DEEAF6"/>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259,1</w:t>
            </w:r>
          </w:p>
        </w:tc>
        <w:tc>
          <w:tcPr>
            <w:tcW w:w="1007" w:type="dxa"/>
            <w:shd w:val="clear" w:color="auto" w:fill="DEEAF6"/>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678"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297,4</w:t>
            </w:r>
          </w:p>
        </w:tc>
        <w:tc>
          <w:tcPr>
            <w:tcW w:w="1007" w:type="dxa"/>
            <w:shd w:val="clear" w:color="auto" w:fill="DEEAF6"/>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100,00</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83,2</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38,3</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138,9</w:t>
            </w:r>
          </w:p>
        </w:tc>
        <w:tc>
          <w:tcPr>
            <w:tcW w:w="763" w:type="dxa"/>
            <w:shd w:val="clear" w:color="auto" w:fill="DEEAF6"/>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114,8</w:t>
            </w:r>
          </w:p>
        </w:tc>
      </w:tr>
      <w:tr w:rsidR="00CE2D0C" w:rsidRPr="00CD59C4" w:rsidTr="00266330">
        <w:trPr>
          <w:trHeight w:val="288"/>
        </w:trPr>
        <w:tc>
          <w:tcPr>
            <w:tcW w:w="1540" w:type="dxa"/>
            <w:shd w:val="clear" w:color="auto" w:fill="DEEAF6"/>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Оплата труда</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64,3</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30,02</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71,7</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27,67</w:t>
            </w:r>
          </w:p>
        </w:tc>
        <w:tc>
          <w:tcPr>
            <w:tcW w:w="678"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79,0</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26,56</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14,7</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7,3</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122,9</w:t>
            </w:r>
          </w:p>
        </w:tc>
        <w:tc>
          <w:tcPr>
            <w:tcW w:w="763"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110,2</w:t>
            </w:r>
          </w:p>
        </w:tc>
      </w:tr>
      <w:tr w:rsidR="00CE2D0C" w:rsidRPr="00CD59C4" w:rsidTr="00266330">
        <w:trPr>
          <w:trHeight w:val="288"/>
        </w:trPr>
        <w:tc>
          <w:tcPr>
            <w:tcW w:w="1540" w:type="dxa"/>
            <w:shd w:val="clear" w:color="auto" w:fill="DEEAF6"/>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Питание больных</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5,5</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2,57</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5,6</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2,16</w:t>
            </w:r>
          </w:p>
        </w:tc>
        <w:tc>
          <w:tcPr>
            <w:tcW w:w="678"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5,7</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1,92</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0,2</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103,5</w:t>
            </w:r>
          </w:p>
        </w:tc>
        <w:tc>
          <w:tcPr>
            <w:tcW w:w="763"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100,4</w:t>
            </w:r>
          </w:p>
        </w:tc>
      </w:tr>
      <w:tr w:rsidR="00CE2D0C" w:rsidRPr="00CD59C4" w:rsidTr="00266330">
        <w:trPr>
          <w:trHeight w:val="288"/>
        </w:trPr>
        <w:tc>
          <w:tcPr>
            <w:tcW w:w="1540" w:type="dxa"/>
            <w:shd w:val="clear" w:color="auto" w:fill="DEEAF6"/>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Лекарства и расходные материалы</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69,1</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32,26</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101,2</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39,06</w:t>
            </w:r>
          </w:p>
        </w:tc>
        <w:tc>
          <w:tcPr>
            <w:tcW w:w="678"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114,9</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38,63</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45,8</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13,7</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166,2</w:t>
            </w:r>
          </w:p>
        </w:tc>
        <w:tc>
          <w:tcPr>
            <w:tcW w:w="763"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113,6</w:t>
            </w:r>
          </w:p>
        </w:tc>
      </w:tr>
      <w:tr w:rsidR="00CE2D0C" w:rsidRPr="00CD59C4" w:rsidTr="00266330">
        <w:trPr>
          <w:trHeight w:val="288"/>
        </w:trPr>
        <w:tc>
          <w:tcPr>
            <w:tcW w:w="1540" w:type="dxa"/>
            <w:shd w:val="clear" w:color="auto" w:fill="DEEAF6"/>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Прочие расходы, в том числе</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75,3</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35,15</w:t>
            </w:r>
          </w:p>
        </w:tc>
        <w:tc>
          <w:tcPr>
            <w:tcW w:w="709"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80,6</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31,11</w:t>
            </w:r>
          </w:p>
        </w:tc>
        <w:tc>
          <w:tcPr>
            <w:tcW w:w="678"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97,9</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32,92</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22,6</w:t>
            </w:r>
          </w:p>
        </w:tc>
        <w:tc>
          <w:tcPr>
            <w:tcW w:w="116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17,3</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130</w:t>
            </w:r>
          </w:p>
        </w:tc>
        <w:tc>
          <w:tcPr>
            <w:tcW w:w="763" w:type="dxa"/>
            <w:shd w:val="clear" w:color="auto" w:fill="DEEAF6"/>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121,5</w:t>
            </w:r>
          </w:p>
        </w:tc>
      </w:tr>
      <w:tr w:rsidR="00CE2D0C" w:rsidRPr="00CD59C4" w:rsidTr="00266330">
        <w:trPr>
          <w:trHeight w:val="288"/>
        </w:trPr>
        <w:tc>
          <w:tcPr>
            <w:tcW w:w="1540" w:type="dxa"/>
            <w:shd w:val="clear" w:color="auto" w:fill="DEEAF6"/>
            <w:noWrap/>
            <w:vAlign w:val="center"/>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Износ основных средств</w:t>
            </w:r>
          </w:p>
        </w:tc>
        <w:tc>
          <w:tcPr>
            <w:tcW w:w="709"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21,2</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9,90</w:t>
            </w:r>
          </w:p>
        </w:tc>
        <w:tc>
          <w:tcPr>
            <w:tcW w:w="709"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24,7</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9,53</w:t>
            </w:r>
          </w:p>
        </w:tc>
        <w:tc>
          <w:tcPr>
            <w:tcW w:w="678"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37,4</w:t>
            </w:r>
          </w:p>
        </w:tc>
        <w:tc>
          <w:tcPr>
            <w:tcW w:w="1007" w:type="dxa"/>
            <w:shd w:val="clear" w:color="auto" w:fill="DEEAF6"/>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12,58</w:t>
            </w:r>
          </w:p>
        </w:tc>
        <w:tc>
          <w:tcPr>
            <w:tcW w:w="1166"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16,2</w:t>
            </w:r>
          </w:p>
        </w:tc>
        <w:tc>
          <w:tcPr>
            <w:tcW w:w="1166"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12,7</w:t>
            </w:r>
          </w:p>
        </w:tc>
        <w:tc>
          <w:tcPr>
            <w:tcW w:w="1276"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176,7</w:t>
            </w:r>
          </w:p>
        </w:tc>
        <w:tc>
          <w:tcPr>
            <w:tcW w:w="763" w:type="dxa"/>
            <w:shd w:val="clear" w:color="auto" w:fill="DEEAF6"/>
            <w:noWrap/>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151,5</w:t>
            </w:r>
          </w:p>
        </w:tc>
      </w:tr>
      <w:tr w:rsidR="00CE2D0C" w:rsidRPr="00CD59C4" w:rsidTr="00266330">
        <w:trPr>
          <w:trHeight w:val="288"/>
        </w:trPr>
        <w:tc>
          <w:tcPr>
            <w:tcW w:w="1540" w:type="dxa"/>
            <w:shd w:val="clear" w:color="auto" w:fill="FFF2CC"/>
            <w:noWrap/>
            <w:vAlign w:val="center"/>
            <w:hideMark/>
          </w:tcPr>
          <w:p w:rsidR="00CE2D0C" w:rsidRPr="00CE6109" w:rsidRDefault="00CE2D0C" w:rsidP="00266330">
            <w:pPr>
              <w:spacing w:after="0" w:line="240" w:lineRule="auto"/>
              <w:rPr>
                <w:rFonts w:eastAsia="Times New Roman"/>
                <w:b/>
                <w:bCs/>
                <w:color w:val="000000"/>
                <w:sz w:val="18"/>
                <w:szCs w:val="18"/>
                <w:lang w:val="ru-MO"/>
              </w:rPr>
            </w:pPr>
            <w:r w:rsidRPr="00CE6109">
              <w:rPr>
                <w:rFonts w:eastAsia="Times New Roman"/>
                <w:b/>
                <w:bCs/>
                <w:color w:val="000000"/>
                <w:sz w:val="18"/>
                <w:szCs w:val="18"/>
                <w:lang w:val="ru-MO"/>
              </w:rPr>
              <w:t xml:space="preserve">Начальное сальдо – </w:t>
            </w:r>
          </w:p>
          <w:p w:rsidR="00CE2D0C" w:rsidRPr="00CE6109" w:rsidRDefault="00CE2D0C" w:rsidP="00266330">
            <w:pPr>
              <w:spacing w:after="0" w:line="240" w:lineRule="auto"/>
              <w:rPr>
                <w:rFonts w:eastAsia="Times New Roman"/>
                <w:b/>
                <w:bCs/>
                <w:color w:val="000000"/>
                <w:sz w:val="18"/>
                <w:szCs w:val="18"/>
                <w:lang w:val="ru-MO"/>
              </w:rPr>
            </w:pPr>
            <w:r>
              <w:rPr>
                <w:rFonts w:eastAsia="Times New Roman"/>
                <w:b/>
                <w:bCs/>
                <w:color w:val="000000"/>
                <w:sz w:val="18"/>
                <w:szCs w:val="18"/>
                <w:lang w:val="ru-MO"/>
              </w:rPr>
              <w:t>д</w:t>
            </w:r>
            <w:r w:rsidRPr="00CE6109">
              <w:rPr>
                <w:rFonts w:eastAsia="Times New Roman"/>
                <w:b/>
                <w:bCs/>
                <w:color w:val="000000"/>
                <w:sz w:val="18"/>
                <w:szCs w:val="18"/>
                <w:lang w:val="ru-MO"/>
              </w:rPr>
              <w:t>енежных средств</w:t>
            </w:r>
          </w:p>
        </w:tc>
        <w:tc>
          <w:tcPr>
            <w:tcW w:w="709"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14,4</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709"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50,7</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678"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11,1</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116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-3,3</w:t>
            </w:r>
          </w:p>
        </w:tc>
        <w:tc>
          <w:tcPr>
            <w:tcW w:w="116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-39,6</w:t>
            </w:r>
          </w:p>
        </w:tc>
        <w:tc>
          <w:tcPr>
            <w:tcW w:w="127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77,3</w:t>
            </w:r>
          </w:p>
        </w:tc>
        <w:tc>
          <w:tcPr>
            <w:tcW w:w="763"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21,9</w:t>
            </w:r>
          </w:p>
        </w:tc>
      </w:tr>
      <w:tr w:rsidR="00CE2D0C" w:rsidRPr="00CD59C4" w:rsidTr="00266330">
        <w:trPr>
          <w:trHeight w:val="288"/>
        </w:trPr>
        <w:tc>
          <w:tcPr>
            <w:tcW w:w="1540" w:type="dxa"/>
            <w:shd w:val="clear" w:color="auto" w:fill="FFF2CC"/>
            <w:noWrap/>
            <w:vAlign w:val="center"/>
            <w:hideMark/>
          </w:tcPr>
          <w:p w:rsidR="00CE2D0C" w:rsidRPr="00CE6109" w:rsidRDefault="00CE2D0C" w:rsidP="00266330">
            <w:pPr>
              <w:spacing w:after="0" w:line="240" w:lineRule="auto"/>
              <w:rPr>
                <w:rFonts w:eastAsia="Times New Roman"/>
                <w:b/>
                <w:bCs/>
                <w:color w:val="000000"/>
                <w:sz w:val="18"/>
                <w:szCs w:val="18"/>
                <w:lang w:val="ru-MO"/>
              </w:rPr>
            </w:pPr>
            <w:r w:rsidRPr="00CE6109">
              <w:rPr>
                <w:rFonts w:eastAsia="Times New Roman"/>
                <w:b/>
                <w:bCs/>
                <w:color w:val="000000"/>
                <w:sz w:val="18"/>
                <w:szCs w:val="18"/>
                <w:lang w:val="ru-MO"/>
              </w:rPr>
              <w:t>Конечное сальдо – денежных средств</w:t>
            </w:r>
          </w:p>
        </w:tc>
        <w:tc>
          <w:tcPr>
            <w:tcW w:w="709"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50,7</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709"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11,1</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678"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8,2</w:t>
            </w:r>
          </w:p>
        </w:tc>
        <w:tc>
          <w:tcPr>
            <w:tcW w:w="1007" w:type="dxa"/>
            <w:shd w:val="clear" w:color="auto" w:fill="FFF2CC"/>
            <w:vAlign w:val="center"/>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w:t>
            </w:r>
          </w:p>
        </w:tc>
        <w:tc>
          <w:tcPr>
            <w:tcW w:w="116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-42,6</w:t>
            </w:r>
          </w:p>
        </w:tc>
        <w:tc>
          <w:tcPr>
            <w:tcW w:w="116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-3,0</w:t>
            </w:r>
          </w:p>
        </w:tc>
        <w:tc>
          <w:tcPr>
            <w:tcW w:w="1276"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16,1</w:t>
            </w:r>
          </w:p>
        </w:tc>
        <w:tc>
          <w:tcPr>
            <w:tcW w:w="763" w:type="dxa"/>
            <w:shd w:val="clear" w:color="auto" w:fill="FFF2CC"/>
            <w:noWrap/>
            <w:vAlign w:val="center"/>
            <w:hideMark/>
          </w:tcPr>
          <w:p w:rsidR="00CE2D0C" w:rsidRPr="00CD59C4" w:rsidRDefault="00CE2D0C" w:rsidP="00266330">
            <w:pPr>
              <w:spacing w:after="0"/>
              <w:jc w:val="center"/>
              <w:rPr>
                <w:rFonts w:ascii="Calibri Light" w:hAnsi="Calibri Light"/>
                <w:b/>
                <w:sz w:val="18"/>
                <w:szCs w:val="18"/>
                <w:lang w:val="ru-MO"/>
              </w:rPr>
            </w:pPr>
            <w:r w:rsidRPr="00CD59C4">
              <w:rPr>
                <w:rFonts w:ascii="Calibri Light" w:hAnsi="Calibri Light"/>
                <w:b/>
                <w:bCs/>
                <w:color w:val="000000"/>
                <w:sz w:val="18"/>
                <w:szCs w:val="18"/>
                <w:lang w:val="ru-MO"/>
              </w:rPr>
              <w:t>73,4</w:t>
            </w:r>
          </w:p>
        </w:tc>
      </w:tr>
      <w:tr w:rsidR="00CE2D0C" w:rsidRPr="00CD59C4" w:rsidTr="00266330">
        <w:trPr>
          <w:trHeight w:val="288"/>
        </w:trPr>
        <w:tc>
          <w:tcPr>
            <w:tcW w:w="1540" w:type="dxa"/>
            <w:shd w:val="clear" w:color="auto" w:fill="EDEDED"/>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Дебиторская задолженность на 31 декабря</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0,2</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w:t>
            </w:r>
          </w:p>
        </w:tc>
        <w:tc>
          <w:tcPr>
            <w:tcW w:w="678"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0,1</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0,0</w:t>
            </w:r>
          </w:p>
        </w:tc>
        <w:tc>
          <w:tcPr>
            <w:tcW w:w="127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948</w:t>
            </w:r>
          </w:p>
        </w:tc>
        <w:tc>
          <w:tcPr>
            <w:tcW w:w="763"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83,6</w:t>
            </w:r>
          </w:p>
        </w:tc>
      </w:tr>
      <w:tr w:rsidR="00CE2D0C" w:rsidRPr="00CD59C4" w:rsidTr="00266330">
        <w:trPr>
          <w:trHeight w:val="288"/>
        </w:trPr>
        <w:tc>
          <w:tcPr>
            <w:tcW w:w="1540" w:type="dxa"/>
            <w:shd w:val="clear" w:color="auto" w:fill="EDEDED"/>
            <w:noWrap/>
            <w:vAlign w:val="center"/>
            <w:hideMark/>
          </w:tcPr>
          <w:p w:rsidR="00CE2D0C" w:rsidRPr="00CE6109" w:rsidRDefault="00CE2D0C" w:rsidP="00266330">
            <w:pPr>
              <w:spacing w:after="0" w:line="240" w:lineRule="auto"/>
              <w:rPr>
                <w:rFonts w:eastAsia="Times New Roman"/>
                <w:color w:val="000000"/>
                <w:sz w:val="18"/>
                <w:szCs w:val="18"/>
                <w:lang w:val="ru-MO"/>
              </w:rPr>
            </w:pPr>
            <w:r w:rsidRPr="00CE6109">
              <w:rPr>
                <w:rFonts w:eastAsia="Times New Roman"/>
                <w:color w:val="000000"/>
                <w:sz w:val="18"/>
                <w:szCs w:val="18"/>
                <w:lang w:val="ru-MO"/>
              </w:rPr>
              <w:t>Обязательства на 31 декабря, в том числе</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110,4</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100,0</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102,7</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100,0</w:t>
            </w:r>
          </w:p>
        </w:tc>
        <w:tc>
          <w:tcPr>
            <w:tcW w:w="678"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94,0</w:t>
            </w:r>
          </w:p>
        </w:tc>
        <w:tc>
          <w:tcPr>
            <w:tcW w:w="1007" w:type="dxa"/>
            <w:shd w:val="clear" w:color="auto" w:fill="EDEDED"/>
            <w:vAlign w:val="center"/>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100,0</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-16,4</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-8,7</w:t>
            </w:r>
          </w:p>
        </w:tc>
        <w:tc>
          <w:tcPr>
            <w:tcW w:w="1276"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85,2</w:t>
            </w:r>
          </w:p>
        </w:tc>
        <w:tc>
          <w:tcPr>
            <w:tcW w:w="763" w:type="dxa"/>
            <w:shd w:val="clear" w:color="auto" w:fill="EDEDED"/>
            <w:noWrap/>
            <w:vAlign w:val="center"/>
            <w:hideMark/>
          </w:tcPr>
          <w:p w:rsidR="00CE2D0C" w:rsidRPr="00CD59C4" w:rsidRDefault="00CE2D0C" w:rsidP="00266330">
            <w:pPr>
              <w:spacing w:after="0"/>
              <w:jc w:val="center"/>
              <w:rPr>
                <w:rFonts w:ascii="Calibri Light" w:hAnsi="Calibri Light"/>
                <w:sz w:val="18"/>
                <w:szCs w:val="18"/>
                <w:lang w:val="ru-MO"/>
              </w:rPr>
            </w:pPr>
            <w:r w:rsidRPr="00CD59C4">
              <w:rPr>
                <w:rFonts w:ascii="Calibri Light" w:hAnsi="Calibri Light"/>
                <w:color w:val="000000"/>
                <w:sz w:val="18"/>
                <w:szCs w:val="18"/>
                <w:lang w:val="ru-MO"/>
              </w:rPr>
              <w:t>91,6</w:t>
            </w:r>
          </w:p>
        </w:tc>
      </w:tr>
      <w:tr w:rsidR="00CE2D0C" w:rsidRPr="00CD59C4" w:rsidTr="00266330">
        <w:trPr>
          <w:trHeight w:val="288"/>
        </w:trPr>
        <w:tc>
          <w:tcPr>
            <w:tcW w:w="1540" w:type="dxa"/>
            <w:shd w:val="clear" w:color="auto" w:fill="EDEDED"/>
            <w:noWrap/>
            <w:vAlign w:val="center"/>
            <w:hideMark/>
          </w:tcPr>
          <w:p w:rsidR="00CE2D0C" w:rsidRPr="00CE6109" w:rsidRDefault="00CE2D0C" w:rsidP="00266330">
            <w:pPr>
              <w:spacing w:after="0" w:line="240" w:lineRule="auto"/>
              <w:rPr>
                <w:rFonts w:eastAsia="Times New Roman"/>
                <w:i/>
                <w:iCs/>
                <w:color w:val="000000"/>
                <w:sz w:val="18"/>
                <w:szCs w:val="18"/>
                <w:lang w:val="ru-MO"/>
              </w:rPr>
            </w:pPr>
            <w:r w:rsidRPr="00CE6109">
              <w:rPr>
                <w:rFonts w:eastAsia="Times New Roman"/>
                <w:i/>
                <w:iCs/>
                <w:color w:val="000000"/>
                <w:sz w:val="18"/>
                <w:szCs w:val="18"/>
                <w:lang w:val="ru-MO"/>
              </w:rPr>
              <w:t>задолженность по лекарствам</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95,5</w:t>
            </w:r>
          </w:p>
        </w:tc>
        <w:tc>
          <w:tcPr>
            <w:tcW w:w="1007" w:type="dxa"/>
            <w:shd w:val="clear" w:color="auto" w:fill="EDEDED"/>
            <w:vAlign w:val="center"/>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86,5</w:t>
            </w:r>
          </w:p>
        </w:tc>
        <w:tc>
          <w:tcPr>
            <w:tcW w:w="709"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81,1</w:t>
            </w:r>
          </w:p>
        </w:tc>
        <w:tc>
          <w:tcPr>
            <w:tcW w:w="1007" w:type="dxa"/>
            <w:shd w:val="clear" w:color="auto" w:fill="EDEDED"/>
            <w:vAlign w:val="center"/>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78,9</w:t>
            </w:r>
          </w:p>
        </w:tc>
        <w:tc>
          <w:tcPr>
            <w:tcW w:w="678"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73,3</w:t>
            </w:r>
          </w:p>
        </w:tc>
        <w:tc>
          <w:tcPr>
            <w:tcW w:w="1007" w:type="dxa"/>
            <w:shd w:val="clear" w:color="auto" w:fill="EDEDED"/>
            <w:vAlign w:val="center"/>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77,9</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-22,3</w:t>
            </w:r>
          </w:p>
        </w:tc>
        <w:tc>
          <w:tcPr>
            <w:tcW w:w="1166"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-7,8</w:t>
            </w:r>
          </w:p>
        </w:tc>
        <w:tc>
          <w:tcPr>
            <w:tcW w:w="1276"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76,7</w:t>
            </w:r>
          </w:p>
        </w:tc>
        <w:tc>
          <w:tcPr>
            <w:tcW w:w="763" w:type="dxa"/>
            <w:shd w:val="clear" w:color="auto" w:fill="EDEDED"/>
            <w:noWrap/>
            <w:vAlign w:val="center"/>
            <w:hideMark/>
          </w:tcPr>
          <w:p w:rsidR="00CE2D0C" w:rsidRPr="00CD59C4" w:rsidRDefault="00CE2D0C" w:rsidP="00266330">
            <w:pPr>
              <w:spacing w:after="0"/>
              <w:jc w:val="center"/>
              <w:rPr>
                <w:rFonts w:ascii="Calibri Light" w:hAnsi="Calibri Light"/>
                <w:i/>
                <w:sz w:val="18"/>
                <w:szCs w:val="18"/>
                <w:lang w:val="ru-MO"/>
              </w:rPr>
            </w:pPr>
            <w:r w:rsidRPr="00CD59C4">
              <w:rPr>
                <w:rFonts w:ascii="Calibri Light" w:hAnsi="Calibri Light"/>
                <w:i/>
                <w:iCs/>
                <w:color w:val="000000"/>
                <w:sz w:val="18"/>
                <w:szCs w:val="18"/>
                <w:lang w:val="ru-MO"/>
              </w:rPr>
              <w:t>90,4</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сведений, представленных ПМСУ РКБ.</w:t>
      </w:r>
      <w:r w:rsidRPr="00CE6109">
        <w:rPr>
          <w:rFonts w:ascii="Times New Roman" w:hAnsi="Times New Roman"/>
          <w:b/>
          <w:i/>
          <w:sz w:val="20"/>
          <w:szCs w:val="20"/>
          <w:lang w:val="ru-MO"/>
        </w:rPr>
        <w:t xml:space="preserve"> </w:t>
      </w:r>
    </w:p>
    <w:p w:rsidR="00CE2D0C" w:rsidRPr="00CE6109" w:rsidRDefault="00CE2D0C" w:rsidP="00CE2D0C">
      <w:pPr>
        <w:tabs>
          <w:tab w:val="left" w:pos="851"/>
        </w:tabs>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Приведенные выше данные </w:t>
      </w:r>
      <w:r>
        <w:rPr>
          <w:rFonts w:ascii="Times New Roman" w:hAnsi="Times New Roman"/>
          <w:sz w:val="28"/>
          <w:szCs w:val="28"/>
          <w:lang w:val="ru-MO"/>
        </w:rPr>
        <w:t>по</w:t>
      </w:r>
      <w:r w:rsidRPr="00CE6109">
        <w:rPr>
          <w:rFonts w:ascii="Times New Roman" w:hAnsi="Times New Roman"/>
          <w:sz w:val="28"/>
          <w:szCs w:val="28"/>
          <w:lang w:val="ru-MO"/>
        </w:rPr>
        <w:t xml:space="preserve">казывают увеличение расходов, из которых наиболее значительный объем был направлен на приобретение медикаментов и расходных материалов – 38,6%, оплату труда – 22,6%, и </w:t>
      </w:r>
      <w:r>
        <w:rPr>
          <w:rFonts w:ascii="Times New Roman" w:hAnsi="Times New Roman"/>
          <w:sz w:val="28"/>
          <w:szCs w:val="28"/>
          <w:lang w:val="ru-MO"/>
        </w:rPr>
        <w:t xml:space="preserve">на </w:t>
      </w:r>
      <w:r w:rsidRPr="00CE6109">
        <w:rPr>
          <w:rFonts w:ascii="Times New Roman" w:hAnsi="Times New Roman"/>
          <w:sz w:val="28"/>
          <w:szCs w:val="28"/>
          <w:lang w:val="ru-MO"/>
        </w:rPr>
        <w:t>расходы, связанные с износом основных средств – 12,6%. Вместе с тем, имеющаяся задолженность перед поставщиками зарегистрировал</w:t>
      </w:r>
      <w:r>
        <w:rPr>
          <w:rFonts w:ascii="Times New Roman" w:hAnsi="Times New Roman"/>
          <w:sz w:val="28"/>
          <w:szCs w:val="28"/>
          <w:lang w:val="ru-MO"/>
        </w:rPr>
        <w:t>а</w:t>
      </w:r>
      <w:r w:rsidRPr="00CE6109">
        <w:rPr>
          <w:rFonts w:ascii="Times New Roman" w:hAnsi="Times New Roman"/>
          <w:sz w:val="28"/>
          <w:szCs w:val="28"/>
          <w:lang w:val="ru-MO"/>
        </w:rPr>
        <w:t xml:space="preserve"> высокий уровень на протяжении </w:t>
      </w:r>
      <w:r w:rsidRPr="00CE6109">
        <w:rPr>
          <w:rFonts w:ascii="Times New Roman" w:hAnsi="Times New Roman"/>
          <w:sz w:val="28"/>
          <w:szCs w:val="28"/>
          <w:lang w:val="ru-MO"/>
        </w:rPr>
        <w:lastRenderedPageBreak/>
        <w:t>анализируемого периода, их сумма на начало 2015 года составила около 40% от расходов ФОМС, котор</w:t>
      </w:r>
      <w:r>
        <w:rPr>
          <w:rFonts w:ascii="Times New Roman" w:hAnsi="Times New Roman"/>
          <w:sz w:val="28"/>
          <w:szCs w:val="28"/>
          <w:lang w:val="ru-MO"/>
        </w:rPr>
        <w:t>ая</w:t>
      </w:r>
      <w:r w:rsidRPr="00CE6109">
        <w:rPr>
          <w:rFonts w:ascii="Times New Roman" w:hAnsi="Times New Roman"/>
          <w:sz w:val="28"/>
          <w:szCs w:val="28"/>
          <w:lang w:val="ru-MO"/>
        </w:rPr>
        <w:t xml:space="preserve"> сократил</w:t>
      </w:r>
      <w:r>
        <w:rPr>
          <w:rFonts w:ascii="Times New Roman" w:hAnsi="Times New Roman"/>
          <w:sz w:val="28"/>
          <w:szCs w:val="28"/>
          <w:lang w:val="ru-MO"/>
        </w:rPr>
        <w:t>а</w:t>
      </w:r>
      <w:r w:rsidRPr="00CE6109">
        <w:rPr>
          <w:rFonts w:ascii="Times New Roman" w:hAnsi="Times New Roman"/>
          <w:sz w:val="28"/>
          <w:szCs w:val="28"/>
          <w:lang w:val="ru-MO"/>
        </w:rPr>
        <w:t xml:space="preserve">сь незначительно к концу отчетного периода. </w:t>
      </w:r>
    </w:p>
    <w:p w:rsidR="00CE2D0C" w:rsidRPr="00CE6109" w:rsidRDefault="00CE2D0C" w:rsidP="00CE2D0C">
      <w:pPr>
        <w:tabs>
          <w:tab w:val="left" w:pos="851"/>
        </w:tabs>
        <w:spacing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Темпы роста поступивших доходов по договорам на предоставление медицинской помощи в рамках ОМС в 2015 году составили около 110% по сравнению с 2014 годом. Вместе с тем, этот рост не прямо пропорционал</w:t>
      </w:r>
      <w:r>
        <w:rPr>
          <w:rFonts w:ascii="Times New Roman" w:hAnsi="Times New Roman"/>
          <w:sz w:val="28"/>
          <w:szCs w:val="28"/>
          <w:lang w:val="ru-MO"/>
        </w:rPr>
        <w:t>ен</w:t>
      </w:r>
      <w:r w:rsidRPr="00CE6109">
        <w:rPr>
          <w:rFonts w:ascii="Times New Roman" w:hAnsi="Times New Roman"/>
          <w:sz w:val="28"/>
          <w:szCs w:val="28"/>
          <w:lang w:val="ru-MO"/>
        </w:rPr>
        <w:t xml:space="preserve"> Индексу потребительских цен, который значительно вырос на протяжении 2013-2015 годов</w:t>
      </w:r>
      <w:r w:rsidRPr="00CE6109">
        <w:rPr>
          <w:rStyle w:val="Referinnotdesubsol"/>
          <w:rFonts w:ascii="Times New Roman" w:hAnsi="Times New Roman"/>
          <w:sz w:val="28"/>
          <w:szCs w:val="28"/>
          <w:lang w:val="ru-MO"/>
        </w:rPr>
        <w:footnoteReference w:id="9"/>
      </w:r>
      <w:r w:rsidRPr="00CE6109">
        <w:rPr>
          <w:rFonts w:ascii="Times New Roman" w:hAnsi="Times New Roman"/>
          <w:sz w:val="28"/>
          <w:szCs w:val="28"/>
          <w:lang w:val="ru-MO"/>
        </w:rPr>
        <w:t>. Так, аудиторский анализ этих показателей показывает, что в 2013 и 2014 год</w:t>
      </w:r>
      <w:r>
        <w:rPr>
          <w:rFonts w:ascii="Times New Roman" w:hAnsi="Times New Roman"/>
          <w:sz w:val="28"/>
          <w:szCs w:val="28"/>
          <w:lang w:val="ru-MO"/>
        </w:rPr>
        <w:t>ах</w:t>
      </w:r>
      <w:r w:rsidRPr="00CE6109">
        <w:rPr>
          <w:rFonts w:ascii="Times New Roman" w:hAnsi="Times New Roman"/>
          <w:sz w:val="28"/>
          <w:szCs w:val="28"/>
          <w:lang w:val="ru-MO"/>
        </w:rPr>
        <w:t xml:space="preserve"> сумма контрактованная из ФОМС превысила Индекс потребительских цен на 5,4 п.п. и, соответственно, на 4,4 п.п., тогда как в 2015 году она зарегистрировала отрицательный уровень -</w:t>
      </w:r>
      <w:r>
        <w:rPr>
          <w:rFonts w:ascii="Times New Roman" w:hAnsi="Times New Roman"/>
          <w:sz w:val="28"/>
          <w:szCs w:val="28"/>
          <w:lang w:val="ru-MO"/>
        </w:rPr>
        <w:t xml:space="preserve"> </w:t>
      </w:r>
      <w:r w:rsidRPr="00CE6109">
        <w:rPr>
          <w:rFonts w:ascii="Times New Roman" w:hAnsi="Times New Roman"/>
          <w:sz w:val="28"/>
          <w:szCs w:val="28"/>
          <w:lang w:val="ru-MO"/>
        </w:rPr>
        <w:t>3 п.п.</w:t>
      </w:r>
    </w:p>
    <w:p w:rsidR="00CE2D0C" w:rsidRPr="00CE6109" w:rsidRDefault="00CE2D0C" w:rsidP="00CE2D0C">
      <w:pPr>
        <w:pStyle w:val="Listparagraf"/>
        <w:numPr>
          <w:ilvl w:val="0"/>
          <w:numId w:val="1"/>
        </w:numPr>
        <w:tabs>
          <w:tab w:val="left" w:pos="851"/>
          <w:tab w:val="left" w:pos="1134"/>
        </w:tabs>
        <w:spacing w:line="276" w:lineRule="auto"/>
        <w:ind w:left="0" w:firstLine="567"/>
        <w:outlineLvl w:val="0"/>
        <w:rPr>
          <w:rFonts w:ascii="Times New Roman" w:hAnsi="Times New Roman"/>
          <w:b/>
          <w:color w:val="000000"/>
          <w:sz w:val="28"/>
          <w:szCs w:val="28"/>
          <w:lang w:val="ru-MO"/>
        </w:rPr>
      </w:pPr>
      <w:bookmarkStart w:id="32" w:name="_Toc454287229"/>
      <w:r w:rsidRPr="00CE6109">
        <w:rPr>
          <w:rFonts w:ascii="Times New Roman" w:hAnsi="Times New Roman"/>
          <w:b/>
          <w:color w:val="000000"/>
          <w:sz w:val="28"/>
          <w:szCs w:val="28"/>
          <w:lang w:val="ru-MO"/>
        </w:rPr>
        <w:t>КОНСТАТАЦИИ АУДИТА</w:t>
      </w:r>
      <w:bookmarkEnd w:id="0"/>
      <w:bookmarkEnd w:id="1"/>
      <w:bookmarkEnd w:id="32"/>
    </w:p>
    <w:p w:rsidR="00CE2D0C" w:rsidRPr="00CE6109" w:rsidRDefault="00CE2D0C" w:rsidP="00CE2D0C">
      <w:pPr>
        <w:pStyle w:val="Listparagraf"/>
        <w:numPr>
          <w:ilvl w:val="1"/>
          <w:numId w:val="1"/>
        </w:numPr>
        <w:tabs>
          <w:tab w:val="left" w:pos="851"/>
          <w:tab w:val="left" w:pos="993"/>
          <w:tab w:val="left" w:pos="1134"/>
        </w:tabs>
        <w:spacing w:line="276" w:lineRule="auto"/>
        <w:ind w:left="0" w:firstLine="567"/>
        <w:jc w:val="both"/>
        <w:outlineLvl w:val="1"/>
        <w:rPr>
          <w:rFonts w:ascii="Times New Roman" w:hAnsi="Times New Roman"/>
          <w:b/>
          <w:color w:val="000000"/>
          <w:sz w:val="28"/>
          <w:szCs w:val="28"/>
          <w:lang w:val="ru-MO"/>
        </w:rPr>
      </w:pPr>
      <w:bookmarkStart w:id="33" w:name="_Toc454287230"/>
      <w:bookmarkStart w:id="34" w:name="_Toc447552129"/>
      <w:r w:rsidRPr="00CE6109">
        <w:rPr>
          <w:rFonts w:ascii="Times New Roman" w:hAnsi="Times New Roman"/>
          <w:b/>
          <w:color w:val="000000"/>
          <w:sz w:val="28"/>
          <w:szCs w:val="28"/>
          <w:lang w:val="ru-MO"/>
        </w:rPr>
        <w:t>Соответствие планирования, контрактации, исполнения и оплаты предоставляемых медицинских услуг</w:t>
      </w:r>
      <w:bookmarkEnd w:id="33"/>
      <w:r w:rsidRPr="00CE6109">
        <w:rPr>
          <w:rFonts w:ascii="Times New Roman" w:hAnsi="Times New Roman"/>
          <w:b/>
          <w:color w:val="000000"/>
          <w:sz w:val="28"/>
          <w:szCs w:val="28"/>
          <w:lang w:val="ru-MO"/>
        </w:rPr>
        <w:t xml:space="preserve"> </w:t>
      </w:r>
      <w:bookmarkEnd w:id="34"/>
    </w:p>
    <w:p w:rsidR="00CE2D0C" w:rsidRPr="00CE6109" w:rsidRDefault="00CE2D0C" w:rsidP="00CE2D0C">
      <w:pPr>
        <w:tabs>
          <w:tab w:val="left" w:pos="851"/>
          <w:tab w:val="left" w:pos="1134"/>
        </w:tabs>
        <w:spacing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При контрактации медицинских услуг за счет ФОМС, учреждение располагало данными анализа потребност</w:t>
      </w:r>
      <w:r>
        <w:rPr>
          <w:rFonts w:ascii="Times New Roman" w:hAnsi="Times New Roman"/>
          <w:b/>
          <w:i/>
          <w:sz w:val="28"/>
          <w:szCs w:val="28"/>
          <w:lang w:val="ru-MO"/>
        </w:rPr>
        <w:t>ей</w:t>
      </w:r>
      <w:r w:rsidRPr="00CE6109">
        <w:rPr>
          <w:rFonts w:ascii="Times New Roman" w:hAnsi="Times New Roman"/>
          <w:b/>
          <w:i/>
          <w:sz w:val="28"/>
          <w:szCs w:val="28"/>
          <w:lang w:val="ru-MO"/>
        </w:rPr>
        <w:t xml:space="preserve"> в финансовых средствах, однако невключение индекса сложности не обеспечивает прозрачность и объективность порядка расчета договорной стоимости, </w:t>
      </w:r>
      <w:r>
        <w:rPr>
          <w:rFonts w:ascii="Times New Roman" w:hAnsi="Times New Roman"/>
          <w:b/>
          <w:i/>
          <w:sz w:val="28"/>
          <w:szCs w:val="28"/>
          <w:lang w:val="ru-MO"/>
        </w:rPr>
        <w:t>с учетом</w:t>
      </w:r>
      <w:r w:rsidRPr="00CE6109">
        <w:rPr>
          <w:rFonts w:ascii="Times New Roman" w:hAnsi="Times New Roman"/>
          <w:b/>
          <w:i/>
          <w:sz w:val="28"/>
          <w:szCs w:val="28"/>
          <w:lang w:val="ru-MO"/>
        </w:rPr>
        <w:t xml:space="preserve"> сложности медицинских услуг, что обусловило не</w:t>
      </w:r>
      <w:r>
        <w:rPr>
          <w:rFonts w:ascii="Times New Roman" w:hAnsi="Times New Roman"/>
          <w:b/>
          <w:i/>
          <w:sz w:val="28"/>
          <w:szCs w:val="28"/>
          <w:lang w:val="ru-MO"/>
        </w:rPr>
        <w:t>хватку</w:t>
      </w:r>
      <w:r w:rsidRPr="00CE6109">
        <w:rPr>
          <w:rFonts w:ascii="Times New Roman" w:hAnsi="Times New Roman"/>
          <w:b/>
          <w:i/>
          <w:sz w:val="28"/>
          <w:szCs w:val="28"/>
          <w:lang w:val="ru-MO"/>
        </w:rPr>
        <w:t xml:space="preserve"> финансовых средств </w:t>
      </w:r>
      <w:r>
        <w:rPr>
          <w:rFonts w:ascii="Times New Roman" w:hAnsi="Times New Roman"/>
          <w:b/>
          <w:i/>
          <w:sz w:val="28"/>
          <w:szCs w:val="28"/>
          <w:lang w:val="ru-MO"/>
        </w:rPr>
        <w:t>в</w:t>
      </w:r>
      <w:r w:rsidRPr="00CE6109">
        <w:rPr>
          <w:rFonts w:ascii="Times New Roman" w:hAnsi="Times New Roman"/>
          <w:b/>
          <w:i/>
          <w:sz w:val="28"/>
          <w:szCs w:val="28"/>
          <w:lang w:val="ru-MO"/>
        </w:rPr>
        <w:t xml:space="preserve"> сумм</w:t>
      </w:r>
      <w:r>
        <w:rPr>
          <w:rFonts w:ascii="Times New Roman" w:hAnsi="Times New Roman"/>
          <w:b/>
          <w:i/>
          <w:sz w:val="28"/>
          <w:szCs w:val="28"/>
          <w:lang w:val="ru-MO"/>
        </w:rPr>
        <w:t>е</w:t>
      </w:r>
      <w:r w:rsidRPr="00CE6109">
        <w:rPr>
          <w:rFonts w:ascii="Times New Roman" w:hAnsi="Times New Roman"/>
          <w:b/>
          <w:i/>
          <w:sz w:val="28"/>
          <w:szCs w:val="28"/>
          <w:lang w:val="ru-MO"/>
        </w:rPr>
        <w:t xml:space="preserve"> 7,5 млн. леев. Кроме того, порядок расчета необходимой фактическ</w:t>
      </w:r>
      <w:r>
        <w:rPr>
          <w:rFonts w:ascii="Times New Roman" w:hAnsi="Times New Roman"/>
          <w:b/>
          <w:i/>
          <w:sz w:val="28"/>
          <w:szCs w:val="28"/>
          <w:lang w:val="ru-MO"/>
        </w:rPr>
        <w:t>ой</w:t>
      </w:r>
      <w:r w:rsidRPr="00CE6109">
        <w:rPr>
          <w:rFonts w:ascii="Times New Roman" w:hAnsi="Times New Roman"/>
          <w:b/>
          <w:i/>
          <w:sz w:val="28"/>
          <w:szCs w:val="28"/>
          <w:lang w:val="ru-MO"/>
        </w:rPr>
        <w:t xml:space="preserve"> стоимости одного пролеченного случая не учитывая реальные возможности ФОМС, указывает менеджменту учреждения на необходимость разработки плана мероприятий по оптимизации расходов.</w:t>
      </w:r>
    </w:p>
    <w:p w:rsidR="00CE2D0C" w:rsidRPr="00CE6109" w:rsidRDefault="00CE2D0C" w:rsidP="00CE2D0C">
      <w:pPr>
        <w:tabs>
          <w:tab w:val="left" w:pos="851"/>
          <w:tab w:val="left" w:pos="1134"/>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Учитывая цель, которая была сформулирована в собственном Положении о деятельности, ПМСУ РКБ запланировала свою финансово-экономическую деятельность </w:t>
      </w:r>
      <w:r>
        <w:rPr>
          <w:rFonts w:ascii="Times New Roman" w:hAnsi="Times New Roman"/>
          <w:sz w:val="28"/>
          <w:szCs w:val="28"/>
          <w:lang w:val="ru-MO"/>
        </w:rPr>
        <w:t>на базе</w:t>
      </w:r>
      <w:r w:rsidRPr="00CE6109">
        <w:rPr>
          <w:rFonts w:ascii="Times New Roman" w:hAnsi="Times New Roman"/>
          <w:sz w:val="28"/>
          <w:szCs w:val="28"/>
          <w:lang w:val="ru-MO"/>
        </w:rPr>
        <w:t xml:space="preserve"> смет</w:t>
      </w:r>
      <w:r>
        <w:rPr>
          <w:rFonts w:ascii="Times New Roman" w:hAnsi="Times New Roman"/>
          <w:sz w:val="28"/>
          <w:szCs w:val="28"/>
          <w:lang w:val="ru-MO"/>
        </w:rPr>
        <w:t>ы</w:t>
      </w:r>
      <w:r w:rsidRPr="00CE6109">
        <w:rPr>
          <w:rFonts w:ascii="Times New Roman" w:hAnsi="Times New Roman"/>
          <w:sz w:val="28"/>
          <w:szCs w:val="28"/>
          <w:lang w:val="ru-MO"/>
        </w:rPr>
        <w:t xml:space="preserve"> доходов и расходов (бизнес-план</w:t>
      </w:r>
      <w:r>
        <w:rPr>
          <w:rFonts w:ascii="Times New Roman" w:hAnsi="Times New Roman"/>
          <w:sz w:val="28"/>
          <w:szCs w:val="28"/>
          <w:lang w:val="ru-MO"/>
        </w:rPr>
        <w:t>а</w:t>
      </w:r>
      <w:r w:rsidRPr="00CE6109">
        <w:rPr>
          <w:rFonts w:ascii="Times New Roman" w:hAnsi="Times New Roman"/>
          <w:sz w:val="28"/>
          <w:szCs w:val="28"/>
          <w:lang w:val="ru-MO"/>
        </w:rPr>
        <w:t>), отдельно для каждого вида медицинской помощи</w:t>
      </w:r>
      <w:r>
        <w:rPr>
          <w:rFonts w:ascii="Times New Roman" w:hAnsi="Times New Roman"/>
          <w:sz w:val="28"/>
          <w:szCs w:val="28"/>
          <w:lang w:val="ru-MO"/>
        </w:rPr>
        <w:t>,</w:t>
      </w:r>
      <w:r w:rsidRPr="00CE6109">
        <w:rPr>
          <w:rFonts w:ascii="Times New Roman" w:hAnsi="Times New Roman"/>
          <w:sz w:val="28"/>
          <w:szCs w:val="28"/>
          <w:lang w:val="ru-MO"/>
        </w:rPr>
        <w:t xml:space="preserve"> контрактованной из ФОМС, в соответствии с Методологическими нормами</w:t>
      </w:r>
      <w:r w:rsidRPr="00CE6109">
        <w:rPr>
          <w:rStyle w:val="Referinnotdesubsol"/>
          <w:rFonts w:ascii="Times New Roman" w:hAnsi="Times New Roman"/>
          <w:sz w:val="28"/>
          <w:szCs w:val="28"/>
          <w:lang w:val="ru-MO"/>
        </w:rPr>
        <w:footnoteReference w:id="10"/>
      </w:r>
      <w:r w:rsidRPr="00CE6109">
        <w:rPr>
          <w:rFonts w:ascii="Times New Roman" w:hAnsi="Times New Roman"/>
          <w:sz w:val="28"/>
          <w:szCs w:val="28"/>
          <w:lang w:val="ru-MO"/>
        </w:rPr>
        <w:t>. Таким образом, аудит отмечает, что до подписания договора с НМСК учреждение разработало анализ потребност</w:t>
      </w:r>
      <w:r>
        <w:rPr>
          <w:rFonts w:ascii="Times New Roman" w:hAnsi="Times New Roman"/>
          <w:sz w:val="28"/>
          <w:szCs w:val="28"/>
          <w:lang w:val="ru-MO"/>
        </w:rPr>
        <w:t>ей</w:t>
      </w:r>
      <w:r w:rsidRPr="00CE6109">
        <w:rPr>
          <w:rFonts w:ascii="Times New Roman" w:hAnsi="Times New Roman"/>
          <w:sz w:val="28"/>
          <w:szCs w:val="28"/>
          <w:lang w:val="ru-MO"/>
        </w:rPr>
        <w:t xml:space="preserve"> в финансовых средствах для покрытия своих расходов на 2015 год, исходя из потенциала больницы за предыдущие годы, общая сумма которых составила 463,0 млн. леев.  </w:t>
      </w:r>
    </w:p>
    <w:p w:rsidR="00CE2D0C" w:rsidRPr="00CE6109" w:rsidRDefault="00CE2D0C" w:rsidP="00CE2D0C">
      <w:pPr>
        <w:tabs>
          <w:tab w:val="left" w:pos="851"/>
          <w:tab w:val="left" w:pos="1134"/>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Впоследствии, в соответствии с положениями Методологических норм по применению в 2015 году Единой программы обязательного медицинского </w:t>
      </w:r>
      <w:r w:rsidRPr="00CE6109">
        <w:rPr>
          <w:rFonts w:ascii="Times New Roman" w:hAnsi="Times New Roman"/>
          <w:sz w:val="28"/>
          <w:szCs w:val="28"/>
          <w:lang w:val="ru-MO"/>
        </w:rPr>
        <w:lastRenderedPageBreak/>
        <w:t>страхования</w:t>
      </w:r>
      <w:r w:rsidRPr="00CE6109">
        <w:rPr>
          <w:rStyle w:val="Referinnotdesubsol"/>
          <w:rFonts w:ascii="Times New Roman" w:hAnsi="Times New Roman"/>
          <w:sz w:val="28"/>
          <w:szCs w:val="28"/>
          <w:lang w:val="ru-MO"/>
        </w:rPr>
        <w:footnoteReference w:id="11"/>
      </w:r>
      <w:r w:rsidRPr="00CE6109">
        <w:rPr>
          <w:rFonts w:ascii="Times New Roman" w:hAnsi="Times New Roman"/>
          <w:sz w:val="28"/>
          <w:szCs w:val="28"/>
          <w:lang w:val="ru-MO"/>
        </w:rPr>
        <w:t>, ПМСУ РКБ заключило договор на предоставление медицинской помощи в рамках обязательного медицинского страхования на сумму 170,2 млн. леев, которая увеличилась до 248,4 млн. леев на основании дополнительных соглашений. Значительная доля выделенных финансовых средств относится к стационарной медицинской помощи – в размере 96,0%, на специализированную амбулаторную медицинскую помощь и высококачественные медицинские услуги приходится 2,2%, и, соответственно, на 1,8%, а именно:</w:t>
      </w:r>
    </w:p>
    <w:p w:rsidR="00CE2D0C" w:rsidRPr="00CE6109" w:rsidRDefault="00CE2D0C" w:rsidP="00CE2D0C">
      <w:pPr>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Рисунок №1</w:t>
      </w:r>
    </w:p>
    <w:p w:rsidR="00CE2D0C" w:rsidRPr="00CE6109" w:rsidRDefault="00CE2D0C" w:rsidP="00CE2D0C">
      <w:pPr>
        <w:spacing w:after="0" w:line="240" w:lineRule="auto"/>
        <w:ind w:firstLine="567"/>
        <w:jc w:val="center"/>
        <w:rPr>
          <w:rFonts w:ascii="Times New Roman" w:hAnsi="Times New Roman"/>
          <w:b/>
          <w:i/>
          <w:sz w:val="24"/>
          <w:szCs w:val="24"/>
          <w:lang w:val="ru-MO"/>
        </w:rPr>
      </w:pPr>
      <w:r>
        <w:rPr>
          <w:rFonts w:ascii="Times New Roman" w:hAnsi="Times New Roman"/>
          <w:b/>
          <w:i/>
          <w:sz w:val="24"/>
          <w:szCs w:val="24"/>
          <w:lang w:val="ru-MO"/>
        </w:rPr>
        <w:t>Удельный вес</w:t>
      </w:r>
      <w:r w:rsidRPr="00CE6109">
        <w:rPr>
          <w:rFonts w:ascii="Times New Roman" w:hAnsi="Times New Roman"/>
          <w:b/>
          <w:i/>
          <w:sz w:val="24"/>
          <w:szCs w:val="24"/>
          <w:lang w:val="ru-MO"/>
        </w:rPr>
        <w:t xml:space="preserve"> видов контрактованной медицинской помощи  из ФОМС в общих финансовых средствах, контрактованных на 2015 год </w:t>
      </w:r>
    </w:p>
    <w:p w:rsidR="00CE2D0C" w:rsidRPr="00CE6109" w:rsidRDefault="00CE2D0C" w:rsidP="00CE2D0C">
      <w:pPr>
        <w:spacing w:after="0"/>
        <w:jc w:val="center"/>
        <w:rPr>
          <w:rFonts w:ascii="Times New Roman" w:hAnsi="Times New Roman"/>
          <w:sz w:val="28"/>
          <w:szCs w:val="28"/>
          <w:lang w:val="ru-MO"/>
        </w:rPr>
      </w:pPr>
      <w:r>
        <w:rPr>
          <w:noProof/>
        </w:rPr>
        <w:drawing>
          <wp:inline distT="0" distB="0" distL="0" distR="0">
            <wp:extent cx="6161173" cy="2299324"/>
            <wp:effectExtent l="12192" t="6096" r="4550" b="265"/>
            <wp:docPr id="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Источник</w:t>
      </w:r>
      <w:r w:rsidRPr="00CE6109">
        <w:rPr>
          <w:rFonts w:ascii="Times New Roman" w:hAnsi="Times New Roman"/>
          <w:sz w:val="20"/>
          <w:szCs w:val="20"/>
          <w:lang w:val="ru-MO"/>
        </w:rPr>
        <w:t xml:space="preserve">: Разработано аудитом на основании договора на предоставление медицинской помощи в рамках ОМС ПМСУ РКБ. </w:t>
      </w:r>
    </w:p>
    <w:p w:rsidR="00CE2D0C" w:rsidRPr="00CE6109" w:rsidRDefault="00CE2D0C" w:rsidP="00CE2D0C">
      <w:pPr>
        <w:spacing w:before="240" w:line="276" w:lineRule="auto"/>
        <w:ind w:firstLine="567"/>
        <w:jc w:val="both"/>
        <w:rPr>
          <w:rFonts w:ascii="Times New Roman" w:hAnsi="Times New Roman"/>
          <w:sz w:val="28"/>
          <w:szCs w:val="28"/>
          <w:lang w:val="ru-MO"/>
        </w:rPr>
      </w:pPr>
      <w:r w:rsidRPr="001666F5">
        <w:rPr>
          <w:rFonts w:ascii="Times New Roman" w:hAnsi="Times New Roman"/>
          <w:sz w:val="28"/>
          <w:szCs w:val="28"/>
          <w:lang w:val="ru-MO"/>
        </w:rPr>
        <w:t>В этом контексте аудит</w:t>
      </w:r>
      <w:r w:rsidRPr="00CE6109">
        <w:rPr>
          <w:rFonts w:ascii="Times New Roman" w:hAnsi="Times New Roman"/>
          <w:sz w:val="28"/>
          <w:szCs w:val="28"/>
          <w:lang w:val="ru-MO"/>
        </w:rPr>
        <w:t xml:space="preserve"> отмечает, что уточненная впоследствии сумма договора удовлетворяет потребности учреждения на 2015 год в объеме 53,7%, в то время как 46,3% остаются без финансового покрытия.</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Согласно Методологическим нормам, методом оплаты в рамках стационарной медицинской помощи острых и хронических случаев является оплата за „пролеченный случай” по системе </w:t>
      </w:r>
      <w:r>
        <w:rPr>
          <w:rFonts w:ascii="Times New Roman" w:hAnsi="Times New Roman"/>
          <w:sz w:val="28"/>
          <w:szCs w:val="28"/>
          <w:lang w:val="ru-MO"/>
        </w:rPr>
        <w:t xml:space="preserve">ДСГ </w:t>
      </w:r>
      <w:r w:rsidRPr="00CE6109">
        <w:rPr>
          <w:rFonts w:ascii="Times New Roman" w:hAnsi="Times New Roman"/>
          <w:sz w:val="28"/>
          <w:szCs w:val="28"/>
          <w:lang w:val="ru-MO"/>
        </w:rPr>
        <w:t>(Case-Mix)</w:t>
      </w:r>
      <w:r w:rsidRPr="00CE6109">
        <w:rPr>
          <w:rStyle w:val="Referinnotdesubsol"/>
          <w:rFonts w:ascii="Times New Roman" w:hAnsi="Times New Roman"/>
          <w:sz w:val="28"/>
          <w:szCs w:val="28"/>
          <w:lang w:val="ru-MO"/>
        </w:rPr>
        <w:footnoteReference w:id="12"/>
      </w:r>
      <w:r w:rsidRPr="00CE6109">
        <w:rPr>
          <w:rFonts w:ascii="Times New Roman" w:hAnsi="Times New Roman"/>
          <w:sz w:val="28"/>
          <w:szCs w:val="28"/>
          <w:lang w:val="ru-MO"/>
        </w:rPr>
        <w:t xml:space="preserve">. В этом аспекте отмечается, что если в предыдущие периоды учреждения контрактовались в зависимости от сложности случаев (DRG Case-Mix), в 2015 году этот показатель не был установлен. Таким образом, в договоре была указана только сумма договора, собственный тариф и предельное число случаев, которые могут быть оказаны, с разграничением острых случаев от хронических и </w:t>
      </w:r>
      <w:r>
        <w:rPr>
          <w:rFonts w:ascii="Times New Roman" w:hAnsi="Times New Roman"/>
          <w:sz w:val="28"/>
          <w:szCs w:val="28"/>
          <w:lang w:val="ru-MO"/>
        </w:rPr>
        <w:t xml:space="preserve">их </w:t>
      </w:r>
      <w:r w:rsidRPr="00CE6109">
        <w:rPr>
          <w:rFonts w:ascii="Times New Roman" w:hAnsi="Times New Roman"/>
          <w:sz w:val="28"/>
          <w:szCs w:val="28"/>
          <w:lang w:val="ru-MO"/>
        </w:rPr>
        <w:t>разделением на программы</w:t>
      </w:r>
      <w:r w:rsidRPr="00CE6109">
        <w:rPr>
          <w:rStyle w:val="Referinnotdesubsol"/>
          <w:rFonts w:ascii="Times New Roman" w:hAnsi="Times New Roman"/>
          <w:sz w:val="28"/>
          <w:szCs w:val="28"/>
          <w:lang w:val="ru-MO"/>
        </w:rPr>
        <w:footnoteReference w:id="13"/>
      </w:r>
      <w:r w:rsidRPr="00CE6109">
        <w:rPr>
          <w:rFonts w:ascii="Times New Roman" w:hAnsi="Times New Roman"/>
          <w:sz w:val="28"/>
          <w:szCs w:val="28"/>
          <w:lang w:val="ru-MO"/>
        </w:rPr>
        <w:t xml:space="preserve">. </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1E12DC">
        <w:rPr>
          <w:rFonts w:ascii="Times New Roman" w:hAnsi="Times New Roman"/>
          <w:sz w:val="28"/>
          <w:szCs w:val="28"/>
          <w:lang w:val="ru-MO"/>
        </w:rPr>
        <w:lastRenderedPageBreak/>
        <w:t>Отмечается, что в соответствии с положениями законодательства</w:t>
      </w:r>
      <w:r w:rsidRPr="001E12DC">
        <w:rPr>
          <w:rStyle w:val="Referinnotdesubsol"/>
          <w:rFonts w:ascii="Times New Roman" w:hAnsi="Times New Roman"/>
          <w:color w:val="000000"/>
          <w:sz w:val="28"/>
          <w:szCs w:val="28"/>
          <w:lang w:val="ru-MO"/>
        </w:rPr>
        <w:footnoteReference w:id="14"/>
      </w:r>
      <w:r w:rsidRPr="001E12DC">
        <w:rPr>
          <w:rFonts w:ascii="Times New Roman" w:hAnsi="Times New Roman"/>
          <w:sz w:val="28"/>
          <w:szCs w:val="28"/>
          <w:lang w:val="ru-MO"/>
        </w:rPr>
        <w:t xml:space="preserve"> для определения договорной</w:t>
      </w:r>
      <w:r w:rsidRPr="00CE6109">
        <w:rPr>
          <w:rFonts w:ascii="Times New Roman" w:hAnsi="Times New Roman"/>
          <w:sz w:val="28"/>
          <w:szCs w:val="28"/>
          <w:lang w:val="ru-MO"/>
        </w:rPr>
        <w:t xml:space="preserve"> стоимости медицинских услуг, контрактованных на основании </w:t>
      </w:r>
      <w:r>
        <w:rPr>
          <w:rFonts w:ascii="Times New Roman" w:hAnsi="Times New Roman"/>
          <w:sz w:val="28"/>
          <w:szCs w:val="28"/>
          <w:lang w:val="ru-MO"/>
        </w:rPr>
        <w:t>ДСГ (DRG)</w:t>
      </w:r>
      <w:r w:rsidRPr="00CE6109">
        <w:rPr>
          <w:rFonts w:ascii="Times New Roman" w:hAnsi="Times New Roman"/>
          <w:sz w:val="28"/>
          <w:szCs w:val="28"/>
          <w:lang w:val="ru-MO"/>
        </w:rPr>
        <w:t>, применяется индекс сложности случаев – компонент, который выражает необходимые ресурсы больницы в соотношении с числом и видом пролеченных пациентов. Индекс сложности случаев это показатель (без стоимостного выражения), который указывает на сложность медицинских случаев пролеченных в больнице, и насколько дорогими они являются, на данный показатель влияет непосредственно стационарная деятельность медицинского учреждения. В этой связи</w:t>
      </w:r>
      <w:r>
        <w:rPr>
          <w:rFonts w:ascii="Times New Roman" w:hAnsi="Times New Roman"/>
          <w:sz w:val="28"/>
          <w:szCs w:val="28"/>
          <w:lang w:val="ru-MO"/>
        </w:rPr>
        <w:t>,</w:t>
      </w:r>
      <w:r w:rsidRPr="00CE6109">
        <w:rPr>
          <w:rFonts w:ascii="Times New Roman" w:hAnsi="Times New Roman"/>
          <w:sz w:val="28"/>
          <w:szCs w:val="28"/>
          <w:lang w:val="ru-MO"/>
        </w:rPr>
        <w:t xml:space="preserve"> аудит представляет в таблице ниже эволюцию составляющих элементов, которые легли в основу заключения договоров в рамках системы </w:t>
      </w:r>
      <w:r>
        <w:rPr>
          <w:rFonts w:ascii="Times New Roman" w:hAnsi="Times New Roman"/>
          <w:sz w:val="28"/>
          <w:szCs w:val="28"/>
          <w:lang w:val="ru-MO"/>
        </w:rPr>
        <w:t>ДСГ (DRG)</w:t>
      </w:r>
      <w:r w:rsidRPr="00CE6109">
        <w:rPr>
          <w:rFonts w:ascii="Times New Roman" w:hAnsi="Times New Roman"/>
          <w:sz w:val="28"/>
          <w:szCs w:val="28"/>
          <w:lang w:val="ru-MO"/>
        </w:rPr>
        <w:t xml:space="preserve"> </w:t>
      </w:r>
      <w:r>
        <w:rPr>
          <w:rFonts w:ascii="Times New Roman" w:hAnsi="Times New Roman"/>
          <w:sz w:val="28"/>
          <w:szCs w:val="28"/>
          <w:lang w:val="ru-MO"/>
        </w:rPr>
        <w:t>за</w:t>
      </w:r>
      <w:r w:rsidRPr="00CE6109">
        <w:rPr>
          <w:rFonts w:ascii="Times New Roman" w:hAnsi="Times New Roman"/>
          <w:sz w:val="28"/>
          <w:szCs w:val="28"/>
          <w:lang w:val="ru-MO"/>
        </w:rPr>
        <w:t xml:space="preserve"> 2013-2015 годы:</w:t>
      </w:r>
    </w:p>
    <w:p w:rsidR="00CE2D0C" w:rsidRPr="00CE6109" w:rsidRDefault="00CE2D0C" w:rsidP="00CE2D0C">
      <w:pPr>
        <w:tabs>
          <w:tab w:val="left" w:pos="851"/>
        </w:tabs>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Таблица №2</w:t>
      </w:r>
    </w:p>
    <w:p w:rsidR="00CE2D0C" w:rsidRPr="00CE6109" w:rsidRDefault="00CE2D0C" w:rsidP="00CE2D0C">
      <w:pPr>
        <w:tabs>
          <w:tab w:val="left" w:pos="851"/>
        </w:tabs>
        <w:spacing w:after="0" w:line="240" w:lineRule="auto"/>
        <w:jc w:val="center"/>
        <w:rPr>
          <w:rFonts w:ascii="Times New Roman" w:hAnsi="Times New Roman"/>
          <w:b/>
          <w:i/>
          <w:sz w:val="24"/>
          <w:szCs w:val="24"/>
          <w:lang w:val="ru-MO"/>
        </w:rPr>
      </w:pPr>
      <w:r w:rsidRPr="00CE6109">
        <w:rPr>
          <w:rFonts w:ascii="Times New Roman" w:hAnsi="Times New Roman"/>
          <w:b/>
          <w:i/>
          <w:sz w:val="24"/>
          <w:szCs w:val="24"/>
          <w:lang w:val="ru-MO"/>
        </w:rPr>
        <w:t xml:space="preserve">Элементы системы </w:t>
      </w:r>
      <w:r>
        <w:rPr>
          <w:rFonts w:ascii="Times New Roman" w:hAnsi="Times New Roman"/>
          <w:b/>
          <w:i/>
          <w:sz w:val="24"/>
          <w:szCs w:val="24"/>
          <w:lang w:val="ru-MO"/>
        </w:rPr>
        <w:t>ДСГ (DRG)</w:t>
      </w:r>
      <w:r w:rsidRPr="00CE6109">
        <w:rPr>
          <w:rFonts w:ascii="Times New Roman" w:hAnsi="Times New Roman"/>
          <w:b/>
          <w:i/>
          <w:sz w:val="24"/>
          <w:szCs w:val="24"/>
          <w:lang w:val="ru-MO"/>
        </w:rPr>
        <w:t xml:space="preserve"> и их эволюция на протяжении 2013-2015 годов </w:t>
      </w:r>
    </w:p>
    <w:tbl>
      <w:tblPr>
        <w:tblW w:w="105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57"/>
        <w:gridCol w:w="850"/>
        <w:gridCol w:w="1056"/>
        <w:gridCol w:w="896"/>
        <w:gridCol w:w="9"/>
        <w:gridCol w:w="872"/>
        <w:gridCol w:w="1009"/>
        <w:gridCol w:w="896"/>
        <w:gridCol w:w="1125"/>
        <w:gridCol w:w="1159"/>
        <w:gridCol w:w="1102"/>
      </w:tblGrid>
      <w:tr w:rsidR="00CE2D0C" w:rsidRPr="00CD59C4" w:rsidTr="00266330">
        <w:trPr>
          <w:trHeight w:val="312"/>
        </w:trPr>
        <w:tc>
          <w:tcPr>
            <w:tcW w:w="1129" w:type="dxa"/>
            <w:vMerge w:val="restart"/>
            <w:shd w:val="clear" w:color="000000" w:fill="DDEBF7"/>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Показатели </w:t>
            </w:r>
          </w:p>
        </w:tc>
        <w:tc>
          <w:tcPr>
            <w:tcW w:w="857" w:type="dxa"/>
            <w:vMerge w:val="restart"/>
            <w:shd w:val="clear" w:color="000000" w:fill="FFF2CC"/>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Тариф, леев</w:t>
            </w:r>
          </w:p>
        </w:tc>
        <w:tc>
          <w:tcPr>
            <w:tcW w:w="2811" w:type="dxa"/>
            <w:gridSpan w:val="4"/>
            <w:shd w:val="clear" w:color="auto" w:fill="E2EFD9"/>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ICM</w:t>
            </w:r>
          </w:p>
        </w:tc>
        <w:tc>
          <w:tcPr>
            <w:tcW w:w="2777" w:type="dxa"/>
            <w:gridSpan w:val="3"/>
            <w:shd w:val="clear" w:color="auto" w:fill="E2EFD9"/>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Число случаев</w:t>
            </w:r>
          </w:p>
        </w:tc>
        <w:tc>
          <w:tcPr>
            <w:tcW w:w="1125" w:type="dxa"/>
            <w:vMerge w:val="restart"/>
            <w:shd w:val="clear" w:color="auto" w:fill="F3EFD5"/>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Контрак-тованная сумма, млн. леев</w:t>
            </w:r>
          </w:p>
        </w:tc>
        <w:tc>
          <w:tcPr>
            <w:tcW w:w="941" w:type="dxa"/>
            <w:vMerge w:val="restart"/>
            <w:shd w:val="clear" w:color="auto" w:fill="FBE4D5"/>
            <w:vAlign w:val="center"/>
            <w:hideMark/>
          </w:tcPr>
          <w:p w:rsidR="00CE2D0C" w:rsidRPr="00CE6109" w:rsidRDefault="00CE2D0C" w:rsidP="00266330">
            <w:pPr>
              <w:spacing w:after="0" w:line="240" w:lineRule="auto"/>
              <w:jc w:val="center"/>
              <w:rPr>
                <w:rFonts w:eastAsia="Times New Roman"/>
                <w:b/>
                <w:bCs/>
                <w:color w:val="000000"/>
                <w:sz w:val="16"/>
                <w:szCs w:val="16"/>
                <w:lang w:val="ru-MO"/>
              </w:rPr>
            </w:pPr>
            <w:r w:rsidRPr="00CE6109">
              <w:rPr>
                <w:rFonts w:eastAsia="Times New Roman"/>
                <w:b/>
                <w:bCs/>
                <w:color w:val="000000"/>
                <w:sz w:val="16"/>
                <w:szCs w:val="16"/>
                <w:lang w:val="ru-MO"/>
              </w:rPr>
              <w:t>Фактическ</w:t>
            </w:r>
            <w:r>
              <w:rPr>
                <w:rFonts w:eastAsia="Times New Roman"/>
                <w:b/>
                <w:bCs/>
                <w:color w:val="000000"/>
                <w:sz w:val="16"/>
                <w:szCs w:val="16"/>
                <w:lang w:val="ru-MO"/>
              </w:rPr>
              <w:t>ая</w:t>
            </w:r>
            <w:r w:rsidRPr="00CE6109">
              <w:rPr>
                <w:rFonts w:eastAsia="Times New Roman"/>
                <w:b/>
                <w:bCs/>
                <w:color w:val="000000"/>
                <w:sz w:val="16"/>
                <w:szCs w:val="16"/>
                <w:lang w:val="ru-MO"/>
              </w:rPr>
              <w:t xml:space="preserve"> </w:t>
            </w:r>
            <w:r>
              <w:rPr>
                <w:rFonts w:eastAsia="Times New Roman"/>
                <w:b/>
                <w:bCs/>
                <w:color w:val="000000"/>
                <w:sz w:val="16"/>
                <w:szCs w:val="16"/>
                <w:lang w:val="ru-MO"/>
              </w:rPr>
              <w:t xml:space="preserve">стоимость </w:t>
            </w:r>
            <w:r w:rsidRPr="00CE6109">
              <w:rPr>
                <w:rFonts w:eastAsia="Times New Roman"/>
                <w:b/>
                <w:bCs/>
                <w:color w:val="000000"/>
                <w:sz w:val="16"/>
                <w:szCs w:val="16"/>
                <w:lang w:val="ru-MO"/>
              </w:rPr>
              <w:t xml:space="preserve">пролеченных случаев, млн.леев </w:t>
            </w:r>
          </w:p>
        </w:tc>
        <w:tc>
          <w:tcPr>
            <w:tcW w:w="943" w:type="dxa"/>
            <w:vMerge w:val="restart"/>
            <w:shd w:val="clear" w:color="auto" w:fill="E7E6E6"/>
            <w:vAlign w:val="center"/>
            <w:hideMark/>
          </w:tcPr>
          <w:p w:rsidR="00CE2D0C" w:rsidRPr="00CE6109" w:rsidRDefault="00CE2D0C" w:rsidP="00266330">
            <w:pPr>
              <w:spacing w:after="0" w:line="240" w:lineRule="auto"/>
              <w:jc w:val="center"/>
              <w:rPr>
                <w:rFonts w:eastAsia="Times New Roman"/>
                <w:b/>
                <w:bCs/>
                <w:color w:val="000000"/>
                <w:sz w:val="16"/>
                <w:szCs w:val="16"/>
                <w:lang w:val="ru-MO"/>
              </w:rPr>
            </w:pPr>
            <w:r w:rsidRPr="00CE6109">
              <w:rPr>
                <w:rFonts w:eastAsia="Times New Roman"/>
                <w:b/>
                <w:bCs/>
                <w:color w:val="000000"/>
                <w:sz w:val="16"/>
                <w:szCs w:val="16"/>
                <w:lang w:val="ru-MO"/>
              </w:rPr>
              <w:t>Отклонение, млн. леев</w:t>
            </w:r>
          </w:p>
        </w:tc>
      </w:tr>
      <w:tr w:rsidR="00CE2D0C" w:rsidRPr="00CD59C4" w:rsidTr="00266330">
        <w:trPr>
          <w:trHeight w:val="624"/>
        </w:trPr>
        <w:tc>
          <w:tcPr>
            <w:tcW w:w="1129" w:type="dxa"/>
            <w:vMerge/>
            <w:vAlign w:val="center"/>
            <w:hideMark/>
          </w:tcPr>
          <w:p w:rsidR="00CE2D0C" w:rsidRPr="00CE6109" w:rsidRDefault="00CE2D0C" w:rsidP="00266330">
            <w:pPr>
              <w:spacing w:after="0" w:line="240" w:lineRule="auto"/>
              <w:rPr>
                <w:rFonts w:eastAsia="Times New Roman"/>
                <w:b/>
                <w:color w:val="000000"/>
                <w:sz w:val="18"/>
                <w:szCs w:val="18"/>
                <w:lang w:val="ru-MO"/>
              </w:rPr>
            </w:pPr>
          </w:p>
        </w:tc>
        <w:tc>
          <w:tcPr>
            <w:tcW w:w="857" w:type="dxa"/>
            <w:vMerge/>
            <w:vAlign w:val="center"/>
            <w:hideMark/>
          </w:tcPr>
          <w:p w:rsidR="00CE2D0C" w:rsidRPr="00CE6109" w:rsidRDefault="00CE2D0C" w:rsidP="00266330">
            <w:pPr>
              <w:spacing w:after="0" w:line="240" w:lineRule="auto"/>
              <w:rPr>
                <w:rFonts w:eastAsia="Times New Roman"/>
                <w:b/>
                <w:color w:val="000000"/>
                <w:sz w:val="18"/>
                <w:szCs w:val="18"/>
                <w:lang w:val="ru-MO"/>
              </w:rPr>
            </w:pPr>
          </w:p>
        </w:tc>
        <w:tc>
          <w:tcPr>
            <w:tcW w:w="850" w:type="dxa"/>
            <w:shd w:val="clear" w:color="auto" w:fill="auto"/>
            <w:vAlign w:val="center"/>
            <w:hideMark/>
          </w:tcPr>
          <w:p w:rsidR="00CE2D0C" w:rsidRPr="00CE6109" w:rsidRDefault="00CE2D0C" w:rsidP="00266330">
            <w:pPr>
              <w:spacing w:after="0" w:line="240" w:lineRule="auto"/>
              <w:rPr>
                <w:rFonts w:eastAsia="Times New Roman"/>
                <w:b/>
                <w:color w:val="000000"/>
                <w:sz w:val="16"/>
                <w:szCs w:val="16"/>
                <w:lang w:val="ru-MO"/>
              </w:rPr>
            </w:pPr>
            <w:r w:rsidRPr="00CE6109">
              <w:rPr>
                <w:rFonts w:eastAsia="Times New Roman"/>
                <w:b/>
                <w:color w:val="000000"/>
                <w:sz w:val="16"/>
                <w:szCs w:val="16"/>
                <w:lang w:val="ru-MO"/>
              </w:rPr>
              <w:t xml:space="preserve">Оферта </w:t>
            </w:r>
          </w:p>
        </w:tc>
        <w:tc>
          <w:tcPr>
            <w:tcW w:w="1056" w:type="dxa"/>
            <w:shd w:val="clear" w:color="auto" w:fill="auto"/>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Контрак-товано </w:t>
            </w:r>
          </w:p>
        </w:tc>
        <w:tc>
          <w:tcPr>
            <w:tcW w:w="896" w:type="dxa"/>
            <w:shd w:val="clear" w:color="auto" w:fill="auto"/>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Испол-нено </w:t>
            </w:r>
          </w:p>
        </w:tc>
        <w:tc>
          <w:tcPr>
            <w:tcW w:w="881" w:type="dxa"/>
            <w:gridSpan w:val="2"/>
            <w:shd w:val="clear" w:color="auto" w:fill="auto"/>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Оферта </w:t>
            </w:r>
          </w:p>
        </w:tc>
        <w:tc>
          <w:tcPr>
            <w:tcW w:w="1009" w:type="dxa"/>
            <w:shd w:val="clear" w:color="auto" w:fill="auto"/>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Контрак-товано </w:t>
            </w:r>
          </w:p>
        </w:tc>
        <w:tc>
          <w:tcPr>
            <w:tcW w:w="896" w:type="dxa"/>
            <w:shd w:val="clear" w:color="auto" w:fill="auto"/>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 xml:space="preserve">Испол-нено </w:t>
            </w:r>
          </w:p>
        </w:tc>
        <w:tc>
          <w:tcPr>
            <w:tcW w:w="1125" w:type="dxa"/>
            <w:vMerge/>
            <w:shd w:val="clear" w:color="auto" w:fill="F3EFD5"/>
            <w:vAlign w:val="center"/>
            <w:hideMark/>
          </w:tcPr>
          <w:p w:rsidR="00CE2D0C" w:rsidRPr="00CE6109" w:rsidRDefault="00CE2D0C" w:rsidP="00266330">
            <w:pPr>
              <w:spacing w:after="0" w:line="240" w:lineRule="auto"/>
              <w:rPr>
                <w:rFonts w:eastAsia="Times New Roman"/>
                <w:b/>
                <w:color w:val="000000"/>
                <w:sz w:val="18"/>
                <w:szCs w:val="18"/>
                <w:lang w:val="ru-MO"/>
              </w:rPr>
            </w:pPr>
          </w:p>
        </w:tc>
        <w:tc>
          <w:tcPr>
            <w:tcW w:w="941" w:type="dxa"/>
            <w:vMerge/>
            <w:shd w:val="clear" w:color="auto" w:fill="FBE4D5"/>
            <w:vAlign w:val="center"/>
            <w:hideMark/>
          </w:tcPr>
          <w:p w:rsidR="00CE2D0C" w:rsidRPr="00CE6109" w:rsidRDefault="00CE2D0C" w:rsidP="00266330">
            <w:pPr>
              <w:spacing w:after="0" w:line="240" w:lineRule="auto"/>
              <w:rPr>
                <w:rFonts w:eastAsia="Times New Roman"/>
                <w:b/>
                <w:bCs/>
                <w:color w:val="000000"/>
                <w:sz w:val="18"/>
                <w:szCs w:val="18"/>
                <w:lang w:val="ru-MO"/>
              </w:rPr>
            </w:pPr>
          </w:p>
        </w:tc>
        <w:tc>
          <w:tcPr>
            <w:tcW w:w="943" w:type="dxa"/>
            <w:vMerge/>
            <w:shd w:val="clear" w:color="auto" w:fill="E7E6E6"/>
            <w:vAlign w:val="center"/>
            <w:hideMark/>
          </w:tcPr>
          <w:p w:rsidR="00CE2D0C" w:rsidRPr="00CE6109" w:rsidRDefault="00CE2D0C" w:rsidP="00266330">
            <w:pPr>
              <w:spacing w:after="0" w:line="240" w:lineRule="auto"/>
              <w:rPr>
                <w:rFonts w:eastAsia="Times New Roman"/>
                <w:b/>
                <w:bCs/>
                <w:color w:val="000000"/>
                <w:sz w:val="18"/>
                <w:szCs w:val="18"/>
                <w:lang w:val="ru-MO"/>
              </w:rPr>
            </w:pPr>
          </w:p>
        </w:tc>
      </w:tr>
      <w:tr w:rsidR="00CE2D0C" w:rsidRPr="00CD59C4" w:rsidTr="00266330">
        <w:trPr>
          <w:trHeight w:val="312"/>
        </w:trPr>
        <w:tc>
          <w:tcPr>
            <w:tcW w:w="1129" w:type="dxa"/>
            <w:shd w:val="clear" w:color="000000" w:fill="DDEBF7"/>
            <w:noWrap/>
            <w:vAlign w:val="bottom"/>
            <w:hideMark/>
          </w:tcPr>
          <w:p w:rsidR="00CE2D0C" w:rsidRPr="00CE6109" w:rsidRDefault="00CE2D0C" w:rsidP="00266330">
            <w:pPr>
              <w:spacing w:after="0" w:line="240" w:lineRule="auto"/>
              <w:jc w:val="center"/>
              <w:rPr>
                <w:rFonts w:eastAsia="Times New Roman"/>
                <w:b/>
                <w:color w:val="000000"/>
                <w:sz w:val="16"/>
                <w:szCs w:val="16"/>
                <w:lang w:val="ru-MO"/>
              </w:rPr>
            </w:pPr>
            <w:r>
              <w:rPr>
                <w:rFonts w:eastAsia="Times New Roman"/>
                <w:b/>
                <w:color w:val="000000"/>
                <w:sz w:val="16"/>
                <w:szCs w:val="16"/>
                <w:lang w:val="ru-MO"/>
              </w:rPr>
              <w:t>ДСГ (DRG)</w:t>
            </w:r>
            <w:r w:rsidRPr="00CE6109">
              <w:rPr>
                <w:rFonts w:eastAsia="Times New Roman"/>
                <w:b/>
                <w:color w:val="000000"/>
                <w:sz w:val="16"/>
                <w:szCs w:val="16"/>
                <w:lang w:val="ru-MO"/>
              </w:rPr>
              <w:t xml:space="preserve"> 2013 г.</w:t>
            </w: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3666</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1,5789</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1,6794</w:t>
            </w: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21684</w:t>
            </w:r>
          </w:p>
        </w:tc>
        <w:tc>
          <w:tcPr>
            <w:tcW w:w="1009"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21684</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22740</w:t>
            </w:r>
          </w:p>
        </w:tc>
        <w:tc>
          <w:tcPr>
            <w:tcW w:w="1125" w:type="dxa"/>
            <w:shd w:val="clear" w:color="auto" w:fill="F3EFD5"/>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125,5</w:t>
            </w: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140,0</w:t>
            </w:r>
          </w:p>
        </w:tc>
        <w:tc>
          <w:tcPr>
            <w:tcW w:w="943" w:type="dxa"/>
            <w:shd w:val="clear" w:color="auto" w:fill="E7E6E6"/>
            <w:noWrap/>
            <w:vAlign w:val="center"/>
            <w:hideMark/>
          </w:tcPr>
          <w:p w:rsidR="00CE2D0C" w:rsidRPr="00CE6109" w:rsidRDefault="00CE2D0C" w:rsidP="00266330">
            <w:pPr>
              <w:spacing w:after="0" w:line="240" w:lineRule="auto"/>
              <w:jc w:val="center"/>
              <w:rPr>
                <w:rFonts w:eastAsia="Times New Roman"/>
                <w:color w:val="000000"/>
                <w:sz w:val="18"/>
                <w:szCs w:val="18"/>
                <w:lang w:val="ru-MO"/>
              </w:rPr>
            </w:pPr>
            <w:r w:rsidRPr="00CE6109">
              <w:rPr>
                <w:rFonts w:eastAsia="Times New Roman"/>
                <w:color w:val="000000"/>
                <w:sz w:val="18"/>
                <w:szCs w:val="18"/>
                <w:lang w:val="ru-MO"/>
              </w:rPr>
              <w:t>14,5</w:t>
            </w:r>
          </w:p>
        </w:tc>
      </w:tr>
      <w:tr w:rsidR="00CE2D0C" w:rsidRPr="00CD59C4" w:rsidTr="00266330">
        <w:trPr>
          <w:trHeight w:val="312"/>
        </w:trPr>
        <w:tc>
          <w:tcPr>
            <w:tcW w:w="1129" w:type="dxa"/>
            <w:shd w:val="clear" w:color="000000" w:fill="DDEBF7"/>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Pr>
                <w:rFonts w:eastAsia="Times New Roman"/>
                <w:b/>
                <w:color w:val="000000"/>
                <w:sz w:val="16"/>
                <w:szCs w:val="16"/>
                <w:lang w:val="ru-MO"/>
              </w:rPr>
              <w:t>ДСГ (DRG)</w:t>
            </w:r>
            <w:r w:rsidRPr="00CE6109">
              <w:rPr>
                <w:rFonts w:eastAsia="Times New Roman"/>
                <w:b/>
                <w:color w:val="000000"/>
                <w:sz w:val="16"/>
                <w:szCs w:val="16"/>
                <w:lang w:val="ru-MO"/>
              </w:rPr>
              <w:t xml:space="preserve"> 2014 г.</w:t>
            </w:r>
          </w:p>
        </w:tc>
        <w:tc>
          <w:tcPr>
            <w:tcW w:w="857" w:type="dxa"/>
            <w:shd w:val="clear" w:color="auto"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3870</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1,7258</w:t>
            </w: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21984</w:t>
            </w:r>
          </w:p>
        </w:tc>
        <w:tc>
          <w:tcPr>
            <w:tcW w:w="1009"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23497</w:t>
            </w:r>
          </w:p>
        </w:tc>
        <w:tc>
          <w:tcPr>
            <w:tcW w:w="1125" w:type="dxa"/>
            <w:shd w:val="clear" w:color="auto" w:fill="F3EFD5"/>
            <w:noWrap/>
            <w:vAlign w:val="center"/>
            <w:hideMark/>
          </w:tcPr>
          <w:p w:rsidR="00CE2D0C" w:rsidRPr="00CD59C4" w:rsidRDefault="00CE2D0C" w:rsidP="00266330">
            <w:pPr>
              <w:spacing w:after="0"/>
              <w:jc w:val="center"/>
              <w:rPr>
                <w:b/>
                <w:sz w:val="16"/>
                <w:szCs w:val="16"/>
                <w:lang w:val="ru-MO"/>
              </w:rPr>
            </w:pPr>
            <w:r w:rsidRPr="00CD59C4">
              <w:rPr>
                <w:b/>
                <w:sz w:val="16"/>
                <w:szCs w:val="16"/>
                <w:lang w:val="ru-MO"/>
              </w:rPr>
              <w:t>155,7</w:t>
            </w:r>
          </w:p>
        </w:tc>
        <w:tc>
          <w:tcPr>
            <w:tcW w:w="941" w:type="dxa"/>
            <w:shd w:val="clear" w:color="auto" w:fill="FBE4D5"/>
            <w:noWrap/>
            <w:vAlign w:val="center"/>
            <w:hideMark/>
          </w:tcPr>
          <w:p w:rsidR="00CE2D0C" w:rsidRPr="00CD59C4" w:rsidRDefault="00CE2D0C" w:rsidP="00266330">
            <w:pPr>
              <w:spacing w:after="0"/>
              <w:jc w:val="center"/>
              <w:rPr>
                <w:sz w:val="16"/>
                <w:szCs w:val="16"/>
                <w:lang w:val="ru-MO"/>
              </w:rPr>
            </w:pPr>
            <w:r w:rsidRPr="00CD59C4">
              <w:rPr>
                <w:sz w:val="16"/>
                <w:szCs w:val="16"/>
                <w:lang w:val="ru-MO"/>
              </w:rPr>
              <w:t>156,9</w:t>
            </w:r>
          </w:p>
        </w:tc>
        <w:tc>
          <w:tcPr>
            <w:tcW w:w="943" w:type="dxa"/>
            <w:shd w:val="clear" w:color="auto" w:fill="E7E6E6"/>
            <w:noWrap/>
            <w:vAlign w:val="center"/>
            <w:hideMark/>
          </w:tcPr>
          <w:p w:rsidR="00CE2D0C" w:rsidRPr="00CD59C4" w:rsidRDefault="00CE2D0C" w:rsidP="00266330">
            <w:pPr>
              <w:spacing w:after="0"/>
              <w:jc w:val="center"/>
              <w:rPr>
                <w:sz w:val="18"/>
                <w:szCs w:val="18"/>
                <w:lang w:val="ru-MO"/>
              </w:rPr>
            </w:pPr>
            <w:r w:rsidRPr="00CD59C4">
              <w:rPr>
                <w:sz w:val="18"/>
                <w:szCs w:val="18"/>
                <w:lang w:val="ru-MO"/>
              </w:rPr>
              <w:t>1,2</w:t>
            </w:r>
          </w:p>
        </w:tc>
      </w:tr>
      <w:tr w:rsidR="00CE2D0C" w:rsidRPr="00CD59C4" w:rsidTr="00266330">
        <w:trPr>
          <w:trHeight w:val="312"/>
        </w:trPr>
        <w:tc>
          <w:tcPr>
            <w:tcW w:w="1129" w:type="dxa"/>
            <w:shd w:val="clear" w:color="000000" w:fill="DDEBF7"/>
            <w:noWrap/>
            <w:vAlign w:val="bottom"/>
            <w:hideMark/>
          </w:tcPr>
          <w:p w:rsidR="00CE2D0C" w:rsidRPr="00CE6109" w:rsidRDefault="00CE2D0C" w:rsidP="00266330">
            <w:pPr>
              <w:spacing w:after="0" w:line="240" w:lineRule="auto"/>
              <w:jc w:val="center"/>
              <w:rPr>
                <w:rFonts w:eastAsia="Times New Roman"/>
                <w:b/>
                <w:color w:val="000000"/>
                <w:sz w:val="16"/>
                <w:szCs w:val="16"/>
                <w:lang w:val="ru-MO"/>
              </w:rPr>
            </w:pPr>
            <w:r>
              <w:rPr>
                <w:rFonts w:eastAsia="Times New Roman"/>
                <w:b/>
                <w:color w:val="000000"/>
                <w:sz w:val="16"/>
                <w:szCs w:val="16"/>
                <w:lang w:val="ru-MO"/>
              </w:rPr>
              <w:t>ДСГ (DRG)</w:t>
            </w:r>
            <w:r w:rsidRPr="00CE6109">
              <w:rPr>
                <w:rFonts w:eastAsia="Times New Roman"/>
                <w:b/>
                <w:color w:val="000000"/>
                <w:sz w:val="16"/>
                <w:szCs w:val="16"/>
                <w:lang w:val="ru-MO"/>
              </w:rPr>
              <w:t xml:space="preserve"> (начальный) 2015 г.</w:t>
            </w: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3870</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restart"/>
            <w:shd w:val="clear" w:color="auto" w:fill="auto"/>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1,8148</w:t>
            </w: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21992</w:t>
            </w:r>
          </w:p>
        </w:tc>
        <w:tc>
          <w:tcPr>
            <w:tcW w:w="1009"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125" w:type="dxa"/>
            <w:shd w:val="clear" w:color="auto" w:fill="F3EFD5"/>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135,0</w:t>
            </w: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943" w:type="dxa"/>
            <w:shd w:val="clear" w:color="auto" w:fill="E7E6E6"/>
            <w:noWrap/>
            <w:vAlign w:val="center"/>
            <w:hideMark/>
          </w:tcPr>
          <w:p w:rsidR="00CE2D0C" w:rsidRPr="00CE6109" w:rsidRDefault="00CE2D0C" w:rsidP="00266330">
            <w:pPr>
              <w:spacing w:after="0" w:line="240" w:lineRule="auto"/>
              <w:jc w:val="center"/>
              <w:rPr>
                <w:rFonts w:eastAsia="Times New Roman"/>
                <w:color w:val="000000"/>
                <w:sz w:val="18"/>
                <w:szCs w:val="18"/>
                <w:lang w:val="ru-MO"/>
              </w:rPr>
            </w:pPr>
            <w:r w:rsidRPr="00CE6109">
              <w:rPr>
                <w:rFonts w:eastAsia="Times New Roman"/>
                <w:color w:val="000000"/>
                <w:sz w:val="18"/>
                <w:szCs w:val="18"/>
                <w:lang w:val="ru-MO"/>
              </w:rPr>
              <w:t>-</w:t>
            </w:r>
          </w:p>
        </w:tc>
      </w:tr>
      <w:tr w:rsidR="00CE2D0C" w:rsidRPr="00CD59C4" w:rsidTr="00266330">
        <w:trPr>
          <w:trHeight w:val="312"/>
        </w:trPr>
        <w:tc>
          <w:tcPr>
            <w:tcW w:w="1129" w:type="dxa"/>
            <w:vMerge w:val="restart"/>
            <w:shd w:val="clear" w:color="000000" w:fill="DDEBF7"/>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Pr>
                <w:rFonts w:eastAsia="Times New Roman"/>
                <w:b/>
                <w:color w:val="000000"/>
                <w:sz w:val="16"/>
                <w:szCs w:val="16"/>
                <w:lang w:val="ru-MO"/>
              </w:rPr>
              <w:t>ДСГ (DRG)</w:t>
            </w:r>
            <w:r w:rsidRPr="00CE6109">
              <w:rPr>
                <w:rFonts w:eastAsia="Times New Roman"/>
                <w:b/>
                <w:color w:val="000000"/>
                <w:sz w:val="16"/>
                <w:szCs w:val="16"/>
                <w:lang w:val="ru-MO"/>
              </w:rPr>
              <w:t xml:space="preserve"> (скорректи-рованный) 2015 г.</w:t>
            </w: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3877</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restart"/>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21939</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19955</w:t>
            </w:r>
          </w:p>
        </w:tc>
        <w:tc>
          <w:tcPr>
            <w:tcW w:w="1125" w:type="dxa"/>
            <w:vMerge w:val="restart"/>
            <w:shd w:val="clear" w:color="auto" w:fill="F3EFD5"/>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156,5</w:t>
            </w: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140,4</w:t>
            </w:r>
          </w:p>
        </w:tc>
        <w:tc>
          <w:tcPr>
            <w:tcW w:w="943" w:type="dxa"/>
            <w:vMerge w:val="restart"/>
            <w:shd w:val="clear" w:color="auto" w:fill="E7E6E6"/>
            <w:vAlign w:val="center"/>
            <w:hideMark/>
          </w:tcPr>
          <w:p w:rsidR="00CE2D0C" w:rsidRPr="00CE6109" w:rsidRDefault="00CE2D0C" w:rsidP="00266330">
            <w:pPr>
              <w:spacing w:after="0" w:line="240" w:lineRule="auto"/>
              <w:jc w:val="center"/>
              <w:rPr>
                <w:rFonts w:eastAsia="Times New Roman"/>
                <w:color w:val="000000"/>
                <w:sz w:val="18"/>
                <w:szCs w:val="18"/>
                <w:lang w:val="ru-MO"/>
              </w:rPr>
            </w:pPr>
            <w:r w:rsidRPr="00CE6109">
              <w:rPr>
                <w:rFonts w:eastAsia="Times New Roman"/>
                <w:color w:val="000000"/>
                <w:sz w:val="18"/>
                <w:szCs w:val="18"/>
                <w:lang w:val="ru-MO"/>
              </w:rPr>
              <w:t>2,4</w:t>
            </w: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3877</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1151</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8,1</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4000</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725</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5,3</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4000</w:t>
            </w:r>
          </w:p>
        </w:tc>
        <w:tc>
          <w:tcPr>
            <w:tcW w:w="850"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125</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0,9</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4000</w:t>
            </w:r>
          </w:p>
        </w:tc>
        <w:tc>
          <w:tcPr>
            <w:tcW w:w="850" w:type="dxa"/>
            <w:shd w:val="clear" w:color="auto" w:fill="auto"/>
            <w:noWrap/>
            <w:vAlign w:val="bottom"/>
            <w:hideMark/>
          </w:tcPr>
          <w:p w:rsidR="00CE2D0C" w:rsidRPr="00CE6109" w:rsidRDefault="00CE2D0C" w:rsidP="00266330">
            <w:pPr>
              <w:spacing w:after="0" w:line="240" w:lineRule="auto"/>
              <w:rPr>
                <w:rFonts w:eastAsia="Times New Roman"/>
                <w:color w:val="000000"/>
                <w:sz w:val="16"/>
                <w:szCs w:val="16"/>
                <w:lang w:val="ru-MO"/>
              </w:rPr>
            </w:pPr>
            <w:r w:rsidRPr="00CE6109">
              <w:rPr>
                <w:rFonts w:eastAsia="Times New Roman"/>
                <w:color w:val="000000"/>
                <w:sz w:val="16"/>
                <w:szCs w:val="16"/>
                <w:lang w:val="ru-MO"/>
              </w:rPr>
              <w:t> </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176</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1,3</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4000</w:t>
            </w:r>
          </w:p>
        </w:tc>
        <w:tc>
          <w:tcPr>
            <w:tcW w:w="850" w:type="dxa"/>
            <w:shd w:val="clear" w:color="auto" w:fill="auto"/>
            <w:noWrap/>
            <w:vAlign w:val="bottom"/>
            <w:hideMark/>
          </w:tcPr>
          <w:p w:rsidR="00CE2D0C" w:rsidRPr="00CE6109" w:rsidRDefault="00CE2D0C" w:rsidP="00266330">
            <w:pPr>
              <w:spacing w:after="0" w:line="240" w:lineRule="auto"/>
              <w:rPr>
                <w:rFonts w:eastAsia="Times New Roman"/>
                <w:color w:val="000000"/>
                <w:sz w:val="16"/>
                <w:szCs w:val="16"/>
                <w:lang w:val="ru-MO"/>
              </w:rPr>
            </w:pPr>
            <w:r w:rsidRPr="00CE6109">
              <w:rPr>
                <w:rFonts w:eastAsia="Times New Roman"/>
                <w:color w:val="000000"/>
                <w:sz w:val="16"/>
                <w:szCs w:val="16"/>
                <w:lang w:val="ru-MO"/>
              </w:rPr>
              <w:t> </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vMerge/>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0</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0,0</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57" w:type="dxa"/>
            <w:shd w:val="clear" w:color="000000" w:fill="FFF2CC"/>
            <w:noWrap/>
            <w:vAlign w:val="bottom"/>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4600</w:t>
            </w:r>
          </w:p>
        </w:tc>
        <w:tc>
          <w:tcPr>
            <w:tcW w:w="850" w:type="dxa"/>
            <w:shd w:val="clear" w:color="auto" w:fill="auto"/>
            <w:noWrap/>
            <w:vAlign w:val="bottom"/>
            <w:hideMark/>
          </w:tcPr>
          <w:p w:rsidR="00CE2D0C" w:rsidRPr="00CE6109" w:rsidRDefault="00CE2D0C" w:rsidP="00266330">
            <w:pPr>
              <w:spacing w:after="0" w:line="240" w:lineRule="auto"/>
              <w:rPr>
                <w:rFonts w:eastAsia="Times New Roman"/>
                <w:color w:val="000000"/>
                <w:sz w:val="16"/>
                <w:szCs w:val="16"/>
                <w:lang w:val="ru-MO"/>
              </w:rPr>
            </w:pPr>
            <w:r w:rsidRPr="00CE6109">
              <w:rPr>
                <w:rFonts w:eastAsia="Times New Roman"/>
                <w:color w:val="000000"/>
                <w:sz w:val="16"/>
                <w:szCs w:val="16"/>
                <w:lang w:val="ru-MO"/>
              </w:rPr>
              <w:t> </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w:t>
            </w:r>
          </w:p>
        </w:tc>
        <w:tc>
          <w:tcPr>
            <w:tcW w:w="1009"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350</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350</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color w:val="000000"/>
                <w:sz w:val="16"/>
                <w:szCs w:val="16"/>
                <w:lang w:val="ru-MO"/>
              </w:rPr>
            </w:pPr>
            <w:r w:rsidRPr="00CE6109">
              <w:rPr>
                <w:rFonts w:eastAsia="Times New Roman"/>
                <w:color w:val="000000"/>
                <w:sz w:val="16"/>
                <w:szCs w:val="16"/>
                <w:lang w:val="ru-MO"/>
              </w:rPr>
              <w:t>2,9</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color w:val="000000"/>
                <w:sz w:val="18"/>
                <w:szCs w:val="18"/>
                <w:lang w:val="ru-MO"/>
              </w:rPr>
            </w:pPr>
          </w:p>
        </w:tc>
      </w:tr>
      <w:tr w:rsidR="00CE2D0C" w:rsidRPr="00CD59C4" w:rsidTr="00266330">
        <w:trPr>
          <w:trHeight w:val="312"/>
        </w:trPr>
        <w:tc>
          <w:tcPr>
            <w:tcW w:w="1129" w:type="dxa"/>
            <w:vMerge/>
            <w:vAlign w:val="center"/>
            <w:hideMark/>
          </w:tcPr>
          <w:p w:rsidR="00CE2D0C" w:rsidRPr="00CE6109" w:rsidRDefault="00CE2D0C" w:rsidP="00266330">
            <w:pPr>
              <w:spacing w:after="0" w:line="240" w:lineRule="auto"/>
              <w:rPr>
                <w:rFonts w:eastAsia="Times New Roman"/>
                <w:b/>
                <w:color w:val="000000"/>
                <w:sz w:val="16"/>
                <w:szCs w:val="16"/>
                <w:lang w:val="ru-MO"/>
              </w:rPr>
            </w:pPr>
          </w:p>
        </w:tc>
        <w:tc>
          <w:tcPr>
            <w:tcW w:w="857" w:type="dxa"/>
            <w:shd w:val="clear" w:color="000000" w:fill="FFF2CC"/>
            <w:noWrap/>
            <w:vAlign w:val="bottom"/>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Total</w:t>
            </w:r>
          </w:p>
        </w:tc>
        <w:tc>
          <w:tcPr>
            <w:tcW w:w="850" w:type="dxa"/>
            <w:shd w:val="clear" w:color="auto" w:fill="auto"/>
            <w:noWrap/>
            <w:vAlign w:val="bottom"/>
            <w:hideMark/>
          </w:tcPr>
          <w:p w:rsidR="00CE2D0C" w:rsidRPr="00CE6109" w:rsidRDefault="00CE2D0C" w:rsidP="00266330">
            <w:pPr>
              <w:spacing w:after="0" w:line="240" w:lineRule="auto"/>
              <w:rPr>
                <w:rFonts w:eastAsia="Times New Roman"/>
                <w:b/>
                <w:color w:val="000000"/>
                <w:sz w:val="16"/>
                <w:szCs w:val="16"/>
                <w:lang w:val="ru-MO"/>
              </w:rPr>
            </w:pPr>
            <w:r w:rsidRPr="00CE6109">
              <w:rPr>
                <w:rFonts w:eastAsia="Times New Roman"/>
                <w:b/>
                <w:color w:val="000000"/>
                <w:sz w:val="16"/>
                <w:szCs w:val="16"/>
                <w:lang w:val="ru-MO"/>
              </w:rPr>
              <w:t> </w:t>
            </w:r>
          </w:p>
        </w:tc>
        <w:tc>
          <w:tcPr>
            <w:tcW w:w="1056" w:type="dxa"/>
            <w:shd w:val="clear" w:color="auto" w:fill="auto"/>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w:t>
            </w:r>
          </w:p>
        </w:tc>
        <w:tc>
          <w:tcPr>
            <w:tcW w:w="896" w:type="dxa"/>
            <w:vMerge/>
            <w:vAlign w:val="center"/>
            <w:hideMark/>
          </w:tcPr>
          <w:p w:rsidR="00CE2D0C" w:rsidRPr="00CE6109" w:rsidRDefault="00CE2D0C" w:rsidP="00266330">
            <w:pPr>
              <w:spacing w:after="0" w:line="240" w:lineRule="auto"/>
              <w:rPr>
                <w:rFonts w:eastAsia="Times New Roman"/>
                <w:b/>
                <w:color w:val="000000"/>
                <w:sz w:val="16"/>
                <w:szCs w:val="16"/>
                <w:lang w:val="ru-MO"/>
              </w:rPr>
            </w:pPr>
          </w:p>
        </w:tc>
        <w:tc>
          <w:tcPr>
            <w:tcW w:w="881" w:type="dxa"/>
            <w:gridSpan w:val="2"/>
            <w:shd w:val="clear" w:color="auto" w:fill="auto"/>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21992</w:t>
            </w:r>
          </w:p>
        </w:tc>
        <w:tc>
          <w:tcPr>
            <w:tcW w:w="1009" w:type="dxa"/>
            <w:shd w:val="clear" w:color="auto" w:fill="auto"/>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22289</w:t>
            </w:r>
          </w:p>
        </w:tc>
        <w:tc>
          <w:tcPr>
            <w:tcW w:w="896" w:type="dxa"/>
            <w:shd w:val="clear" w:color="auto" w:fill="auto"/>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22482</w:t>
            </w:r>
          </w:p>
        </w:tc>
        <w:tc>
          <w:tcPr>
            <w:tcW w:w="1125" w:type="dxa"/>
            <w:vMerge/>
            <w:shd w:val="clear" w:color="auto" w:fill="F3EFD5"/>
            <w:vAlign w:val="center"/>
            <w:hideMark/>
          </w:tcPr>
          <w:p w:rsidR="00CE2D0C" w:rsidRPr="00CE6109" w:rsidRDefault="00CE2D0C" w:rsidP="00266330">
            <w:pPr>
              <w:spacing w:after="0" w:line="240" w:lineRule="auto"/>
              <w:jc w:val="center"/>
              <w:rPr>
                <w:rFonts w:eastAsia="Times New Roman"/>
                <w:b/>
                <w:color w:val="000000"/>
                <w:sz w:val="16"/>
                <w:szCs w:val="16"/>
                <w:lang w:val="ru-MO"/>
              </w:rPr>
            </w:pPr>
          </w:p>
        </w:tc>
        <w:tc>
          <w:tcPr>
            <w:tcW w:w="941" w:type="dxa"/>
            <w:shd w:val="clear" w:color="auto" w:fill="FBE4D5"/>
            <w:noWrap/>
            <w:vAlign w:val="center"/>
            <w:hideMark/>
          </w:tcPr>
          <w:p w:rsidR="00CE2D0C" w:rsidRPr="00CE6109" w:rsidRDefault="00CE2D0C" w:rsidP="00266330">
            <w:pPr>
              <w:spacing w:after="0" w:line="240" w:lineRule="auto"/>
              <w:jc w:val="center"/>
              <w:rPr>
                <w:rFonts w:eastAsia="Times New Roman"/>
                <w:b/>
                <w:color w:val="000000"/>
                <w:sz w:val="16"/>
                <w:szCs w:val="16"/>
                <w:lang w:val="ru-MO"/>
              </w:rPr>
            </w:pPr>
            <w:r w:rsidRPr="00CE6109">
              <w:rPr>
                <w:rFonts w:eastAsia="Times New Roman"/>
                <w:b/>
                <w:color w:val="000000"/>
                <w:sz w:val="16"/>
                <w:szCs w:val="16"/>
                <w:lang w:val="ru-MO"/>
              </w:rPr>
              <w:t>158,9</w:t>
            </w:r>
          </w:p>
        </w:tc>
        <w:tc>
          <w:tcPr>
            <w:tcW w:w="943" w:type="dxa"/>
            <w:vMerge/>
            <w:shd w:val="clear" w:color="auto" w:fill="EDEDED"/>
            <w:vAlign w:val="center"/>
            <w:hideMark/>
          </w:tcPr>
          <w:p w:rsidR="00CE2D0C" w:rsidRPr="00CE6109" w:rsidRDefault="00CE2D0C" w:rsidP="00266330">
            <w:pPr>
              <w:spacing w:after="0" w:line="240" w:lineRule="auto"/>
              <w:rPr>
                <w:rFonts w:eastAsia="Times New Roman"/>
                <w:b/>
                <w:color w:val="000000"/>
                <w:sz w:val="18"/>
                <w:szCs w:val="18"/>
                <w:lang w:val="ru-MO"/>
              </w:rPr>
            </w:pP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Источник:</w:t>
      </w:r>
      <w:r w:rsidRPr="00CE6109">
        <w:rPr>
          <w:rFonts w:ascii="Times New Roman" w:hAnsi="Times New Roman"/>
          <w:sz w:val="20"/>
          <w:szCs w:val="20"/>
          <w:lang w:val="ru-MO"/>
        </w:rPr>
        <w:t xml:space="preserve"> Разработано аудитом на основании договоров </w:t>
      </w:r>
      <w:r>
        <w:rPr>
          <w:rFonts w:ascii="Times New Roman" w:hAnsi="Times New Roman"/>
          <w:sz w:val="20"/>
          <w:szCs w:val="20"/>
          <w:lang w:val="ru-MO"/>
        </w:rPr>
        <w:t>о</w:t>
      </w:r>
      <w:r w:rsidRPr="00CE6109">
        <w:rPr>
          <w:rFonts w:ascii="Times New Roman" w:hAnsi="Times New Roman"/>
          <w:sz w:val="20"/>
          <w:szCs w:val="20"/>
          <w:lang w:val="ru-MO"/>
        </w:rPr>
        <w:t xml:space="preserve"> предоставлени</w:t>
      </w:r>
      <w:r>
        <w:rPr>
          <w:rFonts w:ascii="Times New Roman" w:hAnsi="Times New Roman"/>
          <w:sz w:val="20"/>
          <w:szCs w:val="20"/>
          <w:lang w:val="ru-MO"/>
        </w:rPr>
        <w:t>и</w:t>
      </w:r>
      <w:r w:rsidRPr="00CE6109">
        <w:rPr>
          <w:rFonts w:ascii="Times New Roman" w:hAnsi="Times New Roman"/>
          <w:sz w:val="20"/>
          <w:szCs w:val="20"/>
          <w:lang w:val="ru-MO"/>
        </w:rPr>
        <w:t xml:space="preserve"> медицинской помощи в рамках ОМС ПМСУ РКБ и представленных оферт за 2013-2015 годы.</w:t>
      </w:r>
    </w:p>
    <w:p w:rsidR="00CE2D0C" w:rsidRPr="00CE6109" w:rsidRDefault="00CE2D0C" w:rsidP="00CE2D0C">
      <w:pPr>
        <w:tabs>
          <w:tab w:val="left" w:pos="851"/>
        </w:tabs>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Согласно представленным в таблице данным отмечается, что фактически контрактация на основании системы </w:t>
      </w:r>
      <w:r>
        <w:rPr>
          <w:rFonts w:ascii="Times New Roman" w:hAnsi="Times New Roman"/>
          <w:sz w:val="28"/>
          <w:szCs w:val="28"/>
          <w:lang w:val="ru-MO"/>
        </w:rPr>
        <w:t>ДСГ (DRG)</w:t>
      </w:r>
      <w:r w:rsidRPr="00CE6109">
        <w:rPr>
          <w:rFonts w:ascii="Times New Roman" w:hAnsi="Times New Roman"/>
          <w:sz w:val="28"/>
          <w:szCs w:val="28"/>
          <w:lang w:val="ru-MO"/>
        </w:rPr>
        <w:t xml:space="preserve"> со всеми составными элементами была произведена только в 2013 году. В 2014 и 2015 годы в договор на предоставление медицинской помощи были включены только тариф и сумма договора, а на 2015 год количество случаев было предусмотрено в дополнительном соглашении, подписанном после принятия Закона о ФОМС, однако без указания индекса сложности случаев. </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Этот факт свидетельствует о том, что невключение</w:t>
      </w:r>
      <w:r>
        <w:rPr>
          <w:rFonts w:ascii="Times New Roman" w:hAnsi="Times New Roman"/>
          <w:sz w:val="28"/>
          <w:szCs w:val="28"/>
          <w:lang w:val="ru-MO"/>
        </w:rPr>
        <w:t>м</w:t>
      </w:r>
      <w:r w:rsidRPr="00CE6109">
        <w:rPr>
          <w:rFonts w:ascii="Times New Roman" w:hAnsi="Times New Roman"/>
          <w:sz w:val="28"/>
          <w:szCs w:val="28"/>
          <w:lang w:val="ru-MO"/>
        </w:rPr>
        <w:t xml:space="preserve"> в условия договора всех показателей, которые лежат в основе системы </w:t>
      </w:r>
      <w:r>
        <w:rPr>
          <w:rFonts w:ascii="Times New Roman" w:hAnsi="Times New Roman"/>
          <w:sz w:val="28"/>
          <w:szCs w:val="28"/>
          <w:lang w:val="ru-MO"/>
        </w:rPr>
        <w:t>ДСГ (DRG)</w:t>
      </w:r>
      <w:r w:rsidRPr="00CE6109">
        <w:rPr>
          <w:rFonts w:ascii="Times New Roman" w:hAnsi="Times New Roman"/>
          <w:sz w:val="28"/>
          <w:szCs w:val="28"/>
          <w:lang w:val="ru-MO"/>
        </w:rPr>
        <w:t xml:space="preserve">, в процессе контрактации стационарных медицинских услуг из ФОМС не была обеспечена прозрачность и объективность порядка расчета суммы договора. Эти </w:t>
      </w:r>
      <w:r w:rsidRPr="00CE6109">
        <w:rPr>
          <w:rFonts w:ascii="Times New Roman" w:hAnsi="Times New Roman"/>
          <w:sz w:val="28"/>
          <w:szCs w:val="28"/>
          <w:lang w:val="ru-MO"/>
        </w:rPr>
        <w:lastRenderedPageBreak/>
        <w:t>обстоятельства не позволяют оценить законтрактованные финансовые средства для оказания медицинских услуг в сравнение с индексом сложности, зарегистрированным учреждением, который име</w:t>
      </w:r>
      <w:r>
        <w:rPr>
          <w:rFonts w:ascii="Times New Roman" w:hAnsi="Times New Roman"/>
          <w:sz w:val="28"/>
          <w:szCs w:val="28"/>
          <w:lang w:val="ru-MO"/>
        </w:rPr>
        <w:t>ет</w:t>
      </w:r>
      <w:r w:rsidRPr="00CE6109">
        <w:rPr>
          <w:rFonts w:ascii="Times New Roman" w:hAnsi="Times New Roman"/>
          <w:sz w:val="28"/>
          <w:szCs w:val="28"/>
          <w:lang w:val="ru-MO"/>
        </w:rPr>
        <w:t xml:space="preserve"> тенденцию увеличения на протяжении указанных периодов. Таким образом, отмечается рост индекса сложности с 1,6794 в 2013 году до 1,7258 в 2014 году и до 1,8148 в 2015 году, что указывает на рост сложности пролеченных случаев. Следовательно, аудит отмечает, что ПМСУ РКБ, в качестве учреждения республиканского уровня, фокусируется на лечении сложных и дорогостоящих случаев. Вместе с тем, аудит отмечает, что учреждение не ознакомлено с порядком определения тарифа для одного пролеченного случая и индексом сложности, применяемым при его расчете, хотя ежеквартально данные по </w:t>
      </w:r>
      <w:r>
        <w:rPr>
          <w:rFonts w:ascii="Times New Roman" w:hAnsi="Times New Roman"/>
          <w:sz w:val="28"/>
          <w:szCs w:val="28"/>
          <w:lang w:val="ru-MO"/>
        </w:rPr>
        <w:t>видам</w:t>
      </w:r>
      <w:r w:rsidRPr="00CE6109">
        <w:rPr>
          <w:rFonts w:ascii="Times New Roman" w:hAnsi="Times New Roman"/>
          <w:sz w:val="28"/>
          <w:szCs w:val="28"/>
          <w:lang w:val="ru-MO"/>
        </w:rPr>
        <w:t xml:space="preserve"> и сложности пролеченного случая вводятся в информационную систему учреждения, которые впоследствии передаются НМСК в целях ее формирования.</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Другой аспект, выявленный аудитом, состоит в том, что ПМСУ РКБ в оферте стационарных медицинских услуг на 2015 год, представленной НМСК, предлага</w:t>
      </w:r>
      <w:r>
        <w:rPr>
          <w:rFonts w:ascii="Times New Roman" w:hAnsi="Times New Roman"/>
          <w:sz w:val="28"/>
          <w:szCs w:val="28"/>
          <w:lang w:val="ru-MO"/>
        </w:rPr>
        <w:t>ло</w:t>
      </w:r>
      <w:r w:rsidRPr="00CE6109">
        <w:rPr>
          <w:rFonts w:ascii="Times New Roman" w:hAnsi="Times New Roman"/>
          <w:sz w:val="28"/>
          <w:szCs w:val="28"/>
          <w:lang w:val="ru-MO"/>
        </w:rPr>
        <w:t xml:space="preserve"> контрактацию 21992 случаев, однако первоначально было законтрактовано 21090 случаев и впоследствии дополнительным соглашением от ноября 2015 года было уточнено 22289 случаев. Фактически, в 2015 году учреждение предоставило медицинские услуги застрахованным пациентам в количестве 22482, или на 193 случаев больше по сравнению с контрактованным уровнем. Следовательно, по данным из представленной выше таблиц</w:t>
      </w:r>
      <w:r>
        <w:rPr>
          <w:rFonts w:ascii="Times New Roman" w:hAnsi="Times New Roman"/>
          <w:sz w:val="28"/>
          <w:szCs w:val="28"/>
          <w:lang w:val="ru-MO"/>
        </w:rPr>
        <w:t>ы</w:t>
      </w:r>
      <w:r w:rsidRPr="00CE6109">
        <w:rPr>
          <w:rFonts w:ascii="Times New Roman" w:hAnsi="Times New Roman"/>
          <w:sz w:val="28"/>
          <w:szCs w:val="28"/>
          <w:lang w:val="ru-MO"/>
        </w:rPr>
        <w:t>, для оказания стационарных медицинских услуг застрахованным пациентам ПМСУ РКБ не располагало финансовыми средствами в объеме 2,4 млн. леев.</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i/>
          <w:sz w:val="28"/>
          <w:szCs w:val="28"/>
          <w:lang w:val="ru-MO"/>
        </w:rPr>
        <w:t>В декабре 2015 года ПМСУ РКБ запросило у НМСК оплат</w:t>
      </w:r>
      <w:r>
        <w:rPr>
          <w:rFonts w:ascii="Times New Roman" w:hAnsi="Times New Roman"/>
          <w:i/>
          <w:sz w:val="28"/>
          <w:szCs w:val="28"/>
          <w:lang w:val="ru-MO"/>
        </w:rPr>
        <w:t>ить</w:t>
      </w:r>
      <w:r w:rsidRPr="00CE6109">
        <w:rPr>
          <w:rFonts w:ascii="Times New Roman" w:hAnsi="Times New Roman"/>
          <w:i/>
          <w:sz w:val="28"/>
          <w:szCs w:val="28"/>
          <w:lang w:val="ru-MO"/>
        </w:rPr>
        <w:t xml:space="preserve"> дополнительно предоставленны</w:t>
      </w:r>
      <w:r>
        <w:rPr>
          <w:rFonts w:ascii="Times New Roman" w:hAnsi="Times New Roman"/>
          <w:i/>
          <w:sz w:val="28"/>
          <w:szCs w:val="28"/>
          <w:lang w:val="ru-MO"/>
        </w:rPr>
        <w:t>е</w:t>
      </w:r>
      <w:r w:rsidRPr="00CE6109">
        <w:rPr>
          <w:rFonts w:ascii="Times New Roman" w:hAnsi="Times New Roman"/>
          <w:i/>
          <w:sz w:val="28"/>
          <w:szCs w:val="28"/>
          <w:lang w:val="ru-MO"/>
        </w:rPr>
        <w:t xml:space="preserve"> пролеченны</w:t>
      </w:r>
      <w:r>
        <w:rPr>
          <w:rFonts w:ascii="Times New Roman" w:hAnsi="Times New Roman"/>
          <w:i/>
          <w:sz w:val="28"/>
          <w:szCs w:val="28"/>
          <w:lang w:val="ru-MO"/>
        </w:rPr>
        <w:t>е</w:t>
      </w:r>
      <w:r w:rsidRPr="00CE6109">
        <w:rPr>
          <w:rFonts w:ascii="Times New Roman" w:hAnsi="Times New Roman"/>
          <w:i/>
          <w:sz w:val="28"/>
          <w:szCs w:val="28"/>
          <w:lang w:val="ru-MO"/>
        </w:rPr>
        <w:t xml:space="preserve"> случа</w:t>
      </w:r>
      <w:r>
        <w:rPr>
          <w:rFonts w:ascii="Times New Roman" w:hAnsi="Times New Roman"/>
          <w:i/>
          <w:sz w:val="28"/>
          <w:szCs w:val="28"/>
          <w:lang w:val="ru-MO"/>
        </w:rPr>
        <w:t>и</w:t>
      </w:r>
      <w:r w:rsidRPr="00CE6109">
        <w:rPr>
          <w:rFonts w:ascii="Times New Roman" w:hAnsi="Times New Roman"/>
          <w:i/>
          <w:sz w:val="28"/>
          <w:szCs w:val="28"/>
          <w:lang w:val="ru-MO"/>
        </w:rPr>
        <w:t xml:space="preserve"> (193 случаев), однако НМСК сообщила, что выполнила</w:t>
      </w:r>
      <w:r>
        <w:rPr>
          <w:rFonts w:ascii="Times New Roman" w:hAnsi="Times New Roman"/>
          <w:i/>
          <w:sz w:val="28"/>
          <w:szCs w:val="28"/>
          <w:lang w:val="ru-MO"/>
        </w:rPr>
        <w:t xml:space="preserve"> свои</w:t>
      </w:r>
      <w:r w:rsidRPr="00CE6109">
        <w:rPr>
          <w:rFonts w:ascii="Times New Roman" w:hAnsi="Times New Roman"/>
          <w:i/>
          <w:sz w:val="28"/>
          <w:szCs w:val="28"/>
          <w:lang w:val="ru-MO"/>
        </w:rPr>
        <w:t xml:space="preserve"> договорные обязательства перед учреждением, а оплата осуществляется на основании заключенного договора об оказании медицинской помощи</w:t>
      </w:r>
      <w:r w:rsidRPr="00CE6109">
        <w:rPr>
          <w:rFonts w:ascii="Times New Roman" w:hAnsi="Times New Roman"/>
          <w:sz w:val="28"/>
          <w:szCs w:val="28"/>
          <w:lang w:val="ru-MO"/>
        </w:rPr>
        <w:t>.</w:t>
      </w:r>
    </w:p>
    <w:p w:rsidR="00CE2D0C" w:rsidRPr="00CE6109" w:rsidRDefault="00CE2D0C" w:rsidP="00CE2D0C">
      <w:pPr>
        <w:tabs>
          <w:tab w:val="left" w:pos="851"/>
        </w:tabs>
        <w:spacing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Эти обстоятельства свидетельствуют о том, что непокрытие договорной суммой затрат и расходов, понесенных учреждением, обуславливает не</w:t>
      </w:r>
      <w:r>
        <w:rPr>
          <w:rFonts w:ascii="Times New Roman" w:hAnsi="Times New Roman"/>
          <w:sz w:val="28"/>
          <w:szCs w:val="28"/>
          <w:lang w:val="ru-MO"/>
        </w:rPr>
        <w:t>хватку</w:t>
      </w:r>
      <w:r w:rsidRPr="00CE6109">
        <w:rPr>
          <w:rFonts w:ascii="Times New Roman" w:hAnsi="Times New Roman"/>
          <w:sz w:val="28"/>
          <w:szCs w:val="28"/>
          <w:lang w:val="ru-MO"/>
        </w:rPr>
        <w:t xml:space="preserve"> финансовых средств и регистрацию задолженности перед поставщиками. </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i/>
          <w:sz w:val="28"/>
          <w:szCs w:val="28"/>
          <w:lang w:val="ru-MO"/>
        </w:rPr>
        <w:t xml:space="preserve">Аудитом был проведен анализ затрат по каждому отделению путем приведения в соответствие тарифа на один пролеченный случай с индексом сложности зарегистрированном в 2015 году и числом исполненных случаев, по сравнению с указанным тарифом и финансовыми средствами, контрактованными из ФОМС. </w:t>
      </w:r>
      <w:r w:rsidRPr="00CE6109">
        <w:rPr>
          <w:rFonts w:ascii="Times New Roman" w:hAnsi="Times New Roman"/>
          <w:sz w:val="28"/>
          <w:szCs w:val="28"/>
          <w:lang w:val="ru-MO"/>
        </w:rPr>
        <w:t>Таким образом, аудит выявил недостачу финансовых средств в сумме 7,5 млн. леев между договорной стоимостью (156,5 млн.леев) и проведенными расчетами (Приложение №2).</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Также аудит отмечает, что важной составляющей стоимости пролеченного случая являются </w:t>
      </w:r>
      <w:r w:rsidRPr="00CE6109">
        <w:rPr>
          <w:rFonts w:ascii="Times New Roman" w:hAnsi="Times New Roman"/>
          <w:i/>
          <w:sz w:val="28"/>
          <w:szCs w:val="28"/>
          <w:lang w:val="ru-MO"/>
        </w:rPr>
        <w:t>дорогие расходные материалы</w:t>
      </w:r>
      <w:r w:rsidRPr="00CE6109">
        <w:rPr>
          <w:rFonts w:ascii="Times New Roman" w:hAnsi="Times New Roman"/>
          <w:sz w:val="28"/>
          <w:szCs w:val="28"/>
          <w:lang w:val="ru-MO"/>
        </w:rPr>
        <w:t xml:space="preserve">. Так, в 2015 году из 66 </w:t>
      </w:r>
      <w:r w:rsidRPr="00CE6109">
        <w:rPr>
          <w:rFonts w:ascii="Times New Roman" w:hAnsi="Times New Roman"/>
          <w:sz w:val="28"/>
          <w:szCs w:val="28"/>
          <w:lang w:val="ru-MO"/>
        </w:rPr>
        <w:lastRenderedPageBreak/>
        <w:t>запрашиваемых позиций на сумму 99,3 млн. леев, НМСК утвердила и оплатила 17 позиций на сумму 8,6 млн. леев. Эти обстоятельства определяют оплату дорогостоящих расходных материалов, необходимых для проведения учреждением сложных хирургических вмешательств, и не исключают риск их оплаты пациентами.</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2E30FE">
        <w:rPr>
          <w:rFonts w:ascii="Times New Roman" w:hAnsi="Times New Roman"/>
          <w:sz w:val="28"/>
          <w:szCs w:val="28"/>
          <w:lang w:val="ru-MO"/>
        </w:rPr>
        <w:t>Вместе с тем</w:t>
      </w:r>
      <w:r w:rsidRPr="00CE6109">
        <w:rPr>
          <w:rFonts w:ascii="Times New Roman" w:hAnsi="Times New Roman"/>
          <w:sz w:val="28"/>
          <w:szCs w:val="28"/>
          <w:lang w:val="ru-MO"/>
        </w:rPr>
        <w:t>, ПМСУ РКБ был проведен расчет необходимой средней стоимости пролеченных случаев на 2015 год, которая включает основные расходы на лекарства, питание и износ. Сравнительная информация, касающаяся стоимости пролеченных случаев, скорректированной с индексом сложности и необходимой средней стоимости пролеченных случаев в отделениях учреждения, представлена в приложении №3 и указывает на превышение суммы договора на 185,9 млн. леев, или примерно на 54%. Эта ситуация свидетельствует об острой необходимости проведения руководством учреждения финансово-экономического и структурного анализа стоимости одного пролеченного случая, для оценки включенных расходов и разработки плана мер по их оптимизации.</w:t>
      </w:r>
      <w:r w:rsidRPr="00CE6109">
        <w:rPr>
          <w:lang w:val="ru-MO"/>
        </w:rPr>
        <w:t xml:space="preserve"> </w:t>
      </w:r>
    </w:p>
    <w:p w:rsidR="00CE2D0C" w:rsidRPr="00CE6109" w:rsidRDefault="00CE2D0C" w:rsidP="00CE2D0C">
      <w:pPr>
        <w:tabs>
          <w:tab w:val="left" w:pos="851"/>
        </w:tabs>
        <w:spacing w:before="240" w:after="0" w:line="276" w:lineRule="auto"/>
        <w:ind w:firstLine="567"/>
        <w:jc w:val="both"/>
        <w:rPr>
          <w:rFonts w:ascii="Times New Roman" w:hAnsi="Times New Roman"/>
          <w:b/>
          <w:bCs/>
          <w:i/>
          <w:sz w:val="28"/>
          <w:szCs w:val="28"/>
          <w:lang w:val="ru-MO" w:eastAsia="ro-RO"/>
        </w:rPr>
      </w:pPr>
      <w:r w:rsidRPr="00CE6109">
        <w:rPr>
          <w:rFonts w:ascii="Times New Roman" w:hAnsi="Times New Roman"/>
          <w:b/>
          <w:bCs/>
          <w:i/>
          <w:sz w:val="28"/>
          <w:szCs w:val="28"/>
          <w:lang w:val="ru-MO" w:eastAsia="ro-RO"/>
        </w:rPr>
        <w:t xml:space="preserve">Ненадлежащее и несвоевременное </w:t>
      </w:r>
      <w:r>
        <w:rPr>
          <w:rFonts w:ascii="Times New Roman" w:hAnsi="Times New Roman"/>
          <w:b/>
          <w:bCs/>
          <w:i/>
          <w:sz w:val="28"/>
          <w:szCs w:val="28"/>
          <w:lang w:val="ru-MO" w:eastAsia="ro-RO"/>
        </w:rPr>
        <w:t>поступле</w:t>
      </w:r>
      <w:r w:rsidRPr="00CE6109">
        <w:rPr>
          <w:rFonts w:ascii="Times New Roman" w:hAnsi="Times New Roman"/>
          <w:b/>
          <w:bCs/>
          <w:i/>
          <w:sz w:val="28"/>
          <w:szCs w:val="28"/>
          <w:lang w:val="ru-MO" w:eastAsia="ro-RO"/>
        </w:rPr>
        <w:t xml:space="preserve">ние </w:t>
      </w:r>
      <w:r>
        <w:rPr>
          <w:rFonts w:ascii="Times New Roman" w:hAnsi="Times New Roman"/>
          <w:b/>
          <w:bCs/>
          <w:i/>
          <w:sz w:val="28"/>
          <w:szCs w:val="28"/>
          <w:lang w:val="ru-MO" w:eastAsia="ro-RO"/>
        </w:rPr>
        <w:t xml:space="preserve">в </w:t>
      </w:r>
      <w:r w:rsidRPr="00CE6109">
        <w:rPr>
          <w:rFonts w:ascii="Times New Roman" w:hAnsi="Times New Roman"/>
          <w:b/>
          <w:bCs/>
          <w:i/>
          <w:sz w:val="28"/>
          <w:szCs w:val="28"/>
          <w:lang w:val="ru-MO" w:eastAsia="ro-RO"/>
        </w:rPr>
        <w:t>ПМСУ РКБ финансовых средств, связанных с оплатой медицинских услуг</w:t>
      </w:r>
      <w:r>
        <w:rPr>
          <w:rFonts w:ascii="Times New Roman" w:hAnsi="Times New Roman"/>
          <w:b/>
          <w:bCs/>
          <w:i/>
          <w:sz w:val="28"/>
          <w:szCs w:val="28"/>
          <w:lang w:val="ru-MO" w:eastAsia="ro-RO"/>
        </w:rPr>
        <w:t>,</w:t>
      </w:r>
      <w:r w:rsidRPr="00CE6109">
        <w:rPr>
          <w:rFonts w:ascii="Times New Roman" w:hAnsi="Times New Roman"/>
          <w:b/>
          <w:bCs/>
          <w:i/>
          <w:sz w:val="28"/>
          <w:szCs w:val="28"/>
          <w:lang w:val="ru-MO" w:eastAsia="ro-RO"/>
        </w:rPr>
        <w:t xml:space="preserve"> контрактованных из ФОМС, определяют невыполнение в срок обязательств перед поставщиками и накопление долгов. </w:t>
      </w:r>
    </w:p>
    <w:p w:rsidR="00CE2D0C" w:rsidRPr="00CE6109" w:rsidRDefault="00CE2D0C" w:rsidP="00CE2D0C">
      <w:pPr>
        <w:tabs>
          <w:tab w:val="left" w:pos="851"/>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В соответствии с действующими нормативными положениями</w:t>
      </w:r>
      <w:r w:rsidRPr="00CE6109">
        <w:rPr>
          <w:rStyle w:val="Referinnotdesubsol"/>
          <w:rFonts w:ascii="Times New Roman" w:hAnsi="Times New Roman"/>
          <w:sz w:val="28"/>
          <w:szCs w:val="28"/>
          <w:lang w:val="ru-MO"/>
        </w:rPr>
        <w:footnoteReference w:id="15"/>
      </w:r>
      <w:r w:rsidRPr="00CE6109">
        <w:rPr>
          <w:rFonts w:ascii="Times New Roman" w:hAnsi="Times New Roman"/>
          <w:sz w:val="28"/>
          <w:szCs w:val="28"/>
          <w:lang w:val="ru-MO"/>
        </w:rPr>
        <w:t>, оплата медицинских услуг в рамках стационарной медицинской помощи из ФОМС осуществляется:</w:t>
      </w:r>
    </w:p>
    <w:p w:rsidR="00CE2D0C" w:rsidRPr="00CE6109" w:rsidRDefault="00CE2D0C" w:rsidP="00CE2D0C">
      <w:pPr>
        <w:pStyle w:val="Listparagraf"/>
        <w:numPr>
          <w:ilvl w:val="0"/>
          <w:numId w:val="16"/>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ежемесячно, в пределах имеющихся финансовых средств, до 15 числа соответствующего месяца, авансовыми платежами в размере до 80% от 1/12 части суммы договора на год;</w:t>
      </w:r>
    </w:p>
    <w:p w:rsidR="00CE2D0C" w:rsidRPr="00CE6109" w:rsidRDefault="00CE2D0C" w:rsidP="00CE2D0C">
      <w:pPr>
        <w:pStyle w:val="Listparagraf"/>
        <w:numPr>
          <w:ilvl w:val="0"/>
          <w:numId w:val="16"/>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ежеквартально, после представления платежных фактур.</w:t>
      </w:r>
    </w:p>
    <w:p w:rsidR="00CE2D0C" w:rsidRPr="00CE6109" w:rsidRDefault="00CE2D0C" w:rsidP="00CE2D0C">
      <w:pPr>
        <w:pStyle w:val="Listparagraf"/>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 xml:space="preserve">В связи с этим, в результате анализа порядка </w:t>
      </w:r>
      <w:r>
        <w:rPr>
          <w:rFonts w:ascii="Times New Roman" w:hAnsi="Times New Roman"/>
          <w:sz w:val="28"/>
          <w:szCs w:val="28"/>
          <w:lang w:val="ru-MO"/>
        </w:rPr>
        <w:t>поступле</w:t>
      </w:r>
      <w:r w:rsidRPr="00CE6109">
        <w:rPr>
          <w:rFonts w:ascii="Times New Roman" w:hAnsi="Times New Roman"/>
          <w:sz w:val="28"/>
          <w:szCs w:val="28"/>
          <w:lang w:val="ru-MO"/>
        </w:rPr>
        <w:t xml:space="preserve">ния </w:t>
      </w:r>
      <w:r>
        <w:rPr>
          <w:rFonts w:ascii="Times New Roman" w:hAnsi="Times New Roman"/>
          <w:sz w:val="28"/>
          <w:szCs w:val="28"/>
          <w:lang w:val="ru-MO"/>
        </w:rPr>
        <w:t xml:space="preserve">в </w:t>
      </w:r>
      <w:r w:rsidRPr="00CE6109">
        <w:rPr>
          <w:rFonts w:ascii="Times New Roman" w:hAnsi="Times New Roman"/>
          <w:sz w:val="28"/>
          <w:szCs w:val="28"/>
          <w:lang w:val="ru-MO"/>
        </w:rPr>
        <w:t>ПМСУ РКБ финансовых средств из ФОМС, аудитом выявлены некоторые несоответствия, касающиеся диспропорциональности поступления доходов по договору, информация представлена в таблице ниже.</w:t>
      </w:r>
    </w:p>
    <w:p w:rsidR="00CE2D0C" w:rsidRPr="00CE6109" w:rsidRDefault="00CE2D0C" w:rsidP="00CE2D0C">
      <w:pPr>
        <w:tabs>
          <w:tab w:val="left" w:pos="851"/>
        </w:tabs>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Таблица №3</w:t>
      </w:r>
    </w:p>
    <w:p w:rsidR="00CE2D0C" w:rsidRPr="00CE6109" w:rsidRDefault="00CE2D0C" w:rsidP="00CE2D0C">
      <w:pPr>
        <w:tabs>
          <w:tab w:val="left" w:pos="851"/>
        </w:tabs>
        <w:spacing w:line="240" w:lineRule="auto"/>
        <w:jc w:val="center"/>
        <w:rPr>
          <w:rFonts w:ascii="Times New Roman" w:hAnsi="Times New Roman"/>
          <w:b/>
          <w:i/>
          <w:sz w:val="24"/>
          <w:szCs w:val="24"/>
          <w:lang w:val="ru-MO"/>
        </w:rPr>
      </w:pPr>
      <w:r w:rsidRPr="00CE6109">
        <w:rPr>
          <w:rFonts w:ascii="Times New Roman" w:hAnsi="Times New Roman"/>
          <w:b/>
          <w:i/>
          <w:sz w:val="24"/>
          <w:szCs w:val="24"/>
          <w:lang w:val="ru-MO"/>
        </w:rPr>
        <w:t xml:space="preserve">Ситуация, касающаяся поступления финансовых средств из ФОМС </w:t>
      </w:r>
    </w:p>
    <w:tbl>
      <w:tblPr>
        <w:tblpPr w:leftFromText="180" w:rightFromText="180" w:vertAnchor="text" w:horzAnchor="margin" w:tblpX="-20" w:tblpY="95"/>
        <w:tblW w:w="11336" w:type="dxa"/>
        <w:tblLook w:val="04A0"/>
      </w:tblPr>
      <w:tblGrid>
        <w:gridCol w:w="1271"/>
        <w:gridCol w:w="1420"/>
        <w:gridCol w:w="1527"/>
        <w:gridCol w:w="1559"/>
        <w:gridCol w:w="1418"/>
        <w:gridCol w:w="1508"/>
        <w:gridCol w:w="1635"/>
        <w:gridCol w:w="998"/>
      </w:tblGrid>
      <w:tr w:rsidR="00CE2D0C" w:rsidRPr="00CD59C4" w:rsidTr="00266330">
        <w:trPr>
          <w:gridAfter w:val="1"/>
          <w:wAfter w:w="1276" w:type="dxa"/>
          <w:trHeight w:val="624"/>
        </w:trPr>
        <w:tc>
          <w:tcPr>
            <w:tcW w:w="1271"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Месяц</w:t>
            </w:r>
          </w:p>
        </w:tc>
        <w:tc>
          <w:tcPr>
            <w:tcW w:w="1420" w:type="dxa"/>
            <w:tcBorders>
              <w:top w:val="single" w:sz="4" w:space="0" w:color="auto"/>
              <w:left w:val="nil"/>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Согласно договору, млн. леев</w:t>
            </w:r>
          </w:p>
        </w:tc>
        <w:tc>
          <w:tcPr>
            <w:tcW w:w="1557" w:type="dxa"/>
            <w:tcBorders>
              <w:top w:val="single" w:sz="4" w:space="0" w:color="auto"/>
              <w:left w:val="nil"/>
              <w:bottom w:val="single" w:sz="4" w:space="0" w:color="auto"/>
              <w:right w:val="single" w:sz="4" w:space="0" w:color="auto"/>
            </w:tcBorders>
            <w:shd w:val="clear" w:color="000000" w:fill="C6E0B4"/>
            <w:vAlign w:val="center"/>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Дата перечисления</w:t>
            </w:r>
          </w:p>
        </w:tc>
        <w:tc>
          <w:tcPr>
            <w:tcW w:w="1559"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Фактически уплаченный аванс, млн. леев</w:t>
            </w:r>
          </w:p>
        </w:tc>
        <w:tc>
          <w:tcPr>
            <w:tcW w:w="1418" w:type="dxa"/>
            <w:tcBorders>
              <w:top w:val="single" w:sz="4" w:space="0" w:color="auto"/>
              <w:left w:val="nil"/>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Полная оплата, млн. леев</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Выставленный счет к оплате,</w:t>
            </w:r>
          </w:p>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млн. леев</w:t>
            </w:r>
          </w:p>
        </w:tc>
        <w:tc>
          <w:tcPr>
            <w:tcW w:w="1559" w:type="dxa"/>
            <w:tcBorders>
              <w:top w:val="single" w:sz="4" w:space="0" w:color="auto"/>
              <w:left w:val="nil"/>
              <w:bottom w:val="single" w:sz="4" w:space="0" w:color="auto"/>
              <w:right w:val="single" w:sz="4" w:space="0" w:color="auto"/>
            </w:tcBorders>
            <w:shd w:val="clear" w:color="000000" w:fill="C6E0B4"/>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Фактическая доля перечисленного  аванса, %</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январь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20,27.01; 26.02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8,5</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60,0</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lastRenderedPageBreak/>
              <w:t>февраль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06, 24.02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14,0</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98,9</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март</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05,18, 23.03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80,0</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i/>
                <w:color w:val="000000"/>
                <w:sz w:val="20"/>
                <w:szCs w:val="20"/>
                <w:lang w:val="ru-MO"/>
              </w:rPr>
            </w:pPr>
            <w:r w:rsidRPr="00CD59C4">
              <w:rPr>
                <w:rFonts w:eastAsia="Times New Roman"/>
                <w:bCs/>
                <w:i/>
                <w:color w:val="000000"/>
                <w:sz w:val="20"/>
                <w:szCs w:val="20"/>
                <w:lang w:val="ru-MO"/>
              </w:rPr>
              <w:t>полная оплата</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8,5</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i/>
                <w:color w:val="000000"/>
                <w:sz w:val="20"/>
                <w:szCs w:val="20"/>
                <w:lang w:val="ru-MO"/>
              </w:rPr>
            </w:pPr>
            <w:r w:rsidRPr="00CD59C4">
              <w:rPr>
                <w:rFonts w:eastAsia="Times New Roman"/>
                <w:i/>
                <w:color w:val="000000"/>
                <w:sz w:val="20"/>
                <w:szCs w:val="20"/>
                <w:lang w:val="ru-MO"/>
              </w:rPr>
              <w:t>24.04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7,3</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апрель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06,10.04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41,1</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80,0</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май</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14, 27.05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80,0</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июнь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11,4</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09.06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418"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79,7</w:t>
            </w:r>
          </w:p>
        </w:tc>
      </w:tr>
      <w:tr w:rsidR="00CE2D0C" w:rsidRPr="00CD59C4" w:rsidTr="00266330">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i/>
                <w:color w:val="000000"/>
                <w:sz w:val="20"/>
                <w:szCs w:val="20"/>
                <w:lang w:val="ru-MO"/>
              </w:rPr>
            </w:pPr>
            <w:r w:rsidRPr="00CD59C4">
              <w:rPr>
                <w:rFonts w:eastAsia="Times New Roman"/>
                <w:bCs/>
                <w:i/>
                <w:color w:val="000000"/>
                <w:sz w:val="20"/>
                <w:szCs w:val="20"/>
                <w:lang w:val="ru-MO"/>
              </w:rPr>
              <w:t>полная оплата</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8,5</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i/>
                <w:color w:val="000000"/>
                <w:sz w:val="20"/>
                <w:szCs w:val="20"/>
                <w:lang w:val="ru-MO"/>
              </w:rPr>
            </w:pPr>
            <w:r w:rsidRPr="00CD59C4">
              <w:rPr>
                <w:rFonts w:eastAsia="Times New Roman"/>
                <w:i/>
                <w:color w:val="000000"/>
                <w:sz w:val="20"/>
                <w:szCs w:val="20"/>
                <w:lang w:val="ru-MO"/>
              </w:rPr>
              <w:t>17.07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p>
        </w:tc>
        <w:tc>
          <w:tcPr>
            <w:tcW w:w="1276" w:type="dxa"/>
            <w:vAlign w:val="center"/>
          </w:tcPr>
          <w:p w:rsidR="00CE2D0C" w:rsidRPr="00CD59C4" w:rsidRDefault="00CE2D0C" w:rsidP="00266330">
            <w:pPr>
              <w:spacing w:after="0" w:line="240" w:lineRule="auto"/>
              <w:jc w:val="right"/>
              <w:rPr>
                <w:rFonts w:eastAsia="Times New Roman"/>
                <w:color w:val="000000"/>
                <w:sz w:val="20"/>
                <w:szCs w:val="20"/>
                <w:lang w:val="ru-MO"/>
              </w:rPr>
            </w:pPr>
            <w:r w:rsidRPr="00CD59C4">
              <w:rPr>
                <w:rFonts w:eastAsia="Times New Roman"/>
                <w:color w:val="000000"/>
                <w:sz w:val="20"/>
                <w:szCs w:val="20"/>
                <w:lang w:val="ru-MO"/>
              </w:rPr>
              <w:t>-</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июль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16,8</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01.07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11,3</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7,3</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76,6</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54,2</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август</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21,6</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07, 13.08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11,4</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35,2</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1,6</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42,3</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сентябрь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21,6</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 xml:space="preserve">04, 08, 14, 16.09;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10,9</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6,6</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0,3</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40,4</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i/>
                <w:color w:val="000000"/>
                <w:sz w:val="20"/>
                <w:szCs w:val="20"/>
                <w:lang w:val="ru-MO"/>
              </w:rPr>
            </w:pPr>
            <w:r w:rsidRPr="00CD59C4">
              <w:rPr>
                <w:rFonts w:eastAsia="Times New Roman"/>
                <w:bCs/>
                <w:i/>
                <w:color w:val="000000"/>
                <w:sz w:val="20"/>
                <w:szCs w:val="20"/>
                <w:lang w:val="ru-MO"/>
              </w:rPr>
              <w:t>полная оплата</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15,0</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i/>
                <w:color w:val="000000"/>
                <w:sz w:val="20"/>
                <w:szCs w:val="20"/>
                <w:lang w:val="ru-MO"/>
              </w:rPr>
            </w:pPr>
            <w:r w:rsidRPr="00CD59C4">
              <w:rPr>
                <w:rFonts w:eastAsia="Times New Roman"/>
                <w:i/>
                <w:color w:val="000000"/>
                <w:sz w:val="20"/>
                <w:szCs w:val="20"/>
                <w:lang w:val="ru-MO"/>
              </w:rPr>
              <w:t>24, 30.10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октябрь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21,6</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05, 26.10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10,9</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1,1</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35,7</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40,4</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ноябрь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23,7</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06, 18, 27.11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12,5</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5,8</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9,1</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42,2</w:t>
            </w:r>
          </w:p>
        </w:tc>
      </w:tr>
      <w:tr w:rsidR="00CE2D0C" w:rsidRPr="00CD59C4" w:rsidTr="00266330">
        <w:trPr>
          <w:gridAfter w:val="1"/>
          <w:wAfter w:w="1276" w:type="dxa"/>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color w:val="000000"/>
                <w:sz w:val="20"/>
                <w:szCs w:val="20"/>
                <w:lang w:val="ru-MO"/>
              </w:rPr>
            </w:pPr>
            <w:r w:rsidRPr="00CD59C4">
              <w:rPr>
                <w:rFonts w:eastAsia="Times New Roman"/>
                <w:bCs/>
                <w:color w:val="000000"/>
                <w:sz w:val="20"/>
                <w:szCs w:val="20"/>
                <w:lang w:val="ru-MO"/>
              </w:rPr>
              <w:t>декабрь</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23,7</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color w:val="000000"/>
                <w:sz w:val="20"/>
                <w:szCs w:val="20"/>
                <w:lang w:val="ru-MO"/>
              </w:rPr>
            </w:pPr>
            <w:r w:rsidRPr="00CD59C4">
              <w:rPr>
                <w:rFonts w:eastAsia="Times New Roman"/>
                <w:color w:val="000000"/>
                <w:sz w:val="20"/>
                <w:szCs w:val="20"/>
                <w:lang w:val="ru-MO"/>
              </w:rPr>
              <w:t>08, 11, 28.12;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13,0</w:t>
            </w: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r w:rsidRPr="00CD59C4">
              <w:rPr>
                <w:color w:val="000000"/>
                <w:sz w:val="20"/>
                <w:szCs w:val="20"/>
                <w:lang w:val="ru-MO"/>
              </w:rPr>
              <w:t>41,4</w:t>
            </w: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78,3</w:t>
            </w: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44,0</w:t>
            </w:r>
          </w:p>
        </w:tc>
      </w:tr>
      <w:tr w:rsidR="00CE2D0C" w:rsidRPr="00CD59C4" w:rsidTr="00266330">
        <w:trPr>
          <w:gridAfter w:val="1"/>
          <w:wAfter w:w="1276" w:type="dxa"/>
          <w:trHeight w:val="5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line="240" w:lineRule="auto"/>
              <w:jc w:val="center"/>
              <w:rPr>
                <w:rFonts w:eastAsia="Times New Roman"/>
                <w:bCs/>
                <w:i/>
                <w:color w:val="000000"/>
                <w:sz w:val="20"/>
                <w:szCs w:val="20"/>
                <w:lang w:val="ru-MO"/>
              </w:rPr>
            </w:pPr>
            <w:r w:rsidRPr="00CD59C4">
              <w:rPr>
                <w:rFonts w:eastAsia="Times New Roman"/>
                <w:bCs/>
                <w:i/>
                <w:color w:val="000000"/>
                <w:sz w:val="20"/>
                <w:szCs w:val="20"/>
                <w:lang w:val="ru-MO"/>
              </w:rPr>
              <w:t>полная оплата</w:t>
            </w:r>
          </w:p>
        </w:tc>
        <w:tc>
          <w:tcPr>
            <w:tcW w:w="1420"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r w:rsidRPr="00CD59C4">
              <w:rPr>
                <w:color w:val="000000"/>
                <w:sz w:val="20"/>
                <w:szCs w:val="20"/>
                <w:lang w:val="ru-MO"/>
              </w:rPr>
              <w:t>19,4</w:t>
            </w:r>
          </w:p>
        </w:tc>
        <w:tc>
          <w:tcPr>
            <w:tcW w:w="1557" w:type="dxa"/>
            <w:tcBorders>
              <w:top w:val="single" w:sz="4" w:space="0" w:color="auto"/>
              <w:left w:val="nil"/>
              <w:bottom w:val="single" w:sz="4" w:space="0" w:color="auto"/>
              <w:right w:val="single" w:sz="4" w:space="0" w:color="auto"/>
            </w:tcBorders>
            <w:vAlign w:val="center"/>
          </w:tcPr>
          <w:p w:rsidR="00CE2D0C" w:rsidRPr="00CD59C4" w:rsidRDefault="00CE2D0C" w:rsidP="00266330">
            <w:pPr>
              <w:spacing w:after="0" w:line="240" w:lineRule="auto"/>
              <w:rPr>
                <w:rFonts w:eastAsia="Times New Roman"/>
                <w:i/>
                <w:color w:val="000000"/>
                <w:sz w:val="20"/>
                <w:szCs w:val="20"/>
                <w:lang w:val="ru-MO"/>
              </w:rPr>
            </w:pPr>
            <w:r w:rsidRPr="00CD59C4">
              <w:rPr>
                <w:rFonts w:eastAsia="Times New Roman"/>
                <w:i/>
                <w:color w:val="000000"/>
                <w:sz w:val="20"/>
                <w:szCs w:val="20"/>
                <w:lang w:val="ru-MO"/>
              </w:rPr>
              <w:t>11, 30.12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418"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color w:val="000000"/>
                <w:sz w:val="20"/>
                <w:szCs w:val="20"/>
                <w:lang w:val="ru-MO"/>
              </w:rPr>
            </w:pPr>
          </w:p>
        </w:tc>
        <w:tc>
          <w:tcPr>
            <w:tcW w:w="1276"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20"/>
                <w:szCs w:val="20"/>
                <w:lang w:val="ru-MO"/>
              </w:rPr>
            </w:pPr>
          </w:p>
        </w:tc>
        <w:tc>
          <w:tcPr>
            <w:tcW w:w="1559" w:type="dxa"/>
            <w:tcBorders>
              <w:top w:val="nil"/>
              <w:left w:val="nil"/>
              <w:bottom w:val="single" w:sz="4" w:space="0" w:color="auto"/>
              <w:right w:val="single" w:sz="4" w:space="0" w:color="auto"/>
            </w:tcBorders>
            <w:shd w:val="clear" w:color="000000" w:fill="FCE4D6"/>
            <w:noWrap/>
            <w:vAlign w:val="center"/>
            <w:hideMark/>
          </w:tcPr>
          <w:p w:rsidR="00CE2D0C" w:rsidRPr="00CD59C4" w:rsidRDefault="00CE2D0C" w:rsidP="00266330">
            <w:pPr>
              <w:spacing w:after="0"/>
              <w:jc w:val="center"/>
              <w:rPr>
                <w:color w:val="000000"/>
                <w:sz w:val="20"/>
                <w:szCs w:val="20"/>
                <w:lang w:val="ru-MO"/>
              </w:rPr>
            </w:pPr>
          </w:p>
        </w:tc>
      </w:tr>
      <w:tr w:rsidR="00CE2D0C" w:rsidRPr="00CD59C4" w:rsidTr="00266330">
        <w:trPr>
          <w:gridAfter w:val="1"/>
          <w:wAfter w:w="1276" w:type="dxa"/>
          <w:trHeight w:val="312"/>
        </w:trPr>
        <w:tc>
          <w:tcPr>
            <w:tcW w:w="1271"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CE2D0C" w:rsidRPr="00CD59C4" w:rsidRDefault="00CE2D0C" w:rsidP="00266330">
            <w:pPr>
              <w:spacing w:after="0" w:line="240" w:lineRule="auto"/>
              <w:jc w:val="center"/>
              <w:rPr>
                <w:rFonts w:eastAsia="Times New Roman"/>
                <w:b/>
                <w:bCs/>
                <w:color w:val="000000"/>
                <w:sz w:val="20"/>
                <w:szCs w:val="20"/>
                <w:lang w:val="ru-MO"/>
              </w:rPr>
            </w:pPr>
            <w:r w:rsidRPr="00CD59C4">
              <w:rPr>
                <w:rFonts w:eastAsia="Times New Roman"/>
                <w:b/>
                <w:bCs/>
                <w:color w:val="000000"/>
                <w:sz w:val="20"/>
                <w:szCs w:val="20"/>
                <w:lang w:val="ru-MO"/>
              </w:rPr>
              <w:t>ВСЕГО</w:t>
            </w:r>
          </w:p>
        </w:tc>
        <w:tc>
          <w:tcPr>
            <w:tcW w:w="1420" w:type="dxa"/>
            <w:tcBorders>
              <w:top w:val="nil"/>
              <w:left w:val="nil"/>
              <w:bottom w:val="single" w:sz="4" w:space="0" w:color="auto"/>
              <w:right w:val="single" w:sz="4" w:space="0" w:color="auto"/>
            </w:tcBorders>
            <w:shd w:val="clear" w:color="000000" w:fill="FFE699"/>
            <w:noWrap/>
            <w:vAlign w:val="center"/>
            <w:hideMark/>
          </w:tcPr>
          <w:p w:rsidR="00CE2D0C" w:rsidRPr="00CD59C4" w:rsidRDefault="00CE2D0C" w:rsidP="00266330">
            <w:pPr>
              <w:spacing w:after="0"/>
              <w:jc w:val="center"/>
              <w:rPr>
                <w:b/>
                <w:bCs/>
                <w:color w:val="000000"/>
                <w:sz w:val="20"/>
                <w:szCs w:val="20"/>
                <w:lang w:val="ru-MO"/>
              </w:rPr>
            </w:pPr>
            <w:r w:rsidRPr="00CD59C4">
              <w:rPr>
                <w:b/>
                <w:bCs/>
                <w:color w:val="000000"/>
                <w:sz w:val="20"/>
                <w:szCs w:val="20"/>
                <w:lang w:val="ru-MO"/>
              </w:rPr>
              <w:t>248,4</w:t>
            </w:r>
          </w:p>
        </w:tc>
        <w:tc>
          <w:tcPr>
            <w:tcW w:w="1557" w:type="dxa"/>
            <w:tcBorders>
              <w:top w:val="single" w:sz="4" w:space="0" w:color="auto"/>
              <w:left w:val="nil"/>
              <w:bottom w:val="single" w:sz="4" w:space="0" w:color="auto"/>
              <w:right w:val="single" w:sz="4" w:space="0" w:color="auto"/>
            </w:tcBorders>
            <w:shd w:val="clear" w:color="000000" w:fill="FFE699"/>
            <w:vAlign w:val="center"/>
          </w:tcPr>
          <w:p w:rsidR="00CE2D0C" w:rsidRPr="00CD59C4" w:rsidRDefault="00CE2D0C" w:rsidP="00266330">
            <w:pPr>
              <w:spacing w:after="0" w:line="240" w:lineRule="auto"/>
              <w:rPr>
                <w:rFonts w:eastAsia="Times New Roman"/>
                <w:b/>
                <w:bCs/>
                <w:color w:val="000000"/>
                <w:sz w:val="20"/>
                <w:szCs w:val="20"/>
                <w:lang w:val="ru-MO"/>
              </w:rPr>
            </w:pPr>
            <w:r w:rsidRPr="00CD59C4">
              <w:rPr>
                <w:rFonts w:eastAsia="Times New Roman"/>
                <w:b/>
                <w:bCs/>
                <w:color w:val="000000"/>
                <w:sz w:val="20"/>
                <w:szCs w:val="20"/>
                <w:lang w:val="ru-MO"/>
              </w:rPr>
              <w:t>-</w:t>
            </w:r>
          </w:p>
        </w:tc>
        <w:tc>
          <w:tcPr>
            <w:tcW w:w="1559" w:type="dxa"/>
            <w:tcBorders>
              <w:top w:val="nil"/>
              <w:left w:val="single" w:sz="4" w:space="0" w:color="auto"/>
              <w:bottom w:val="single" w:sz="4" w:space="0" w:color="auto"/>
              <w:right w:val="single" w:sz="4" w:space="0" w:color="auto"/>
            </w:tcBorders>
            <w:shd w:val="clear" w:color="000000" w:fill="FFE699"/>
            <w:noWrap/>
            <w:vAlign w:val="center"/>
            <w:hideMark/>
          </w:tcPr>
          <w:p w:rsidR="00CE2D0C" w:rsidRPr="00CD59C4" w:rsidRDefault="00CE2D0C" w:rsidP="00266330">
            <w:pPr>
              <w:spacing w:after="0"/>
              <w:jc w:val="center"/>
              <w:rPr>
                <w:b/>
                <w:bCs/>
                <w:color w:val="000000"/>
                <w:sz w:val="20"/>
                <w:szCs w:val="20"/>
                <w:lang w:val="ru-MO"/>
              </w:rPr>
            </w:pPr>
            <w:r w:rsidRPr="00CD59C4">
              <w:rPr>
                <w:b/>
                <w:bCs/>
                <w:color w:val="000000"/>
                <w:sz w:val="20"/>
                <w:szCs w:val="20"/>
                <w:lang w:val="ru-MO"/>
              </w:rPr>
              <w:t>138,0</w:t>
            </w:r>
          </w:p>
        </w:tc>
        <w:tc>
          <w:tcPr>
            <w:tcW w:w="1418" w:type="dxa"/>
            <w:tcBorders>
              <w:top w:val="nil"/>
              <w:left w:val="nil"/>
              <w:bottom w:val="single" w:sz="4" w:space="0" w:color="auto"/>
              <w:right w:val="single" w:sz="4" w:space="0" w:color="auto"/>
            </w:tcBorders>
            <w:shd w:val="clear" w:color="000000" w:fill="FFE699"/>
            <w:noWrap/>
            <w:vAlign w:val="center"/>
            <w:hideMark/>
          </w:tcPr>
          <w:p w:rsidR="00CE2D0C" w:rsidRPr="00CD59C4" w:rsidRDefault="00CE2D0C" w:rsidP="00266330">
            <w:pPr>
              <w:spacing w:after="0"/>
              <w:jc w:val="center"/>
              <w:rPr>
                <w:b/>
                <w:bCs/>
                <w:color w:val="000000"/>
                <w:sz w:val="20"/>
                <w:szCs w:val="20"/>
                <w:lang w:val="ru-MO"/>
              </w:rPr>
            </w:pPr>
            <w:r w:rsidRPr="00CD59C4">
              <w:rPr>
                <w:b/>
                <w:bCs/>
                <w:color w:val="000000"/>
                <w:sz w:val="20"/>
                <w:szCs w:val="20"/>
                <w:lang w:val="ru-MO"/>
              </w:rPr>
              <w:t>104,6</w:t>
            </w:r>
          </w:p>
        </w:tc>
        <w:tc>
          <w:tcPr>
            <w:tcW w:w="1276" w:type="dxa"/>
            <w:tcBorders>
              <w:top w:val="nil"/>
              <w:left w:val="nil"/>
              <w:bottom w:val="single" w:sz="4" w:space="0" w:color="auto"/>
              <w:right w:val="single" w:sz="4" w:space="0" w:color="auto"/>
            </w:tcBorders>
            <w:shd w:val="clear" w:color="000000" w:fill="FFE699"/>
            <w:noWrap/>
            <w:vAlign w:val="center"/>
            <w:hideMark/>
          </w:tcPr>
          <w:p w:rsidR="00CE2D0C" w:rsidRPr="00CD59C4" w:rsidRDefault="00CE2D0C" w:rsidP="00266330">
            <w:pPr>
              <w:spacing w:after="0"/>
              <w:jc w:val="center"/>
              <w:rPr>
                <w:b/>
                <w:bCs/>
                <w:color w:val="000000"/>
                <w:sz w:val="20"/>
                <w:szCs w:val="20"/>
                <w:lang w:val="ru-MO"/>
              </w:rPr>
            </w:pPr>
            <w:r w:rsidRPr="00CD59C4">
              <w:rPr>
                <w:b/>
                <w:bCs/>
                <w:color w:val="000000"/>
                <w:sz w:val="20"/>
                <w:szCs w:val="20"/>
                <w:lang w:val="ru-MO"/>
              </w:rPr>
              <w:t>242,6</w:t>
            </w:r>
          </w:p>
        </w:tc>
        <w:tc>
          <w:tcPr>
            <w:tcW w:w="1559" w:type="dxa"/>
            <w:tcBorders>
              <w:top w:val="nil"/>
              <w:left w:val="nil"/>
              <w:bottom w:val="single" w:sz="4" w:space="0" w:color="auto"/>
              <w:right w:val="single" w:sz="4" w:space="0" w:color="auto"/>
            </w:tcBorders>
            <w:shd w:val="clear" w:color="000000" w:fill="FFE699"/>
            <w:noWrap/>
            <w:vAlign w:val="center"/>
            <w:hideMark/>
          </w:tcPr>
          <w:p w:rsidR="00CE2D0C" w:rsidRPr="00CD59C4" w:rsidRDefault="00CE2D0C" w:rsidP="00266330">
            <w:pPr>
              <w:spacing w:after="0"/>
              <w:jc w:val="center"/>
              <w:rPr>
                <w:b/>
                <w:bCs/>
                <w:color w:val="000000"/>
                <w:sz w:val="20"/>
                <w:szCs w:val="20"/>
                <w:lang w:val="ru-MO"/>
              </w:rPr>
            </w:pPr>
            <w:r w:rsidRPr="00CD59C4">
              <w:rPr>
                <w:b/>
                <w:bCs/>
                <w:color w:val="000000"/>
                <w:sz w:val="20"/>
                <w:szCs w:val="20"/>
                <w:lang w:val="ru-MO"/>
              </w:rPr>
              <w:t>55,5</w:t>
            </w:r>
          </w:p>
        </w:tc>
      </w:tr>
    </w:tbl>
    <w:p w:rsidR="00CE2D0C" w:rsidRPr="00CE6109" w:rsidRDefault="00CE2D0C" w:rsidP="00CE2D0C">
      <w:pPr>
        <w:spacing w:after="0"/>
        <w:jc w:val="both"/>
        <w:rPr>
          <w:rFonts w:ascii="Times New Roman" w:hAnsi="Times New Roman"/>
          <w:bCs/>
          <w:sz w:val="28"/>
          <w:szCs w:val="28"/>
          <w:lang w:val="ru-MO" w:eastAsia="ro-RO"/>
        </w:rPr>
      </w:pPr>
      <w:r w:rsidRPr="00CE6109">
        <w:rPr>
          <w:rFonts w:ascii="Times New Roman" w:hAnsi="Times New Roman"/>
          <w:b/>
          <w:i/>
          <w:sz w:val="20"/>
          <w:szCs w:val="20"/>
          <w:lang w:val="ru-MO"/>
        </w:rPr>
        <w:t>Источник:</w:t>
      </w:r>
      <w:r w:rsidRPr="00CE6109">
        <w:rPr>
          <w:rFonts w:ascii="Times New Roman" w:hAnsi="Times New Roman"/>
          <w:sz w:val="20"/>
          <w:szCs w:val="20"/>
          <w:lang w:val="ru-MO"/>
        </w:rPr>
        <w:t xml:space="preserve"> Разработано аудитом на основании договора на предоставление медицинской помощи, представленных фактур и данных бухгалтерского учета ПМСУ РКБ за 2015 год.</w:t>
      </w:r>
    </w:p>
    <w:p w:rsidR="00CE2D0C" w:rsidRPr="00CE6109" w:rsidRDefault="00CE2D0C" w:rsidP="00CE2D0C">
      <w:pPr>
        <w:tabs>
          <w:tab w:val="left" w:pos="851"/>
        </w:tabs>
        <w:spacing w:before="240" w:line="276" w:lineRule="auto"/>
        <w:ind w:firstLine="567"/>
        <w:jc w:val="both"/>
        <w:rPr>
          <w:rFonts w:ascii="Times New Roman" w:hAnsi="Times New Roman"/>
          <w:bCs/>
          <w:sz w:val="28"/>
          <w:szCs w:val="28"/>
          <w:lang w:val="ru-MO" w:eastAsia="ro-RO"/>
        </w:rPr>
      </w:pPr>
      <w:r w:rsidRPr="00CE6109">
        <w:rPr>
          <w:rFonts w:ascii="Times New Roman" w:hAnsi="Times New Roman"/>
          <w:bCs/>
          <w:sz w:val="28"/>
          <w:szCs w:val="28"/>
          <w:lang w:val="ru-MO" w:eastAsia="ro-RO"/>
        </w:rPr>
        <w:t>Данные из таблицы показывают, что ПМСУ РКБ начало финансовый год с недостаточностью финансирования из ФОМС, аванс за январь поступил в размере 60,0% 20 числа месяца, остальные 20,0% были перечислены в феврале месяце. Кроме того, хотя после принятия Закона о ФОМС на 2015 год договор с НМСК был пересмотрен с целью увеличения суммы договора, сумма перечисленного учреждению аванса осталась на первоначальном уровне, что обусловило недостаточность финансирования за июль-декабрь, доля аванса варьировала между 40% и 54%. В то же время, НМСК превысила срок перечисления аванса в 5 из 12 месяцев (январь, февраль, март, май, ноябрь) от 3 до 22 дней. Эти обстоятельства создали для учреждения ситуации непокрытия зарегистрированных расходов в результате оказания медицинских услуг и невыполнения обязательств перед экономическими агентами, что создает риск возбуждения ими судебных исков.</w:t>
      </w:r>
    </w:p>
    <w:p w:rsidR="00CE2D0C" w:rsidRPr="00CE6109" w:rsidRDefault="00CE2D0C" w:rsidP="00CE2D0C">
      <w:pPr>
        <w:pStyle w:val="Listparagraf"/>
        <w:numPr>
          <w:ilvl w:val="1"/>
          <w:numId w:val="1"/>
        </w:numPr>
        <w:tabs>
          <w:tab w:val="left" w:pos="993"/>
        </w:tabs>
        <w:spacing w:before="240" w:line="276" w:lineRule="auto"/>
        <w:ind w:left="0" w:firstLine="567"/>
        <w:jc w:val="both"/>
        <w:outlineLvl w:val="1"/>
        <w:rPr>
          <w:rFonts w:ascii="Times New Roman" w:hAnsi="Times New Roman"/>
          <w:b/>
          <w:color w:val="000000"/>
          <w:sz w:val="28"/>
          <w:szCs w:val="28"/>
          <w:lang w:val="ru-MO"/>
        </w:rPr>
      </w:pPr>
      <w:bookmarkStart w:id="35" w:name="_Toc454287231"/>
      <w:bookmarkStart w:id="36" w:name="_Toc443550618"/>
      <w:bookmarkStart w:id="37" w:name="_Toc447552130"/>
      <w:r w:rsidRPr="00CE6109">
        <w:rPr>
          <w:rFonts w:ascii="Times New Roman" w:hAnsi="Times New Roman"/>
          <w:b/>
          <w:color w:val="000000"/>
          <w:sz w:val="28"/>
          <w:szCs w:val="28"/>
          <w:lang w:val="ru-MO"/>
        </w:rPr>
        <w:t>Соответствие обеспечения необходимыми медикаментами для лечения пациентов</w:t>
      </w:r>
      <w:bookmarkEnd w:id="35"/>
      <w:r w:rsidRPr="00CE6109">
        <w:rPr>
          <w:rFonts w:ascii="Times New Roman" w:hAnsi="Times New Roman"/>
          <w:b/>
          <w:color w:val="000000"/>
          <w:sz w:val="28"/>
          <w:szCs w:val="28"/>
          <w:lang w:val="ru-MO"/>
        </w:rPr>
        <w:t xml:space="preserve"> </w:t>
      </w:r>
      <w:bookmarkEnd w:id="36"/>
      <w:bookmarkEnd w:id="37"/>
    </w:p>
    <w:p w:rsidR="00CE2D0C" w:rsidRPr="00CE6109" w:rsidRDefault="00CE2D0C" w:rsidP="00CE2D0C">
      <w:pPr>
        <w:tabs>
          <w:tab w:val="left" w:pos="993"/>
        </w:tabs>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Лечение госпитализированных пациентов осуществляется на основании стандартов для нозологических форм, разработанных и утвержденных приказом министра Здравоохранения, а общим принципом создания ассортимента лекарственных препаратов является продвижение основных жизненно важных лекарств. Так, на конец отчетного периода ПМСУ РКБ отразило в отчете расходы на используемые лекарства в сумме 114,9 млн. леев, что составляет </w:t>
      </w:r>
      <w:r w:rsidRPr="00CE6109">
        <w:rPr>
          <w:rFonts w:ascii="Times New Roman" w:hAnsi="Times New Roman"/>
          <w:sz w:val="28"/>
          <w:szCs w:val="28"/>
          <w:lang w:val="ru-MO"/>
        </w:rPr>
        <w:lastRenderedPageBreak/>
        <w:t>38,6% от общего объема расходов. По данному аспекту аудит отмечает, что расходы на лекарства, отраженные учреждением, включают в себя и лекарственные препараты, предназначенные для Национальных программ на 2015 год, в сумме 53,2 млн. леев, которые были включены в договор о финансировании стационарной медицинской помощи.</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В целях обеспечения необходимыми медикаментами для проведения лечения госпитализированных больных, в течение 2015 года были зарегистрированы поступления в сумме 141,5 млн. леев и выбытие средств в сумме 175,8 млн. леев, конечное сальдо уменьшилось, по сравнению с предыдущим периодом, на 34,2 млн. леев. Указанная ситуация представлена ниже:</w:t>
      </w:r>
    </w:p>
    <w:p w:rsidR="00CE2D0C" w:rsidRPr="00CE6109" w:rsidRDefault="00CE2D0C" w:rsidP="00CE2D0C">
      <w:pPr>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Таблица №4</w:t>
      </w:r>
    </w:p>
    <w:p w:rsidR="00CE2D0C" w:rsidRPr="00CE6109" w:rsidRDefault="00CE2D0C" w:rsidP="00CE2D0C">
      <w:pPr>
        <w:spacing w:after="0" w:line="240" w:lineRule="auto"/>
        <w:ind w:firstLine="567"/>
        <w:jc w:val="center"/>
        <w:rPr>
          <w:rFonts w:ascii="Times New Roman" w:hAnsi="Times New Roman"/>
          <w:b/>
          <w:i/>
          <w:sz w:val="24"/>
          <w:szCs w:val="24"/>
          <w:lang w:val="ru-MO"/>
        </w:rPr>
      </w:pPr>
      <w:r w:rsidRPr="00CE6109">
        <w:rPr>
          <w:rFonts w:ascii="Times New Roman" w:hAnsi="Times New Roman"/>
          <w:b/>
          <w:i/>
          <w:sz w:val="24"/>
          <w:szCs w:val="24"/>
          <w:lang w:val="ru-MO"/>
        </w:rPr>
        <w:t>Лекарственные препараты в разрезе источников финансирования за 2015 год</w:t>
      </w:r>
    </w:p>
    <w:p w:rsidR="00CE2D0C" w:rsidRPr="00CE6109" w:rsidRDefault="00CE2D0C" w:rsidP="00CE2D0C">
      <w:pPr>
        <w:spacing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(млн. леев)</w:t>
      </w:r>
    </w:p>
    <w:tbl>
      <w:tblPr>
        <w:tblW w:w="102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276"/>
        <w:gridCol w:w="1804"/>
        <w:gridCol w:w="1981"/>
        <w:gridCol w:w="1276"/>
        <w:gridCol w:w="1615"/>
        <w:gridCol w:w="908"/>
      </w:tblGrid>
      <w:tr w:rsidR="00CE2D0C" w:rsidRPr="00CD59C4" w:rsidTr="00266330">
        <w:trPr>
          <w:trHeight w:val="288"/>
        </w:trPr>
        <w:tc>
          <w:tcPr>
            <w:tcW w:w="2410"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Показатели</w:t>
            </w:r>
          </w:p>
        </w:tc>
        <w:tc>
          <w:tcPr>
            <w:tcW w:w="1276"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НМСК</w:t>
            </w:r>
          </w:p>
        </w:tc>
        <w:tc>
          <w:tcPr>
            <w:tcW w:w="1519"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Безвозмездные источники</w:t>
            </w:r>
          </w:p>
        </w:tc>
        <w:tc>
          <w:tcPr>
            <w:tcW w:w="1673"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Министерство здравоохранения</w:t>
            </w:r>
          </w:p>
        </w:tc>
        <w:tc>
          <w:tcPr>
            <w:tcW w:w="1276"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 xml:space="preserve">Наука </w:t>
            </w:r>
          </w:p>
        </w:tc>
        <w:tc>
          <w:tcPr>
            <w:tcW w:w="1342" w:type="dxa"/>
            <w:shd w:val="clear" w:color="auto" w:fill="E2EFD9"/>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 xml:space="preserve">Специальный счет </w:t>
            </w:r>
          </w:p>
        </w:tc>
        <w:tc>
          <w:tcPr>
            <w:tcW w:w="735" w:type="dxa"/>
            <w:shd w:val="clear" w:color="auto" w:fill="E2EFD9"/>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ВСЕГО</w:t>
            </w:r>
          </w:p>
        </w:tc>
      </w:tr>
      <w:tr w:rsidR="00CE2D0C" w:rsidRPr="00CD59C4" w:rsidTr="00266330">
        <w:trPr>
          <w:trHeight w:val="288"/>
        </w:trPr>
        <w:tc>
          <w:tcPr>
            <w:tcW w:w="2410" w:type="dxa"/>
            <w:shd w:val="clear" w:color="auto" w:fill="FBE4D5"/>
            <w:noWrap/>
            <w:vAlign w:val="center"/>
            <w:hideMark/>
          </w:tcPr>
          <w:p w:rsidR="00CE2D0C" w:rsidRPr="00CE6109" w:rsidRDefault="00CE2D0C" w:rsidP="00266330">
            <w:pPr>
              <w:spacing w:after="0" w:line="240" w:lineRule="auto"/>
              <w:rPr>
                <w:rFonts w:ascii="Calibri Light" w:eastAsia="Times New Roman" w:hAnsi="Calibri Light"/>
                <w:b/>
                <w:bCs/>
                <w:color w:val="000000"/>
                <w:sz w:val="20"/>
                <w:szCs w:val="20"/>
                <w:lang w:val="ru-MO"/>
              </w:rPr>
            </w:pPr>
            <w:r w:rsidRPr="00CE6109">
              <w:rPr>
                <w:rFonts w:ascii="Calibri Light" w:eastAsia="Times New Roman" w:hAnsi="Calibri Light"/>
                <w:b/>
                <w:bCs/>
                <w:color w:val="000000"/>
                <w:sz w:val="20"/>
                <w:szCs w:val="20"/>
                <w:lang w:val="ru-MO"/>
              </w:rPr>
              <w:t>Сальдо на 01.01.2015, в том числе</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92,4</w:t>
            </w:r>
          </w:p>
        </w:tc>
        <w:tc>
          <w:tcPr>
            <w:tcW w:w="1519"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0,7</w:t>
            </w:r>
          </w:p>
        </w:tc>
        <w:tc>
          <w:tcPr>
            <w:tcW w:w="1673"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11,6</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w:t>
            </w:r>
          </w:p>
        </w:tc>
        <w:tc>
          <w:tcPr>
            <w:tcW w:w="1342"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0,7</w:t>
            </w:r>
          </w:p>
        </w:tc>
        <w:tc>
          <w:tcPr>
            <w:tcW w:w="735" w:type="dxa"/>
            <w:shd w:val="clear" w:color="auto" w:fill="FBE4D5"/>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105,5</w:t>
            </w:r>
          </w:p>
        </w:tc>
      </w:tr>
      <w:tr w:rsidR="00CE2D0C" w:rsidRPr="00CD59C4" w:rsidTr="00266330">
        <w:trPr>
          <w:trHeight w:val="288"/>
        </w:trPr>
        <w:tc>
          <w:tcPr>
            <w:tcW w:w="2410" w:type="dxa"/>
            <w:shd w:val="clear" w:color="auto" w:fill="auto"/>
            <w:noWrap/>
            <w:vAlign w:val="center"/>
            <w:hideMark/>
          </w:tcPr>
          <w:p w:rsidR="00CE2D0C" w:rsidRPr="00CE6109" w:rsidRDefault="00CE2D0C" w:rsidP="00266330">
            <w:pPr>
              <w:spacing w:after="0" w:line="240" w:lineRule="auto"/>
              <w:rPr>
                <w:rFonts w:ascii="Calibri Light" w:eastAsia="Times New Roman" w:hAnsi="Calibri Light"/>
                <w:color w:val="000000"/>
                <w:sz w:val="20"/>
                <w:szCs w:val="20"/>
                <w:lang w:val="ru-MO"/>
              </w:rPr>
            </w:pPr>
            <w:r w:rsidRPr="00CE6109">
              <w:rPr>
                <w:rFonts w:ascii="Calibri Light" w:eastAsia="Times New Roman" w:hAnsi="Calibri Light"/>
                <w:color w:val="000000"/>
                <w:sz w:val="20"/>
                <w:szCs w:val="20"/>
                <w:lang w:val="ru-MO"/>
              </w:rPr>
              <w:t>в аптеке</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85,9</w:t>
            </w:r>
          </w:p>
        </w:tc>
        <w:tc>
          <w:tcPr>
            <w:tcW w:w="1519"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0,5</w:t>
            </w:r>
          </w:p>
        </w:tc>
        <w:tc>
          <w:tcPr>
            <w:tcW w:w="1673"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342"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0,2</w:t>
            </w:r>
          </w:p>
        </w:tc>
        <w:tc>
          <w:tcPr>
            <w:tcW w:w="735" w:type="dxa"/>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86,6</w:t>
            </w:r>
          </w:p>
        </w:tc>
      </w:tr>
      <w:tr w:rsidR="00CE2D0C" w:rsidRPr="00CD59C4" w:rsidTr="00266330">
        <w:trPr>
          <w:trHeight w:val="288"/>
        </w:trPr>
        <w:tc>
          <w:tcPr>
            <w:tcW w:w="2410" w:type="dxa"/>
            <w:shd w:val="clear" w:color="auto" w:fill="auto"/>
            <w:noWrap/>
            <w:vAlign w:val="center"/>
            <w:hideMark/>
          </w:tcPr>
          <w:p w:rsidR="00CE2D0C" w:rsidRPr="00CE6109" w:rsidRDefault="00CE2D0C" w:rsidP="00266330">
            <w:pPr>
              <w:spacing w:after="0" w:line="240" w:lineRule="auto"/>
              <w:rPr>
                <w:rFonts w:ascii="Calibri Light" w:eastAsia="Times New Roman" w:hAnsi="Calibri Light"/>
                <w:color w:val="000000"/>
                <w:sz w:val="20"/>
                <w:szCs w:val="20"/>
                <w:lang w:val="ru-MO"/>
              </w:rPr>
            </w:pPr>
            <w:r w:rsidRPr="00CE6109">
              <w:rPr>
                <w:rFonts w:ascii="Calibri Light" w:eastAsia="Times New Roman" w:hAnsi="Calibri Light"/>
                <w:color w:val="000000"/>
                <w:sz w:val="20"/>
                <w:szCs w:val="20"/>
                <w:lang w:val="ru-MO"/>
              </w:rPr>
              <w:t>в отделениях</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6,6</w:t>
            </w:r>
          </w:p>
        </w:tc>
        <w:tc>
          <w:tcPr>
            <w:tcW w:w="1519"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0,2</w:t>
            </w:r>
          </w:p>
        </w:tc>
        <w:tc>
          <w:tcPr>
            <w:tcW w:w="1673"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342"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0,5</w:t>
            </w:r>
          </w:p>
        </w:tc>
        <w:tc>
          <w:tcPr>
            <w:tcW w:w="735" w:type="dxa"/>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7,2</w:t>
            </w:r>
          </w:p>
        </w:tc>
      </w:tr>
      <w:tr w:rsidR="00CE2D0C" w:rsidRPr="00CD59C4" w:rsidTr="00266330">
        <w:trPr>
          <w:trHeight w:val="288"/>
        </w:trPr>
        <w:tc>
          <w:tcPr>
            <w:tcW w:w="2410" w:type="dxa"/>
            <w:shd w:val="clear" w:color="auto" w:fill="DEEAF6"/>
            <w:noWrap/>
            <w:vAlign w:val="center"/>
            <w:hideMark/>
          </w:tcPr>
          <w:p w:rsidR="00CE2D0C" w:rsidRPr="00CE6109" w:rsidRDefault="00CE2D0C" w:rsidP="00266330">
            <w:pPr>
              <w:spacing w:after="0" w:line="240" w:lineRule="auto"/>
              <w:rPr>
                <w:rFonts w:ascii="Calibri Light" w:eastAsia="Times New Roman" w:hAnsi="Calibri Light"/>
                <w:b/>
                <w:bCs/>
                <w:color w:val="000000"/>
                <w:sz w:val="20"/>
                <w:szCs w:val="20"/>
                <w:lang w:val="ru-MO"/>
              </w:rPr>
            </w:pPr>
            <w:r w:rsidRPr="00CE6109">
              <w:rPr>
                <w:rFonts w:ascii="Calibri Light" w:eastAsia="Times New Roman" w:hAnsi="Calibri Light"/>
                <w:b/>
                <w:bCs/>
                <w:color w:val="000000"/>
                <w:sz w:val="20"/>
                <w:szCs w:val="20"/>
                <w:lang w:val="ru-MO"/>
              </w:rPr>
              <w:t>всего поступлений</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106,6</w:t>
            </w:r>
          </w:p>
        </w:tc>
        <w:tc>
          <w:tcPr>
            <w:tcW w:w="1519"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0,8</w:t>
            </w:r>
          </w:p>
        </w:tc>
        <w:tc>
          <w:tcPr>
            <w:tcW w:w="1673"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30,9</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0,1</w:t>
            </w:r>
          </w:p>
        </w:tc>
        <w:tc>
          <w:tcPr>
            <w:tcW w:w="1342"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3,0</w:t>
            </w:r>
          </w:p>
        </w:tc>
        <w:tc>
          <w:tcPr>
            <w:tcW w:w="735" w:type="dxa"/>
            <w:shd w:val="clear" w:color="auto" w:fill="DEEAF6"/>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141,5</w:t>
            </w:r>
          </w:p>
        </w:tc>
      </w:tr>
      <w:tr w:rsidR="00CE2D0C" w:rsidRPr="00CD59C4" w:rsidTr="00266330">
        <w:trPr>
          <w:trHeight w:val="288"/>
        </w:trPr>
        <w:tc>
          <w:tcPr>
            <w:tcW w:w="2410" w:type="dxa"/>
            <w:shd w:val="clear" w:color="auto" w:fill="DEEAF6"/>
            <w:noWrap/>
            <w:vAlign w:val="center"/>
            <w:hideMark/>
          </w:tcPr>
          <w:p w:rsidR="00CE2D0C" w:rsidRPr="00CE6109" w:rsidRDefault="00CE2D0C" w:rsidP="00266330">
            <w:pPr>
              <w:spacing w:after="0" w:line="240" w:lineRule="auto"/>
              <w:rPr>
                <w:rFonts w:ascii="Calibri Light" w:eastAsia="Times New Roman" w:hAnsi="Calibri Light"/>
                <w:b/>
                <w:bCs/>
                <w:color w:val="000000"/>
                <w:sz w:val="20"/>
                <w:szCs w:val="20"/>
                <w:lang w:val="ru-MO"/>
              </w:rPr>
            </w:pPr>
            <w:r w:rsidRPr="00CE6109">
              <w:rPr>
                <w:rFonts w:ascii="Calibri Light" w:eastAsia="Times New Roman" w:hAnsi="Calibri Light"/>
                <w:b/>
                <w:bCs/>
                <w:color w:val="000000"/>
                <w:sz w:val="20"/>
                <w:szCs w:val="20"/>
                <w:lang w:val="ru-MO"/>
              </w:rPr>
              <w:t>всего выбытие</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140,6</w:t>
            </w:r>
          </w:p>
        </w:tc>
        <w:tc>
          <w:tcPr>
            <w:tcW w:w="1519"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1,2</w:t>
            </w:r>
          </w:p>
        </w:tc>
        <w:tc>
          <w:tcPr>
            <w:tcW w:w="1673"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31,6</w:t>
            </w:r>
          </w:p>
        </w:tc>
        <w:tc>
          <w:tcPr>
            <w:tcW w:w="1276"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0,1</w:t>
            </w:r>
          </w:p>
        </w:tc>
        <w:tc>
          <w:tcPr>
            <w:tcW w:w="1342" w:type="dxa"/>
            <w:shd w:val="clear" w:color="auto" w:fill="DEEAF6"/>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2,2</w:t>
            </w:r>
          </w:p>
        </w:tc>
        <w:tc>
          <w:tcPr>
            <w:tcW w:w="735" w:type="dxa"/>
            <w:shd w:val="clear" w:color="auto" w:fill="DEEAF6"/>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175,8</w:t>
            </w:r>
          </w:p>
        </w:tc>
      </w:tr>
      <w:tr w:rsidR="00CE2D0C" w:rsidRPr="00CD59C4" w:rsidTr="00266330">
        <w:trPr>
          <w:trHeight w:val="288"/>
        </w:trPr>
        <w:tc>
          <w:tcPr>
            <w:tcW w:w="2410" w:type="dxa"/>
            <w:shd w:val="clear" w:color="auto" w:fill="FBE4D5"/>
            <w:noWrap/>
            <w:vAlign w:val="center"/>
            <w:hideMark/>
          </w:tcPr>
          <w:p w:rsidR="00CE2D0C" w:rsidRPr="00CE6109" w:rsidRDefault="00CE2D0C" w:rsidP="00266330">
            <w:pPr>
              <w:spacing w:after="0" w:line="240" w:lineRule="auto"/>
              <w:rPr>
                <w:rFonts w:ascii="Calibri Light" w:eastAsia="Times New Roman" w:hAnsi="Calibri Light"/>
                <w:b/>
                <w:bCs/>
                <w:color w:val="000000"/>
                <w:sz w:val="20"/>
                <w:szCs w:val="20"/>
                <w:lang w:val="ru-MO"/>
              </w:rPr>
            </w:pPr>
            <w:r w:rsidRPr="00CE6109">
              <w:rPr>
                <w:rFonts w:ascii="Calibri Light" w:eastAsia="Times New Roman" w:hAnsi="Calibri Light"/>
                <w:b/>
                <w:bCs/>
                <w:color w:val="000000"/>
                <w:sz w:val="20"/>
                <w:szCs w:val="20"/>
                <w:lang w:val="ru-MO"/>
              </w:rPr>
              <w:t>Сальдо на 31.12.2015, в том числе</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58,4</w:t>
            </w:r>
          </w:p>
        </w:tc>
        <w:tc>
          <w:tcPr>
            <w:tcW w:w="1519"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0,3</w:t>
            </w:r>
          </w:p>
        </w:tc>
        <w:tc>
          <w:tcPr>
            <w:tcW w:w="1673"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10,9</w:t>
            </w:r>
          </w:p>
        </w:tc>
        <w:tc>
          <w:tcPr>
            <w:tcW w:w="1276"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0,2</w:t>
            </w:r>
          </w:p>
        </w:tc>
        <w:tc>
          <w:tcPr>
            <w:tcW w:w="1342" w:type="dxa"/>
            <w:shd w:val="clear" w:color="auto" w:fill="FBE4D5"/>
            <w:noWrap/>
            <w:vAlign w:val="center"/>
            <w:hideMark/>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1,6</w:t>
            </w:r>
          </w:p>
        </w:tc>
        <w:tc>
          <w:tcPr>
            <w:tcW w:w="735" w:type="dxa"/>
            <w:shd w:val="clear" w:color="auto" w:fill="FBE4D5"/>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71,3</w:t>
            </w:r>
          </w:p>
        </w:tc>
      </w:tr>
      <w:tr w:rsidR="00CE2D0C" w:rsidRPr="00CD59C4" w:rsidTr="00266330">
        <w:trPr>
          <w:trHeight w:val="288"/>
        </w:trPr>
        <w:tc>
          <w:tcPr>
            <w:tcW w:w="2410" w:type="dxa"/>
            <w:shd w:val="clear" w:color="auto" w:fill="auto"/>
            <w:noWrap/>
            <w:vAlign w:val="center"/>
            <w:hideMark/>
          </w:tcPr>
          <w:p w:rsidR="00CE2D0C" w:rsidRPr="00CE6109" w:rsidRDefault="00CE2D0C" w:rsidP="00266330">
            <w:pPr>
              <w:spacing w:after="0" w:line="240" w:lineRule="auto"/>
              <w:rPr>
                <w:rFonts w:ascii="Calibri Light" w:eastAsia="Times New Roman" w:hAnsi="Calibri Light"/>
                <w:color w:val="000000"/>
                <w:sz w:val="20"/>
                <w:szCs w:val="20"/>
                <w:lang w:val="ru-MO"/>
              </w:rPr>
            </w:pPr>
            <w:r w:rsidRPr="00CE6109">
              <w:rPr>
                <w:rFonts w:ascii="Calibri Light" w:eastAsia="Times New Roman" w:hAnsi="Calibri Light"/>
                <w:color w:val="000000"/>
                <w:sz w:val="20"/>
                <w:szCs w:val="20"/>
                <w:lang w:val="ru-MO"/>
              </w:rPr>
              <w:t>в аптеке</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50,1</w:t>
            </w:r>
          </w:p>
        </w:tc>
        <w:tc>
          <w:tcPr>
            <w:tcW w:w="1519"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0,1</w:t>
            </w:r>
          </w:p>
        </w:tc>
        <w:tc>
          <w:tcPr>
            <w:tcW w:w="1673"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342"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0,5</w:t>
            </w:r>
          </w:p>
        </w:tc>
        <w:tc>
          <w:tcPr>
            <w:tcW w:w="735" w:type="dxa"/>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50,8</w:t>
            </w:r>
          </w:p>
        </w:tc>
      </w:tr>
      <w:tr w:rsidR="00CE2D0C" w:rsidRPr="00CD59C4" w:rsidTr="00266330">
        <w:trPr>
          <w:trHeight w:val="288"/>
        </w:trPr>
        <w:tc>
          <w:tcPr>
            <w:tcW w:w="2410" w:type="dxa"/>
            <w:shd w:val="clear" w:color="auto" w:fill="auto"/>
            <w:noWrap/>
            <w:vAlign w:val="center"/>
            <w:hideMark/>
          </w:tcPr>
          <w:p w:rsidR="00CE2D0C" w:rsidRPr="00CE6109" w:rsidRDefault="00CE2D0C" w:rsidP="00266330">
            <w:pPr>
              <w:spacing w:after="0" w:line="240" w:lineRule="auto"/>
              <w:rPr>
                <w:rFonts w:ascii="Calibri Light" w:eastAsia="Times New Roman" w:hAnsi="Calibri Light"/>
                <w:color w:val="000000"/>
                <w:sz w:val="20"/>
                <w:szCs w:val="20"/>
                <w:lang w:val="ru-MO"/>
              </w:rPr>
            </w:pPr>
            <w:r w:rsidRPr="00CE6109">
              <w:rPr>
                <w:rFonts w:ascii="Calibri Light" w:eastAsia="Times New Roman" w:hAnsi="Calibri Light"/>
                <w:color w:val="000000"/>
                <w:sz w:val="20"/>
                <w:szCs w:val="20"/>
                <w:lang w:val="ru-MO"/>
              </w:rPr>
              <w:t>в отделениях</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8,3</w:t>
            </w:r>
          </w:p>
        </w:tc>
        <w:tc>
          <w:tcPr>
            <w:tcW w:w="1519"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0,1</w:t>
            </w:r>
          </w:p>
        </w:tc>
        <w:tc>
          <w:tcPr>
            <w:tcW w:w="1673"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w:t>
            </w:r>
          </w:p>
        </w:tc>
        <w:tc>
          <w:tcPr>
            <w:tcW w:w="1276"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0,2</w:t>
            </w:r>
          </w:p>
        </w:tc>
        <w:tc>
          <w:tcPr>
            <w:tcW w:w="1342" w:type="dxa"/>
            <w:shd w:val="clear" w:color="auto" w:fill="auto"/>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1,1</w:t>
            </w:r>
          </w:p>
        </w:tc>
        <w:tc>
          <w:tcPr>
            <w:tcW w:w="735" w:type="dxa"/>
            <w:vAlign w:val="center"/>
          </w:tcPr>
          <w:p w:rsidR="00CE2D0C" w:rsidRPr="00CD59C4" w:rsidRDefault="00CE2D0C" w:rsidP="00266330">
            <w:pPr>
              <w:spacing w:after="0"/>
              <w:jc w:val="center"/>
              <w:rPr>
                <w:rFonts w:ascii="Calibri Light" w:hAnsi="Calibri Light"/>
                <w:b/>
                <w:bCs/>
                <w:color w:val="000000"/>
                <w:sz w:val="20"/>
                <w:szCs w:val="20"/>
                <w:lang w:val="ru-MO"/>
              </w:rPr>
            </w:pPr>
            <w:r w:rsidRPr="00CD59C4">
              <w:rPr>
                <w:rFonts w:ascii="Calibri Light" w:hAnsi="Calibri Light"/>
                <w:b/>
                <w:bCs/>
                <w:color w:val="000000"/>
                <w:sz w:val="20"/>
                <w:szCs w:val="20"/>
                <w:lang w:val="ru-MO"/>
              </w:rPr>
              <w:t>9,6</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Источник</w:t>
      </w:r>
      <w:r w:rsidRPr="00CE6109">
        <w:rPr>
          <w:rFonts w:ascii="Times New Roman" w:hAnsi="Times New Roman"/>
          <w:sz w:val="20"/>
          <w:szCs w:val="20"/>
          <w:lang w:val="ru-MO"/>
        </w:rPr>
        <w:t>: Информация, представленная ПМСУ РКБ.</w:t>
      </w:r>
    </w:p>
    <w:p w:rsidR="00CE2D0C" w:rsidRPr="00CE6109" w:rsidRDefault="00CE2D0C" w:rsidP="00CE2D0C">
      <w:pPr>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Данные из таблицы свидетельствуют о снижении запасов медикаментов на конец отчетного периода, однако их достаточно для покрытия потребностей на следующий отчетный период. Наибольший удельный вес в общем объеме занимают лекарства, приобретенные из средств НМСК, в 2015 году учреждение зарегистрировало поступления в сумме 106,6 млн. леев.</w:t>
      </w:r>
    </w:p>
    <w:p w:rsidR="00CE2D0C" w:rsidRPr="00CE6109" w:rsidRDefault="00CE2D0C" w:rsidP="00CE2D0C">
      <w:pPr>
        <w:spacing w:before="240"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Заключение договоров на приобретение лекарственных препаратов осуществляется до контрактации медицинских услуг с НМСК и планирования соответствующих ресурсов, что определяет недостаточность средств, необходимых учреждению для обеспечения больных лекарствами.</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Процесс планирования потребностей в лекарственных препаратах начинается в июле путем составления отделами больницы списка необходимых препаратов, который</w:t>
      </w:r>
      <w:r>
        <w:rPr>
          <w:rFonts w:ascii="Times New Roman" w:hAnsi="Times New Roman"/>
          <w:sz w:val="28"/>
          <w:szCs w:val="28"/>
          <w:lang w:val="ru-MO"/>
        </w:rPr>
        <w:t xml:space="preserve">, </w:t>
      </w:r>
      <w:r w:rsidRPr="00CE6109">
        <w:rPr>
          <w:rFonts w:ascii="Times New Roman" w:hAnsi="Times New Roman"/>
          <w:sz w:val="28"/>
          <w:szCs w:val="28"/>
          <w:lang w:val="ru-MO"/>
        </w:rPr>
        <w:t xml:space="preserve">после его консолидации и утверждения, передается в Агентство по лекарствам и медицинским изделиям (далее – АЛМИ или </w:t>
      </w:r>
      <w:r w:rsidRPr="00CE6109">
        <w:rPr>
          <w:rFonts w:ascii="Times New Roman" w:hAnsi="Times New Roman"/>
          <w:sz w:val="28"/>
          <w:szCs w:val="28"/>
          <w:lang w:val="ru-MO"/>
        </w:rPr>
        <w:lastRenderedPageBreak/>
        <w:t>Агентство)</w:t>
      </w:r>
      <w:r w:rsidRPr="00CE6109">
        <w:rPr>
          <w:rStyle w:val="Referinnotdesubsol"/>
          <w:rFonts w:ascii="Times New Roman" w:hAnsi="Times New Roman"/>
          <w:sz w:val="28"/>
          <w:szCs w:val="28"/>
          <w:lang w:val="ru-MO"/>
        </w:rPr>
        <w:footnoteReference w:id="16"/>
      </w:r>
      <w:r w:rsidRPr="00CE6109">
        <w:rPr>
          <w:rFonts w:ascii="Times New Roman" w:hAnsi="Times New Roman"/>
          <w:sz w:val="28"/>
          <w:szCs w:val="28"/>
          <w:lang w:val="ru-MO"/>
        </w:rPr>
        <w:t>. В результате проведения процедур закупок АЛМИ на 2015 год, ПМСУ РКБ заключило договоры о закупке лекарств и парафармацевтической продукции на сумму 84,3 млн. леев, из которых 63,6 млн. леев – до 31.12.2015. После заключения договора на предоставление медицинской помощи за счет ФОМС, для приобретения медикаментов учреждение запланировало финансовые средства в сумме 47,7 млн. леев, что покрывает только 56,6% от общей суммы договоров закупки лекарственных средств, заключенных учреждением с экономическими агентами.</w:t>
      </w:r>
    </w:p>
    <w:p w:rsidR="00CE2D0C" w:rsidRPr="00CE6109" w:rsidRDefault="00CE2D0C" w:rsidP="00CE2D0C">
      <w:pPr>
        <w:pStyle w:val="20"/>
        <w:shd w:val="clear" w:color="auto" w:fill="auto"/>
        <w:spacing w:before="0" w:after="0" w:line="276" w:lineRule="auto"/>
        <w:ind w:firstLine="567"/>
        <w:jc w:val="both"/>
        <w:rPr>
          <w:sz w:val="28"/>
          <w:szCs w:val="28"/>
          <w:lang w:val="ru-MO"/>
        </w:rPr>
      </w:pPr>
      <w:r w:rsidRPr="00CE6109">
        <w:rPr>
          <w:sz w:val="28"/>
          <w:szCs w:val="28"/>
          <w:lang w:val="ru-MO"/>
        </w:rPr>
        <w:t>В этом контексте аудит отмечает, что расчет расходов на лекарства, предусмотренный в смете доходов и расходов на 2015 год, был проведен ПМСУ РКБ в соответствии с действующим законодательством</w:t>
      </w:r>
      <w:r w:rsidRPr="00CE6109">
        <w:rPr>
          <w:sz w:val="28"/>
          <w:szCs w:val="28"/>
          <w:vertAlign w:val="superscript"/>
          <w:lang w:val="ru-MO"/>
        </w:rPr>
        <w:footnoteReference w:id="17"/>
      </w:r>
      <w:r w:rsidRPr="00CE6109">
        <w:rPr>
          <w:sz w:val="28"/>
          <w:szCs w:val="28"/>
          <w:lang w:val="ru-MO"/>
        </w:rPr>
        <w:t xml:space="preserve">, </w:t>
      </w:r>
      <w:r>
        <w:rPr>
          <w:sz w:val="28"/>
          <w:szCs w:val="28"/>
          <w:lang w:val="ru-MO"/>
        </w:rPr>
        <w:t>путем умножения</w:t>
      </w:r>
      <w:r w:rsidRPr="00CE6109">
        <w:rPr>
          <w:sz w:val="28"/>
          <w:szCs w:val="28"/>
          <w:lang w:val="ru-MO"/>
        </w:rPr>
        <w:t xml:space="preserve"> норм</w:t>
      </w:r>
      <w:r>
        <w:rPr>
          <w:sz w:val="28"/>
          <w:szCs w:val="28"/>
          <w:lang w:val="ru-MO"/>
        </w:rPr>
        <w:t>ы</w:t>
      </w:r>
      <w:r w:rsidRPr="00CE6109">
        <w:rPr>
          <w:sz w:val="28"/>
          <w:szCs w:val="28"/>
          <w:lang w:val="ru-MO"/>
        </w:rPr>
        <w:t xml:space="preserve"> лекарств на один пролеченный случай, исходя из потребностей на 2015 год, </w:t>
      </w:r>
      <w:r>
        <w:rPr>
          <w:sz w:val="28"/>
          <w:szCs w:val="28"/>
          <w:lang w:val="ru-MO"/>
        </w:rPr>
        <w:t>на</w:t>
      </w:r>
      <w:r w:rsidRPr="00CE6109">
        <w:rPr>
          <w:sz w:val="28"/>
          <w:szCs w:val="28"/>
          <w:lang w:val="ru-MO"/>
        </w:rPr>
        <w:t xml:space="preserve"> число запланированных пролеченных случаев. Следовательно, порядок расчета не предусматривает включение стоимости лекарственных препаратов по заключенным договорам, что может генерировать риск нехватки необходимых доходов учреждения для обеспечения лечебного процесса медикаментами.</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i/>
          <w:sz w:val="28"/>
          <w:szCs w:val="28"/>
          <w:lang w:val="ru-MO"/>
        </w:rPr>
        <w:t xml:space="preserve">Учреждение проинформировало, что „методология контрактации медикаментов, </w:t>
      </w:r>
      <w:r>
        <w:rPr>
          <w:rFonts w:ascii="Times New Roman" w:hAnsi="Times New Roman"/>
          <w:i/>
          <w:sz w:val="28"/>
          <w:szCs w:val="28"/>
          <w:lang w:val="ru-MO"/>
        </w:rPr>
        <w:t>расходных материалов</w:t>
      </w:r>
      <w:r w:rsidRPr="00CE6109">
        <w:rPr>
          <w:rFonts w:ascii="Times New Roman" w:hAnsi="Times New Roman"/>
          <w:i/>
          <w:sz w:val="28"/>
          <w:szCs w:val="28"/>
          <w:lang w:val="ru-MO"/>
        </w:rPr>
        <w:t xml:space="preserve"> и парафармацевтической продукции применяемая АЛМИ создает расхождения при составлении бизнес-плана больницы, поскольку на момент подачи списка препаратов, необходимых отделениям, в адрес АЛМИ для их включения в качестве объекта открытых торгов и договоров закупок на следующий год, сумма, которая будет контрактована, неизвестна. В результате, сумма</w:t>
      </w:r>
      <w:r>
        <w:rPr>
          <w:rFonts w:ascii="Times New Roman" w:hAnsi="Times New Roman"/>
          <w:i/>
          <w:sz w:val="28"/>
          <w:szCs w:val="28"/>
          <w:lang w:val="ru-MO"/>
        </w:rPr>
        <w:t>,</w:t>
      </w:r>
      <w:r w:rsidRPr="00CE6109">
        <w:rPr>
          <w:rFonts w:ascii="Times New Roman" w:hAnsi="Times New Roman"/>
          <w:i/>
          <w:sz w:val="28"/>
          <w:szCs w:val="28"/>
          <w:lang w:val="ru-MO"/>
        </w:rPr>
        <w:t xml:space="preserve"> контрактованная с НМСК, не обеспечивает финансовое покрытие договоров о закупке лекарственных средств, расходных материалов и парафармацевтических изделий, заключенных в сентябре-октябре предыдущего года”</w:t>
      </w:r>
      <w:r w:rsidRPr="00CE6109">
        <w:rPr>
          <w:rFonts w:ascii="Times New Roman" w:hAnsi="Times New Roman"/>
          <w:sz w:val="28"/>
          <w:szCs w:val="28"/>
          <w:lang w:val="ru-MO"/>
        </w:rPr>
        <w:t>.</w:t>
      </w:r>
    </w:p>
    <w:p w:rsidR="00CE2D0C" w:rsidRPr="00CE6109" w:rsidRDefault="00CE2D0C" w:rsidP="00CE2D0C">
      <w:pPr>
        <w:spacing w:after="0" w:line="276" w:lineRule="auto"/>
        <w:ind w:firstLine="567"/>
        <w:jc w:val="both"/>
        <w:rPr>
          <w:rFonts w:ascii="Times New Roman" w:eastAsia="Times New Roman" w:hAnsi="Times New Roman"/>
          <w:b/>
          <w:bCs/>
          <w:color w:val="000000"/>
          <w:sz w:val="20"/>
          <w:szCs w:val="20"/>
          <w:lang w:val="ru-MO"/>
        </w:rPr>
        <w:sectPr w:rsidR="00CE2D0C" w:rsidRPr="00CE6109" w:rsidSect="00CE2D0C">
          <w:headerReference w:type="default" r:id="rId8"/>
          <w:footerReference w:type="default" r:id="rId9"/>
          <w:pgSz w:w="11906" w:h="16838" w:code="9"/>
          <w:pgMar w:top="1134" w:right="758" w:bottom="709" w:left="1418" w:header="426" w:footer="308" w:gutter="0"/>
          <w:cols w:space="708"/>
          <w:docGrid w:linePitch="360"/>
        </w:sectPr>
      </w:pPr>
      <w:r w:rsidRPr="00CE6109">
        <w:rPr>
          <w:rFonts w:ascii="Times New Roman" w:hAnsi="Times New Roman"/>
          <w:sz w:val="28"/>
          <w:szCs w:val="28"/>
          <w:lang w:val="ru-MO"/>
        </w:rPr>
        <w:t>В течение отчетного года за счет финансовых средств, контрактованных из ФОМС на основании дополнительных соглашений, для приобретения медикаментов и расходных материалов, была уточнена сумма в 132,6 млн. леев. В этой связи, аудит представляет долю выделяемых ресурсов на лекарства по видам медицинской помощи и фактические расходы за 2015 год.</w:t>
      </w:r>
    </w:p>
    <w:p w:rsidR="00CE2D0C" w:rsidRPr="00CE6109" w:rsidRDefault="00CE2D0C" w:rsidP="00CE2D0C">
      <w:pPr>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lastRenderedPageBreak/>
        <w:t>Таблица №5</w:t>
      </w:r>
    </w:p>
    <w:p w:rsidR="00CE2D0C" w:rsidRPr="00CE6109" w:rsidRDefault="00CE2D0C" w:rsidP="00CE2D0C">
      <w:pPr>
        <w:spacing w:line="240" w:lineRule="auto"/>
        <w:ind w:firstLine="567"/>
        <w:jc w:val="center"/>
        <w:rPr>
          <w:rFonts w:ascii="Times New Roman" w:hAnsi="Times New Roman"/>
          <w:b/>
          <w:i/>
          <w:sz w:val="24"/>
          <w:szCs w:val="24"/>
          <w:lang w:val="ru-MO"/>
        </w:rPr>
        <w:sectPr w:rsidR="00CE2D0C" w:rsidRPr="00CE6109" w:rsidSect="003D6644">
          <w:type w:val="continuous"/>
          <w:pgSz w:w="11906" w:h="16838" w:code="9"/>
          <w:pgMar w:top="1134" w:right="760" w:bottom="567" w:left="1418" w:header="425" w:footer="170" w:gutter="0"/>
          <w:cols w:space="708"/>
          <w:docGrid w:linePitch="360"/>
        </w:sectPr>
      </w:pPr>
    </w:p>
    <w:p w:rsidR="00CE2D0C" w:rsidRPr="00CE6109" w:rsidRDefault="00CE2D0C" w:rsidP="00CE2D0C">
      <w:pPr>
        <w:spacing w:line="240" w:lineRule="auto"/>
        <w:ind w:firstLine="567"/>
        <w:jc w:val="center"/>
        <w:rPr>
          <w:rFonts w:ascii="Times New Roman" w:hAnsi="Times New Roman"/>
          <w:b/>
          <w:i/>
          <w:sz w:val="24"/>
          <w:szCs w:val="24"/>
          <w:lang w:val="ru-MO"/>
        </w:rPr>
      </w:pPr>
      <w:r>
        <w:rPr>
          <w:rFonts w:ascii="Times New Roman" w:hAnsi="Times New Roman"/>
          <w:b/>
          <w:i/>
          <w:sz w:val="24"/>
          <w:szCs w:val="24"/>
          <w:lang w:val="ru-MO"/>
        </w:rPr>
        <w:lastRenderedPageBreak/>
        <w:t>Р</w:t>
      </w:r>
      <w:r w:rsidRPr="00CE6109">
        <w:rPr>
          <w:rFonts w:ascii="Times New Roman" w:hAnsi="Times New Roman"/>
          <w:b/>
          <w:i/>
          <w:sz w:val="24"/>
          <w:szCs w:val="24"/>
          <w:lang w:val="ru-MO"/>
        </w:rPr>
        <w:t>есурсы</w:t>
      </w:r>
      <w:r>
        <w:rPr>
          <w:rFonts w:ascii="Times New Roman" w:hAnsi="Times New Roman"/>
          <w:b/>
          <w:i/>
          <w:sz w:val="24"/>
          <w:szCs w:val="24"/>
          <w:lang w:val="ru-MO"/>
        </w:rPr>
        <w:t>, в</w:t>
      </w:r>
      <w:r w:rsidRPr="00CE6109">
        <w:rPr>
          <w:rFonts w:ascii="Times New Roman" w:hAnsi="Times New Roman"/>
          <w:b/>
          <w:i/>
          <w:sz w:val="24"/>
          <w:szCs w:val="24"/>
          <w:lang w:val="ru-MO"/>
        </w:rPr>
        <w:t xml:space="preserve">ыделяемые за счет ФОМС на медикаменты и расходные материалы, и фактические расходы по видам медицинской помощи за 2015 год </w:t>
      </w:r>
    </w:p>
    <w:tbl>
      <w:tblPr>
        <w:tblW w:w="10490" w:type="dxa"/>
        <w:tblInd w:w="-431" w:type="dxa"/>
        <w:tblLayout w:type="fixed"/>
        <w:tblLook w:val="04A0"/>
      </w:tblPr>
      <w:tblGrid>
        <w:gridCol w:w="1560"/>
        <w:gridCol w:w="993"/>
        <w:gridCol w:w="992"/>
        <w:gridCol w:w="1134"/>
        <w:gridCol w:w="1134"/>
        <w:gridCol w:w="1701"/>
        <w:gridCol w:w="1418"/>
        <w:gridCol w:w="1558"/>
      </w:tblGrid>
      <w:tr w:rsidR="00CE2D0C" w:rsidRPr="00C21C23" w:rsidTr="00266330">
        <w:trPr>
          <w:trHeight w:val="887"/>
        </w:trPr>
        <w:tc>
          <w:tcPr>
            <w:tcW w:w="1560" w:type="dxa"/>
            <w:vMerge w:val="restart"/>
            <w:tcBorders>
              <w:top w:val="single" w:sz="4" w:space="0" w:color="auto"/>
              <w:left w:val="single" w:sz="4" w:space="0" w:color="auto"/>
              <w:right w:val="single" w:sz="4" w:space="0" w:color="auto"/>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Показатели</w:t>
            </w:r>
          </w:p>
        </w:tc>
        <w:tc>
          <w:tcPr>
            <w:tcW w:w="1985" w:type="dxa"/>
            <w:gridSpan w:val="2"/>
            <w:tcBorders>
              <w:top w:val="single" w:sz="4" w:space="0" w:color="auto"/>
              <w:left w:val="nil"/>
              <w:bottom w:val="single" w:sz="4" w:space="0" w:color="auto"/>
              <w:right w:val="single" w:sz="4" w:space="0" w:color="auto"/>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Сумма, контрактованная из ФОМС, млн. леев</w:t>
            </w:r>
          </w:p>
        </w:tc>
        <w:tc>
          <w:tcPr>
            <w:tcW w:w="2268" w:type="dxa"/>
            <w:gridSpan w:val="2"/>
            <w:tcBorders>
              <w:top w:val="single" w:sz="4" w:space="0" w:color="auto"/>
              <w:left w:val="nil"/>
              <w:bottom w:val="single" w:sz="4" w:space="0" w:color="auto"/>
              <w:right w:val="single" w:sz="4" w:space="0" w:color="auto"/>
            </w:tcBorders>
            <w:shd w:val="clear" w:color="auto" w:fill="E2EFD9"/>
            <w:vAlign w:val="center"/>
          </w:tcPr>
          <w:p w:rsidR="00CE2D0C" w:rsidRPr="00CD59C4" w:rsidRDefault="00CE2D0C" w:rsidP="00266330">
            <w:pPr>
              <w:spacing w:after="0" w:line="240" w:lineRule="auto"/>
              <w:ind w:right="-111"/>
              <w:jc w:val="center"/>
              <w:rPr>
                <w:rFonts w:eastAsia="Times New Roman"/>
                <w:b/>
                <w:bCs/>
                <w:color w:val="000000"/>
                <w:sz w:val="18"/>
                <w:szCs w:val="18"/>
                <w:lang w:val="ru-MO"/>
              </w:rPr>
            </w:pPr>
            <w:r w:rsidRPr="00CD59C4">
              <w:rPr>
                <w:rFonts w:eastAsia="Times New Roman"/>
                <w:b/>
                <w:bCs/>
                <w:color w:val="000000"/>
                <w:sz w:val="18"/>
                <w:szCs w:val="18"/>
                <w:lang w:val="ru-MO"/>
              </w:rPr>
              <w:t>Средства, выделенные на приобретение лекарственных средств, млн.леев</w:t>
            </w:r>
          </w:p>
        </w:tc>
        <w:tc>
          <w:tcPr>
            <w:tcW w:w="1701" w:type="dxa"/>
            <w:vMerge w:val="restart"/>
            <w:tcBorders>
              <w:top w:val="single" w:sz="4" w:space="0" w:color="auto"/>
              <w:left w:val="nil"/>
              <w:right w:val="nil"/>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Удельный вес средств, выделяемых на приобретение лекарственных средств, в уточненной сумме по договору, %</w:t>
            </w:r>
          </w:p>
        </w:tc>
        <w:tc>
          <w:tcPr>
            <w:tcW w:w="1418" w:type="dxa"/>
            <w:vMerge w:val="restart"/>
            <w:tcBorders>
              <w:top w:val="single" w:sz="4" w:space="0" w:color="auto"/>
              <w:left w:val="single" w:sz="4" w:space="0" w:color="auto"/>
              <w:right w:val="single" w:sz="4" w:space="0" w:color="auto"/>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 xml:space="preserve">Фактические расходы на медикаменты, млн.леев </w:t>
            </w:r>
          </w:p>
        </w:tc>
        <w:tc>
          <w:tcPr>
            <w:tcW w:w="1558" w:type="dxa"/>
            <w:vMerge w:val="restart"/>
            <w:tcBorders>
              <w:top w:val="single" w:sz="4" w:space="0" w:color="auto"/>
              <w:left w:val="nil"/>
              <w:right w:val="single" w:sz="4" w:space="0" w:color="auto"/>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Доля фактических расходов на приобретение лекарств в уточненной сумме, %</w:t>
            </w:r>
          </w:p>
        </w:tc>
      </w:tr>
      <w:tr w:rsidR="00CE2D0C" w:rsidRPr="00CD59C4" w:rsidTr="00266330">
        <w:trPr>
          <w:trHeight w:val="511"/>
        </w:trPr>
        <w:tc>
          <w:tcPr>
            <w:tcW w:w="1560" w:type="dxa"/>
            <w:vMerge/>
            <w:tcBorders>
              <w:left w:val="single" w:sz="4" w:space="0" w:color="auto"/>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p>
        </w:tc>
        <w:tc>
          <w:tcPr>
            <w:tcW w:w="993" w:type="dxa"/>
            <w:tcBorders>
              <w:top w:val="single" w:sz="4" w:space="0" w:color="auto"/>
              <w:left w:val="nil"/>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первоначально</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уточнено</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первоначально</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ind w:right="-111"/>
              <w:jc w:val="center"/>
              <w:rPr>
                <w:rFonts w:eastAsia="Times New Roman"/>
                <w:b/>
                <w:bCs/>
                <w:color w:val="000000"/>
                <w:sz w:val="18"/>
                <w:szCs w:val="18"/>
                <w:lang w:val="ru-MO"/>
              </w:rPr>
            </w:pPr>
            <w:r w:rsidRPr="00CD59C4">
              <w:rPr>
                <w:rFonts w:eastAsia="Times New Roman"/>
                <w:b/>
                <w:bCs/>
                <w:color w:val="000000"/>
                <w:sz w:val="18"/>
                <w:szCs w:val="18"/>
                <w:lang w:val="ru-MO"/>
              </w:rPr>
              <w:t>уточнено</w:t>
            </w:r>
          </w:p>
        </w:tc>
        <w:tc>
          <w:tcPr>
            <w:tcW w:w="1701" w:type="dxa"/>
            <w:vMerge/>
            <w:tcBorders>
              <w:left w:val="nil"/>
              <w:bottom w:val="single" w:sz="4" w:space="0" w:color="auto"/>
              <w:right w:val="nil"/>
            </w:tcBorders>
            <w:shd w:val="clear" w:color="auto" w:fill="E2EFD9"/>
            <w:vAlign w:val="center"/>
          </w:tcPr>
          <w:p w:rsidR="00CE2D0C" w:rsidRPr="00CD59C4" w:rsidRDefault="00CE2D0C" w:rsidP="00266330">
            <w:pPr>
              <w:spacing w:after="0" w:line="240" w:lineRule="auto"/>
              <w:jc w:val="center"/>
              <w:rPr>
                <w:rFonts w:eastAsia="Times New Roman"/>
                <w:b/>
                <w:bCs/>
                <w:color w:val="000000"/>
                <w:sz w:val="18"/>
                <w:szCs w:val="18"/>
                <w:lang w:val="ru-MO"/>
              </w:rPr>
            </w:pPr>
          </w:p>
        </w:tc>
        <w:tc>
          <w:tcPr>
            <w:tcW w:w="1418" w:type="dxa"/>
            <w:vMerge/>
            <w:tcBorders>
              <w:left w:val="single" w:sz="4" w:space="0" w:color="auto"/>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p>
        </w:tc>
        <w:tc>
          <w:tcPr>
            <w:tcW w:w="1558" w:type="dxa"/>
            <w:vMerge/>
            <w:tcBorders>
              <w:left w:val="nil"/>
              <w:bottom w:val="single" w:sz="4" w:space="0" w:color="auto"/>
              <w:right w:val="single" w:sz="4" w:space="0" w:color="auto"/>
            </w:tcBorders>
            <w:shd w:val="clear" w:color="auto" w:fill="E2EFD9"/>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p>
        </w:tc>
      </w:tr>
      <w:tr w:rsidR="00CE2D0C" w:rsidRPr="00CD59C4" w:rsidTr="00266330">
        <w:trPr>
          <w:trHeight w:val="768"/>
        </w:trPr>
        <w:tc>
          <w:tcPr>
            <w:tcW w:w="1560" w:type="dxa"/>
            <w:tcBorders>
              <w:top w:val="nil"/>
              <w:left w:val="single" w:sz="4" w:space="0" w:color="auto"/>
              <w:bottom w:val="single" w:sz="4" w:space="0" w:color="auto"/>
              <w:right w:val="single" w:sz="4" w:space="0" w:color="auto"/>
            </w:tcBorders>
            <w:shd w:val="clear" w:color="auto" w:fill="FFF2CC"/>
            <w:vAlign w:val="center"/>
            <w:hideMark/>
          </w:tcPr>
          <w:p w:rsidR="00CE2D0C" w:rsidRPr="00CD59C4" w:rsidRDefault="00CE2D0C" w:rsidP="00266330">
            <w:pPr>
              <w:spacing w:after="0" w:line="240" w:lineRule="auto"/>
              <w:jc w:val="center"/>
              <w:rPr>
                <w:rFonts w:eastAsia="Times New Roman"/>
                <w:b/>
                <w:bCs/>
                <w:color w:val="000000"/>
                <w:sz w:val="18"/>
                <w:szCs w:val="18"/>
                <w:lang w:val="ru-MO"/>
              </w:rPr>
            </w:pPr>
            <w:r w:rsidRPr="00CD59C4">
              <w:rPr>
                <w:rFonts w:eastAsia="Times New Roman"/>
                <w:b/>
                <w:bCs/>
                <w:color w:val="000000"/>
                <w:sz w:val="18"/>
                <w:szCs w:val="18"/>
                <w:lang w:val="ru-MO"/>
              </w:rPr>
              <w:t>ВСЕГО, в том числе</w:t>
            </w:r>
          </w:p>
        </w:tc>
        <w:tc>
          <w:tcPr>
            <w:tcW w:w="993" w:type="dxa"/>
            <w:tcBorders>
              <w:top w:val="nil"/>
              <w:left w:val="nil"/>
              <w:bottom w:val="single" w:sz="4" w:space="0" w:color="auto"/>
              <w:right w:val="single" w:sz="4" w:space="0" w:color="auto"/>
            </w:tcBorders>
            <w:shd w:val="clear" w:color="auto" w:fill="FFF2CC"/>
            <w:vAlign w:val="center"/>
            <w:hideMark/>
          </w:tcPr>
          <w:p w:rsidR="00CE2D0C" w:rsidRPr="00CD59C4" w:rsidRDefault="00CE2D0C" w:rsidP="00266330">
            <w:pPr>
              <w:spacing w:after="0" w:line="240" w:lineRule="auto"/>
              <w:jc w:val="center"/>
              <w:rPr>
                <w:rFonts w:eastAsia="Times New Roman"/>
                <w:bCs/>
                <w:color w:val="000000"/>
                <w:sz w:val="18"/>
                <w:szCs w:val="18"/>
                <w:lang w:val="ru-MO"/>
              </w:rPr>
            </w:pPr>
            <w:r w:rsidRPr="00CD59C4">
              <w:rPr>
                <w:bCs/>
                <w:color w:val="000000"/>
                <w:sz w:val="18"/>
                <w:szCs w:val="18"/>
                <w:lang w:val="ru-MO"/>
              </w:rPr>
              <w:t>170,2</w:t>
            </w:r>
          </w:p>
        </w:tc>
        <w:tc>
          <w:tcPr>
            <w:tcW w:w="992" w:type="dxa"/>
            <w:tcBorders>
              <w:top w:val="nil"/>
              <w:left w:val="nil"/>
              <w:bottom w:val="single" w:sz="4" w:space="0" w:color="auto"/>
              <w:right w:val="single" w:sz="4" w:space="0" w:color="auto"/>
            </w:tcBorders>
            <w:shd w:val="clear" w:color="auto" w:fill="FFF2CC"/>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248,4</w:t>
            </w:r>
          </w:p>
        </w:tc>
        <w:tc>
          <w:tcPr>
            <w:tcW w:w="1134" w:type="dxa"/>
            <w:tcBorders>
              <w:top w:val="nil"/>
              <w:left w:val="nil"/>
              <w:bottom w:val="single" w:sz="4" w:space="0" w:color="auto"/>
              <w:right w:val="single" w:sz="4" w:space="0" w:color="auto"/>
            </w:tcBorders>
            <w:shd w:val="clear" w:color="auto" w:fill="FFF2CC"/>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47,7</w:t>
            </w:r>
          </w:p>
        </w:tc>
        <w:tc>
          <w:tcPr>
            <w:tcW w:w="1134" w:type="dxa"/>
            <w:tcBorders>
              <w:top w:val="nil"/>
              <w:left w:val="nil"/>
              <w:bottom w:val="single" w:sz="4" w:space="0" w:color="auto"/>
              <w:right w:val="single" w:sz="4" w:space="0" w:color="auto"/>
            </w:tcBorders>
            <w:shd w:val="clear" w:color="auto" w:fill="FFF2CC"/>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132,5</w:t>
            </w:r>
          </w:p>
        </w:tc>
        <w:tc>
          <w:tcPr>
            <w:tcW w:w="1701" w:type="dxa"/>
            <w:tcBorders>
              <w:top w:val="single" w:sz="4" w:space="0" w:color="auto"/>
              <w:left w:val="nil"/>
              <w:bottom w:val="single" w:sz="4" w:space="0" w:color="auto"/>
              <w:right w:val="nil"/>
            </w:tcBorders>
            <w:shd w:val="clear" w:color="auto" w:fill="FFF2CC"/>
            <w:vAlign w:val="center"/>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53,3</w:t>
            </w:r>
          </w:p>
        </w:tc>
        <w:tc>
          <w:tcPr>
            <w:tcW w:w="1418" w:type="dxa"/>
            <w:tcBorders>
              <w:top w:val="nil"/>
              <w:left w:val="single" w:sz="4" w:space="0" w:color="auto"/>
              <w:bottom w:val="single" w:sz="4" w:space="0" w:color="auto"/>
              <w:right w:val="single" w:sz="4" w:space="0" w:color="auto"/>
            </w:tcBorders>
            <w:shd w:val="clear" w:color="auto" w:fill="FFF2CC"/>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114,8</w:t>
            </w:r>
          </w:p>
        </w:tc>
        <w:tc>
          <w:tcPr>
            <w:tcW w:w="1558" w:type="dxa"/>
            <w:tcBorders>
              <w:top w:val="nil"/>
              <w:left w:val="nil"/>
              <w:bottom w:val="single" w:sz="4" w:space="0" w:color="auto"/>
              <w:right w:val="single" w:sz="4" w:space="0" w:color="auto"/>
            </w:tcBorders>
            <w:shd w:val="clear" w:color="auto" w:fill="FFF2CC"/>
            <w:vAlign w:val="center"/>
            <w:hideMark/>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86,6</w:t>
            </w:r>
          </w:p>
        </w:tc>
      </w:tr>
      <w:tr w:rsidR="00CE2D0C" w:rsidRPr="00CD59C4" w:rsidTr="00266330">
        <w:trPr>
          <w:trHeight w:val="600"/>
        </w:trPr>
        <w:tc>
          <w:tcPr>
            <w:tcW w:w="1560" w:type="dxa"/>
            <w:tcBorders>
              <w:top w:val="nil"/>
              <w:left w:val="single" w:sz="4" w:space="0" w:color="auto"/>
              <w:bottom w:val="single" w:sz="4" w:space="0" w:color="auto"/>
              <w:right w:val="single" w:sz="4" w:space="0" w:color="auto"/>
            </w:tcBorders>
            <w:shd w:val="clear" w:color="auto" w:fill="F2F2F2"/>
            <w:vAlign w:val="center"/>
            <w:hideMark/>
          </w:tcPr>
          <w:p w:rsidR="00CE2D0C" w:rsidRPr="00CD59C4" w:rsidRDefault="00CE2D0C" w:rsidP="00266330">
            <w:pPr>
              <w:spacing w:after="0" w:line="240" w:lineRule="auto"/>
              <w:rPr>
                <w:rFonts w:eastAsia="Times New Roman"/>
                <w:color w:val="000000"/>
                <w:sz w:val="18"/>
                <w:szCs w:val="18"/>
                <w:lang w:val="ru-MO"/>
              </w:rPr>
            </w:pPr>
            <w:r w:rsidRPr="00CD59C4">
              <w:rPr>
                <w:rFonts w:eastAsia="Times New Roman"/>
                <w:color w:val="000000"/>
                <w:sz w:val="18"/>
                <w:szCs w:val="18"/>
                <w:lang w:val="ru-MO"/>
              </w:rPr>
              <w:t>Стационарная медицинская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160,7</w:t>
            </w:r>
          </w:p>
        </w:tc>
        <w:tc>
          <w:tcPr>
            <w:tcW w:w="992"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238,5</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43,9</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128,5</w:t>
            </w:r>
          </w:p>
        </w:tc>
        <w:tc>
          <w:tcPr>
            <w:tcW w:w="1701" w:type="dxa"/>
            <w:tcBorders>
              <w:top w:val="single" w:sz="4" w:space="0" w:color="auto"/>
              <w:left w:val="nil"/>
              <w:bottom w:val="single" w:sz="4" w:space="0" w:color="auto"/>
              <w:right w:val="nil"/>
            </w:tcBorders>
            <w:vAlign w:val="center"/>
          </w:tcPr>
          <w:p w:rsidR="00CE2D0C" w:rsidRPr="00CD59C4" w:rsidRDefault="00CE2D0C" w:rsidP="00266330">
            <w:pPr>
              <w:spacing w:after="0"/>
              <w:jc w:val="center"/>
              <w:rPr>
                <w:b/>
                <w:color w:val="000000"/>
                <w:sz w:val="18"/>
                <w:szCs w:val="18"/>
                <w:lang w:val="ru-MO"/>
              </w:rPr>
            </w:pPr>
            <w:r w:rsidRPr="00CD59C4">
              <w:rPr>
                <w:b/>
                <w:bCs/>
                <w:color w:val="000000"/>
                <w:sz w:val="18"/>
                <w:szCs w:val="18"/>
                <w:lang w:val="ru-MO"/>
              </w:rPr>
              <w:t>53,9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112,3</w:t>
            </w:r>
          </w:p>
        </w:tc>
        <w:tc>
          <w:tcPr>
            <w:tcW w:w="1558" w:type="dxa"/>
            <w:tcBorders>
              <w:top w:val="nil"/>
              <w:left w:val="nil"/>
              <w:bottom w:val="single" w:sz="4" w:space="0" w:color="auto"/>
              <w:right w:val="single" w:sz="4" w:space="0" w:color="auto"/>
            </w:tcBorders>
            <w:shd w:val="clear" w:color="000000" w:fill="FFFFFF"/>
            <w:vAlign w:val="center"/>
            <w:hideMark/>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87,4</w:t>
            </w:r>
          </w:p>
        </w:tc>
      </w:tr>
      <w:tr w:rsidR="00CE2D0C" w:rsidRPr="00CD59C4" w:rsidTr="00266330">
        <w:trPr>
          <w:trHeight w:val="600"/>
        </w:trPr>
        <w:tc>
          <w:tcPr>
            <w:tcW w:w="1560" w:type="dxa"/>
            <w:tcBorders>
              <w:top w:val="nil"/>
              <w:left w:val="single" w:sz="4" w:space="0" w:color="auto"/>
              <w:bottom w:val="single" w:sz="4" w:space="0" w:color="auto"/>
              <w:right w:val="single" w:sz="4" w:space="0" w:color="auto"/>
            </w:tcBorders>
            <w:shd w:val="clear" w:color="auto" w:fill="F2F2F2"/>
            <w:vAlign w:val="center"/>
            <w:hideMark/>
          </w:tcPr>
          <w:p w:rsidR="00CE2D0C" w:rsidRPr="00CD59C4" w:rsidRDefault="00CE2D0C" w:rsidP="00266330">
            <w:pPr>
              <w:spacing w:after="0" w:line="240" w:lineRule="auto"/>
              <w:rPr>
                <w:rFonts w:eastAsia="Times New Roman"/>
                <w:color w:val="000000"/>
                <w:sz w:val="18"/>
                <w:szCs w:val="18"/>
                <w:lang w:val="ru-MO"/>
              </w:rPr>
            </w:pPr>
            <w:r w:rsidRPr="00CD59C4">
              <w:rPr>
                <w:rFonts w:eastAsia="Times New Roman"/>
                <w:color w:val="000000"/>
                <w:sz w:val="18"/>
                <w:szCs w:val="18"/>
                <w:lang w:val="ru-MO"/>
              </w:rPr>
              <w:t>Амбулаторная специализиро-ванная медицинская помощь</w:t>
            </w:r>
          </w:p>
        </w:tc>
        <w:tc>
          <w:tcPr>
            <w:tcW w:w="993"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5,0</w:t>
            </w:r>
          </w:p>
        </w:tc>
        <w:tc>
          <w:tcPr>
            <w:tcW w:w="992"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5,4</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2,7</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1,3</w:t>
            </w:r>
          </w:p>
        </w:tc>
        <w:tc>
          <w:tcPr>
            <w:tcW w:w="1701" w:type="dxa"/>
            <w:tcBorders>
              <w:top w:val="single" w:sz="4" w:space="0" w:color="auto"/>
              <w:left w:val="nil"/>
              <w:bottom w:val="single" w:sz="4" w:space="0" w:color="auto"/>
              <w:right w:val="nil"/>
            </w:tcBorders>
            <w:vAlign w:val="center"/>
          </w:tcPr>
          <w:p w:rsidR="00CE2D0C" w:rsidRPr="00CD59C4" w:rsidRDefault="00CE2D0C" w:rsidP="00266330">
            <w:pPr>
              <w:spacing w:after="0"/>
              <w:jc w:val="center"/>
              <w:rPr>
                <w:b/>
                <w:color w:val="000000"/>
                <w:sz w:val="18"/>
                <w:szCs w:val="18"/>
                <w:lang w:val="ru-MO"/>
              </w:rPr>
            </w:pPr>
            <w:r w:rsidRPr="00CD59C4">
              <w:rPr>
                <w:b/>
                <w:bCs/>
                <w:color w:val="000000"/>
                <w:sz w:val="18"/>
                <w:szCs w:val="18"/>
                <w:lang w:val="ru-MO"/>
              </w:rPr>
              <w:t>24,1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0,5</w:t>
            </w:r>
          </w:p>
        </w:tc>
        <w:tc>
          <w:tcPr>
            <w:tcW w:w="1558" w:type="dxa"/>
            <w:tcBorders>
              <w:top w:val="nil"/>
              <w:left w:val="nil"/>
              <w:bottom w:val="single" w:sz="4" w:space="0" w:color="auto"/>
              <w:right w:val="single" w:sz="4" w:space="0" w:color="auto"/>
            </w:tcBorders>
            <w:shd w:val="clear" w:color="000000" w:fill="FFFFFF"/>
            <w:vAlign w:val="center"/>
            <w:hideMark/>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38,5</w:t>
            </w:r>
          </w:p>
        </w:tc>
      </w:tr>
      <w:tr w:rsidR="00CE2D0C" w:rsidRPr="00CD59C4" w:rsidTr="00266330">
        <w:trPr>
          <w:trHeight w:val="600"/>
        </w:trPr>
        <w:tc>
          <w:tcPr>
            <w:tcW w:w="1560" w:type="dxa"/>
            <w:tcBorders>
              <w:top w:val="nil"/>
              <w:left w:val="single" w:sz="4" w:space="0" w:color="auto"/>
              <w:bottom w:val="single" w:sz="4" w:space="0" w:color="auto"/>
              <w:right w:val="single" w:sz="4" w:space="0" w:color="auto"/>
            </w:tcBorders>
            <w:shd w:val="clear" w:color="auto" w:fill="F2F2F2"/>
            <w:vAlign w:val="center"/>
            <w:hideMark/>
          </w:tcPr>
          <w:p w:rsidR="00CE2D0C" w:rsidRPr="00CD59C4" w:rsidRDefault="00CE2D0C" w:rsidP="00266330">
            <w:pPr>
              <w:spacing w:after="0" w:line="240" w:lineRule="auto"/>
              <w:rPr>
                <w:rFonts w:eastAsia="Times New Roman"/>
                <w:color w:val="000000"/>
                <w:sz w:val="18"/>
                <w:szCs w:val="18"/>
                <w:lang w:val="ru-MO"/>
              </w:rPr>
            </w:pPr>
            <w:r w:rsidRPr="00CD59C4">
              <w:rPr>
                <w:rFonts w:eastAsia="Times New Roman"/>
                <w:color w:val="000000"/>
                <w:sz w:val="18"/>
                <w:szCs w:val="18"/>
                <w:lang w:val="ru-MO"/>
              </w:rPr>
              <w:t>Высокоспециализированные медицинские услуги</w:t>
            </w:r>
          </w:p>
        </w:tc>
        <w:tc>
          <w:tcPr>
            <w:tcW w:w="993"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4,5</w:t>
            </w:r>
          </w:p>
        </w:tc>
        <w:tc>
          <w:tcPr>
            <w:tcW w:w="992"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4,5</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1,1</w:t>
            </w:r>
          </w:p>
        </w:tc>
        <w:tc>
          <w:tcPr>
            <w:tcW w:w="1134" w:type="dxa"/>
            <w:tcBorders>
              <w:top w:val="nil"/>
              <w:left w:val="nil"/>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color w:val="000000"/>
                <w:sz w:val="18"/>
                <w:szCs w:val="18"/>
                <w:lang w:val="ru-MO"/>
              </w:rPr>
            </w:pPr>
            <w:r w:rsidRPr="00CD59C4">
              <w:rPr>
                <w:bCs/>
                <w:color w:val="000000"/>
                <w:sz w:val="18"/>
                <w:szCs w:val="18"/>
                <w:lang w:val="ru-MO"/>
              </w:rPr>
              <w:t>2,7</w:t>
            </w:r>
          </w:p>
        </w:tc>
        <w:tc>
          <w:tcPr>
            <w:tcW w:w="1701" w:type="dxa"/>
            <w:tcBorders>
              <w:top w:val="single" w:sz="4" w:space="0" w:color="auto"/>
              <w:left w:val="nil"/>
              <w:bottom w:val="single" w:sz="4" w:space="0" w:color="auto"/>
              <w:right w:val="nil"/>
            </w:tcBorders>
            <w:vAlign w:val="center"/>
          </w:tcPr>
          <w:p w:rsidR="00CE2D0C" w:rsidRPr="00CD59C4" w:rsidRDefault="00CE2D0C" w:rsidP="00266330">
            <w:pPr>
              <w:spacing w:after="0"/>
              <w:jc w:val="center"/>
              <w:rPr>
                <w:b/>
                <w:color w:val="000000"/>
                <w:sz w:val="18"/>
                <w:szCs w:val="18"/>
                <w:lang w:val="ru-MO"/>
              </w:rPr>
            </w:pPr>
            <w:r w:rsidRPr="00CD59C4">
              <w:rPr>
                <w:b/>
                <w:bCs/>
                <w:color w:val="000000"/>
                <w:sz w:val="18"/>
                <w:szCs w:val="18"/>
                <w:lang w:val="ru-MO"/>
              </w:rPr>
              <w:t>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2D0C" w:rsidRPr="00CD59C4" w:rsidRDefault="00CE2D0C" w:rsidP="00266330">
            <w:pPr>
              <w:spacing w:after="0"/>
              <w:jc w:val="center"/>
              <w:rPr>
                <w:bCs/>
                <w:color w:val="000000"/>
                <w:sz w:val="18"/>
                <w:szCs w:val="18"/>
                <w:lang w:val="ru-MO"/>
              </w:rPr>
            </w:pPr>
            <w:r w:rsidRPr="00CD59C4">
              <w:rPr>
                <w:bCs/>
                <w:color w:val="000000"/>
                <w:sz w:val="18"/>
                <w:szCs w:val="18"/>
                <w:lang w:val="ru-MO"/>
              </w:rPr>
              <w:t>2,0</w:t>
            </w:r>
          </w:p>
        </w:tc>
        <w:tc>
          <w:tcPr>
            <w:tcW w:w="1558" w:type="dxa"/>
            <w:tcBorders>
              <w:top w:val="nil"/>
              <w:left w:val="nil"/>
              <w:bottom w:val="single" w:sz="4" w:space="0" w:color="auto"/>
              <w:right w:val="single" w:sz="4" w:space="0" w:color="auto"/>
            </w:tcBorders>
            <w:shd w:val="clear" w:color="000000" w:fill="FFFFFF"/>
            <w:vAlign w:val="center"/>
            <w:hideMark/>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74,1</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отчетов об исполнении сметы доходов и расходов, представленных ПМСУ РКБ за 2015 год.</w:t>
      </w:r>
    </w:p>
    <w:p w:rsidR="00CE2D0C" w:rsidRPr="00CE6109" w:rsidRDefault="00CE2D0C" w:rsidP="00CE2D0C">
      <w:pPr>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Данные из таблицы показывают, что, из контрактованных источников по видам медицинской помощи, наиболее значительный объем финансовых средств на приобретение медикаментов был выделен для стационарной медицинской помощи – 97,8%. </w:t>
      </w:r>
    </w:p>
    <w:p w:rsidR="00CE2D0C"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Вместе с тем, аудит отмечает, что соответствующие уточнения были внесены в результате заключения дополнительных соглашений во II полугодии 2015 года, после вступления в силу Закона о ФОМС на соответствующий год</w:t>
      </w:r>
      <w:r w:rsidRPr="00CE6109">
        <w:rPr>
          <w:rStyle w:val="Referinnotdesubsol"/>
          <w:rFonts w:ascii="Times New Roman" w:hAnsi="Times New Roman"/>
          <w:sz w:val="28"/>
          <w:szCs w:val="28"/>
          <w:lang w:val="ru-MO"/>
        </w:rPr>
        <w:footnoteReference w:id="18"/>
      </w:r>
      <w:r w:rsidRPr="00CE6109">
        <w:rPr>
          <w:rFonts w:ascii="Times New Roman" w:hAnsi="Times New Roman"/>
          <w:sz w:val="28"/>
          <w:szCs w:val="28"/>
          <w:lang w:val="ru-MO"/>
        </w:rPr>
        <w:t>. Таким образом, по мнению аудита, запоздалое утверждение Закона о ФОМС определяет недостатки в процессе контрактации медицинских услуг ПМСУ и НМСК и, соответственно, в обеспечении учреждения необходимыми лекарственными средствами для лечения госпитализированных больных.</w:t>
      </w:r>
    </w:p>
    <w:p w:rsidR="00CE2D0C" w:rsidRPr="00CE6109" w:rsidRDefault="00CE2D0C" w:rsidP="00CE2D0C">
      <w:pPr>
        <w:spacing w:before="240"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В 2015 году договоры о закупке лекарств были исполнены частично и с нарушениями, что привело к необеспечению больницы необходимыми медикаментами для оказания больным качественных медицинских услуг и в полном объеме. Кроме того, неполная функциональность внутреннего контроля определяет невладение всеми необходимыми документами, подтверждающими направление заказов поставщикам, что не гарантирует наличие достаточных доказательств в случае возможных судебных разбирательств с поставщиками.</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lastRenderedPageBreak/>
        <w:t>Аудиторская оценка данного этапа была проведена на основе выборки из двух договоров на общую сумму 14,5 млн. леев, или 17,2% от контрактованной общей суммы (50 договоров закупок на сумму 84,3 млн. леев), и установила следующее:</w:t>
      </w:r>
    </w:p>
    <w:p w:rsidR="00CE2D0C" w:rsidRPr="00CE6109" w:rsidRDefault="00CE2D0C" w:rsidP="00CE2D0C">
      <w:pPr>
        <w:pStyle w:val="Listparagraf"/>
        <w:numPr>
          <w:ilvl w:val="0"/>
          <w:numId w:val="11"/>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у ПМСУ РКБ отсутствуют подтверждающие документы о запросе лекарственных средств, поскольку внесение заказов поставщикам осуществлялось преимущественно в устной форме, что было вызвано недостаточностью внутреннего контроля и может отрицательно повлиять на положение учреждения в случае возникновения с</w:t>
      </w:r>
      <w:r>
        <w:rPr>
          <w:rFonts w:ascii="Times New Roman" w:hAnsi="Times New Roman"/>
          <w:sz w:val="28"/>
          <w:szCs w:val="28"/>
          <w:lang w:val="ru-MO"/>
        </w:rPr>
        <w:t xml:space="preserve">удебных разбирательств </w:t>
      </w:r>
      <w:r w:rsidRPr="00CE6109">
        <w:rPr>
          <w:rFonts w:ascii="Times New Roman" w:hAnsi="Times New Roman"/>
          <w:sz w:val="28"/>
          <w:szCs w:val="28"/>
          <w:lang w:val="ru-MO"/>
        </w:rPr>
        <w:t xml:space="preserve">с экономическими агентами - поставщиками; </w:t>
      </w:r>
    </w:p>
    <w:p w:rsidR="00CE2D0C" w:rsidRPr="00CE6109" w:rsidRDefault="00CE2D0C" w:rsidP="00CE2D0C">
      <w:pPr>
        <w:pStyle w:val="Listparagraf"/>
        <w:numPr>
          <w:ilvl w:val="0"/>
          <w:numId w:val="11"/>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договора были выполнены с нарушениями, без соблюдения установленных в договоре сроков поставки, что обусловило отсутствие необходимых лекарств для своевременного предоставления медицинских услуг пациентам;</w:t>
      </w:r>
    </w:p>
    <w:p w:rsidR="00CE2D0C" w:rsidRPr="00CE6109" w:rsidRDefault="00CE2D0C" w:rsidP="00CE2D0C">
      <w:pPr>
        <w:pStyle w:val="Listparagraf"/>
        <w:numPr>
          <w:ilvl w:val="0"/>
          <w:numId w:val="11"/>
        </w:numPr>
        <w:tabs>
          <w:tab w:val="left" w:pos="851"/>
        </w:tabs>
        <w:spacing w:after="0" w:line="276" w:lineRule="auto"/>
        <w:ind w:left="0" w:firstLine="567"/>
        <w:jc w:val="both"/>
        <w:rPr>
          <w:rFonts w:ascii="Times New Roman" w:hAnsi="Times New Roman"/>
          <w:sz w:val="28"/>
          <w:szCs w:val="28"/>
          <w:lang w:val="ru-MO"/>
        </w:rPr>
      </w:pPr>
      <w:r w:rsidRPr="00CE6109">
        <w:rPr>
          <w:rFonts w:ascii="Times New Roman" w:hAnsi="Times New Roman"/>
          <w:sz w:val="28"/>
          <w:szCs w:val="28"/>
          <w:lang w:val="ru-MO"/>
        </w:rPr>
        <w:t>запрошенные лекарства были поставлены частично (около 68% от запрашиваемого объема), а на конец отчетного периода соответствующие договоры были исполнены на уровне 46%, данная ситуация отрицательно повлияла степень обеспеченности учреждения медикаментами для оказания качественных и полных медицинских услуг застрахованным пациентам.</w:t>
      </w:r>
    </w:p>
    <w:p w:rsidR="00CE2D0C" w:rsidRPr="00CE6109" w:rsidRDefault="00CE2D0C" w:rsidP="00CE2D0C">
      <w:pPr>
        <w:spacing w:before="240"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Увеличение задолженности перед экономическими агентами может определить риск приостановления поставок лекарств и парафармацевтической продукции, а также возникновения споров по взысканию задолженностей.</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До 31.12.2015 ПМСУ РКБ зарегистрировало обязательства по медикаментам и расходным материалам в сумме 73,3 млн.леев, обусловленные нехваткой финансовых средств на их приобретение. Самые значительные задолженности за приобретение медикаментов были зарегистрированы перед 9 поставщиками на сумму 62,7 млн. леев, сроки оплаты были структурированы следующим образом:</w:t>
      </w:r>
    </w:p>
    <w:p w:rsidR="00CE2D0C" w:rsidRPr="00CE6109" w:rsidRDefault="00CE2D0C" w:rsidP="00CE2D0C">
      <w:pPr>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Таблица №6</w:t>
      </w:r>
    </w:p>
    <w:p w:rsidR="00CE2D0C" w:rsidRPr="00CE6109" w:rsidRDefault="00CE2D0C" w:rsidP="00CE2D0C">
      <w:pPr>
        <w:spacing w:after="0" w:line="240" w:lineRule="auto"/>
        <w:ind w:firstLine="567"/>
        <w:jc w:val="center"/>
        <w:rPr>
          <w:rFonts w:ascii="Times New Roman" w:hAnsi="Times New Roman"/>
          <w:b/>
          <w:i/>
          <w:sz w:val="24"/>
          <w:szCs w:val="24"/>
          <w:lang w:val="ru-MO"/>
        </w:rPr>
      </w:pPr>
      <w:r w:rsidRPr="00CE6109">
        <w:rPr>
          <w:rFonts w:ascii="Times New Roman" w:hAnsi="Times New Roman"/>
          <w:b/>
          <w:i/>
          <w:sz w:val="24"/>
          <w:szCs w:val="24"/>
          <w:lang w:val="ru-MO"/>
        </w:rPr>
        <w:t xml:space="preserve">Самые значительные задолженности перед поставщиками </w:t>
      </w:r>
    </w:p>
    <w:p w:rsidR="00CE2D0C" w:rsidRPr="00CE6109" w:rsidRDefault="00CE2D0C" w:rsidP="00CE2D0C">
      <w:pPr>
        <w:spacing w:after="0" w:line="240" w:lineRule="auto"/>
        <w:ind w:firstLine="567"/>
        <w:jc w:val="center"/>
        <w:rPr>
          <w:rFonts w:ascii="Times New Roman" w:hAnsi="Times New Roman"/>
          <w:b/>
          <w:i/>
          <w:sz w:val="24"/>
          <w:szCs w:val="24"/>
          <w:lang w:val="ru-MO"/>
        </w:rPr>
      </w:pPr>
      <w:r w:rsidRPr="00CE6109">
        <w:rPr>
          <w:rFonts w:ascii="Times New Roman" w:hAnsi="Times New Roman"/>
          <w:b/>
          <w:i/>
          <w:sz w:val="24"/>
          <w:szCs w:val="24"/>
          <w:lang w:val="ru-MO"/>
        </w:rPr>
        <w:t>лекарственных средств и</w:t>
      </w:r>
      <w:r>
        <w:rPr>
          <w:rFonts w:ascii="Times New Roman" w:hAnsi="Times New Roman"/>
          <w:b/>
          <w:i/>
          <w:sz w:val="24"/>
          <w:szCs w:val="24"/>
          <w:lang w:val="ru-MO"/>
        </w:rPr>
        <w:t xml:space="preserve"> </w:t>
      </w:r>
      <w:r w:rsidRPr="00CE6109">
        <w:rPr>
          <w:rFonts w:ascii="Times New Roman" w:hAnsi="Times New Roman"/>
          <w:b/>
          <w:i/>
          <w:sz w:val="24"/>
          <w:szCs w:val="24"/>
          <w:lang w:val="ru-MO"/>
        </w:rPr>
        <w:t>сроки их погашения</w:t>
      </w:r>
    </w:p>
    <w:p w:rsidR="00CE2D0C" w:rsidRPr="00CE6109" w:rsidRDefault="00CE2D0C" w:rsidP="00CE2D0C">
      <w:pPr>
        <w:spacing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t>(млн. леев)</w:t>
      </w:r>
    </w:p>
    <w:tbl>
      <w:tblPr>
        <w:tblW w:w="9902" w:type="dxa"/>
        <w:tblInd w:w="-5" w:type="dxa"/>
        <w:tblLook w:val="04A0"/>
      </w:tblPr>
      <w:tblGrid>
        <w:gridCol w:w="1778"/>
        <w:gridCol w:w="1498"/>
        <w:gridCol w:w="1585"/>
        <w:gridCol w:w="1834"/>
        <w:gridCol w:w="1049"/>
        <w:gridCol w:w="1498"/>
        <w:gridCol w:w="1112"/>
      </w:tblGrid>
      <w:tr w:rsidR="00CE2D0C" w:rsidRPr="00C21C23" w:rsidTr="00266330">
        <w:trPr>
          <w:trHeight w:val="288"/>
        </w:trPr>
        <w:tc>
          <w:tcPr>
            <w:tcW w:w="1560" w:type="dxa"/>
            <w:vMerge w:val="restart"/>
            <w:tcBorders>
              <w:top w:val="single" w:sz="4" w:space="0" w:color="auto"/>
              <w:left w:val="single" w:sz="4" w:space="0" w:color="auto"/>
              <w:right w:val="single" w:sz="4" w:space="0" w:color="auto"/>
            </w:tcBorders>
            <w:shd w:val="clear" w:color="auto" w:fill="E2EFD9"/>
            <w:noWrap/>
            <w:vAlign w:val="center"/>
          </w:tcPr>
          <w:p w:rsidR="00CE2D0C" w:rsidRPr="00CE6109" w:rsidRDefault="00CE2D0C" w:rsidP="00266330">
            <w:pPr>
              <w:spacing w:after="0" w:line="240" w:lineRule="auto"/>
              <w:jc w:val="center"/>
              <w:rPr>
                <w:rFonts w:ascii="Calibri Light" w:eastAsia="Times New Roman" w:hAnsi="Calibri Light" w:cs="Arial"/>
                <w:b/>
                <w:sz w:val="20"/>
                <w:szCs w:val="20"/>
                <w:lang w:val="ru-MO"/>
              </w:rPr>
            </w:pPr>
            <w:r w:rsidRPr="00CE6109">
              <w:rPr>
                <w:rFonts w:ascii="Calibri Light" w:eastAsia="Times New Roman" w:hAnsi="Calibri Light" w:cs="Arial"/>
                <w:b/>
                <w:sz w:val="20"/>
                <w:szCs w:val="20"/>
                <w:lang w:val="ru-MO"/>
              </w:rPr>
              <w:t>Показатели</w:t>
            </w:r>
          </w:p>
        </w:tc>
        <w:tc>
          <w:tcPr>
            <w:tcW w:w="3083" w:type="dxa"/>
            <w:gridSpan w:val="2"/>
            <w:tcBorders>
              <w:top w:val="single" w:sz="4" w:space="0" w:color="auto"/>
              <w:left w:val="nil"/>
              <w:bottom w:val="single" w:sz="4" w:space="0" w:color="auto"/>
              <w:right w:val="single" w:sz="4" w:space="0" w:color="auto"/>
            </w:tcBorders>
            <w:shd w:val="clear" w:color="auto" w:fill="E2EFD9"/>
            <w:noWrap/>
            <w:vAlign w:val="center"/>
          </w:tcPr>
          <w:p w:rsidR="00CE2D0C" w:rsidRPr="00CE6109" w:rsidRDefault="00CE2D0C" w:rsidP="00266330">
            <w:pPr>
              <w:spacing w:after="0" w:line="240" w:lineRule="auto"/>
              <w:jc w:val="center"/>
              <w:rPr>
                <w:rFonts w:ascii="Calibri Light" w:eastAsia="Times New Roman" w:hAnsi="Calibri Light" w:cs="Arial"/>
                <w:b/>
                <w:sz w:val="20"/>
                <w:szCs w:val="20"/>
                <w:lang w:val="ru-MO"/>
              </w:rPr>
            </w:pPr>
            <w:r w:rsidRPr="00CE6109">
              <w:rPr>
                <w:rFonts w:ascii="Calibri Light" w:eastAsia="Times New Roman" w:hAnsi="Calibri Light" w:cs="Arial"/>
                <w:b/>
                <w:sz w:val="20"/>
                <w:szCs w:val="20"/>
                <w:lang w:val="ru-MO"/>
              </w:rPr>
              <w:t>Остаток задолженности</w:t>
            </w:r>
          </w:p>
        </w:tc>
        <w:tc>
          <w:tcPr>
            <w:tcW w:w="1600" w:type="dxa"/>
            <w:vMerge w:val="restart"/>
            <w:tcBorders>
              <w:top w:val="single" w:sz="4" w:space="0" w:color="auto"/>
              <w:left w:val="nil"/>
              <w:right w:val="single" w:sz="4" w:space="0" w:color="auto"/>
            </w:tcBorders>
            <w:shd w:val="clear" w:color="auto" w:fill="E2EFD9"/>
            <w:noWrap/>
            <w:vAlign w:val="center"/>
          </w:tcPr>
          <w:p w:rsidR="00CE2D0C" w:rsidRPr="00CE6109" w:rsidRDefault="00CE2D0C" w:rsidP="00266330">
            <w:pPr>
              <w:spacing w:after="0" w:line="240" w:lineRule="auto"/>
              <w:jc w:val="center"/>
              <w:rPr>
                <w:rFonts w:ascii="Calibri Light" w:eastAsia="Times New Roman" w:hAnsi="Calibri Light" w:cs="Arial"/>
                <w:b/>
                <w:sz w:val="20"/>
                <w:szCs w:val="20"/>
                <w:lang w:val="ru-MO"/>
              </w:rPr>
            </w:pPr>
            <w:r w:rsidRPr="00CE6109">
              <w:rPr>
                <w:rFonts w:ascii="Calibri Light" w:eastAsia="Times New Roman" w:hAnsi="Calibri Light" w:cs="Arial"/>
                <w:b/>
                <w:sz w:val="20"/>
                <w:szCs w:val="20"/>
                <w:lang w:val="ru-MO"/>
              </w:rPr>
              <w:t>Задолженности, по которым срок оплаты не наступил</w:t>
            </w:r>
          </w:p>
        </w:tc>
        <w:tc>
          <w:tcPr>
            <w:tcW w:w="3659" w:type="dxa"/>
            <w:gridSpan w:val="3"/>
            <w:tcBorders>
              <w:top w:val="single" w:sz="4" w:space="0" w:color="auto"/>
              <w:left w:val="nil"/>
              <w:bottom w:val="single" w:sz="4" w:space="0" w:color="auto"/>
              <w:right w:val="single" w:sz="4" w:space="0" w:color="auto"/>
            </w:tcBorders>
            <w:shd w:val="clear" w:color="auto" w:fill="E2EFD9"/>
            <w:noWrap/>
            <w:vAlign w:val="center"/>
          </w:tcPr>
          <w:p w:rsidR="00CE2D0C" w:rsidRPr="00CE6109" w:rsidRDefault="00CE2D0C" w:rsidP="00266330">
            <w:pPr>
              <w:spacing w:after="0" w:line="240" w:lineRule="auto"/>
              <w:jc w:val="center"/>
              <w:rPr>
                <w:rFonts w:ascii="Calibri Light" w:eastAsia="Times New Roman" w:hAnsi="Calibri Light" w:cs="Arial"/>
                <w:b/>
                <w:sz w:val="20"/>
                <w:szCs w:val="20"/>
                <w:lang w:val="ru-MO"/>
              </w:rPr>
            </w:pPr>
            <w:r w:rsidRPr="00CE6109">
              <w:rPr>
                <w:rFonts w:ascii="Calibri Light" w:eastAsia="Times New Roman" w:hAnsi="Calibri Light" w:cs="Arial"/>
                <w:b/>
                <w:sz w:val="20"/>
                <w:szCs w:val="20"/>
                <w:lang w:val="ru-MO"/>
              </w:rPr>
              <w:t>Задолженности с истекшим сроком оплаты на 31.12.2015</w:t>
            </w:r>
          </w:p>
        </w:tc>
      </w:tr>
      <w:tr w:rsidR="00CE2D0C" w:rsidRPr="00CD59C4" w:rsidTr="00266330">
        <w:trPr>
          <w:trHeight w:val="288"/>
        </w:trPr>
        <w:tc>
          <w:tcPr>
            <w:tcW w:w="1560" w:type="dxa"/>
            <w:vMerge/>
            <w:tcBorders>
              <w:left w:val="single" w:sz="4" w:space="0" w:color="auto"/>
              <w:bottom w:val="single" w:sz="4" w:space="0" w:color="auto"/>
              <w:right w:val="single" w:sz="4" w:space="0" w:color="auto"/>
            </w:tcBorders>
            <w:shd w:val="clear" w:color="auto" w:fill="auto"/>
            <w:noWrap/>
            <w:vAlign w:val="center"/>
          </w:tcPr>
          <w:p w:rsidR="00CE2D0C" w:rsidRPr="00CE6109" w:rsidRDefault="00CE2D0C" w:rsidP="00266330">
            <w:pPr>
              <w:spacing w:after="0" w:line="240" w:lineRule="auto"/>
              <w:jc w:val="center"/>
              <w:rPr>
                <w:rFonts w:ascii="Calibri Light" w:eastAsia="Times New Roman" w:hAnsi="Calibri Light"/>
                <w:color w:val="000000"/>
                <w:sz w:val="20"/>
                <w:szCs w:val="20"/>
                <w:lang w:val="ru-MO"/>
              </w:rPr>
            </w:pPr>
          </w:p>
        </w:tc>
        <w:tc>
          <w:tcPr>
            <w:tcW w:w="1498" w:type="dxa"/>
            <w:tcBorders>
              <w:top w:val="nil"/>
              <w:left w:val="nil"/>
              <w:bottom w:val="single" w:sz="4" w:space="0" w:color="auto"/>
              <w:right w:val="single" w:sz="4" w:space="0" w:color="auto"/>
            </w:tcBorders>
            <w:shd w:val="clear" w:color="auto" w:fill="auto"/>
            <w:noWrap/>
            <w:vAlign w:val="center"/>
          </w:tcPr>
          <w:p w:rsidR="00CE2D0C" w:rsidRPr="00CE6109" w:rsidRDefault="00CE2D0C" w:rsidP="00266330">
            <w:pPr>
              <w:spacing w:after="0" w:line="240" w:lineRule="auto"/>
              <w:jc w:val="center"/>
              <w:rPr>
                <w:rFonts w:ascii="Calibri Light" w:eastAsia="Times New Roman" w:hAnsi="Calibri Light" w:cs="Arial"/>
                <w:sz w:val="20"/>
                <w:szCs w:val="20"/>
                <w:lang w:val="ru-MO"/>
              </w:rPr>
            </w:pPr>
            <w:r w:rsidRPr="00CE6109">
              <w:rPr>
                <w:rFonts w:ascii="Calibri Light" w:eastAsia="Times New Roman" w:hAnsi="Calibri Light" w:cs="Arial"/>
                <w:sz w:val="20"/>
                <w:szCs w:val="20"/>
                <w:lang w:val="ru-MO"/>
              </w:rPr>
              <w:t>на 01.01.2015</w:t>
            </w:r>
          </w:p>
        </w:tc>
        <w:tc>
          <w:tcPr>
            <w:tcW w:w="1585" w:type="dxa"/>
            <w:tcBorders>
              <w:top w:val="nil"/>
              <w:left w:val="nil"/>
              <w:bottom w:val="single" w:sz="4" w:space="0" w:color="auto"/>
              <w:right w:val="single" w:sz="4" w:space="0" w:color="auto"/>
            </w:tcBorders>
            <w:shd w:val="clear" w:color="auto" w:fill="auto"/>
            <w:noWrap/>
            <w:vAlign w:val="center"/>
          </w:tcPr>
          <w:p w:rsidR="00CE2D0C" w:rsidRPr="00CE6109" w:rsidRDefault="00CE2D0C" w:rsidP="00266330">
            <w:pPr>
              <w:spacing w:after="0" w:line="240" w:lineRule="auto"/>
              <w:jc w:val="center"/>
              <w:rPr>
                <w:rFonts w:ascii="Calibri Light" w:eastAsia="Times New Roman" w:hAnsi="Calibri Light" w:cs="Arial"/>
                <w:sz w:val="20"/>
                <w:szCs w:val="20"/>
                <w:lang w:val="ru-MO"/>
              </w:rPr>
            </w:pPr>
            <w:r w:rsidRPr="00CE6109">
              <w:rPr>
                <w:rFonts w:ascii="Calibri Light" w:eastAsia="Times New Roman" w:hAnsi="Calibri Light" w:cs="Arial"/>
                <w:sz w:val="20"/>
                <w:szCs w:val="20"/>
                <w:lang w:val="ru-MO"/>
              </w:rPr>
              <w:t>на 31.12.2015</w:t>
            </w:r>
          </w:p>
        </w:tc>
        <w:tc>
          <w:tcPr>
            <w:tcW w:w="1600" w:type="dxa"/>
            <w:vMerge/>
            <w:tcBorders>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rFonts w:ascii="Calibri Light" w:hAnsi="Calibri Light"/>
                <w:color w:val="000000"/>
                <w:sz w:val="20"/>
                <w:szCs w:val="20"/>
                <w:lang w:val="ru-MO"/>
              </w:rPr>
            </w:pPr>
          </w:p>
        </w:tc>
        <w:tc>
          <w:tcPr>
            <w:tcW w:w="1049" w:type="dxa"/>
            <w:tcBorders>
              <w:top w:val="nil"/>
              <w:left w:val="nil"/>
              <w:bottom w:val="single" w:sz="4" w:space="0" w:color="auto"/>
              <w:right w:val="single" w:sz="4" w:space="0" w:color="auto"/>
            </w:tcBorders>
            <w:shd w:val="clear" w:color="auto" w:fill="auto"/>
            <w:noWrap/>
            <w:vAlign w:val="center"/>
          </w:tcPr>
          <w:p w:rsidR="00CE2D0C" w:rsidRPr="00CE6109" w:rsidRDefault="00CE2D0C" w:rsidP="00266330">
            <w:pPr>
              <w:spacing w:after="0" w:line="240" w:lineRule="auto"/>
              <w:jc w:val="center"/>
              <w:rPr>
                <w:rFonts w:ascii="Calibri Light" w:eastAsia="Times New Roman" w:hAnsi="Calibri Light" w:cs="Arial"/>
                <w:sz w:val="20"/>
                <w:szCs w:val="20"/>
                <w:lang w:val="ru-MO"/>
              </w:rPr>
            </w:pPr>
            <w:r w:rsidRPr="00CE6109">
              <w:rPr>
                <w:rFonts w:ascii="Calibri Light" w:eastAsia="Times New Roman" w:hAnsi="Calibri Light" w:cs="Arial"/>
                <w:sz w:val="20"/>
                <w:szCs w:val="20"/>
                <w:lang w:val="ru-MO"/>
              </w:rPr>
              <w:t>&lt;30</w:t>
            </w:r>
          </w:p>
        </w:tc>
        <w:tc>
          <w:tcPr>
            <w:tcW w:w="1498" w:type="dxa"/>
            <w:tcBorders>
              <w:top w:val="nil"/>
              <w:left w:val="nil"/>
              <w:bottom w:val="single" w:sz="4" w:space="0" w:color="auto"/>
              <w:right w:val="single" w:sz="4" w:space="0" w:color="auto"/>
            </w:tcBorders>
            <w:shd w:val="clear" w:color="auto" w:fill="auto"/>
            <w:noWrap/>
            <w:vAlign w:val="center"/>
          </w:tcPr>
          <w:p w:rsidR="00CE2D0C" w:rsidRPr="00CE6109" w:rsidRDefault="00CE2D0C" w:rsidP="00266330">
            <w:pPr>
              <w:spacing w:after="0" w:line="240" w:lineRule="auto"/>
              <w:jc w:val="center"/>
              <w:rPr>
                <w:rFonts w:ascii="Calibri Light" w:eastAsia="Times New Roman" w:hAnsi="Calibri Light" w:cs="Arial"/>
                <w:sz w:val="20"/>
                <w:szCs w:val="20"/>
                <w:lang w:val="ru-MO"/>
              </w:rPr>
            </w:pPr>
            <w:r w:rsidRPr="00CE6109">
              <w:rPr>
                <w:rFonts w:ascii="Calibri Light" w:eastAsia="Times New Roman" w:hAnsi="Calibri Light" w:cs="Arial"/>
                <w:sz w:val="20"/>
                <w:szCs w:val="20"/>
                <w:lang w:val="ru-MO"/>
              </w:rPr>
              <w:t>120-180 дней</w:t>
            </w:r>
          </w:p>
        </w:tc>
        <w:tc>
          <w:tcPr>
            <w:tcW w:w="1112" w:type="dxa"/>
            <w:tcBorders>
              <w:top w:val="nil"/>
              <w:left w:val="nil"/>
              <w:bottom w:val="single" w:sz="4" w:space="0" w:color="auto"/>
              <w:right w:val="single" w:sz="4" w:space="0" w:color="auto"/>
            </w:tcBorders>
            <w:shd w:val="clear" w:color="auto" w:fill="auto"/>
            <w:noWrap/>
            <w:vAlign w:val="center"/>
          </w:tcPr>
          <w:p w:rsidR="00CE2D0C" w:rsidRPr="00CD59C4" w:rsidRDefault="00CE2D0C" w:rsidP="00266330">
            <w:pPr>
              <w:spacing w:after="0"/>
              <w:jc w:val="center"/>
              <w:rPr>
                <w:rFonts w:ascii="Calibri Light" w:hAnsi="Calibri Light"/>
                <w:color w:val="000000"/>
                <w:sz w:val="20"/>
                <w:szCs w:val="20"/>
                <w:lang w:val="ru-MO"/>
              </w:rPr>
            </w:pPr>
            <w:r w:rsidRPr="00CE6109">
              <w:rPr>
                <w:rFonts w:ascii="Calibri Light" w:eastAsia="Times New Roman" w:hAnsi="Calibri Light" w:cs="Arial"/>
                <w:sz w:val="20"/>
                <w:szCs w:val="20"/>
                <w:lang w:val="ru-MO"/>
              </w:rPr>
              <w:t>&gt;365 дней</w:t>
            </w:r>
          </w:p>
        </w:tc>
      </w:tr>
      <w:tr w:rsidR="00CE2D0C" w:rsidRPr="00CD59C4" w:rsidTr="00266330">
        <w:trPr>
          <w:trHeight w:val="288"/>
        </w:trPr>
        <w:tc>
          <w:tcPr>
            <w:tcW w:w="1560" w:type="dxa"/>
            <w:tcBorders>
              <w:top w:val="nil"/>
              <w:left w:val="single" w:sz="4" w:space="0" w:color="auto"/>
              <w:bottom w:val="single" w:sz="4" w:space="0" w:color="auto"/>
              <w:right w:val="single" w:sz="4" w:space="0" w:color="auto"/>
            </w:tcBorders>
            <w:shd w:val="clear" w:color="auto" w:fill="DEEAF6"/>
            <w:noWrap/>
            <w:vAlign w:val="center"/>
            <w:hideMark/>
          </w:tcPr>
          <w:p w:rsidR="00CE2D0C" w:rsidRPr="00CE6109" w:rsidRDefault="00CE2D0C" w:rsidP="00266330">
            <w:pPr>
              <w:spacing w:after="0" w:line="240" w:lineRule="auto"/>
              <w:jc w:val="center"/>
              <w:rPr>
                <w:rFonts w:ascii="Calibri Light" w:eastAsia="Times New Roman" w:hAnsi="Calibri Light"/>
                <w:b/>
                <w:color w:val="000000"/>
                <w:sz w:val="20"/>
                <w:szCs w:val="20"/>
                <w:lang w:val="ru-MO"/>
              </w:rPr>
            </w:pPr>
            <w:r w:rsidRPr="00CE6109">
              <w:rPr>
                <w:rFonts w:ascii="Calibri Light" w:eastAsia="Times New Roman" w:hAnsi="Calibri Light"/>
                <w:b/>
                <w:color w:val="000000"/>
                <w:sz w:val="20"/>
                <w:szCs w:val="20"/>
                <w:lang w:val="ru-MO"/>
              </w:rPr>
              <w:t>Задолженность перед 9 поставщиками лекарств</w:t>
            </w:r>
          </w:p>
        </w:tc>
        <w:tc>
          <w:tcPr>
            <w:tcW w:w="1498"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22,7</w:t>
            </w:r>
          </w:p>
        </w:tc>
        <w:tc>
          <w:tcPr>
            <w:tcW w:w="1585"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64,8</w:t>
            </w:r>
          </w:p>
        </w:tc>
        <w:tc>
          <w:tcPr>
            <w:tcW w:w="1600" w:type="dxa"/>
            <w:tcBorders>
              <w:top w:val="nil"/>
              <w:left w:val="nil"/>
              <w:bottom w:val="single" w:sz="4" w:space="0" w:color="auto"/>
              <w:right w:val="single" w:sz="4" w:space="0" w:color="auto"/>
            </w:tcBorders>
            <w:shd w:val="clear" w:color="auto" w:fill="DEEAF6"/>
            <w:noWrap/>
            <w:vAlign w:val="center"/>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12,4</w:t>
            </w:r>
          </w:p>
        </w:tc>
        <w:tc>
          <w:tcPr>
            <w:tcW w:w="1049"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2,9</w:t>
            </w:r>
          </w:p>
        </w:tc>
        <w:tc>
          <w:tcPr>
            <w:tcW w:w="1498"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49,4</w:t>
            </w:r>
          </w:p>
        </w:tc>
        <w:tc>
          <w:tcPr>
            <w:tcW w:w="1112"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rFonts w:ascii="Calibri Light" w:hAnsi="Calibri Light"/>
                <w:color w:val="000000"/>
                <w:sz w:val="20"/>
                <w:szCs w:val="20"/>
                <w:lang w:val="ru-MO"/>
              </w:rPr>
            </w:pPr>
            <w:r w:rsidRPr="00CD59C4">
              <w:rPr>
                <w:rFonts w:ascii="Calibri Light" w:hAnsi="Calibri Light"/>
                <w:color w:val="000000"/>
                <w:sz w:val="20"/>
                <w:szCs w:val="20"/>
                <w:lang w:val="ru-MO"/>
              </w:rPr>
              <w:t>0,0</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сведений, представленных ПМСУ РКБ.</w:t>
      </w:r>
      <w:r w:rsidRPr="00CE6109">
        <w:rPr>
          <w:rFonts w:ascii="Times New Roman" w:hAnsi="Times New Roman"/>
          <w:b/>
          <w:i/>
          <w:sz w:val="20"/>
          <w:szCs w:val="20"/>
          <w:lang w:val="ru-MO"/>
        </w:rPr>
        <w:t xml:space="preserve"> </w:t>
      </w:r>
    </w:p>
    <w:p w:rsidR="00CE2D0C" w:rsidRPr="00CE6109" w:rsidRDefault="00CE2D0C" w:rsidP="00CE2D0C">
      <w:pPr>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lastRenderedPageBreak/>
        <w:t>Приведенные выше данные свидетельствуют о том, что долг перед поставщиками лекарств, подвергнутыми анализу, увеличился по сравнению с началом отчетного периода на 42,1 млн. леев. Хотя долги ПМСУ РКБ являются текущими обязательствами, долю в размере 76,2% составляют долги срок оплаты которых превышен на 120-180 дней, а долги, по которым срок оплаты не наступил, составляют 19,1%. Вместе с тем, отмечается, что из общего объема задолженностей по лекарственным средствам, зарегистрированных на 31.12.2015, около 50% (36,8 млн. леев) представляют обязательства по договорам, связанным с Национальными программами на 2015 год.</w:t>
      </w:r>
    </w:p>
    <w:p w:rsidR="00CE2D0C" w:rsidRPr="00CE6109" w:rsidRDefault="00CE2D0C" w:rsidP="00CE2D0C">
      <w:pPr>
        <w:spacing w:after="0" w:line="276" w:lineRule="auto"/>
        <w:ind w:firstLine="567"/>
        <w:jc w:val="both"/>
        <w:rPr>
          <w:rFonts w:ascii="Times New Roman" w:hAnsi="Times New Roman"/>
          <w:i/>
          <w:sz w:val="28"/>
          <w:szCs w:val="28"/>
          <w:lang w:val="ru-MO"/>
        </w:rPr>
      </w:pPr>
      <w:r w:rsidRPr="00CE6109">
        <w:rPr>
          <w:rFonts w:ascii="Times New Roman" w:hAnsi="Times New Roman"/>
          <w:i/>
          <w:sz w:val="28"/>
          <w:szCs w:val="28"/>
          <w:lang w:val="ru-MO"/>
        </w:rPr>
        <w:t>ПМСУ РКБ сообщило, что в течение года направило запрос в НМСК о финансовом покрытии Национальных программ, которые были профинансированы частично (на уровне 51,8%, или в сумме 39,4 млн. леев).</w:t>
      </w:r>
    </w:p>
    <w:p w:rsidR="00CE2D0C" w:rsidRPr="00CE6109" w:rsidRDefault="00CE2D0C" w:rsidP="00CE2D0C">
      <w:pPr>
        <w:spacing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По мнению аудита, эти обстоятельства могут генерировать риск приостановления поставок лекарств и парафармацевтической продукции учреждению и возникновения споров по взысканию задолженностей.</w:t>
      </w:r>
    </w:p>
    <w:p w:rsidR="00CE2D0C" w:rsidRPr="00CE6109" w:rsidRDefault="00CE2D0C" w:rsidP="00CE2D0C">
      <w:pPr>
        <w:spacing w:before="240"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 xml:space="preserve">Неполная выдача лекарств, запрашиваемых отделениями ПМСУ РКБ, а также отсутствие документов, подтверждающих их необходимость, не обеспечивают надлежащую функциональность внутреннего контроля и негативно влияют на обеспечение отделений необходимыми медикаментами для оказания качественных медицинских услуг застрахованным пациентам, что </w:t>
      </w:r>
      <w:r>
        <w:rPr>
          <w:rFonts w:ascii="Times New Roman" w:hAnsi="Times New Roman"/>
          <w:b/>
          <w:i/>
          <w:sz w:val="28"/>
          <w:szCs w:val="28"/>
          <w:lang w:val="ru-MO"/>
        </w:rPr>
        <w:t>создает необходимость</w:t>
      </w:r>
      <w:r w:rsidRPr="00CE6109">
        <w:rPr>
          <w:rFonts w:ascii="Times New Roman" w:hAnsi="Times New Roman"/>
          <w:b/>
          <w:i/>
          <w:sz w:val="28"/>
          <w:szCs w:val="28"/>
          <w:lang w:val="ru-MO"/>
        </w:rPr>
        <w:t xml:space="preserve"> приобрет</w:t>
      </w:r>
      <w:r>
        <w:rPr>
          <w:rFonts w:ascii="Times New Roman" w:hAnsi="Times New Roman"/>
          <w:b/>
          <w:i/>
          <w:sz w:val="28"/>
          <w:szCs w:val="28"/>
          <w:lang w:val="ru-MO"/>
        </w:rPr>
        <w:t>ения</w:t>
      </w:r>
      <w:r w:rsidRPr="00CE6109">
        <w:rPr>
          <w:rFonts w:ascii="Times New Roman" w:hAnsi="Times New Roman"/>
          <w:b/>
          <w:i/>
          <w:sz w:val="28"/>
          <w:szCs w:val="28"/>
          <w:lang w:val="ru-MO"/>
        </w:rPr>
        <w:t xml:space="preserve"> лекарств пациент</w:t>
      </w:r>
      <w:r>
        <w:rPr>
          <w:rFonts w:ascii="Times New Roman" w:hAnsi="Times New Roman"/>
          <w:b/>
          <w:i/>
          <w:sz w:val="28"/>
          <w:szCs w:val="28"/>
          <w:lang w:val="ru-MO"/>
        </w:rPr>
        <w:t>ами</w:t>
      </w:r>
      <w:r w:rsidRPr="00CE6109">
        <w:rPr>
          <w:rFonts w:ascii="Times New Roman" w:hAnsi="Times New Roman"/>
          <w:b/>
          <w:i/>
          <w:sz w:val="28"/>
          <w:szCs w:val="28"/>
          <w:lang w:val="ru-MO"/>
        </w:rPr>
        <w:t>.</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Согласно действующим нормативным положениям</w:t>
      </w:r>
      <w:r w:rsidRPr="00CE6109">
        <w:rPr>
          <w:rStyle w:val="Referinnotdesubsol"/>
          <w:rFonts w:ascii="Times New Roman" w:hAnsi="Times New Roman"/>
          <w:sz w:val="28"/>
          <w:szCs w:val="28"/>
          <w:lang w:val="ru-MO"/>
        </w:rPr>
        <w:footnoteReference w:id="19"/>
      </w:r>
      <w:r w:rsidRPr="00CE6109">
        <w:rPr>
          <w:rFonts w:ascii="Times New Roman" w:hAnsi="Times New Roman"/>
          <w:sz w:val="28"/>
          <w:szCs w:val="28"/>
          <w:lang w:val="ru-MO"/>
        </w:rPr>
        <w:t>, распределение лекарственных средств осуществляется путем их выдачи для нужд отделений и пациентов на основании накладной заказа-поставки, которая является документом первичного материально-финансового учета, содержащим предписания лекарств, другой фармацевтической продукции, парафармацевтических изделий и расходных материалов.</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В этой связи, аудит провел оценку </w:t>
      </w:r>
      <w:r w:rsidRPr="00CE6109">
        <w:rPr>
          <w:rFonts w:ascii="Times New Roman" w:hAnsi="Times New Roman"/>
          <w:b/>
          <w:sz w:val="28"/>
          <w:szCs w:val="28"/>
          <w:lang w:val="ru-MO"/>
        </w:rPr>
        <w:t>соответствия процесса распределения лекарственных средств и парафармацевтической продукции из аптек отделениям</w:t>
      </w:r>
      <w:r w:rsidRPr="00CE6109">
        <w:rPr>
          <w:rFonts w:ascii="Times New Roman" w:hAnsi="Times New Roman"/>
          <w:sz w:val="28"/>
          <w:szCs w:val="28"/>
          <w:lang w:val="ru-MO"/>
        </w:rPr>
        <w:t>. В результате сопоставления накладных заказа-поставки, заполненных отделениями больницы за март месяц</w:t>
      </w:r>
      <w:r>
        <w:rPr>
          <w:rFonts w:ascii="Times New Roman" w:hAnsi="Times New Roman"/>
          <w:sz w:val="28"/>
          <w:szCs w:val="28"/>
          <w:lang w:val="ru-MO"/>
        </w:rPr>
        <w:t>,</w:t>
      </w:r>
      <w:r w:rsidRPr="00CE6109">
        <w:rPr>
          <w:rFonts w:ascii="Times New Roman" w:hAnsi="Times New Roman"/>
          <w:sz w:val="28"/>
          <w:szCs w:val="28"/>
          <w:lang w:val="ru-MO"/>
        </w:rPr>
        <w:t xml:space="preserve"> и накладных, выданных аптекой (1308 накладных), было установлено, что были исполнены в полном объеме 878 накладных (67,1%), 430 из них были исполнены частично (32,9%). На основании 430 частично исполненных накладных заказа-поставки было запрошено 10690 пр</w:t>
      </w:r>
      <w:r>
        <w:rPr>
          <w:rFonts w:ascii="Times New Roman" w:hAnsi="Times New Roman"/>
          <w:sz w:val="28"/>
          <w:szCs w:val="28"/>
          <w:lang w:val="ru-MO"/>
        </w:rPr>
        <w:t>епарат</w:t>
      </w:r>
      <w:r w:rsidRPr="00CE6109">
        <w:rPr>
          <w:rFonts w:ascii="Times New Roman" w:hAnsi="Times New Roman"/>
          <w:sz w:val="28"/>
          <w:szCs w:val="28"/>
          <w:lang w:val="ru-MO"/>
        </w:rPr>
        <w:t>ов и выдано из аптеки 8046 пр</w:t>
      </w:r>
      <w:r>
        <w:rPr>
          <w:rFonts w:ascii="Times New Roman" w:hAnsi="Times New Roman"/>
          <w:sz w:val="28"/>
          <w:szCs w:val="28"/>
          <w:lang w:val="ru-MO"/>
        </w:rPr>
        <w:t>епара</w:t>
      </w:r>
      <w:r w:rsidRPr="00CE6109">
        <w:rPr>
          <w:rFonts w:ascii="Times New Roman" w:hAnsi="Times New Roman"/>
          <w:sz w:val="28"/>
          <w:szCs w:val="28"/>
          <w:lang w:val="ru-MO"/>
        </w:rPr>
        <w:t>тов, что удовлетвор</w:t>
      </w:r>
      <w:r>
        <w:rPr>
          <w:rFonts w:ascii="Times New Roman" w:hAnsi="Times New Roman"/>
          <w:sz w:val="28"/>
          <w:szCs w:val="28"/>
          <w:lang w:val="ru-MO"/>
        </w:rPr>
        <w:t>яет</w:t>
      </w:r>
      <w:r w:rsidRPr="00CE6109">
        <w:rPr>
          <w:rFonts w:ascii="Times New Roman" w:hAnsi="Times New Roman"/>
          <w:sz w:val="28"/>
          <w:szCs w:val="28"/>
          <w:lang w:val="ru-MO"/>
        </w:rPr>
        <w:t xml:space="preserve"> потребност</w:t>
      </w:r>
      <w:r>
        <w:rPr>
          <w:rFonts w:ascii="Times New Roman" w:hAnsi="Times New Roman"/>
          <w:sz w:val="28"/>
          <w:szCs w:val="28"/>
          <w:lang w:val="ru-MO"/>
        </w:rPr>
        <w:t>и</w:t>
      </w:r>
      <w:r w:rsidRPr="00CE6109">
        <w:rPr>
          <w:rFonts w:ascii="Times New Roman" w:hAnsi="Times New Roman"/>
          <w:sz w:val="28"/>
          <w:szCs w:val="28"/>
          <w:lang w:val="ru-MO"/>
        </w:rPr>
        <w:t xml:space="preserve"> на уровне 75,3%, ситуация представлена в таблице ниже:</w:t>
      </w:r>
    </w:p>
    <w:p w:rsidR="00CE2D0C" w:rsidRPr="00CE6109" w:rsidRDefault="00CE2D0C" w:rsidP="00CE2D0C">
      <w:pPr>
        <w:spacing w:after="0" w:line="240" w:lineRule="auto"/>
        <w:ind w:firstLine="567"/>
        <w:jc w:val="right"/>
        <w:rPr>
          <w:rFonts w:ascii="Times New Roman" w:hAnsi="Times New Roman"/>
          <w:i/>
          <w:sz w:val="24"/>
          <w:szCs w:val="24"/>
          <w:lang w:val="ru-MO"/>
        </w:rPr>
      </w:pPr>
      <w:r w:rsidRPr="00CE6109">
        <w:rPr>
          <w:rFonts w:ascii="Times New Roman" w:hAnsi="Times New Roman"/>
          <w:i/>
          <w:sz w:val="24"/>
          <w:szCs w:val="24"/>
          <w:lang w:val="ru-MO"/>
        </w:rPr>
        <w:lastRenderedPageBreak/>
        <w:t>Таблица №7</w:t>
      </w:r>
    </w:p>
    <w:p w:rsidR="00CE2D0C" w:rsidRPr="00CE6109" w:rsidRDefault="00CE2D0C" w:rsidP="00CE2D0C">
      <w:pPr>
        <w:spacing w:line="240" w:lineRule="auto"/>
        <w:ind w:firstLine="567"/>
        <w:jc w:val="center"/>
        <w:rPr>
          <w:rFonts w:ascii="Times New Roman" w:hAnsi="Times New Roman"/>
          <w:b/>
          <w:i/>
          <w:sz w:val="24"/>
          <w:szCs w:val="24"/>
          <w:lang w:val="ru-MO"/>
        </w:rPr>
      </w:pPr>
      <w:r w:rsidRPr="00CE6109">
        <w:rPr>
          <w:rFonts w:ascii="Times New Roman" w:hAnsi="Times New Roman"/>
          <w:b/>
          <w:i/>
          <w:sz w:val="24"/>
          <w:szCs w:val="24"/>
          <w:lang w:val="ru-MO"/>
        </w:rPr>
        <w:t>Ситуация исполнения аптек</w:t>
      </w:r>
      <w:r>
        <w:rPr>
          <w:rFonts w:ascii="Times New Roman" w:hAnsi="Times New Roman"/>
          <w:b/>
          <w:i/>
          <w:sz w:val="24"/>
          <w:szCs w:val="24"/>
          <w:lang w:val="ru-MO"/>
        </w:rPr>
        <w:t>ой</w:t>
      </w:r>
      <w:r w:rsidRPr="00CE6109">
        <w:rPr>
          <w:rFonts w:ascii="Times New Roman" w:hAnsi="Times New Roman"/>
          <w:b/>
          <w:i/>
          <w:sz w:val="24"/>
          <w:szCs w:val="24"/>
          <w:lang w:val="ru-MO"/>
        </w:rPr>
        <w:t xml:space="preserve"> накладных заказа </w:t>
      </w:r>
    </w:p>
    <w:tbl>
      <w:tblPr>
        <w:tblW w:w="105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tblPr>
      <w:tblGrid>
        <w:gridCol w:w="1678"/>
        <w:gridCol w:w="1276"/>
        <w:gridCol w:w="1276"/>
        <w:gridCol w:w="1276"/>
        <w:gridCol w:w="1509"/>
        <w:gridCol w:w="1042"/>
        <w:gridCol w:w="1229"/>
        <w:gridCol w:w="1230"/>
      </w:tblGrid>
      <w:tr w:rsidR="00CE2D0C" w:rsidRPr="00C21C23" w:rsidTr="00266330">
        <w:trPr>
          <w:trHeight w:val="415"/>
        </w:trPr>
        <w:tc>
          <w:tcPr>
            <w:tcW w:w="1678" w:type="dxa"/>
            <w:vMerge w:val="restart"/>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Кол-во накладных заказа, проанализирован-ных аудитом</w:t>
            </w:r>
          </w:p>
        </w:tc>
        <w:tc>
          <w:tcPr>
            <w:tcW w:w="1276" w:type="dxa"/>
            <w:vMerge w:val="restart"/>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 xml:space="preserve">Кол-во полностью исполненных накладных заказа </w:t>
            </w:r>
          </w:p>
        </w:tc>
        <w:tc>
          <w:tcPr>
            <w:tcW w:w="1276" w:type="dxa"/>
            <w:vMerge w:val="restart"/>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r w:rsidRPr="00CE6109">
              <w:rPr>
                <w:rFonts w:eastAsia="Times New Roman"/>
                <w:b/>
                <w:bCs/>
                <w:color w:val="000000"/>
                <w:sz w:val="18"/>
                <w:szCs w:val="18"/>
                <w:lang w:val="ru-MO"/>
              </w:rPr>
              <w:t>Кол-во частично исполненных накладных заказа</w:t>
            </w:r>
          </w:p>
        </w:tc>
        <w:tc>
          <w:tcPr>
            <w:tcW w:w="1276" w:type="dxa"/>
            <w:vMerge w:val="restart"/>
            <w:shd w:val="clear" w:color="auto" w:fill="FBE4D5"/>
            <w:vAlign w:val="center"/>
            <w:hideMark/>
          </w:tcPr>
          <w:p w:rsidR="00CE2D0C" w:rsidRPr="00CE6109" w:rsidRDefault="00CE2D0C" w:rsidP="00266330">
            <w:pPr>
              <w:spacing w:after="0" w:line="240" w:lineRule="auto"/>
              <w:jc w:val="center"/>
              <w:rPr>
                <w:rFonts w:eastAsia="Times New Roman"/>
                <w:b/>
                <w:bCs/>
                <w:iCs/>
                <w:color w:val="000000"/>
                <w:sz w:val="18"/>
                <w:szCs w:val="18"/>
                <w:lang w:val="ru-MO"/>
              </w:rPr>
            </w:pPr>
            <w:r w:rsidRPr="00CE6109">
              <w:rPr>
                <w:rFonts w:eastAsia="Times New Roman"/>
                <w:b/>
                <w:bCs/>
                <w:iCs/>
                <w:color w:val="000000"/>
                <w:sz w:val="18"/>
                <w:szCs w:val="18"/>
                <w:lang w:val="ru-MO"/>
              </w:rPr>
              <w:t xml:space="preserve">Удельный вес </w:t>
            </w:r>
            <w:r w:rsidRPr="00CE6109">
              <w:rPr>
                <w:rFonts w:eastAsia="Times New Roman"/>
                <w:b/>
                <w:bCs/>
                <w:color w:val="000000"/>
                <w:sz w:val="18"/>
                <w:szCs w:val="18"/>
                <w:lang w:val="ru-MO"/>
              </w:rPr>
              <w:t>частично исполненных накладных заказа</w:t>
            </w:r>
          </w:p>
        </w:tc>
        <w:tc>
          <w:tcPr>
            <w:tcW w:w="5010" w:type="dxa"/>
            <w:gridSpan w:val="4"/>
            <w:shd w:val="clear" w:color="auto" w:fill="FBE4D5"/>
            <w:vAlign w:val="center"/>
          </w:tcPr>
          <w:p w:rsidR="00CE2D0C" w:rsidRPr="00CE6109" w:rsidRDefault="00CE2D0C" w:rsidP="00266330">
            <w:pPr>
              <w:spacing w:after="0" w:line="240" w:lineRule="auto"/>
              <w:jc w:val="center"/>
              <w:rPr>
                <w:rFonts w:eastAsia="Times New Roman"/>
                <w:b/>
                <w:bCs/>
                <w:color w:val="000000"/>
                <w:sz w:val="18"/>
                <w:szCs w:val="18"/>
                <w:lang w:val="ru-MO"/>
              </w:rPr>
            </w:pPr>
            <w:r w:rsidRPr="00CD59C4">
              <w:rPr>
                <w:b/>
                <w:bCs/>
                <w:color w:val="000000"/>
                <w:sz w:val="18"/>
                <w:szCs w:val="18"/>
                <w:lang w:val="ru-MO"/>
              </w:rPr>
              <w:t xml:space="preserve">Ситуация по медикаментам согласно </w:t>
            </w:r>
            <w:r w:rsidRPr="00CE6109">
              <w:rPr>
                <w:rFonts w:eastAsia="Times New Roman"/>
                <w:b/>
                <w:bCs/>
                <w:color w:val="000000"/>
                <w:sz w:val="18"/>
                <w:szCs w:val="18"/>
                <w:lang w:val="ru-MO"/>
              </w:rPr>
              <w:t>частично исполненным накладым заказа</w:t>
            </w:r>
            <w:r w:rsidRPr="00CD59C4">
              <w:rPr>
                <w:b/>
                <w:bCs/>
                <w:color w:val="000000"/>
                <w:sz w:val="18"/>
                <w:szCs w:val="18"/>
                <w:lang w:val="ru-MO"/>
              </w:rPr>
              <w:t xml:space="preserve"> (430 накладных)</w:t>
            </w:r>
          </w:p>
        </w:tc>
      </w:tr>
      <w:tr w:rsidR="00CE2D0C" w:rsidRPr="00CD59C4" w:rsidTr="00266330">
        <w:trPr>
          <w:trHeight w:val="474"/>
        </w:trPr>
        <w:tc>
          <w:tcPr>
            <w:tcW w:w="1678" w:type="dxa"/>
            <w:vMerge/>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p>
        </w:tc>
        <w:tc>
          <w:tcPr>
            <w:tcW w:w="1276" w:type="dxa"/>
            <w:vMerge/>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p>
        </w:tc>
        <w:tc>
          <w:tcPr>
            <w:tcW w:w="1276" w:type="dxa"/>
            <w:vMerge/>
            <w:shd w:val="clear" w:color="auto" w:fill="FBE4D5"/>
            <w:vAlign w:val="center"/>
            <w:hideMark/>
          </w:tcPr>
          <w:p w:rsidR="00CE2D0C" w:rsidRPr="00CE6109" w:rsidRDefault="00CE2D0C" w:rsidP="00266330">
            <w:pPr>
              <w:spacing w:after="0" w:line="240" w:lineRule="auto"/>
              <w:jc w:val="center"/>
              <w:rPr>
                <w:rFonts w:eastAsia="Times New Roman"/>
                <w:b/>
                <w:bCs/>
                <w:color w:val="000000"/>
                <w:sz w:val="18"/>
                <w:szCs w:val="18"/>
                <w:lang w:val="ru-MO"/>
              </w:rPr>
            </w:pPr>
          </w:p>
        </w:tc>
        <w:tc>
          <w:tcPr>
            <w:tcW w:w="1276" w:type="dxa"/>
            <w:vMerge/>
            <w:shd w:val="clear" w:color="auto" w:fill="FBE4D5"/>
            <w:vAlign w:val="center"/>
            <w:hideMark/>
          </w:tcPr>
          <w:p w:rsidR="00CE2D0C" w:rsidRPr="00CE6109" w:rsidRDefault="00CE2D0C" w:rsidP="00266330">
            <w:pPr>
              <w:spacing w:after="0" w:line="240" w:lineRule="auto"/>
              <w:jc w:val="center"/>
              <w:rPr>
                <w:rFonts w:eastAsia="Times New Roman"/>
                <w:b/>
                <w:bCs/>
                <w:iCs/>
                <w:color w:val="000000"/>
                <w:sz w:val="18"/>
                <w:szCs w:val="18"/>
                <w:lang w:val="ru-MO"/>
              </w:rPr>
            </w:pPr>
          </w:p>
        </w:tc>
        <w:tc>
          <w:tcPr>
            <w:tcW w:w="1509" w:type="dxa"/>
            <w:shd w:val="clear" w:color="auto" w:fill="FBE4D5"/>
            <w:vAlign w:val="center"/>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Кол-во запрашиваемых лекарств</w:t>
            </w:r>
          </w:p>
        </w:tc>
        <w:tc>
          <w:tcPr>
            <w:tcW w:w="1042" w:type="dxa"/>
            <w:shd w:val="clear" w:color="auto" w:fill="FBE4D5"/>
            <w:vAlign w:val="center"/>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Кол-во выданных лекарств</w:t>
            </w:r>
          </w:p>
        </w:tc>
        <w:tc>
          <w:tcPr>
            <w:tcW w:w="1229" w:type="dxa"/>
            <w:shd w:val="clear" w:color="auto" w:fill="FBE4D5"/>
            <w:vAlign w:val="center"/>
          </w:tcPr>
          <w:p w:rsidR="00CE2D0C" w:rsidRPr="00CD59C4" w:rsidRDefault="00CE2D0C" w:rsidP="00266330">
            <w:pPr>
              <w:spacing w:after="0"/>
              <w:jc w:val="center"/>
              <w:rPr>
                <w:b/>
                <w:bCs/>
                <w:color w:val="000000"/>
                <w:sz w:val="18"/>
                <w:szCs w:val="18"/>
                <w:lang w:val="ru-MO"/>
              </w:rPr>
            </w:pPr>
            <w:r w:rsidRPr="00CD59C4">
              <w:rPr>
                <w:b/>
                <w:bCs/>
                <w:color w:val="000000"/>
                <w:sz w:val="18"/>
                <w:szCs w:val="18"/>
                <w:lang w:val="ru-MO"/>
              </w:rPr>
              <w:t>Кол-во невыданных лекарств</w:t>
            </w:r>
          </w:p>
        </w:tc>
        <w:tc>
          <w:tcPr>
            <w:tcW w:w="1230" w:type="dxa"/>
            <w:shd w:val="clear" w:color="auto" w:fill="FBE4D5"/>
            <w:vAlign w:val="center"/>
          </w:tcPr>
          <w:p w:rsidR="00CE2D0C" w:rsidRPr="00CD59C4" w:rsidRDefault="00CE2D0C" w:rsidP="00266330">
            <w:pPr>
              <w:spacing w:after="0"/>
              <w:jc w:val="center"/>
              <w:rPr>
                <w:b/>
                <w:bCs/>
                <w:iCs/>
                <w:color w:val="000000"/>
                <w:sz w:val="18"/>
                <w:szCs w:val="18"/>
                <w:lang w:val="ru-MO"/>
              </w:rPr>
            </w:pPr>
            <w:r w:rsidRPr="00CD59C4">
              <w:rPr>
                <w:b/>
                <w:bCs/>
                <w:iCs/>
                <w:color w:val="000000"/>
                <w:sz w:val="18"/>
                <w:szCs w:val="18"/>
                <w:lang w:val="ru-MO"/>
              </w:rPr>
              <w:t>Удельный вес невыданных лекарств</w:t>
            </w:r>
          </w:p>
        </w:tc>
      </w:tr>
      <w:tr w:rsidR="00CE2D0C" w:rsidRPr="00CD59C4" w:rsidTr="00266330">
        <w:trPr>
          <w:trHeight w:val="617"/>
        </w:trPr>
        <w:tc>
          <w:tcPr>
            <w:tcW w:w="1678"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1308</w:t>
            </w:r>
          </w:p>
        </w:tc>
        <w:tc>
          <w:tcPr>
            <w:tcW w:w="1276"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878</w:t>
            </w:r>
          </w:p>
        </w:tc>
        <w:tc>
          <w:tcPr>
            <w:tcW w:w="1276"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430</w:t>
            </w:r>
          </w:p>
        </w:tc>
        <w:tc>
          <w:tcPr>
            <w:tcW w:w="1276"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32,9</w:t>
            </w:r>
          </w:p>
        </w:tc>
        <w:tc>
          <w:tcPr>
            <w:tcW w:w="1509"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10690</w:t>
            </w:r>
          </w:p>
        </w:tc>
        <w:tc>
          <w:tcPr>
            <w:tcW w:w="1042"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8046</w:t>
            </w:r>
          </w:p>
        </w:tc>
        <w:tc>
          <w:tcPr>
            <w:tcW w:w="1229"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2638</w:t>
            </w:r>
          </w:p>
        </w:tc>
        <w:tc>
          <w:tcPr>
            <w:tcW w:w="1230" w:type="dxa"/>
            <w:shd w:val="clear" w:color="auto" w:fill="E2EFD9"/>
            <w:vAlign w:val="center"/>
          </w:tcPr>
          <w:p w:rsidR="00CE2D0C" w:rsidRPr="00CD59C4" w:rsidRDefault="00CE2D0C" w:rsidP="00266330">
            <w:pPr>
              <w:spacing w:after="0"/>
              <w:jc w:val="center"/>
              <w:rPr>
                <w:b/>
                <w:sz w:val="18"/>
                <w:szCs w:val="18"/>
                <w:lang w:val="ru-MO"/>
              </w:rPr>
            </w:pPr>
            <w:r w:rsidRPr="00CD59C4">
              <w:rPr>
                <w:b/>
                <w:sz w:val="18"/>
                <w:szCs w:val="18"/>
                <w:lang w:val="ru-MO"/>
              </w:rPr>
              <w:t>24,7</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аудиторской группой, на основании проанализированной и обобщенной информации в рамках ПМСУ РКБ.</w:t>
      </w:r>
    </w:p>
    <w:p w:rsidR="00CE2D0C" w:rsidRPr="00CE6109" w:rsidRDefault="00CE2D0C" w:rsidP="00CE2D0C">
      <w:pPr>
        <w:spacing w:before="240"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Вместе с тем, </w:t>
      </w:r>
      <w:r>
        <w:rPr>
          <w:rFonts w:ascii="Times New Roman" w:hAnsi="Times New Roman"/>
          <w:sz w:val="28"/>
          <w:szCs w:val="28"/>
          <w:lang w:val="ru-MO"/>
        </w:rPr>
        <w:t>з</w:t>
      </w:r>
      <w:r w:rsidRPr="00CE6109">
        <w:rPr>
          <w:rFonts w:ascii="Times New Roman" w:hAnsi="Times New Roman"/>
          <w:sz w:val="28"/>
          <w:szCs w:val="28"/>
          <w:lang w:val="ru-MO"/>
        </w:rPr>
        <w:t xml:space="preserve">а 14 дней марта месяца, отобранных случайным образом, аудиторский анализ положения по выдаче запрашиваемого количества препаратов показывает, что из запрашиваемых 1842 позиций, по 1651 (89,6%) позициям выданное количество было меньше запрошенного. </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По мнению аудита, описанные выше ситуации касаемо частичной поставки запр</w:t>
      </w:r>
      <w:r>
        <w:rPr>
          <w:rFonts w:ascii="Times New Roman" w:hAnsi="Times New Roman"/>
          <w:sz w:val="28"/>
          <w:szCs w:val="28"/>
          <w:lang w:val="ru-MO"/>
        </w:rPr>
        <w:t>ашиваемых</w:t>
      </w:r>
      <w:r w:rsidRPr="00CE6109">
        <w:rPr>
          <w:rFonts w:ascii="Times New Roman" w:hAnsi="Times New Roman"/>
          <w:sz w:val="28"/>
          <w:szCs w:val="28"/>
          <w:lang w:val="ru-MO"/>
        </w:rPr>
        <w:t xml:space="preserve"> лекарственных средств, или их непоставки аптекой негативно влия</w:t>
      </w:r>
      <w:r>
        <w:rPr>
          <w:rFonts w:ascii="Times New Roman" w:hAnsi="Times New Roman"/>
          <w:sz w:val="28"/>
          <w:szCs w:val="28"/>
          <w:lang w:val="ru-MO"/>
        </w:rPr>
        <w:t>ю</w:t>
      </w:r>
      <w:r w:rsidRPr="00CE6109">
        <w:rPr>
          <w:rFonts w:ascii="Times New Roman" w:hAnsi="Times New Roman"/>
          <w:sz w:val="28"/>
          <w:szCs w:val="28"/>
          <w:lang w:val="ru-MO"/>
        </w:rPr>
        <w:t>т на обеспечение отделений необходимыми медикаментами для оказания качественных медицинских услуг пациентам, что может определить их приобретение самими пациентами.</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В процессе анализа накладных заказа-поставки, выданных аптекой за март месяц, аудит выявил 118 накладных</w:t>
      </w:r>
      <w:r>
        <w:rPr>
          <w:rFonts w:ascii="Times New Roman" w:hAnsi="Times New Roman"/>
          <w:sz w:val="28"/>
          <w:szCs w:val="28"/>
          <w:lang w:val="ru-MO"/>
        </w:rPr>
        <w:t>,</w:t>
      </w:r>
      <w:r w:rsidRPr="00CE6109">
        <w:rPr>
          <w:rFonts w:ascii="Times New Roman" w:hAnsi="Times New Roman"/>
          <w:sz w:val="28"/>
          <w:szCs w:val="28"/>
          <w:lang w:val="ru-MO"/>
        </w:rPr>
        <w:t xml:space="preserve"> по которым из аптеки были выданы 375 препаратов на сумму 2,5 млн. леев </w:t>
      </w:r>
      <w:r>
        <w:rPr>
          <w:rFonts w:ascii="Times New Roman" w:hAnsi="Times New Roman"/>
          <w:sz w:val="28"/>
          <w:szCs w:val="28"/>
          <w:lang w:val="ru-MO"/>
        </w:rPr>
        <w:t>в отсутствие</w:t>
      </w:r>
      <w:r w:rsidRPr="00CE6109">
        <w:rPr>
          <w:rFonts w:ascii="Times New Roman" w:hAnsi="Times New Roman"/>
          <w:sz w:val="28"/>
          <w:szCs w:val="28"/>
          <w:lang w:val="ru-MO"/>
        </w:rPr>
        <w:t xml:space="preserve"> накладны</w:t>
      </w:r>
      <w:r>
        <w:rPr>
          <w:rFonts w:ascii="Times New Roman" w:hAnsi="Times New Roman"/>
          <w:sz w:val="28"/>
          <w:szCs w:val="28"/>
          <w:lang w:val="ru-MO"/>
        </w:rPr>
        <w:t>х</w:t>
      </w:r>
      <w:r w:rsidRPr="00CE6109">
        <w:rPr>
          <w:rFonts w:ascii="Times New Roman" w:hAnsi="Times New Roman"/>
          <w:sz w:val="28"/>
          <w:szCs w:val="28"/>
          <w:lang w:val="ru-MO"/>
        </w:rPr>
        <w:t xml:space="preserve"> заказа-поставки, заполненны</w:t>
      </w:r>
      <w:r>
        <w:rPr>
          <w:rFonts w:ascii="Times New Roman" w:hAnsi="Times New Roman"/>
          <w:sz w:val="28"/>
          <w:szCs w:val="28"/>
          <w:lang w:val="ru-MO"/>
        </w:rPr>
        <w:t>х</w:t>
      </w:r>
      <w:r w:rsidRPr="00CE6109">
        <w:rPr>
          <w:rFonts w:ascii="Times New Roman" w:hAnsi="Times New Roman"/>
          <w:sz w:val="28"/>
          <w:szCs w:val="28"/>
          <w:lang w:val="ru-MO"/>
        </w:rPr>
        <w:t xml:space="preserve"> отделениями. Кроме того, в накладных заказа-поставки, выданных аптекой за 14 дней марта месяца, отобранных случайным образом, аудитом выявлены </w:t>
      </w:r>
      <w:r>
        <w:rPr>
          <w:rFonts w:ascii="Times New Roman" w:hAnsi="Times New Roman"/>
          <w:sz w:val="28"/>
          <w:szCs w:val="28"/>
          <w:lang w:val="ru-MO"/>
        </w:rPr>
        <w:t>случаи выдачи</w:t>
      </w:r>
      <w:r w:rsidRPr="00CE6109">
        <w:rPr>
          <w:rFonts w:ascii="Times New Roman" w:hAnsi="Times New Roman"/>
          <w:sz w:val="28"/>
          <w:szCs w:val="28"/>
          <w:lang w:val="ru-MO"/>
        </w:rPr>
        <w:t xml:space="preserve"> лекарств, которые не содержались в накладных заказа-поставки, составленных отделениями больницы, на сумму 0,15 млн. леев (276 наименований медикаментов). </w:t>
      </w:r>
    </w:p>
    <w:p w:rsidR="00CE2D0C" w:rsidRPr="00CE6109" w:rsidRDefault="00CE2D0C" w:rsidP="00CE2D0C">
      <w:pPr>
        <w:spacing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Таким образом, выдача лекарственных средств в отсутствие поданных заявок не гарантирует подтверждение их необходимости и свидетельствует о наличии недостатков, связанных с функционированием внутреннего контроля. </w:t>
      </w:r>
    </w:p>
    <w:p w:rsidR="00CE2D0C" w:rsidRPr="00CE6109" w:rsidRDefault="00CE2D0C" w:rsidP="00CE2D0C">
      <w:pPr>
        <w:spacing w:after="0" w:line="276" w:lineRule="auto"/>
        <w:ind w:firstLine="567"/>
        <w:jc w:val="both"/>
        <w:rPr>
          <w:rFonts w:ascii="Times New Roman" w:hAnsi="Times New Roman"/>
          <w:b/>
          <w:i/>
          <w:sz w:val="28"/>
          <w:szCs w:val="28"/>
          <w:lang w:val="ru-MO"/>
        </w:rPr>
      </w:pPr>
      <w:r w:rsidRPr="00CE6109">
        <w:rPr>
          <w:rFonts w:ascii="Times New Roman" w:hAnsi="Times New Roman"/>
          <w:b/>
          <w:i/>
          <w:sz w:val="28"/>
          <w:szCs w:val="28"/>
          <w:lang w:val="ru-MO"/>
        </w:rPr>
        <w:t>Ненадлежащее заполнение в медицинских карточках предписаний для лечения пациентов, а также персонифицированных чеков о выдаче лекарств после даты выписки пациента из больницы не дают гарантии правильности и полноты списания медикаментов, используемых при лечении больных, и обосновани</w:t>
      </w:r>
      <w:r>
        <w:rPr>
          <w:rFonts w:ascii="Times New Roman" w:hAnsi="Times New Roman"/>
          <w:b/>
          <w:i/>
          <w:sz w:val="28"/>
          <w:szCs w:val="28"/>
          <w:lang w:val="ru-MO"/>
        </w:rPr>
        <w:t>я</w:t>
      </w:r>
      <w:r w:rsidRPr="00CE6109">
        <w:rPr>
          <w:rFonts w:ascii="Times New Roman" w:hAnsi="Times New Roman"/>
          <w:b/>
          <w:i/>
          <w:sz w:val="28"/>
          <w:szCs w:val="28"/>
          <w:lang w:val="ru-MO"/>
        </w:rPr>
        <w:t xml:space="preserve"> их отнесения на реальные расходы, определив и возможный показатель мошенничества.</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 xml:space="preserve">В целях оценки процесса обеспечения пациентов лекарствами, аудит проанализировал медицинские карточки пациентов, выписанные в апреле 2015 года </w:t>
      </w:r>
      <w:r>
        <w:rPr>
          <w:rFonts w:ascii="Times New Roman" w:hAnsi="Times New Roman"/>
          <w:sz w:val="28"/>
          <w:szCs w:val="28"/>
          <w:lang w:val="ru-MO"/>
        </w:rPr>
        <w:t>в</w:t>
      </w:r>
      <w:r w:rsidRPr="00CE6109">
        <w:rPr>
          <w:rFonts w:ascii="Times New Roman" w:hAnsi="Times New Roman"/>
          <w:sz w:val="28"/>
          <w:szCs w:val="28"/>
          <w:lang w:val="ru-MO"/>
        </w:rPr>
        <w:t xml:space="preserve"> 3 отделени</w:t>
      </w:r>
      <w:r>
        <w:rPr>
          <w:rFonts w:ascii="Times New Roman" w:hAnsi="Times New Roman"/>
          <w:sz w:val="28"/>
          <w:szCs w:val="28"/>
          <w:lang w:val="ru-MO"/>
        </w:rPr>
        <w:t>ях</w:t>
      </w:r>
      <w:r w:rsidRPr="00CE6109">
        <w:rPr>
          <w:rFonts w:ascii="Times New Roman" w:hAnsi="Times New Roman"/>
          <w:sz w:val="28"/>
          <w:szCs w:val="28"/>
          <w:lang w:val="ru-MO"/>
        </w:rPr>
        <w:t xml:space="preserve"> ПМСУ РКБ (304 карточки), и определил их не</w:t>
      </w:r>
      <w:r>
        <w:rPr>
          <w:rFonts w:ascii="Times New Roman" w:hAnsi="Times New Roman"/>
          <w:sz w:val="28"/>
          <w:szCs w:val="28"/>
          <w:lang w:val="ru-MO"/>
        </w:rPr>
        <w:t>надлежа</w:t>
      </w:r>
      <w:r w:rsidRPr="00CE6109">
        <w:rPr>
          <w:rFonts w:ascii="Times New Roman" w:hAnsi="Times New Roman"/>
          <w:sz w:val="28"/>
          <w:szCs w:val="28"/>
          <w:lang w:val="ru-MO"/>
        </w:rPr>
        <w:t xml:space="preserve">щее </w:t>
      </w:r>
      <w:r w:rsidRPr="00CE6109">
        <w:rPr>
          <w:rFonts w:ascii="Times New Roman" w:hAnsi="Times New Roman"/>
          <w:sz w:val="28"/>
          <w:szCs w:val="28"/>
          <w:lang w:val="ru-MO"/>
        </w:rPr>
        <w:lastRenderedPageBreak/>
        <w:t>составление</w:t>
      </w:r>
      <w:r w:rsidRPr="00CE6109">
        <w:rPr>
          <w:rStyle w:val="Referinnotdesubsol"/>
          <w:rFonts w:ascii="Times New Roman" w:hAnsi="Times New Roman"/>
          <w:sz w:val="28"/>
          <w:szCs w:val="28"/>
          <w:lang w:val="ru-MO"/>
        </w:rPr>
        <w:footnoteReference w:id="20"/>
      </w:r>
      <w:r w:rsidRPr="00CE6109">
        <w:rPr>
          <w:rFonts w:ascii="Times New Roman" w:hAnsi="Times New Roman"/>
          <w:sz w:val="28"/>
          <w:szCs w:val="28"/>
          <w:lang w:val="ru-MO"/>
        </w:rPr>
        <w:t xml:space="preserve">, поскольку были выявлены корректировки в медицинских </w:t>
      </w:r>
      <w:r>
        <w:rPr>
          <w:rFonts w:ascii="Times New Roman" w:hAnsi="Times New Roman"/>
          <w:sz w:val="28"/>
          <w:szCs w:val="28"/>
          <w:lang w:val="ru-MO"/>
        </w:rPr>
        <w:t>карточках</w:t>
      </w:r>
      <w:r w:rsidRPr="00CE6109">
        <w:rPr>
          <w:rFonts w:ascii="Times New Roman" w:hAnsi="Times New Roman"/>
          <w:sz w:val="28"/>
          <w:szCs w:val="28"/>
          <w:lang w:val="ru-MO"/>
        </w:rPr>
        <w:t xml:space="preserve">, </w:t>
      </w:r>
      <w:r>
        <w:rPr>
          <w:rFonts w:ascii="Times New Roman" w:hAnsi="Times New Roman"/>
          <w:sz w:val="28"/>
          <w:szCs w:val="28"/>
          <w:lang w:val="ru-MO"/>
        </w:rPr>
        <w:t xml:space="preserve">а </w:t>
      </w:r>
      <w:r w:rsidRPr="00CE6109">
        <w:rPr>
          <w:rFonts w:ascii="Times New Roman" w:hAnsi="Times New Roman"/>
          <w:sz w:val="28"/>
          <w:szCs w:val="28"/>
          <w:lang w:val="ru-MO"/>
        </w:rPr>
        <w:t>так</w:t>
      </w:r>
      <w:r>
        <w:rPr>
          <w:rFonts w:ascii="Times New Roman" w:hAnsi="Times New Roman"/>
          <w:sz w:val="28"/>
          <w:szCs w:val="28"/>
          <w:lang w:val="ru-MO"/>
        </w:rPr>
        <w:t>же</w:t>
      </w:r>
      <w:r w:rsidRPr="00CE6109">
        <w:rPr>
          <w:rFonts w:ascii="Times New Roman" w:hAnsi="Times New Roman"/>
          <w:sz w:val="28"/>
          <w:szCs w:val="28"/>
          <w:lang w:val="ru-MO"/>
        </w:rPr>
        <w:t xml:space="preserve"> в чеках о выдаче медикаментов пациентам, на уровне 30,6% и, соответственно, 12,5%. Другой аспект, установленный аудитом в рамках анализа, является </w:t>
      </w:r>
      <w:r>
        <w:rPr>
          <w:rFonts w:ascii="Times New Roman" w:hAnsi="Times New Roman"/>
          <w:sz w:val="28"/>
          <w:szCs w:val="28"/>
          <w:lang w:val="ru-MO"/>
        </w:rPr>
        <w:t>заполн</w:t>
      </w:r>
      <w:r w:rsidRPr="00CE6109">
        <w:rPr>
          <w:rFonts w:ascii="Times New Roman" w:hAnsi="Times New Roman"/>
          <w:sz w:val="28"/>
          <w:szCs w:val="28"/>
          <w:lang w:val="ru-MO"/>
        </w:rPr>
        <w:t>ение чеков о выдаче лекарств позднее даты начала лечения в 64 случаях (21,1%), и после даты выписки пациента, в 41 случа</w:t>
      </w:r>
      <w:r>
        <w:rPr>
          <w:rFonts w:ascii="Times New Roman" w:hAnsi="Times New Roman"/>
          <w:sz w:val="28"/>
          <w:szCs w:val="28"/>
          <w:lang w:val="ru-MO"/>
        </w:rPr>
        <w:t>е</w:t>
      </w:r>
      <w:r w:rsidRPr="00CE6109">
        <w:rPr>
          <w:rFonts w:ascii="Times New Roman" w:hAnsi="Times New Roman"/>
          <w:sz w:val="28"/>
          <w:szCs w:val="28"/>
          <w:lang w:val="ru-MO"/>
        </w:rPr>
        <w:t xml:space="preserve"> (13,5%). </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Таким образом, ненадлежащее заполнение медицинских карточек пациентов и чеков о выдаче лекарственных средств, а также заполнение чеков позднее даты госпитализации пациента не позволяют аудиту получить разумные доказательства относительно полноты лечения пациентов, списания медикаментов и реально понесенных учреждением расходов (63,5 млн. леев).</w:t>
      </w:r>
    </w:p>
    <w:p w:rsidR="00CE2D0C" w:rsidRPr="00CE6109" w:rsidRDefault="00CE2D0C" w:rsidP="00CE2D0C">
      <w:pPr>
        <w:spacing w:line="276" w:lineRule="auto"/>
        <w:ind w:firstLine="567"/>
        <w:jc w:val="both"/>
        <w:rPr>
          <w:rFonts w:ascii="Times New Roman" w:hAnsi="Times New Roman"/>
          <w:i/>
          <w:sz w:val="28"/>
          <w:szCs w:val="28"/>
          <w:lang w:val="ru-MO"/>
        </w:rPr>
      </w:pPr>
      <w:r w:rsidRPr="00CE6109">
        <w:rPr>
          <w:rFonts w:ascii="Times New Roman" w:hAnsi="Times New Roman"/>
          <w:sz w:val="28"/>
          <w:szCs w:val="28"/>
          <w:lang w:val="ru-MO"/>
        </w:rPr>
        <w:t>Вместе с тем, в 133 медицинских карточках (43,8%) аудит выявил отметку о закупке лекарств самими госпитализированными застрахованными пациентами, данная ситуация была мотивировна медсестрой тем, что ПМСУ РКБ не располагало достаточными медикаментами для проведения процесса лечения пациентов, госпитализированных в отделении. Незначительное число медикаментов закупаются пациентами из-за аллергии на лекарства, предоставленные больницей, или по другим причинам, большинство, однако, приобретаются ими из-за их отсутствия в аптеке больницы.</w:t>
      </w:r>
    </w:p>
    <w:p w:rsidR="00CE2D0C" w:rsidRPr="00CE6109" w:rsidRDefault="00CE2D0C" w:rsidP="00CE2D0C">
      <w:pPr>
        <w:spacing w:after="0" w:line="276" w:lineRule="auto"/>
        <w:ind w:firstLine="567"/>
        <w:jc w:val="both"/>
        <w:rPr>
          <w:lang w:val="ru-MO"/>
        </w:rPr>
      </w:pPr>
      <w:r w:rsidRPr="00CE6109">
        <w:rPr>
          <w:rFonts w:ascii="Times New Roman" w:hAnsi="Times New Roman"/>
          <w:b/>
          <w:i/>
          <w:sz w:val="28"/>
          <w:szCs w:val="28"/>
          <w:lang w:val="ru-MO"/>
        </w:rPr>
        <w:t xml:space="preserve">ПМСУ РКБ не располагает взаимосвязанным программным обеспечением (soft) между аптекой, отделениями и </w:t>
      </w:r>
      <w:r>
        <w:rPr>
          <w:rFonts w:ascii="Times New Roman" w:hAnsi="Times New Roman"/>
          <w:b/>
          <w:i/>
          <w:sz w:val="28"/>
          <w:szCs w:val="28"/>
          <w:lang w:val="ru-MO"/>
        </w:rPr>
        <w:t>отдел</w:t>
      </w:r>
      <w:r w:rsidRPr="00CE6109">
        <w:rPr>
          <w:rFonts w:ascii="Times New Roman" w:hAnsi="Times New Roman"/>
          <w:b/>
          <w:i/>
          <w:sz w:val="28"/>
          <w:szCs w:val="28"/>
          <w:lang w:val="ru-MO"/>
        </w:rPr>
        <w:t xml:space="preserve">ом бухгалтерского учета, что не обеспечивает </w:t>
      </w:r>
      <w:r>
        <w:rPr>
          <w:rFonts w:ascii="Times New Roman" w:hAnsi="Times New Roman"/>
          <w:b/>
          <w:i/>
          <w:sz w:val="28"/>
          <w:szCs w:val="28"/>
          <w:lang w:val="ru-MO"/>
        </w:rPr>
        <w:t>надлежащий</w:t>
      </w:r>
      <w:r w:rsidRPr="00CE6109">
        <w:rPr>
          <w:rFonts w:ascii="Times New Roman" w:hAnsi="Times New Roman"/>
          <w:b/>
          <w:i/>
          <w:sz w:val="28"/>
          <w:szCs w:val="28"/>
          <w:lang w:val="ru-MO"/>
        </w:rPr>
        <w:t xml:space="preserve"> учет лекарственных средств и прозрачность процесса их заказа отделением, выпуска из аптеки, использования для лечения пациентов и их списания.</w:t>
      </w:r>
    </w:p>
    <w:p w:rsidR="00CE2D0C" w:rsidRPr="00CE6109" w:rsidRDefault="00CE2D0C" w:rsidP="00CE2D0C">
      <w:pPr>
        <w:spacing w:after="0" w:line="276" w:lineRule="auto"/>
        <w:ind w:firstLine="567"/>
        <w:jc w:val="both"/>
        <w:rPr>
          <w:rFonts w:ascii="Times New Roman" w:hAnsi="Times New Roman"/>
          <w:sz w:val="28"/>
          <w:szCs w:val="28"/>
          <w:lang w:val="ru-MO"/>
        </w:rPr>
      </w:pPr>
      <w:r w:rsidRPr="00CE6109">
        <w:rPr>
          <w:rFonts w:ascii="Times New Roman" w:hAnsi="Times New Roman"/>
          <w:sz w:val="28"/>
          <w:szCs w:val="28"/>
          <w:lang w:val="ru-MO"/>
        </w:rPr>
        <w:t>Учет и администрирование лекарственных средств в аптеке учреждения, его отделениях и бухгалтерии не осуществляются в установленном порядке</w:t>
      </w:r>
      <w:r w:rsidRPr="00CE6109">
        <w:rPr>
          <w:rStyle w:val="Referinnotdesubsol"/>
          <w:rFonts w:ascii="Times New Roman" w:hAnsi="Times New Roman"/>
          <w:sz w:val="28"/>
          <w:szCs w:val="28"/>
          <w:lang w:val="ru-MO"/>
        </w:rPr>
        <w:footnoteReference w:id="21"/>
      </w:r>
      <w:r w:rsidRPr="00CE6109">
        <w:rPr>
          <w:rFonts w:ascii="Times New Roman" w:hAnsi="Times New Roman"/>
          <w:sz w:val="28"/>
          <w:szCs w:val="28"/>
          <w:lang w:val="ru-MO"/>
        </w:rPr>
        <w:t xml:space="preserve"> таким образом, чтобы можно было проследить движение любого лекарства от аптеки до пациента, по каждому типу помощи лекарствами (бюджетной, специальной или гуманитарной помощи). В этой связи аудит отмечает, что ПМСУ РКБ не располагает взаимосвязанным программным обеспечением (soft) между аптекой, отделениями и </w:t>
      </w:r>
      <w:r>
        <w:rPr>
          <w:rFonts w:ascii="Times New Roman" w:hAnsi="Times New Roman"/>
          <w:sz w:val="28"/>
          <w:szCs w:val="28"/>
          <w:lang w:val="ru-MO"/>
        </w:rPr>
        <w:t>отдел</w:t>
      </w:r>
      <w:r w:rsidRPr="00CE6109">
        <w:rPr>
          <w:rFonts w:ascii="Times New Roman" w:hAnsi="Times New Roman"/>
          <w:sz w:val="28"/>
          <w:szCs w:val="28"/>
          <w:lang w:val="ru-MO"/>
        </w:rPr>
        <w:t>ом бухгалтерского учета. Аптека использует отдельную программу учета от отделений учреждения, котор</w:t>
      </w:r>
      <w:r>
        <w:rPr>
          <w:rFonts w:ascii="Times New Roman" w:hAnsi="Times New Roman"/>
          <w:sz w:val="28"/>
          <w:szCs w:val="28"/>
          <w:lang w:val="ru-MO"/>
        </w:rPr>
        <w:t>ые</w:t>
      </w:r>
      <w:r w:rsidRPr="00CE6109">
        <w:rPr>
          <w:rFonts w:ascii="Times New Roman" w:hAnsi="Times New Roman"/>
          <w:sz w:val="28"/>
          <w:szCs w:val="28"/>
          <w:lang w:val="ru-MO"/>
        </w:rPr>
        <w:t xml:space="preserve"> вед</w:t>
      </w:r>
      <w:r>
        <w:rPr>
          <w:rFonts w:ascii="Times New Roman" w:hAnsi="Times New Roman"/>
          <w:sz w:val="28"/>
          <w:szCs w:val="28"/>
          <w:lang w:val="ru-MO"/>
        </w:rPr>
        <w:t>у</w:t>
      </w:r>
      <w:r w:rsidRPr="00CE6109">
        <w:rPr>
          <w:rFonts w:ascii="Times New Roman" w:hAnsi="Times New Roman"/>
          <w:sz w:val="28"/>
          <w:szCs w:val="28"/>
          <w:lang w:val="ru-MO"/>
        </w:rPr>
        <w:t xml:space="preserve">т учет лекарственных средств на основе программного обеспечения, разработанного внутренним отделом ИТ. </w:t>
      </w:r>
    </w:p>
    <w:p w:rsidR="00CE2D0C" w:rsidRPr="00CE6109" w:rsidRDefault="00CE2D0C" w:rsidP="00CE2D0C">
      <w:pPr>
        <w:spacing w:after="0" w:line="276" w:lineRule="auto"/>
        <w:ind w:firstLine="567"/>
        <w:jc w:val="both"/>
        <w:rPr>
          <w:rFonts w:ascii="Times New Roman" w:hAnsi="Times New Roman"/>
          <w:i/>
          <w:sz w:val="28"/>
          <w:szCs w:val="28"/>
          <w:lang w:val="ru-MO"/>
        </w:rPr>
      </w:pPr>
      <w:r w:rsidRPr="00CE6109">
        <w:rPr>
          <w:rFonts w:ascii="Times New Roman" w:hAnsi="Times New Roman"/>
          <w:sz w:val="28"/>
          <w:szCs w:val="28"/>
          <w:lang w:val="ru-MO"/>
        </w:rPr>
        <w:t>Таким образом, по мнению аудита</w:t>
      </w:r>
      <w:r w:rsidRPr="00CE6109">
        <w:rPr>
          <w:rFonts w:ascii="Times New Roman" w:hAnsi="Times New Roman"/>
          <w:i/>
          <w:sz w:val="28"/>
          <w:szCs w:val="28"/>
          <w:lang w:val="ru-MO"/>
        </w:rPr>
        <w:t xml:space="preserve">, отсутствие взаимосвязи между указанными программами создает трудности при </w:t>
      </w:r>
      <w:r>
        <w:rPr>
          <w:rFonts w:ascii="Times New Roman" w:hAnsi="Times New Roman"/>
          <w:i/>
          <w:sz w:val="28"/>
          <w:szCs w:val="28"/>
          <w:lang w:val="ru-MO"/>
        </w:rPr>
        <w:t xml:space="preserve">ведении </w:t>
      </w:r>
      <w:r w:rsidRPr="00CE6109">
        <w:rPr>
          <w:rFonts w:ascii="Times New Roman" w:hAnsi="Times New Roman"/>
          <w:i/>
          <w:sz w:val="28"/>
          <w:szCs w:val="28"/>
          <w:lang w:val="ru-MO"/>
        </w:rPr>
        <w:t>учет</w:t>
      </w:r>
      <w:r>
        <w:rPr>
          <w:rFonts w:ascii="Times New Roman" w:hAnsi="Times New Roman"/>
          <w:i/>
          <w:sz w:val="28"/>
          <w:szCs w:val="28"/>
          <w:lang w:val="ru-MO"/>
        </w:rPr>
        <w:t>а</w:t>
      </w:r>
      <w:r w:rsidRPr="00CE6109">
        <w:rPr>
          <w:rFonts w:ascii="Times New Roman" w:hAnsi="Times New Roman"/>
          <w:i/>
          <w:sz w:val="28"/>
          <w:szCs w:val="28"/>
          <w:lang w:val="ru-MO"/>
        </w:rPr>
        <w:t xml:space="preserve"> </w:t>
      </w:r>
      <w:r w:rsidRPr="00CE6109">
        <w:rPr>
          <w:rFonts w:ascii="Times New Roman" w:hAnsi="Times New Roman"/>
          <w:i/>
          <w:sz w:val="28"/>
          <w:szCs w:val="28"/>
          <w:lang w:val="ru-MO"/>
        </w:rPr>
        <w:lastRenderedPageBreak/>
        <w:t>лекарственных средств и парафармацевтической продукции и не обеспечивает прозрачность процесса обеспечения медикаментами пациентов</w:t>
      </w:r>
      <w:r w:rsidRPr="00CE6109">
        <w:rPr>
          <w:rFonts w:ascii="Times New Roman" w:hAnsi="Times New Roman"/>
          <w:sz w:val="28"/>
          <w:szCs w:val="28"/>
          <w:lang w:val="ru-MO"/>
        </w:rPr>
        <w:t>.</w:t>
      </w:r>
    </w:p>
    <w:p w:rsidR="00CE2D0C" w:rsidRPr="00CE6109" w:rsidRDefault="00CE2D0C" w:rsidP="00CE2D0C">
      <w:pPr>
        <w:pStyle w:val="Listparagraf"/>
        <w:numPr>
          <w:ilvl w:val="1"/>
          <w:numId w:val="1"/>
        </w:numPr>
        <w:tabs>
          <w:tab w:val="left" w:pos="993"/>
        </w:tabs>
        <w:spacing w:before="240" w:line="276" w:lineRule="auto"/>
        <w:ind w:left="0" w:firstLine="567"/>
        <w:jc w:val="both"/>
        <w:outlineLvl w:val="1"/>
        <w:rPr>
          <w:rFonts w:ascii="Times New Roman" w:hAnsi="Times New Roman"/>
          <w:b/>
          <w:color w:val="000000"/>
          <w:sz w:val="28"/>
          <w:szCs w:val="28"/>
          <w:lang w:val="ru-MO"/>
        </w:rPr>
      </w:pPr>
      <w:bookmarkStart w:id="38" w:name="_Toc454287232"/>
      <w:bookmarkStart w:id="39" w:name="_Toc443550619"/>
      <w:bookmarkStart w:id="40" w:name="_Toc447552131"/>
      <w:r w:rsidRPr="00CE6109">
        <w:rPr>
          <w:rFonts w:ascii="Times New Roman" w:hAnsi="Times New Roman"/>
          <w:b/>
          <w:color w:val="000000"/>
          <w:sz w:val="28"/>
          <w:szCs w:val="28"/>
          <w:lang w:val="ru-MO"/>
        </w:rPr>
        <w:t>Соответствие учета и отчетности расходов по износу основных средств</w:t>
      </w:r>
      <w:bookmarkEnd w:id="38"/>
      <w:r w:rsidRPr="00CE6109">
        <w:rPr>
          <w:rFonts w:ascii="Times New Roman" w:hAnsi="Times New Roman"/>
          <w:b/>
          <w:color w:val="000000"/>
          <w:sz w:val="28"/>
          <w:szCs w:val="28"/>
          <w:lang w:val="ru-MO"/>
        </w:rPr>
        <w:t xml:space="preserve"> </w:t>
      </w:r>
      <w:bookmarkEnd w:id="39"/>
      <w:bookmarkEnd w:id="40"/>
    </w:p>
    <w:p w:rsidR="00CE2D0C" w:rsidRPr="00CE6109" w:rsidRDefault="00CE2D0C" w:rsidP="00CE2D0C">
      <w:pPr>
        <w:spacing w:after="0" w:line="276" w:lineRule="auto"/>
        <w:ind w:firstLine="567"/>
        <w:jc w:val="both"/>
        <w:rPr>
          <w:rFonts w:ascii="Times New Roman" w:eastAsia="Times New Roman" w:hAnsi="Times New Roman"/>
          <w:b/>
          <w:i/>
          <w:sz w:val="28"/>
          <w:szCs w:val="28"/>
          <w:lang w:val="ru-MO"/>
        </w:rPr>
      </w:pPr>
      <w:r w:rsidRPr="00CE6109">
        <w:rPr>
          <w:rFonts w:ascii="Times New Roman" w:eastAsia="Times New Roman" w:hAnsi="Times New Roman"/>
          <w:b/>
          <w:i/>
          <w:sz w:val="28"/>
          <w:szCs w:val="28"/>
          <w:lang w:val="ru-MO"/>
        </w:rPr>
        <w:t xml:space="preserve">Отчетность по фактическим расходам, связанным с износом основных средств, представленным в отчете об исполнении сметы доходов и расходов без их включения в стоимость пролеченного случая в рамках стационарной медицинской помощи, оплачиваемой на основе </w:t>
      </w:r>
      <w:r>
        <w:rPr>
          <w:rFonts w:ascii="Times New Roman" w:eastAsia="Times New Roman" w:hAnsi="Times New Roman"/>
          <w:b/>
          <w:i/>
          <w:sz w:val="28"/>
          <w:szCs w:val="28"/>
          <w:lang w:val="ru-MO"/>
        </w:rPr>
        <w:t>ДСГ (DRG)</w:t>
      </w:r>
      <w:r w:rsidRPr="00CE6109">
        <w:rPr>
          <w:rFonts w:ascii="Times New Roman" w:eastAsia="Times New Roman" w:hAnsi="Times New Roman"/>
          <w:b/>
          <w:i/>
          <w:sz w:val="28"/>
          <w:szCs w:val="28"/>
          <w:lang w:val="ru-MO"/>
        </w:rPr>
        <w:t>, не обеспечивает во</w:t>
      </w:r>
      <w:r>
        <w:rPr>
          <w:rFonts w:ascii="Times New Roman" w:eastAsia="Times New Roman" w:hAnsi="Times New Roman"/>
          <w:b/>
          <w:i/>
          <w:sz w:val="28"/>
          <w:szCs w:val="28"/>
          <w:lang w:val="ru-MO"/>
        </w:rPr>
        <w:t>сстановление</w:t>
      </w:r>
      <w:r w:rsidRPr="00CE6109">
        <w:rPr>
          <w:rFonts w:ascii="Times New Roman" w:eastAsia="Times New Roman" w:hAnsi="Times New Roman"/>
          <w:b/>
          <w:i/>
          <w:sz w:val="28"/>
          <w:szCs w:val="28"/>
          <w:lang w:val="ru-MO"/>
        </w:rPr>
        <w:t xml:space="preserve"> их стоимости на протяжении всего периода эксплуатации.</w:t>
      </w:r>
    </w:p>
    <w:p w:rsidR="00CE2D0C" w:rsidRPr="00CE6109" w:rsidRDefault="00CE2D0C" w:rsidP="00CE2D0C">
      <w:pPr>
        <w:tabs>
          <w:tab w:val="left" w:pos="851"/>
          <w:tab w:val="left" w:pos="993"/>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 соответствии с действующими нормативными положениями</w:t>
      </w:r>
      <w:r w:rsidRPr="00CE6109">
        <w:rPr>
          <w:rStyle w:val="Referinnotdesubsol"/>
          <w:rFonts w:ascii="Times New Roman" w:eastAsia="Times New Roman" w:hAnsi="Times New Roman"/>
          <w:sz w:val="28"/>
          <w:szCs w:val="28"/>
          <w:lang w:val="ru-MO"/>
        </w:rPr>
        <w:footnoteReference w:id="22"/>
      </w:r>
      <w:r w:rsidRPr="00CE6109">
        <w:rPr>
          <w:rFonts w:ascii="Times New Roman" w:eastAsia="Times New Roman" w:hAnsi="Times New Roman"/>
          <w:sz w:val="28"/>
          <w:szCs w:val="28"/>
          <w:lang w:val="ru-MO"/>
        </w:rPr>
        <w:t xml:space="preserve">, ПМСУ РКБ отразило в отчете о выполнении сметы доходов и расходов за счет средств ФОМС за 2015 год износ основных средств </w:t>
      </w:r>
      <w:r>
        <w:rPr>
          <w:rFonts w:ascii="Times New Roman" w:eastAsia="Times New Roman" w:hAnsi="Times New Roman"/>
          <w:sz w:val="28"/>
          <w:szCs w:val="28"/>
          <w:lang w:val="ru-MO"/>
        </w:rPr>
        <w:t>на</w:t>
      </w:r>
      <w:r w:rsidRPr="00CE6109">
        <w:rPr>
          <w:rFonts w:ascii="Times New Roman" w:eastAsia="Times New Roman" w:hAnsi="Times New Roman"/>
          <w:sz w:val="28"/>
          <w:szCs w:val="28"/>
          <w:lang w:val="ru-MO"/>
        </w:rPr>
        <w:t xml:space="preserve"> сумм</w:t>
      </w:r>
      <w:r>
        <w:rPr>
          <w:rFonts w:ascii="Times New Roman" w:eastAsia="Times New Roman" w:hAnsi="Times New Roman"/>
          <w:sz w:val="28"/>
          <w:szCs w:val="28"/>
          <w:lang w:val="ru-MO"/>
        </w:rPr>
        <w:t>у</w:t>
      </w:r>
      <w:r w:rsidRPr="00CE6109">
        <w:rPr>
          <w:rFonts w:ascii="Times New Roman" w:eastAsia="Times New Roman" w:hAnsi="Times New Roman"/>
          <w:sz w:val="28"/>
          <w:szCs w:val="28"/>
          <w:lang w:val="ru-MO"/>
        </w:rPr>
        <w:t xml:space="preserve"> 37,4 млн.</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 xml:space="preserve">леев, исходя из доли </w:t>
      </w:r>
      <w:r>
        <w:rPr>
          <w:rFonts w:ascii="Times New Roman" w:eastAsia="Times New Roman" w:hAnsi="Times New Roman"/>
          <w:sz w:val="28"/>
          <w:szCs w:val="28"/>
          <w:lang w:val="ru-MO"/>
        </w:rPr>
        <w:t xml:space="preserve">полученных </w:t>
      </w:r>
      <w:r w:rsidRPr="00CE6109">
        <w:rPr>
          <w:rFonts w:ascii="Times New Roman" w:eastAsia="Times New Roman" w:hAnsi="Times New Roman"/>
          <w:sz w:val="28"/>
          <w:szCs w:val="28"/>
          <w:lang w:val="ru-MO"/>
        </w:rPr>
        <w:t>доходов от НМСК в общих накопленных доходах. Аудит отмечает, что порядок определения и отражения в отчетности суммы износа не обеспечивает достоверные данные об износе основных средств, используемых в процессе оказания медицинских услуг.</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Так, аудит представляет ситуацию осн</w:t>
      </w:r>
      <w:r>
        <w:rPr>
          <w:rFonts w:ascii="Times New Roman" w:eastAsia="Times New Roman" w:hAnsi="Times New Roman"/>
          <w:sz w:val="28"/>
          <w:szCs w:val="28"/>
          <w:lang w:val="ru-MO"/>
        </w:rPr>
        <w:t>овных средств в рамках ПМСУ РКБ</w:t>
      </w:r>
      <w:r w:rsidRPr="00CE6109">
        <w:rPr>
          <w:rFonts w:ascii="Times New Roman" w:eastAsia="Times New Roman" w:hAnsi="Times New Roman"/>
          <w:sz w:val="28"/>
          <w:szCs w:val="28"/>
          <w:lang w:val="ru-MO"/>
        </w:rPr>
        <w:t xml:space="preserve"> отдельно по видам и источникам </w:t>
      </w:r>
      <w:r>
        <w:rPr>
          <w:rFonts w:ascii="Times New Roman" w:eastAsia="Times New Roman" w:hAnsi="Times New Roman"/>
          <w:sz w:val="28"/>
          <w:szCs w:val="28"/>
          <w:lang w:val="ru-MO"/>
        </w:rPr>
        <w:t xml:space="preserve">их </w:t>
      </w:r>
      <w:r w:rsidRPr="00CE6109">
        <w:rPr>
          <w:rFonts w:ascii="Times New Roman" w:eastAsia="Times New Roman" w:hAnsi="Times New Roman"/>
          <w:sz w:val="28"/>
          <w:szCs w:val="28"/>
          <w:lang w:val="ru-MO"/>
        </w:rPr>
        <w:t>поступления:</w:t>
      </w:r>
    </w:p>
    <w:p w:rsidR="00CE2D0C" w:rsidRPr="00CE6109" w:rsidRDefault="00CE2D0C" w:rsidP="00CE2D0C">
      <w:pPr>
        <w:spacing w:after="0"/>
        <w:ind w:firstLine="567"/>
        <w:jc w:val="right"/>
        <w:rPr>
          <w:rFonts w:ascii="Times New Roman" w:eastAsia="Times New Roman" w:hAnsi="Times New Roman"/>
          <w:i/>
          <w:sz w:val="24"/>
          <w:szCs w:val="24"/>
          <w:lang w:val="ru-MO"/>
        </w:rPr>
      </w:pPr>
      <w:r w:rsidRPr="00CE6109">
        <w:rPr>
          <w:rFonts w:ascii="Times New Roman" w:eastAsia="Times New Roman" w:hAnsi="Times New Roman"/>
          <w:i/>
          <w:sz w:val="24"/>
          <w:szCs w:val="24"/>
          <w:lang w:val="ru-MO"/>
        </w:rPr>
        <w:t>Таблица №8</w:t>
      </w:r>
    </w:p>
    <w:p w:rsidR="00CE2D0C" w:rsidRPr="00CE6109" w:rsidRDefault="00CE2D0C" w:rsidP="00CE2D0C">
      <w:pPr>
        <w:spacing w:after="0"/>
        <w:ind w:firstLine="567"/>
        <w:jc w:val="center"/>
        <w:rPr>
          <w:rFonts w:ascii="Times New Roman" w:eastAsia="Times New Roman" w:hAnsi="Times New Roman"/>
          <w:b/>
          <w:i/>
          <w:sz w:val="24"/>
          <w:szCs w:val="24"/>
          <w:lang w:val="ru-MO"/>
        </w:rPr>
      </w:pPr>
      <w:r w:rsidRPr="00CE6109">
        <w:rPr>
          <w:rFonts w:ascii="Times New Roman" w:eastAsia="Times New Roman" w:hAnsi="Times New Roman"/>
          <w:b/>
          <w:i/>
          <w:sz w:val="24"/>
          <w:szCs w:val="24"/>
          <w:lang w:val="ru-MO"/>
        </w:rPr>
        <w:t xml:space="preserve">Основные средства, принадлежащие ПМСУ РКБ, и источники их поступления </w:t>
      </w:r>
    </w:p>
    <w:p w:rsidR="00CE2D0C" w:rsidRPr="00CE6109" w:rsidRDefault="00CE2D0C" w:rsidP="00CE2D0C">
      <w:pPr>
        <w:ind w:firstLine="567"/>
        <w:jc w:val="right"/>
        <w:rPr>
          <w:rFonts w:ascii="Times New Roman" w:eastAsia="Times New Roman" w:hAnsi="Times New Roman"/>
          <w:b/>
          <w:i/>
          <w:sz w:val="24"/>
          <w:szCs w:val="24"/>
          <w:lang w:val="ru-MO"/>
        </w:rPr>
      </w:pPr>
      <w:r w:rsidRPr="00CE6109">
        <w:rPr>
          <w:rFonts w:ascii="Times New Roman" w:eastAsia="Times New Roman" w:hAnsi="Times New Roman"/>
          <w:b/>
          <w:i/>
          <w:sz w:val="24"/>
          <w:szCs w:val="24"/>
          <w:lang w:val="ru-MO"/>
        </w:rPr>
        <w:t>(млн. леев)</w:t>
      </w:r>
    </w:p>
    <w:tbl>
      <w:tblPr>
        <w:tblW w:w="10424" w:type="dxa"/>
        <w:tblInd w:w="-572" w:type="dxa"/>
        <w:tblLayout w:type="fixed"/>
        <w:tblLook w:val="04A0"/>
      </w:tblPr>
      <w:tblGrid>
        <w:gridCol w:w="1277"/>
        <w:gridCol w:w="850"/>
        <w:gridCol w:w="851"/>
        <w:gridCol w:w="1134"/>
        <w:gridCol w:w="1280"/>
        <w:gridCol w:w="864"/>
        <w:gridCol w:w="766"/>
        <w:gridCol w:w="850"/>
        <w:gridCol w:w="851"/>
        <w:gridCol w:w="709"/>
        <w:gridCol w:w="992"/>
      </w:tblGrid>
      <w:tr w:rsidR="00CE2D0C" w:rsidRPr="00CD59C4" w:rsidTr="00266330">
        <w:trPr>
          <w:trHeight w:val="288"/>
        </w:trPr>
        <w:tc>
          <w:tcPr>
            <w:tcW w:w="1277" w:type="dxa"/>
            <w:vMerge w:val="restart"/>
            <w:tcBorders>
              <w:top w:val="single" w:sz="4" w:space="0" w:color="auto"/>
              <w:left w:val="single" w:sz="4" w:space="0" w:color="auto"/>
              <w:bottom w:val="single" w:sz="4" w:space="0" w:color="auto"/>
              <w:right w:val="single" w:sz="4" w:space="0" w:color="auto"/>
            </w:tcBorders>
            <w:shd w:val="clear" w:color="auto" w:fill="E2EFD9"/>
            <w:noWrap/>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Начальный остаток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Поступления, в том числе</w:t>
            </w:r>
          </w:p>
        </w:tc>
        <w:tc>
          <w:tcPr>
            <w:tcW w:w="2414" w:type="dxa"/>
            <w:gridSpan w:val="2"/>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НМСК</w:t>
            </w:r>
          </w:p>
        </w:tc>
        <w:tc>
          <w:tcPr>
            <w:tcW w:w="864"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Специальный счет</w:t>
            </w:r>
          </w:p>
        </w:tc>
        <w:tc>
          <w:tcPr>
            <w:tcW w:w="766"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Бюджет</w:t>
            </w:r>
          </w:p>
        </w:tc>
        <w:tc>
          <w:tcPr>
            <w:tcW w:w="850"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Наука</w:t>
            </w:r>
          </w:p>
        </w:tc>
        <w:tc>
          <w:tcPr>
            <w:tcW w:w="851"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 xml:space="preserve">Аренда </w:t>
            </w:r>
          </w:p>
        </w:tc>
        <w:tc>
          <w:tcPr>
            <w:tcW w:w="709"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Выбытие</w:t>
            </w:r>
          </w:p>
        </w:tc>
        <w:tc>
          <w:tcPr>
            <w:tcW w:w="992" w:type="dxa"/>
            <w:vMerge w:val="restart"/>
            <w:tcBorders>
              <w:top w:val="single" w:sz="4" w:space="0" w:color="auto"/>
              <w:left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Конечный остаток</w:t>
            </w:r>
          </w:p>
        </w:tc>
      </w:tr>
      <w:tr w:rsidR="00CE2D0C" w:rsidRPr="00CD59C4" w:rsidTr="00266330">
        <w:trPr>
          <w:trHeight w:val="73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sz w:val="18"/>
                <w:szCs w:val="18"/>
                <w:lang w:val="ru-M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sz w:val="18"/>
                <w:szCs w:val="18"/>
                <w:lang w:val="ru-M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sz w:val="18"/>
                <w:szCs w:val="18"/>
                <w:lang w:val="ru-MO"/>
              </w:rPr>
            </w:pPr>
          </w:p>
        </w:tc>
        <w:tc>
          <w:tcPr>
            <w:tcW w:w="1134" w:type="dxa"/>
            <w:tcBorders>
              <w:top w:val="nil"/>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НМСК (СМП, А</w:t>
            </w:r>
            <w:r>
              <w:rPr>
                <w:rFonts w:eastAsia="Times New Roman" w:cs="Arial CYR"/>
                <w:b/>
                <w:bCs/>
                <w:sz w:val="18"/>
                <w:szCs w:val="18"/>
                <w:lang w:val="ru-MO"/>
              </w:rPr>
              <w:t>С</w:t>
            </w:r>
            <w:r w:rsidRPr="00CE6109">
              <w:rPr>
                <w:rFonts w:eastAsia="Times New Roman" w:cs="Arial CYR"/>
                <w:b/>
                <w:bCs/>
                <w:sz w:val="18"/>
                <w:szCs w:val="18"/>
                <w:lang w:val="ru-MO"/>
              </w:rPr>
              <w:t>М</w:t>
            </w:r>
            <w:r>
              <w:rPr>
                <w:rFonts w:eastAsia="Times New Roman" w:cs="Arial CYR"/>
                <w:b/>
                <w:bCs/>
                <w:sz w:val="18"/>
                <w:szCs w:val="18"/>
                <w:lang w:val="ru-MO"/>
              </w:rPr>
              <w:t>П</w:t>
            </w:r>
            <w:r w:rsidRPr="00CE6109">
              <w:rPr>
                <w:rFonts w:eastAsia="Times New Roman" w:cs="Arial CYR"/>
                <w:b/>
                <w:bCs/>
                <w:sz w:val="18"/>
                <w:szCs w:val="18"/>
                <w:lang w:val="ru-MO"/>
              </w:rPr>
              <w:t>, В</w:t>
            </w:r>
            <w:r>
              <w:rPr>
                <w:rFonts w:eastAsia="Times New Roman" w:cs="Arial CYR"/>
                <w:b/>
                <w:bCs/>
                <w:sz w:val="18"/>
                <w:szCs w:val="18"/>
                <w:lang w:val="ru-MO"/>
              </w:rPr>
              <w:t>К</w:t>
            </w:r>
            <w:r w:rsidRPr="00CE6109">
              <w:rPr>
                <w:rFonts w:eastAsia="Times New Roman" w:cs="Arial CYR"/>
                <w:b/>
                <w:bCs/>
                <w:sz w:val="18"/>
                <w:szCs w:val="18"/>
                <w:lang w:val="ru-MO"/>
              </w:rPr>
              <w:t>МУ)</w:t>
            </w:r>
          </w:p>
        </w:tc>
        <w:tc>
          <w:tcPr>
            <w:tcW w:w="1280" w:type="dxa"/>
            <w:tcBorders>
              <w:top w:val="nil"/>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cs="Arial CYR"/>
                <w:b/>
                <w:bCs/>
                <w:sz w:val="18"/>
                <w:szCs w:val="18"/>
                <w:lang w:val="ru-MO"/>
              </w:rPr>
            </w:pPr>
            <w:r w:rsidRPr="00CE6109">
              <w:rPr>
                <w:rFonts w:eastAsia="Times New Roman" w:cs="Arial CYR"/>
                <w:b/>
                <w:bCs/>
                <w:sz w:val="18"/>
                <w:szCs w:val="18"/>
                <w:lang w:val="ru-MO"/>
              </w:rPr>
              <w:t>НМСК (Фонд развития)</w:t>
            </w:r>
          </w:p>
        </w:tc>
        <w:tc>
          <w:tcPr>
            <w:tcW w:w="864" w:type="dxa"/>
            <w:vMerge/>
            <w:tcBorders>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c>
          <w:tcPr>
            <w:tcW w:w="766" w:type="dxa"/>
            <w:vMerge/>
            <w:tcBorders>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c>
          <w:tcPr>
            <w:tcW w:w="850" w:type="dxa"/>
            <w:vMerge/>
            <w:tcBorders>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c>
          <w:tcPr>
            <w:tcW w:w="851" w:type="dxa"/>
            <w:vMerge/>
            <w:tcBorders>
              <w:left w:val="single" w:sz="4" w:space="0" w:color="auto"/>
              <w:bottom w:val="single" w:sz="4" w:space="0" w:color="000000"/>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c>
          <w:tcPr>
            <w:tcW w:w="709" w:type="dxa"/>
            <w:vMerge/>
            <w:tcBorders>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c>
          <w:tcPr>
            <w:tcW w:w="992" w:type="dxa"/>
            <w:vMerge/>
            <w:tcBorders>
              <w:left w:val="single" w:sz="4" w:space="0" w:color="auto"/>
              <w:bottom w:val="single" w:sz="4" w:space="0" w:color="auto"/>
              <w:right w:val="single" w:sz="4" w:space="0" w:color="auto"/>
            </w:tcBorders>
            <w:vAlign w:val="center"/>
            <w:hideMark/>
          </w:tcPr>
          <w:p w:rsidR="00CE2D0C" w:rsidRPr="00CE6109" w:rsidRDefault="00CE2D0C" w:rsidP="00266330">
            <w:pPr>
              <w:spacing w:after="0" w:line="240" w:lineRule="auto"/>
              <w:rPr>
                <w:rFonts w:eastAsia="Times New Roman" w:cs="Arial CYR"/>
                <w:b/>
                <w:bCs/>
                <w:color w:val="000000"/>
                <w:sz w:val="18"/>
                <w:szCs w:val="18"/>
                <w:lang w:val="ru-MO"/>
              </w:rPr>
            </w:pP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s="Arial CYR"/>
                <w:sz w:val="18"/>
                <w:szCs w:val="18"/>
                <w:lang w:val="ru-MO"/>
              </w:rPr>
            </w:pPr>
            <w:r w:rsidRPr="00CE6109">
              <w:rPr>
                <w:rFonts w:eastAsia="Times New Roman" w:cs="Arial CYR"/>
                <w:sz w:val="18"/>
                <w:szCs w:val="18"/>
                <w:lang w:val="ru-MO"/>
              </w:rPr>
              <w:t xml:space="preserve">Здания </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332,58</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-0,06</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-0,11</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0,17</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332,58</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s="Arial CYR"/>
                <w:sz w:val="18"/>
                <w:szCs w:val="18"/>
                <w:lang w:val="ru-MO"/>
              </w:rPr>
            </w:pPr>
            <w:r w:rsidRPr="00CE6109">
              <w:rPr>
                <w:rFonts w:eastAsia="Times New Roman" w:cs="Arial CYR"/>
                <w:sz w:val="18"/>
                <w:szCs w:val="18"/>
                <w:lang w:val="ru-MO"/>
              </w:rPr>
              <w:t>Специальные сооружения</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4,25</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4,25</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s="Arial CYR"/>
                <w:sz w:val="18"/>
                <w:szCs w:val="18"/>
                <w:lang w:val="ru-MO"/>
              </w:rPr>
            </w:pPr>
            <w:r w:rsidRPr="00CE6109">
              <w:rPr>
                <w:rFonts w:eastAsia="Times New Roman" w:cs="Arial CYR"/>
                <w:sz w:val="18"/>
                <w:szCs w:val="18"/>
                <w:lang w:val="ru-MO"/>
              </w:rPr>
              <w:t>Передаточные устройства</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4,29</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4,29</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ind w:left="-137" w:firstLine="137"/>
              <w:rPr>
                <w:rFonts w:eastAsia="Times New Roman" w:cs="Arial CYR"/>
                <w:sz w:val="18"/>
                <w:szCs w:val="18"/>
                <w:lang w:val="ru-MO"/>
              </w:rPr>
            </w:pPr>
            <w:r w:rsidRPr="00CE6109">
              <w:rPr>
                <w:rFonts w:eastAsia="Times New Roman" w:cs="Arial CYR"/>
                <w:sz w:val="18"/>
                <w:szCs w:val="18"/>
                <w:lang w:val="ru-MO"/>
              </w:rPr>
              <w:t>Машины и оборудование</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411,64</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155,09</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0,25</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1,97</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152,85</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0,02</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0,74</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566,00</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ind w:hanging="137"/>
              <w:rPr>
                <w:rFonts w:eastAsia="Times New Roman" w:cs="Arial CYR"/>
                <w:sz w:val="18"/>
                <w:szCs w:val="18"/>
                <w:lang w:val="ru-MO"/>
              </w:rPr>
            </w:pPr>
            <w:r w:rsidRPr="00CE6109">
              <w:rPr>
                <w:rFonts w:eastAsia="Times New Roman" w:cs="Arial CYR"/>
                <w:sz w:val="18"/>
                <w:szCs w:val="18"/>
                <w:lang w:val="ru-MO"/>
              </w:rPr>
              <w:t>Транспортные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2,63</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0,74</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0,74</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0,52</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2,85</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ind w:hanging="137"/>
              <w:rPr>
                <w:rFonts w:eastAsia="Times New Roman" w:cs="Arial CYR"/>
                <w:sz w:val="18"/>
                <w:szCs w:val="18"/>
                <w:lang w:val="ru-MO"/>
              </w:rPr>
            </w:pPr>
            <w:r w:rsidRPr="00CE6109">
              <w:rPr>
                <w:rFonts w:eastAsia="Times New Roman" w:cs="Arial CYR"/>
                <w:sz w:val="18"/>
                <w:szCs w:val="18"/>
                <w:lang w:val="ru-MO"/>
              </w:rPr>
              <w:t>Инструменты, мебель</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5,61</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0,97</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-0,11</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1,08</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0,04</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6,53</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s="Arial CYR"/>
                <w:sz w:val="18"/>
                <w:szCs w:val="18"/>
                <w:lang w:val="ru-MO"/>
              </w:rPr>
            </w:pPr>
            <w:r w:rsidRPr="00CE6109">
              <w:rPr>
                <w:rFonts w:eastAsia="Times New Roman" w:cs="Arial CYR"/>
                <w:sz w:val="18"/>
                <w:szCs w:val="18"/>
                <w:lang w:val="ru-MO"/>
              </w:rPr>
              <w:t>Библиотечный фонд</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0,03</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64"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66"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CE2D0C" w:rsidRPr="00CE6109" w:rsidRDefault="00CE2D0C" w:rsidP="00266330">
            <w:pPr>
              <w:spacing w:after="0" w:line="240" w:lineRule="auto"/>
              <w:jc w:val="center"/>
              <w:rPr>
                <w:rFonts w:eastAsia="Times New Roman" w:cs="Arial CYR"/>
                <w:bCs/>
                <w:color w:val="000000"/>
                <w:sz w:val="18"/>
                <w:szCs w:val="18"/>
                <w:lang w:val="ru-MO"/>
              </w:rPr>
            </w:pPr>
            <w:r w:rsidRPr="00CE6109">
              <w:rPr>
                <w:rFonts w:eastAsia="Times New Roman" w:cs="Arial CYR"/>
                <w:bCs/>
                <w:color w:val="000000"/>
                <w:sz w:val="18"/>
                <w:szCs w:val="18"/>
                <w:lang w:val="ru-MO"/>
              </w:rPr>
              <w:t>0,03</w:t>
            </w:r>
          </w:p>
        </w:tc>
      </w:tr>
      <w:tr w:rsidR="00CE2D0C" w:rsidRPr="00CD59C4" w:rsidTr="00266330">
        <w:trPr>
          <w:trHeight w:val="288"/>
        </w:trPr>
        <w:tc>
          <w:tcPr>
            <w:tcW w:w="1277" w:type="dxa"/>
            <w:tcBorders>
              <w:top w:val="nil"/>
              <w:left w:val="single" w:sz="4" w:space="0" w:color="auto"/>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rPr>
                <w:rFonts w:eastAsia="Times New Roman" w:cs="Arial CYR"/>
                <w:b/>
                <w:sz w:val="18"/>
                <w:szCs w:val="18"/>
                <w:lang w:val="ru-MO"/>
              </w:rPr>
            </w:pPr>
            <w:r w:rsidRPr="00CE6109">
              <w:rPr>
                <w:rFonts w:eastAsia="Times New Roman" w:cs="Arial CYR"/>
                <w:b/>
                <w:sz w:val="18"/>
                <w:szCs w:val="18"/>
                <w:lang w:val="ru-MO"/>
              </w:rPr>
              <w:t>ВСЕГО</w:t>
            </w:r>
          </w:p>
        </w:tc>
        <w:tc>
          <w:tcPr>
            <w:tcW w:w="850"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761,04</w:t>
            </w:r>
          </w:p>
        </w:tc>
        <w:tc>
          <w:tcPr>
            <w:tcW w:w="851"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156,80</w:t>
            </w:r>
          </w:p>
        </w:tc>
        <w:tc>
          <w:tcPr>
            <w:tcW w:w="1134"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0,13</w:t>
            </w:r>
          </w:p>
        </w:tc>
        <w:tc>
          <w:tcPr>
            <w:tcW w:w="1280"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-0,06</w:t>
            </w:r>
          </w:p>
        </w:tc>
        <w:tc>
          <w:tcPr>
            <w:tcW w:w="864"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3,79</w:t>
            </w:r>
          </w:p>
        </w:tc>
        <w:tc>
          <w:tcPr>
            <w:tcW w:w="766"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152,74</w:t>
            </w:r>
          </w:p>
        </w:tc>
        <w:tc>
          <w:tcPr>
            <w:tcW w:w="850"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0,02</w:t>
            </w:r>
          </w:p>
        </w:tc>
        <w:tc>
          <w:tcPr>
            <w:tcW w:w="851"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0,17</w:t>
            </w:r>
          </w:p>
        </w:tc>
        <w:tc>
          <w:tcPr>
            <w:tcW w:w="709"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1,30</w:t>
            </w:r>
          </w:p>
        </w:tc>
        <w:tc>
          <w:tcPr>
            <w:tcW w:w="992" w:type="dxa"/>
            <w:tcBorders>
              <w:top w:val="nil"/>
              <w:left w:val="nil"/>
              <w:bottom w:val="single" w:sz="4" w:space="0" w:color="auto"/>
              <w:right w:val="single" w:sz="4" w:space="0" w:color="auto"/>
            </w:tcBorders>
            <w:shd w:val="clear" w:color="auto" w:fill="EDEDED"/>
            <w:noWrap/>
            <w:vAlign w:val="center"/>
            <w:hideMark/>
          </w:tcPr>
          <w:p w:rsidR="00CE2D0C" w:rsidRPr="00CE6109" w:rsidRDefault="00CE2D0C" w:rsidP="00266330">
            <w:pPr>
              <w:spacing w:after="0" w:line="240" w:lineRule="auto"/>
              <w:jc w:val="center"/>
              <w:rPr>
                <w:rFonts w:eastAsia="Times New Roman" w:cs="Arial CYR"/>
                <w:b/>
                <w:bCs/>
                <w:color w:val="000000"/>
                <w:sz w:val="18"/>
                <w:szCs w:val="18"/>
                <w:lang w:val="ru-MO"/>
              </w:rPr>
            </w:pPr>
            <w:r w:rsidRPr="00CE6109">
              <w:rPr>
                <w:rFonts w:eastAsia="Times New Roman" w:cs="Arial CYR"/>
                <w:b/>
                <w:bCs/>
                <w:color w:val="000000"/>
                <w:sz w:val="18"/>
                <w:szCs w:val="18"/>
                <w:lang w:val="ru-MO"/>
              </w:rPr>
              <w:t>916,54</w:t>
            </w:r>
          </w:p>
        </w:tc>
      </w:tr>
      <w:tr w:rsidR="00CE2D0C" w:rsidRPr="00CD59C4" w:rsidTr="00266330">
        <w:trPr>
          <w:trHeight w:val="212"/>
        </w:trPr>
        <w:tc>
          <w:tcPr>
            <w:tcW w:w="1277" w:type="dxa"/>
            <w:tcBorders>
              <w:top w:val="nil"/>
              <w:left w:val="single" w:sz="4" w:space="0" w:color="auto"/>
              <w:bottom w:val="single" w:sz="4" w:space="0" w:color="auto"/>
              <w:right w:val="single" w:sz="4" w:space="0" w:color="auto"/>
            </w:tcBorders>
            <w:shd w:val="clear" w:color="auto" w:fill="FFF2CC"/>
            <w:noWrap/>
            <w:vAlign w:val="center"/>
          </w:tcPr>
          <w:p w:rsidR="00CE2D0C" w:rsidRPr="00CE6109" w:rsidRDefault="00CE2D0C" w:rsidP="00266330">
            <w:pPr>
              <w:spacing w:after="0" w:line="240" w:lineRule="auto"/>
              <w:rPr>
                <w:rFonts w:eastAsia="Times New Roman" w:cs="Arial CYR"/>
                <w:i/>
                <w:sz w:val="18"/>
                <w:szCs w:val="18"/>
                <w:lang w:val="ru-MO"/>
              </w:rPr>
            </w:pPr>
            <w:r w:rsidRPr="00CE6109">
              <w:rPr>
                <w:rFonts w:eastAsia="Times New Roman" w:cs="Arial CYR"/>
                <w:i/>
                <w:sz w:val="18"/>
                <w:szCs w:val="18"/>
                <w:lang w:val="ru-MO"/>
              </w:rPr>
              <w:t>Общий износ</w:t>
            </w:r>
          </w:p>
        </w:tc>
        <w:tc>
          <w:tcPr>
            <w:tcW w:w="850"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183,94</w:t>
            </w:r>
          </w:p>
        </w:tc>
        <w:tc>
          <w:tcPr>
            <w:tcW w:w="851"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52,62</w:t>
            </w:r>
          </w:p>
        </w:tc>
        <w:tc>
          <w:tcPr>
            <w:tcW w:w="1134"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1,50</w:t>
            </w:r>
          </w:p>
        </w:tc>
        <w:tc>
          <w:tcPr>
            <w:tcW w:w="1280"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3,25</w:t>
            </w:r>
          </w:p>
        </w:tc>
        <w:tc>
          <w:tcPr>
            <w:tcW w:w="864"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4,48</w:t>
            </w:r>
          </w:p>
        </w:tc>
        <w:tc>
          <w:tcPr>
            <w:tcW w:w="766"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43,35</w:t>
            </w:r>
          </w:p>
        </w:tc>
        <w:tc>
          <w:tcPr>
            <w:tcW w:w="850"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0,02</w:t>
            </w:r>
          </w:p>
        </w:tc>
        <w:tc>
          <w:tcPr>
            <w:tcW w:w="851"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0,02</w:t>
            </w:r>
          </w:p>
        </w:tc>
        <w:tc>
          <w:tcPr>
            <w:tcW w:w="709"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0,60</w:t>
            </w:r>
          </w:p>
        </w:tc>
        <w:tc>
          <w:tcPr>
            <w:tcW w:w="992" w:type="dxa"/>
            <w:tcBorders>
              <w:top w:val="nil"/>
              <w:left w:val="nil"/>
              <w:bottom w:val="single" w:sz="4" w:space="0" w:color="auto"/>
              <w:right w:val="single" w:sz="4" w:space="0" w:color="auto"/>
            </w:tcBorders>
            <w:shd w:val="clear" w:color="auto" w:fill="FFF2CC"/>
            <w:noWrap/>
            <w:vAlign w:val="center"/>
          </w:tcPr>
          <w:p w:rsidR="00CE2D0C" w:rsidRPr="00CD59C4" w:rsidRDefault="00CE2D0C" w:rsidP="00266330">
            <w:pPr>
              <w:spacing w:after="0"/>
              <w:jc w:val="center"/>
              <w:rPr>
                <w:rFonts w:cs="Arial CYR"/>
                <w:i/>
                <w:sz w:val="18"/>
                <w:szCs w:val="18"/>
                <w:lang w:val="ru-MO"/>
              </w:rPr>
            </w:pPr>
            <w:r w:rsidRPr="00CD59C4">
              <w:rPr>
                <w:rFonts w:cs="Arial CYR"/>
                <w:i/>
                <w:sz w:val="18"/>
                <w:szCs w:val="18"/>
                <w:lang w:val="ru-MO"/>
              </w:rPr>
              <w:t>235,96</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сведений, представленных ПМСУ РКБ.</w:t>
      </w:r>
    </w:p>
    <w:p w:rsidR="00CE2D0C" w:rsidRPr="00CE6109" w:rsidRDefault="00CE2D0C" w:rsidP="00CE2D0C">
      <w:pPr>
        <w:spacing w:before="240"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lastRenderedPageBreak/>
        <w:t>Данные из таблицы показывают, что в 2015 году конечный остаток основных средств зарегистрировал увеличение на 152,7 млн. леев по сравнению с начальным</w:t>
      </w:r>
      <w:r>
        <w:rPr>
          <w:rFonts w:ascii="Times New Roman" w:eastAsia="Times New Roman" w:hAnsi="Times New Roman"/>
          <w:sz w:val="28"/>
          <w:szCs w:val="28"/>
          <w:lang w:val="ru-MO"/>
        </w:rPr>
        <w:t xml:space="preserve"> остатком</w:t>
      </w:r>
      <w:r w:rsidRPr="00CE6109">
        <w:rPr>
          <w:rFonts w:ascii="Times New Roman" w:eastAsia="Times New Roman" w:hAnsi="Times New Roman"/>
          <w:sz w:val="28"/>
          <w:szCs w:val="28"/>
          <w:lang w:val="ru-MO"/>
        </w:rPr>
        <w:t>, обусловленное вводом в эксплуатацию машин и оборудования финансируемых из бюджета, которые занимают значительную долю (62%) в общем объеме основных средств. Этот факт повлиял</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на увеличение износа за отчетный период, конечное сальдо увеличилось на 52,0 млн.</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 xml:space="preserve">леев, средняя ставка его накопления составляет 5,7%.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Вместе с тем, отмечается, что сумма начисленного износа в течение года ПМСУ РКБ на управленческих счетах составляет 45,2 млн. леев.</w:t>
      </w:r>
    </w:p>
    <w:p w:rsidR="00CE2D0C" w:rsidRPr="00CE6109" w:rsidRDefault="00CE2D0C" w:rsidP="00CE2D0C">
      <w:pPr>
        <w:spacing w:before="240"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Исходя из того, что износ представляет собой равномерное восстановление первоначальной стоимости основных средств в течение срока их полезного использования, накопленный фонд путем начисления износа должен обеспечивать восстановление стоимости основных средств и финансирование их замены. Так, Методические указания по бухгалтерскому учету производственных затрат и калькуляции себестоимости продукции и услуг</w:t>
      </w:r>
      <w:r w:rsidRPr="00CE6109">
        <w:rPr>
          <w:rStyle w:val="Referinnotdesubsol"/>
          <w:rFonts w:ascii="Times New Roman" w:eastAsia="Times New Roman" w:hAnsi="Times New Roman"/>
          <w:sz w:val="28"/>
          <w:szCs w:val="28"/>
          <w:lang w:val="ru-MO"/>
        </w:rPr>
        <w:footnoteReference w:id="23"/>
      </w:r>
      <w:r w:rsidRPr="00CE6109">
        <w:rPr>
          <w:rFonts w:ascii="Times New Roman" w:eastAsia="Times New Roman" w:hAnsi="Times New Roman"/>
          <w:sz w:val="28"/>
          <w:szCs w:val="28"/>
          <w:lang w:val="ru-MO"/>
        </w:rPr>
        <w:t xml:space="preserve"> устанавливают, что </w:t>
      </w:r>
      <w:r w:rsidRPr="00CE6109">
        <w:rPr>
          <w:rFonts w:ascii="Times New Roman" w:eastAsia="Times New Roman" w:hAnsi="Times New Roman"/>
          <w:i/>
          <w:sz w:val="28"/>
          <w:szCs w:val="28"/>
          <w:lang w:val="ru-MO"/>
        </w:rPr>
        <w:t>затраты на производство оцениваются по балансовой стоимости, в том числе сумме амортизации основных средств производственного назначения</w:t>
      </w:r>
      <w:r w:rsidRPr="00CE6109">
        <w:rPr>
          <w:rFonts w:ascii="Times New Roman" w:eastAsia="Times New Roman" w:hAnsi="Times New Roman"/>
          <w:sz w:val="28"/>
          <w:szCs w:val="28"/>
          <w:lang w:val="ru-MO"/>
        </w:rPr>
        <w:t xml:space="preserve">. Вместе с тем, согласно положениям Методики установления тарифов на оказание медико-санитарных услуг, </w:t>
      </w:r>
      <w:r w:rsidRPr="00CE6109">
        <w:rPr>
          <w:rFonts w:ascii="Times New Roman" w:eastAsia="Times New Roman" w:hAnsi="Times New Roman"/>
          <w:i/>
          <w:sz w:val="28"/>
          <w:szCs w:val="28"/>
          <w:lang w:val="ru-MO"/>
        </w:rPr>
        <w:t>в стоимость услуг здравоохранения должен быть включен износ основных средств, за исключением стоимости износа законсервированных основных средств, переданных в аренду, полученных безвозмездно за счет пожертвований, грантов, гуманитарной помощи, жилых объектов социально-культурного назначения</w:t>
      </w:r>
      <w:r w:rsidRPr="00CE6109">
        <w:rPr>
          <w:rStyle w:val="Referinnotdesubsol"/>
          <w:rFonts w:ascii="Times New Roman" w:eastAsia="Times New Roman" w:hAnsi="Times New Roman"/>
          <w:sz w:val="28"/>
          <w:szCs w:val="28"/>
          <w:lang w:val="ru-MO"/>
        </w:rPr>
        <w:footnoteReference w:id="24"/>
      </w:r>
      <w:r w:rsidRPr="00CE6109">
        <w:rPr>
          <w:rFonts w:ascii="Times New Roman" w:eastAsia="Times New Roman" w:hAnsi="Times New Roman"/>
          <w:sz w:val="28"/>
          <w:szCs w:val="28"/>
          <w:lang w:val="ru-MO"/>
        </w:rPr>
        <w:t>.</w:t>
      </w:r>
    </w:p>
    <w:p w:rsidR="00CE2D0C" w:rsidRPr="00CE6109" w:rsidRDefault="00CE2D0C" w:rsidP="00CE2D0C">
      <w:pPr>
        <w:tabs>
          <w:tab w:val="left" w:pos="993"/>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В этом контексте аудит отмечает, что фактические расходы на износ основных средств, отраженные в отчете об исполнении сметы доходов и расходов, не были включены в стоимость пролеченного случая в рамках стационарной медицинской помощи, оплачиваемой на основе </w:t>
      </w:r>
      <w:r>
        <w:rPr>
          <w:rFonts w:ascii="Times New Roman" w:eastAsia="Times New Roman" w:hAnsi="Times New Roman"/>
          <w:sz w:val="28"/>
          <w:szCs w:val="28"/>
          <w:lang w:val="ru-MO"/>
        </w:rPr>
        <w:t>ДСГ (DRG)</w:t>
      </w:r>
      <w:r w:rsidRPr="00CE6109">
        <w:rPr>
          <w:rFonts w:ascii="Times New Roman" w:eastAsia="Times New Roman" w:hAnsi="Times New Roman"/>
          <w:sz w:val="28"/>
          <w:szCs w:val="28"/>
          <w:lang w:val="ru-MO"/>
        </w:rPr>
        <w:t>, что не обеспечивает достижение основной цели, направленной на во</w:t>
      </w:r>
      <w:r>
        <w:rPr>
          <w:rFonts w:ascii="Times New Roman" w:eastAsia="Times New Roman" w:hAnsi="Times New Roman"/>
          <w:sz w:val="28"/>
          <w:szCs w:val="28"/>
          <w:lang w:val="ru-MO"/>
        </w:rPr>
        <w:t>сстановление</w:t>
      </w:r>
      <w:r w:rsidRPr="00CE6109">
        <w:rPr>
          <w:rFonts w:ascii="Times New Roman" w:eastAsia="Times New Roman" w:hAnsi="Times New Roman"/>
          <w:sz w:val="28"/>
          <w:szCs w:val="28"/>
          <w:lang w:val="ru-MO"/>
        </w:rPr>
        <w:t xml:space="preserve"> стоимости основных средств в течение срока их полезного использования, и финансирование их замены. </w:t>
      </w:r>
    </w:p>
    <w:p w:rsidR="00CE2D0C" w:rsidRPr="00CE6109" w:rsidRDefault="00CE2D0C" w:rsidP="00CE2D0C">
      <w:pPr>
        <w:pStyle w:val="Titlu2"/>
        <w:numPr>
          <w:ilvl w:val="1"/>
          <w:numId w:val="1"/>
        </w:numPr>
        <w:tabs>
          <w:tab w:val="left" w:pos="993"/>
        </w:tabs>
        <w:spacing w:before="240" w:line="276" w:lineRule="auto"/>
        <w:ind w:left="0" w:firstLine="567"/>
        <w:jc w:val="both"/>
        <w:rPr>
          <w:rFonts w:ascii="Times New Roman" w:hAnsi="Times New Roman"/>
          <w:b/>
          <w:color w:val="auto"/>
          <w:sz w:val="28"/>
          <w:szCs w:val="28"/>
          <w:lang w:val="ru-MO"/>
        </w:rPr>
      </w:pPr>
      <w:bookmarkStart w:id="41" w:name="_Toc454287233"/>
      <w:r w:rsidRPr="00CE6109">
        <w:rPr>
          <w:rFonts w:ascii="Times New Roman" w:hAnsi="Times New Roman"/>
          <w:b/>
          <w:color w:val="auto"/>
          <w:sz w:val="28"/>
          <w:szCs w:val="28"/>
          <w:lang w:val="ru-MO"/>
        </w:rPr>
        <w:t>Соответствие использования средств Фонда развития и модернизации публичных поставщиков медицинских услуг из ФОМС</w:t>
      </w:r>
      <w:bookmarkEnd w:id="41"/>
      <w:r w:rsidRPr="00CE6109">
        <w:rPr>
          <w:rFonts w:ascii="Times New Roman" w:hAnsi="Times New Roman"/>
          <w:b/>
          <w:color w:val="auto"/>
          <w:sz w:val="28"/>
          <w:szCs w:val="28"/>
          <w:lang w:val="ru-MO"/>
        </w:rPr>
        <w:t xml:space="preserve"> </w:t>
      </w:r>
    </w:p>
    <w:p w:rsidR="00CE2D0C" w:rsidRPr="00CE6109" w:rsidRDefault="00CE2D0C" w:rsidP="00CE2D0C">
      <w:pPr>
        <w:tabs>
          <w:tab w:val="left" w:pos="993"/>
        </w:tabs>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 2015 году НМСК выделила ПМСУ РКБ финансовы</w:t>
      </w:r>
      <w:r>
        <w:rPr>
          <w:rFonts w:ascii="Times New Roman" w:eastAsia="Times New Roman" w:hAnsi="Times New Roman"/>
          <w:sz w:val="28"/>
          <w:szCs w:val="28"/>
          <w:lang w:val="ru-MO"/>
        </w:rPr>
        <w:t>е</w:t>
      </w:r>
      <w:r w:rsidRPr="00CE6109">
        <w:rPr>
          <w:rFonts w:ascii="Times New Roman" w:eastAsia="Times New Roman" w:hAnsi="Times New Roman"/>
          <w:sz w:val="28"/>
          <w:szCs w:val="28"/>
          <w:lang w:val="ru-MO"/>
        </w:rPr>
        <w:t xml:space="preserve"> средств</w:t>
      </w:r>
      <w:r>
        <w:rPr>
          <w:rFonts w:ascii="Times New Roman" w:eastAsia="Times New Roman" w:hAnsi="Times New Roman"/>
          <w:sz w:val="28"/>
          <w:szCs w:val="28"/>
          <w:lang w:val="ru-MO"/>
        </w:rPr>
        <w:t>а</w:t>
      </w:r>
      <w:r w:rsidRPr="00CE6109">
        <w:rPr>
          <w:rFonts w:ascii="Times New Roman" w:eastAsia="Times New Roman" w:hAnsi="Times New Roman"/>
          <w:sz w:val="28"/>
          <w:szCs w:val="28"/>
          <w:lang w:val="ru-MO"/>
        </w:rPr>
        <w:t xml:space="preserve"> из Фонда развития и модернизации публичных поставщиков медицинских услуг в сумме 6,3 млн. леев, в том числе для финансирования:</w:t>
      </w:r>
    </w:p>
    <w:p w:rsidR="00CE2D0C" w:rsidRPr="00CE6109" w:rsidRDefault="00CE2D0C" w:rsidP="00CE2D0C">
      <w:pPr>
        <w:pStyle w:val="Listparagraf"/>
        <w:numPr>
          <w:ilvl w:val="0"/>
          <w:numId w:val="4"/>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lastRenderedPageBreak/>
        <w:t xml:space="preserve">инвестиционного проекта </w:t>
      </w:r>
      <w:r w:rsidRPr="00CE6109">
        <w:rPr>
          <w:rFonts w:ascii="Times New Roman" w:eastAsia="Times New Roman" w:hAnsi="Times New Roman"/>
          <w:b/>
          <w:i/>
          <w:sz w:val="28"/>
          <w:szCs w:val="28"/>
          <w:lang w:val="ru-MO"/>
        </w:rPr>
        <w:t>„Создание отделений Эндоурологии и Лечения аритмий сердца в ПМСУ РКБ”</w:t>
      </w:r>
      <w:r w:rsidRPr="00CE6109">
        <w:rPr>
          <w:rFonts w:ascii="Times New Roman" w:eastAsia="Times New Roman" w:hAnsi="Times New Roman"/>
          <w:sz w:val="28"/>
          <w:szCs w:val="28"/>
          <w:lang w:val="ru-MO"/>
        </w:rPr>
        <w:t xml:space="preserve"> – 5,1 млн. леев;</w:t>
      </w:r>
    </w:p>
    <w:p w:rsidR="00CE2D0C" w:rsidRPr="00CE6109" w:rsidRDefault="00CE2D0C" w:rsidP="00CE2D0C">
      <w:pPr>
        <w:pStyle w:val="Listparagraf"/>
        <w:numPr>
          <w:ilvl w:val="0"/>
          <w:numId w:val="4"/>
        </w:numPr>
        <w:tabs>
          <w:tab w:val="left" w:pos="851"/>
        </w:tabs>
        <w:spacing w:after="0" w:line="276" w:lineRule="auto"/>
        <w:ind w:left="0" w:firstLine="567"/>
        <w:contextualSpacing w:val="0"/>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инвестиционного проекта </w:t>
      </w:r>
      <w:r w:rsidRPr="00CE6109">
        <w:rPr>
          <w:rFonts w:ascii="Times New Roman" w:eastAsia="Times New Roman" w:hAnsi="Times New Roman"/>
          <w:b/>
          <w:i/>
          <w:sz w:val="28"/>
          <w:szCs w:val="28"/>
          <w:lang w:val="ru-MO"/>
        </w:rPr>
        <w:t>„Перемещение и ремонт отделения консультативной поликлиники ПМСУ РКБ. Реконструкция и ремонт морфопатологического отделения в рамках РКБ” (5,4 млн. леев)</w:t>
      </w:r>
      <w:r w:rsidRPr="00CE6109">
        <w:rPr>
          <w:rFonts w:ascii="Times New Roman" w:eastAsia="Times New Roman" w:hAnsi="Times New Roman"/>
          <w:sz w:val="28"/>
          <w:szCs w:val="28"/>
          <w:lang w:val="ru-MO"/>
        </w:rPr>
        <w:t xml:space="preserve"> – 1,2 млн. леев</w:t>
      </w:r>
      <w:r w:rsidRPr="00CE6109">
        <w:rPr>
          <w:rFonts w:ascii="Times New Roman" w:eastAsia="Times New Roman" w:hAnsi="Times New Roman"/>
          <w:bCs/>
          <w:iCs/>
          <w:sz w:val="28"/>
          <w:szCs w:val="28"/>
          <w:lang w:val="ru-MO"/>
        </w:rPr>
        <w:t>.</w:t>
      </w:r>
    </w:p>
    <w:p w:rsidR="00CE2D0C" w:rsidRPr="00CE6109" w:rsidRDefault="00CE2D0C" w:rsidP="00CE2D0C">
      <w:pPr>
        <w:pStyle w:val="Listparagraf"/>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Аспекты, касающиеся процедуры выдвижения и утверждения инвестиционных проектов, контрактации их финансирования, проведения закупок, заключения договоров, их исполнения и т.д. были представлены в Отчете об эффективности институциональной системы по администрированию средств ФОМС за 2014 год</w:t>
      </w:r>
      <w:r w:rsidRPr="00CE6109">
        <w:rPr>
          <w:rStyle w:val="Referinnotdesubsol"/>
          <w:rFonts w:ascii="Times New Roman" w:eastAsia="Times New Roman" w:hAnsi="Times New Roman"/>
          <w:sz w:val="28"/>
          <w:szCs w:val="28"/>
          <w:lang w:val="ru-MO"/>
        </w:rPr>
        <w:footnoteReference w:id="25"/>
      </w:r>
      <w:r w:rsidRPr="00CE6109">
        <w:rPr>
          <w:rFonts w:ascii="Times New Roman" w:eastAsia="Times New Roman" w:hAnsi="Times New Roman"/>
          <w:sz w:val="28"/>
          <w:szCs w:val="28"/>
          <w:lang w:val="ru-MO"/>
        </w:rPr>
        <w:t>. Так, на тот момент было установлено, что соответствующие проекты не были профинансированы в полном объеме НМСК из-за недостаточности финансовых средств в Фонде развития, а также недостижени</w:t>
      </w:r>
      <w:r>
        <w:rPr>
          <w:rFonts w:ascii="Times New Roman" w:eastAsia="Times New Roman" w:hAnsi="Times New Roman"/>
          <w:sz w:val="28"/>
          <w:szCs w:val="28"/>
          <w:lang w:val="ru-MO"/>
        </w:rPr>
        <w:t>е</w:t>
      </w:r>
      <w:r w:rsidRPr="00CE6109">
        <w:rPr>
          <w:rFonts w:ascii="Times New Roman" w:eastAsia="Times New Roman" w:hAnsi="Times New Roman"/>
          <w:sz w:val="28"/>
          <w:szCs w:val="28"/>
          <w:lang w:val="ru-MO"/>
        </w:rPr>
        <w:t xml:space="preserve"> намеченной цели некоторых из них, в связи с чем ПМСУ РКБ зарегистрировало долги перед экономическими агентами.</w:t>
      </w:r>
    </w:p>
    <w:p w:rsidR="00CE2D0C" w:rsidRPr="00CE6109" w:rsidRDefault="00CE2D0C" w:rsidP="00CE2D0C">
      <w:pPr>
        <w:pStyle w:val="Listparagraf"/>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В этом контексте, для обеспечения непрерывности предыдущих аудитов, в 2015 году, в результате проверки соответствия и полноты поступления от НМСК финансовых средств, связанных с инвестиционными проектами и, соответственно, оплатой ПМСУ РКБ долгов перед экономическими агентами, образованных в ходе их </w:t>
      </w:r>
      <w:r>
        <w:rPr>
          <w:rFonts w:ascii="Times New Roman" w:eastAsia="Times New Roman" w:hAnsi="Times New Roman"/>
          <w:sz w:val="28"/>
          <w:szCs w:val="28"/>
          <w:lang w:val="ru-MO"/>
        </w:rPr>
        <w:t>реализации</w:t>
      </w:r>
      <w:r w:rsidRPr="00CE6109">
        <w:rPr>
          <w:rFonts w:ascii="Times New Roman" w:eastAsia="Times New Roman" w:hAnsi="Times New Roman"/>
          <w:sz w:val="28"/>
          <w:szCs w:val="28"/>
          <w:lang w:val="ru-MO"/>
        </w:rPr>
        <w:t>, а также достижени</w:t>
      </w:r>
      <w:r>
        <w:rPr>
          <w:rFonts w:ascii="Times New Roman" w:eastAsia="Times New Roman" w:hAnsi="Times New Roman"/>
          <w:sz w:val="28"/>
          <w:szCs w:val="28"/>
          <w:lang w:val="ru-MO"/>
        </w:rPr>
        <w:t>я</w:t>
      </w:r>
      <w:r w:rsidRPr="00CE6109">
        <w:rPr>
          <w:rFonts w:ascii="Times New Roman" w:eastAsia="Times New Roman" w:hAnsi="Times New Roman"/>
          <w:sz w:val="28"/>
          <w:szCs w:val="28"/>
          <w:lang w:val="ru-MO"/>
        </w:rPr>
        <w:t xml:space="preserve"> поставленных целей, аудит установил </w:t>
      </w:r>
      <w:r>
        <w:rPr>
          <w:rFonts w:ascii="Times New Roman" w:eastAsia="Times New Roman" w:hAnsi="Times New Roman"/>
          <w:sz w:val="28"/>
          <w:szCs w:val="28"/>
          <w:lang w:val="ru-MO"/>
        </w:rPr>
        <w:t>ряд</w:t>
      </w:r>
      <w:r w:rsidRPr="00CE6109">
        <w:rPr>
          <w:rFonts w:ascii="Times New Roman" w:eastAsia="Times New Roman" w:hAnsi="Times New Roman"/>
          <w:sz w:val="28"/>
          <w:szCs w:val="28"/>
          <w:lang w:val="ru-MO"/>
        </w:rPr>
        <w:t xml:space="preserve"> несоответстви</w:t>
      </w:r>
      <w:r>
        <w:rPr>
          <w:rFonts w:ascii="Times New Roman" w:eastAsia="Times New Roman" w:hAnsi="Times New Roman"/>
          <w:sz w:val="28"/>
          <w:szCs w:val="28"/>
          <w:lang w:val="ru-MO"/>
        </w:rPr>
        <w:t>й</w:t>
      </w:r>
      <w:r w:rsidRPr="00CE6109">
        <w:rPr>
          <w:rFonts w:ascii="Times New Roman" w:eastAsia="Times New Roman" w:hAnsi="Times New Roman"/>
          <w:sz w:val="28"/>
          <w:szCs w:val="28"/>
          <w:lang w:val="ru-MO"/>
        </w:rPr>
        <w:t>.</w:t>
      </w:r>
    </w:p>
    <w:p w:rsidR="00CE2D0C" w:rsidRPr="00CE6109" w:rsidRDefault="00CE2D0C" w:rsidP="00CE2D0C">
      <w:pPr>
        <w:pStyle w:val="Listparagraf"/>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В рамках инвестиционного проекта </w:t>
      </w:r>
      <w:r w:rsidRPr="00CE6109">
        <w:rPr>
          <w:rFonts w:ascii="Times New Roman" w:eastAsia="Times New Roman" w:hAnsi="Times New Roman"/>
          <w:b/>
          <w:i/>
          <w:sz w:val="28"/>
          <w:szCs w:val="28"/>
          <w:lang w:val="ru-MO"/>
        </w:rPr>
        <w:t>„Создание департаментов Эндоурологии и Лечения аритмий сердца в ПМСУ РКБ”</w:t>
      </w:r>
      <w:r w:rsidRPr="00CE6109">
        <w:rPr>
          <w:rFonts w:ascii="Times New Roman" w:eastAsia="Times New Roman" w:hAnsi="Times New Roman"/>
          <w:sz w:val="28"/>
          <w:szCs w:val="28"/>
          <w:lang w:val="ru-MO"/>
        </w:rPr>
        <w:t xml:space="preserve"> (7,6 млн. леев) в 2015 году ПМСУ РКБ получило из Фонда развития 5,1 млн. леев, и должно было оплатить соответствующую сумму генеральному подрядчику за проведение работ по перемещению и капитальному ремонту помещений Отделения эндоурологии (выполненных и завершенных в 2014 году). </w:t>
      </w:r>
    </w:p>
    <w:p w:rsidR="00CE2D0C" w:rsidRPr="00CE6109" w:rsidRDefault="00CE2D0C" w:rsidP="00CE2D0C">
      <w:pPr>
        <w:pStyle w:val="Listparagraf"/>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Таким образом, аудиторские проверки установили ряд несоответствий, таких как:</w:t>
      </w:r>
    </w:p>
    <w:p w:rsidR="00CE2D0C" w:rsidRPr="00CE6109" w:rsidRDefault="00CE2D0C" w:rsidP="00CE2D0C">
      <w:pPr>
        <w:pStyle w:val="Listparagraf"/>
        <w:numPr>
          <w:ilvl w:val="0"/>
          <w:numId w:val="21"/>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допущение увеличения объема и стоимости выполненных работ (около 1,0 млн. леев) в отсутствие определения достаточных финансовых ресурсов, что привело к ситуации неплатежеспособности по взятым на себя обязательствам и увеличения кредиторской задолженности учреждения, которая на конец отчетного периода составила 2,3 млн. леев, и была погашена частично в начале 2016 года;</w:t>
      </w:r>
    </w:p>
    <w:p w:rsidR="00CE2D0C" w:rsidRPr="00CE6109" w:rsidRDefault="00CE2D0C" w:rsidP="00CE2D0C">
      <w:pPr>
        <w:pStyle w:val="Listparagraf"/>
        <w:numPr>
          <w:ilvl w:val="0"/>
          <w:numId w:val="21"/>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lastRenderedPageBreak/>
        <w:t>ненадлежащее составление проектной документации, технических условий и др., что обусловило возникновение и необходимость выполнения дополнительных работ;</w:t>
      </w:r>
    </w:p>
    <w:p w:rsidR="00CE2D0C" w:rsidRPr="00CE6109" w:rsidRDefault="00CE2D0C" w:rsidP="00CE2D0C">
      <w:pPr>
        <w:pStyle w:val="Listparagraf"/>
        <w:numPr>
          <w:ilvl w:val="0"/>
          <w:numId w:val="21"/>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хотя работы по реконструкции и капитальному ремонту помещений должны были быть завершены в ноябре 2014 года, по состоянию на апрель 2016 года они не использовались в целях предоставления качественных медицинских услуг населению, а экономический агент выполнял работы по корректировке (согласно санитарным требованиям) отдельных элементов строительства и ликвидации обнаруженных недостатков. Кроме того, ответственные лица ПМСУ РКБ не располагают четкой информацией о сроках сдачи в эксплуатацию Департамента эндоурологии и до настоящего времени не были составлены протоколы о завершении работ и окончательной приемки.</w:t>
      </w:r>
    </w:p>
    <w:p w:rsidR="00CE2D0C" w:rsidRPr="00CE6109" w:rsidRDefault="00CE2D0C" w:rsidP="00CE2D0C">
      <w:pPr>
        <w:pStyle w:val="Listparagraf"/>
        <w:spacing w:line="276" w:lineRule="auto"/>
        <w:ind w:left="0" w:firstLine="567"/>
        <w:jc w:val="both"/>
        <w:rPr>
          <w:rFonts w:ascii="Times New Roman" w:eastAsia="Times New Roman" w:hAnsi="Times New Roman"/>
          <w:i/>
          <w:sz w:val="28"/>
          <w:szCs w:val="28"/>
          <w:lang w:val="ru-MO"/>
        </w:rPr>
      </w:pPr>
      <w:r w:rsidRPr="00CE6109">
        <w:rPr>
          <w:rFonts w:ascii="Times New Roman" w:eastAsia="Times New Roman" w:hAnsi="Times New Roman"/>
          <w:sz w:val="28"/>
          <w:szCs w:val="28"/>
          <w:lang w:val="ru-MO"/>
        </w:rPr>
        <w:t xml:space="preserve">Таким образом, изложенные обстоятельства обусловили </w:t>
      </w:r>
      <w:r>
        <w:rPr>
          <w:rFonts w:ascii="Times New Roman" w:eastAsia="Times New Roman" w:hAnsi="Times New Roman"/>
          <w:sz w:val="28"/>
          <w:szCs w:val="28"/>
          <w:lang w:val="ru-MO"/>
        </w:rPr>
        <w:t>ненадлежащее</w:t>
      </w:r>
      <w:r w:rsidRPr="00CE6109">
        <w:rPr>
          <w:rFonts w:ascii="Times New Roman" w:eastAsia="Times New Roman" w:hAnsi="Times New Roman"/>
          <w:sz w:val="28"/>
          <w:szCs w:val="28"/>
          <w:lang w:val="ru-MO"/>
        </w:rPr>
        <w:t xml:space="preserve"> использование средств ФОМС (11,5 млн.</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 xml:space="preserve">леев) и генерировали для ПМСУ РКБ случаи несоблюдения сроков оплаты контрактованных работ, неприменения до настоящего времени помещений по назначению, а также невыполнения цели проекта: </w:t>
      </w:r>
      <w:r w:rsidRPr="00CE6109">
        <w:rPr>
          <w:rFonts w:ascii="Times New Roman" w:eastAsia="Times New Roman" w:hAnsi="Times New Roman"/>
          <w:i/>
          <w:sz w:val="28"/>
          <w:szCs w:val="28"/>
          <w:lang w:val="ru-MO"/>
        </w:rPr>
        <w:t>„обеспечение доступа населения к медицинским услугам высокого качества”.</w:t>
      </w:r>
    </w:p>
    <w:p w:rsidR="00CE2D0C" w:rsidRPr="00CE6109" w:rsidRDefault="00CE2D0C" w:rsidP="00CE2D0C">
      <w:pPr>
        <w:pStyle w:val="NormalWeb"/>
        <w:spacing w:line="276" w:lineRule="auto"/>
        <w:rPr>
          <w:sz w:val="28"/>
          <w:szCs w:val="28"/>
          <w:lang w:val="ru-MO"/>
        </w:rPr>
      </w:pPr>
      <w:r w:rsidRPr="00CE6109">
        <w:rPr>
          <w:sz w:val="28"/>
          <w:szCs w:val="28"/>
          <w:lang w:val="ru-MO"/>
        </w:rPr>
        <w:t xml:space="preserve">Одновременно отмечается, что цель отдельного инвестиционного проекта </w:t>
      </w:r>
      <w:r w:rsidRPr="00CE6109">
        <w:rPr>
          <w:b/>
          <w:i/>
          <w:sz w:val="28"/>
          <w:szCs w:val="28"/>
          <w:lang w:val="ru-MO"/>
        </w:rPr>
        <w:t>„Создание департаментов Эндоурологии и Лечения аритмий сердца в ПМСУ РКБ”</w:t>
      </w:r>
      <w:r w:rsidRPr="00CE6109">
        <w:rPr>
          <w:sz w:val="28"/>
          <w:szCs w:val="28"/>
          <w:lang w:val="ru-MO"/>
        </w:rPr>
        <w:t xml:space="preserve"> состояла в приобретении оборудования электрофизиологии на сумму 10,9 млн. леев (из средств Фонда развития) и его безвозмездной передаче в 2014 году от ПМСУ РКБ в адрес ПМСУ Институт кардиологии (введеного в эксплуатацию 18.12.2014). Предыдущая миссия аудита</w:t>
      </w:r>
      <w:r w:rsidRPr="00CE6109">
        <w:rPr>
          <w:rStyle w:val="Referinnotdesubsol"/>
          <w:sz w:val="28"/>
          <w:szCs w:val="28"/>
          <w:lang w:val="ru-MO"/>
        </w:rPr>
        <w:footnoteReference w:id="26"/>
      </w:r>
      <w:r w:rsidRPr="00CE6109">
        <w:rPr>
          <w:sz w:val="28"/>
          <w:szCs w:val="28"/>
          <w:lang w:val="ru-MO"/>
        </w:rPr>
        <w:t xml:space="preserve"> выявила определенные ситуации риска, которые не обеспечивали непрерывность и долговременность использования Институтом кардиологии полученного оборудования, а именно:</w:t>
      </w:r>
    </w:p>
    <w:p w:rsidR="00CE2D0C" w:rsidRPr="00CE6109" w:rsidRDefault="00CE2D0C" w:rsidP="00CE2D0C">
      <w:pPr>
        <w:pStyle w:val="NormalWeb"/>
        <w:numPr>
          <w:ilvl w:val="0"/>
          <w:numId w:val="7"/>
        </w:numPr>
        <w:tabs>
          <w:tab w:val="left" w:pos="851"/>
        </w:tabs>
        <w:spacing w:line="276" w:lineRule="auto"/>
        <w:ind w:left="0" w:firstLine="567"/>
        <w:rPr>
          <w:sz w:val="28"/>
          <w:szCs w:val="28"/>
          <w:lang w:val="ru-MO"/>
        </w:rPr>
      </w:pPr>
      <w:r w:rsidRPr="00CE6109">
        <w:rPr>
          <w:sz w:val="28"/>
          <w:szCs w:val="28"/>
          <w:lang w:val="ru-MO"/>
        </w:rPr>
        <w:t>исследования (электрофизиологические исследования сердца) не были предусмотрены Единой программой ОМС, по</w:t>
      </w:r>
      <w:r>
        <w:rPr>
          <w:sz w:val="28"/>
          <w:szCs w:val="28"/>
          <w:lang w:val="ru-MO"/>
        </w:rPr>
        <w:t>этому</w:t>
      </w:r>
      <w:r w:rsidRPr="00CE6109">
        <w:rPr>
          <w:sz w:val="28"/>
          <w:szCs w:val="28"/>
          <w:lang w:val="ru-MO"/>
        </w:rPr>
        <w:t xml:space="preserve"> НМСК не располагает возможностью для контрактации этих услуг;</w:t>
      </w:r>
    </w:p>
    <w:p w:rsidR="00CE2D0C" w:rsidRPr="00CE6109" w:rsidRDefault="00CE2D0C" w:rsidP="00CE2D0C">
      <w:pPr>
        <w:pStyle w:val="NormalWeb"/>
        <w:numPr>
          <w:ilvl w:val="0"/>
          <w:numId w:val="7"/>
        </w:numPr>
        <w:tabs>
          <w:tab w:val="left" w:pos="851"/>
        </w:tabs>
        <w:spacing w:line="276" w:lineRule="auto"/>
        <w:ind w:left="0" w:firstLine="567"/>
        <w:rPr>
          <w:sz w:val="28"/>
          <w:szCs w:val="28"/>
          <w:lang w:val="ru-MO"/>
        </w:rPr>
      </w:pPr>
      <w:r w:rsidRPr="00CE6109">
        <w:rPr>
          <w:sz w:val="28"/>
          <w:szCs w:val="28"/>
          <w:lang w:val="ru-MO"/>
        </w:rPr>
        <w:t>фактическая стоимость одного исследования составляет 53,6 тыс. леев (в том числе стоимость расходных материалов – 45,1 тыс. леев), в то время как стоимость пролеченного случая, контрактованного учреждением с НМСК, составляет в среднем 3,0 тыс. леев;</w:t>
      </w:r>
    </w:p>
    <w:p w:rsidR="00CE2D0C" w:rsidRPr="00CE6109" w:rsidRDefault="00CE2D0C" w:rsidP="00CE2D0C">
      <w:pPr>
        <w:pStyle w:val="NormalWeb"/>
        <w:numPr>
          <w:ilvl w:val="0"/>
          <w:numId w:val="7"/>
        </w:numPr>
        <w:tabs>
          <w:tab w:val="left" w:pos="851"/>
        </w:tabs>
        <w:spacing w:line="276" w:lineRule="auto"/>
        <w:ind w:left="0" w:firstLine="567"/>
        <w:rPr>
          <w:sz w:val="28"/>
          <w:szCs w:val="28"/>
          <w:lang w:val="ru-MO"/>
        </w:rPr>
      </w:pPr>
      <w:r w:rsidRPr="00CE6109">
        <w:rPr>
          <w:sz w:val="28"/>
          <w:szCs w:val="28"/>
          <w:lang w:val="ru-MO"/>
        </w:rPr>
        <w:t>учреждение располагает ограниченным количеством расходных материалов, в отсутствие необходимых финансовых средств, тем самым субъект подвергнут риску невозможности предоставления услуг по обследованию пациентов.</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lastRenderedPageBreak/>
        <w:t xml:space="preserve">Согласно информации, представленной ПМСУ Институт кардиологии, аудит отмечает, что за период работы оборудования (январь 2015 года – март 2016 года) были проведены 353 операции, из которых 35 процедур электрофизиологии и аблации и 318 процедур по имплантации кардиостимуляторов.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В целях обеспечения ПМСУ Институт кардиологии дорогостоящими расходными материалами в рамках специальных программ, НМСК </w:t>
      </w:r>
      <w:r w:rsidRPr="00CE6109">
        <w:rPr>
          <w:rFonts w:ascii="Times New Roman" w:eastAsia="Times New Roman" w:hAnsi="Times New Roman"/>
          <w:b/>
          <w:i/>
          <w:sz w:val="28"/>
          <w:szCs w:val="28"/>
          <w:lang w:val="ru-MO"/>
        </w:rPr>
        <w:t>в июле 2015 года</w:t>
      </w:r>
      <w:r w:rsidRPr="00CE6109">
        <w:rPr>
          <w:rFonts w:ascii="Times New Roman" w:eastAsia="Times New Roman" w:hAnsi="Times New Roman"/>
          <w:sz w:val="28"/>
          <w:szCs w:val="28"/>
          <w:lang w:val="ru-MO"/>
        </w:rPr>
        <w:t xml:space="preserve"> законтрактовала средства в сумме 5,4 млн. леев, из которых: </w:t>
      </w:r>
      <w:r w:rsidRPr="00CE6109">
        <w:rPr>
          <w:rFonts w:ascii="Times New Roman" w:eastAsia="Times New Roman" w:hAnsi="Times New Roman"/>
          <w:i/>
          <w:sz w:val="28"/>
          <w:szCs w:val="28"/>
          <w:lang w:val="ru-MO"/>
        </w:rPr>
        <w:t>2,5 млн.</w:t>
      </w:r>
      <w:r>
        <w:rPr>
          <w:rFonts w:ascii="Times New Roman" w:eastAsia="Times New Roman" w:hAnsi="Times New Roman"/>
          <w:i/>
          <w:sz w:val="28"/>
          <w:szCs w:val="28"/>
          <w:lang w:val="ru-MO"/>
        </w:rPr>
        <w:t xml:space="preserve"> </w:t>
      </w:r>
      <w:r w:rsidRPr="00CE6109">
        <w:rPr>
          <w:rFonts w:ascii="Times New Roman" w:eastAsia="Times New Roman" w:hAnsi="Times New Roman"/>
          <w:i/>
          <w:sz w:val="28"/>
          <w:szCs w:val="28"/>
          <w:lang w:val="ru-MO"/>
        </w:rPr>
        <w:t>леев – на расходные материалы для процедуры электрофизиологии и аблации, а 2,9 млн.</w:t>
      </w:r>
      <w:r>
        <w:rPr>
          <w:rFonts w:ascii="Times New Roman" w:eastAsia="Times New Roman" w:hAnsi="Times New Roman"/>
          <w:i/>
          <w:sz w:val="28"/>
          <w:szCs w:val="28"/>
          <w:lang w:val="ru-MO"/>
        </w:rPr>
        <w:t xml:space="preserve"> </w:t>
      </w:r>
      <w:r w:rsidRPr="00CE6109">
        <w:rPr>
          <w:rFonts w:ascii="Times New Roman" w:eastAsia="Times New Roman" w:hAnsi="Times New Roman"/>
          <w:i/>
          <w:sz w:val="28"/>
          <w:szCs w:val="28"/>
          <w:lang w:val="ru-MO"/>
        </w:rPr>
        <w:t xml:space="preserve">леев – </w:t>
      </w:r>
      <w:r>
        <w:rPr>
          <w:rFonts w:ascii="Times New Roman" w:eastAsia="Times New Roman" w:hAnsi="Times New Roman"/>
          <w:i/>
          <w:sz w:val="28"/>
          <w:szCs w:val="28"/>
          <w:lang w:val="ru-MO"/>
        </w:rPr>
        <w:t>на</w:t>
      </w:r>
      <w:r w:rsidRPr="00CE6109">
        <w:rPr>
          <w:rFonts w:ascii="Times New Roman" w:eastAsia="Times New Roman" w:hAnsi="Times New Roman"/>
          <w:i/>
          <w:sz w:val="28"/>
          <w:szCs w:val="28"/>
          <w:lang w:val="ru-MO"/>
        </w:rPr>
        <w:t xml:space="preserve"> имплантаци</w:t>
      </w:r>
      <w:r>
        <w:rPr>
          <w:rFonts w:ascii="Times New Roman" w:eastAsia="Times New Roman" w:hAnsi="Times New Roman"/>
          <w:i/>
          <w:sz w:val="28"/>
          <w:szCs w:val="28"/>
          <w:lang w:val="ru-MO"/>
        </w:rPr>
        <w:t>ю</w:t>
      </w:r>
      <w:r w:rsidRPr="00CE6109">
        <w:rPr>
          <w:rFonts w:ascii="Times New Roman" w:eastAsia="Times New Roman" w:hAnsi="Times New Roman"/>
          <w:i/>
          <w:sz w:val="28"/>
          <w:szCs w:val="28"/>
          <w:lang w:val="ru-MO"/>
        </w:rPr>
        <w:t xml:space="preserve"> кардиостимуляторов</w:t>
      </w:r>
      <w:r w:rsidRPr="00CE6109">
        <w:rPr>
          <w:rFonts w:ascii="Times New Roman" w:eastAsia="Times New Roman" w:hAnsi="Times New Roman"/>
          <w:sz w:val="28"/>
          <w:szCs w:val="28"/>
          <w:lang w:val="ru-MO"/>
        </w:rPr>
        <w:t xml:space="preserve">.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Впоследствии, 21.12.2015 НМСК внесла изменения в Договор о предоставлении медицинской помощи, с исключением из раздела „дорогостоящих расходных материалов” суммы в размере 2,5 млн.</w:t>
      </w:r>
      <w:r>
        <w:rPr>
          <w:rFonts w:ascii="Times New Roman" w:eastAsia="Times New Roman" w:hAnsi="Times New Roman"/>
          <w:sz w:val="28"/>
          <w:szCs w:val="28"/>
          <w:lang w:val="ru-MO"/>
        </w:rPr>
        <w:t xml:space="preserve"> </w:t>
      </w:r>
      <w:r w:rsidRPr="00CE6109">
        <w:rPr>
          <w:rFonts w:ascii="Times New Roman" w:eastAsia="Times New Roman" w:hAnsi="Times New Roman"/>
          <w:sz w:val="28"/>
          <w:szCs w:val="28"/>
          <w:lang w:val="ru-MO"/>
        </w:rPr>
        <w:t>леев, предназначенной для закупки расходных материалов для процедуры электрофизиологии и аблации. По мнению аудита, эта ситуация произошла из-за того, что ПМСУ Институт кардиологии до конца 2015 года не использовал</w:t>
      </w:r>
      <w:r>
        <w:rPr>
          <w:rFonts w:ascii="Times New Roman" w:eastAsia="Times New Roman" w:hAnsi="Times New Roman"/>
          <w:sz w:val="28"/>
          <w:szCs w:val="28"/>
          <w:lang w:val="ru-MO"/>
        </w:rPr>
        <w:t>о</w:t>
      </w:r>
      <w:r w:rsidRPr="00CE6109">
        <w:rPr>
          <w:rFonts w:ascii="Times New Roman" w:eastAsia="Times New Roman" w:hAnsi="Times New Roman"/>
          <w:sz w:val="28"/>
          <w:szCs w:val="28"/>
          <w:lang w:val="ru-MO"/>
        </w:rPr>
        <w:t xml:space="preserve"> по назначению выделенные средства (2,5 млн. леев), то есть не приобрел</w:t>
      </w:r>
      <w:r>
        <w:rPr>
          <w:rFonts w:ascii="Times New Roman" w:eastAsia="Times New Roman" w:hAnsi="Times New Roman"/>
          <w:sz w:val="28"/>
          <w:szCs w:val="28"/>
          <w:lang w:val="ru-MO"/>
        </w:rPr>
        <w:t>о</w:t>
      </w:r>
      <w:r w:rsidRPr="00CE6109">
        <w:rPr>
          <w:rFonts w:ascii="Times New Roman" w:eastAsia="Times New Roman" w:hAnsi="Times New Roman"/>
          <w:sz w:val="28"/>
          <w:szCs w:val="28"/>
          <w:lang w:val="ru-MO"/>
        </w:rPr>
        <w:t xml:space="preserve"> необходимые расходные материалы.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 настоящее время ПМСУ Институт кардиологии, в целях обеспечения непрерывности использования медицинского оборудования, приобрел</w:t>
      </w:r>
      <w:r>
        <w:rPr>
          <w:rFonts w:ascii="Times New Roman" w:eastAsia="Times New Roman" w:hAnsi="Times New Roman"/>
          <w:sz w:val="28"/>
          <w:szCs w:val="28"/>
          <w:lang w:val="ru-MO"/>
        </w:rPr>
        <w:t>о</w:t>
      </w:r>
      <w:r w:rsidRPr="00CE6109">
        <w:rPr>
          <w:rFonts w:ascii="Times New Roman" w:eastAsia="Times New Roman" w:hAnsi="Times New Roman"/>
          <w:sz w:val="28"/>
          <w:szCs w:val="28"/>
          <w:lang w:val="ru-MO"/>
        </w:rPr>
        <w:t xml:space="preserve"> (в марте 2016 года) расходные материалы, необходимые для проведения исследования, на сумму 2,0 млн. леев.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Вместе с тем, отмечается наличие некоторых резервов по данному разделу, а именно: (i) упомянутые исследования до сих пор не были включены в Единую программу ОМС</w:t>
      </w:r>
      <w:r w:rsidRPr="00CE6109">
        <w:rPr>
          <w:rStyle w:val="Referinnotdesubsol"/>
          <w:rFonts w:ascii="Times New Roman" w:eastAsia="Times New Roman" w:hAnsi="Times New Roman"/>
          <w:sz w:val="28"/>
          <w:szCs w:val="28"/>
          <w:lang w:val="ru-MO"/>
        </w:rPr>
        <w:footnoteReference w:id="27"/>
      </w:r>
      <w:r w:rsidRPr="00CE6109">
        <w:rPr>
          <w:rFonts w:ascii="Times New Roman" w:eastAsia="Times New Roman" w:hAnsi="Times New Roman"/>
          <w:sz w:val="28"/>
          <w:szCs w:val="28"/>
          <w:lang w:val="ru-MO"/>
        </w:rPr>
        <w:t xml:space="preserve">; (ii) их стоимость не была утверждена Министерством здравоохранения и не включена в Каталог цен. Таким образом, НМСК не располагает возможностью контрактации этих медицинских услуг, что создает финансовые риски для ПМСУ Институт кардиологии путем несения отдельных непокрытых расходов, что, соответственно, генерирует убытки. </w:t>
      </w:r>
    </w:p>
    <w:p w:rsidR="00CE2D0C" w:rsidRPr="00CE6109" w:rsidRDefault="00CE2D0C" w:rsidP="00CE2D0C">
      <w:pPr>
        <w:pStyle w:val="tt"/>
        <w:spacing w:line="276" w:lineRule="auto"/>
        <w:ind w:firstLine="567"/>
        <w:jc w:val="both"/>
        <w:rPr>
          <w:b w:val="0"/>
          <w:sz w:val="28"/>
          <w:szCs w:val="28"/>
          <w:lang w:val="ru-MO"/>
        </w:rPr>
      </w:pPr>
      <w:r w:rsidRPr="00CE6109">
        <w:rPr>
          <w:b w:val="0"/>
          <w:sz w:val="28"/>
          <w:szCs w:val="28"/>
          <w:lang w:val="ru-MO"/>
        </w:rPr>
        <w:t xml:space="preserve">В контексте вышеизложенного и согласно сведениям, представленным ПМСУ Институт кардиологии, стоимость одного исследования в зависимости от патологии колеблется от 29,0 тыс. леев до 109,0 тыс. леев, а стоимость включенных расходных материалов составляет около 90%. </w:t>
      </w:r>
    </w:p>
    <w:p w:rsidR="00CE2D0C" w:rsidRPr="00CE6109" w:rsidRDefault="00CE2D0C" w:rsidP="00CE2D0C">
      <w:pPr>
        <w:pStyle w:val="tt"/>
        <w:spacing w:after="240" w:line="276" w:lineRule="auto"/>
        <w:ind w:firstLine="567"/>
        <w:jc w:val="both"/>
        <w:rPr>
          <w:b w:val="0"/>
          <w:sz w:val="28"/>
          <w:szCs w:val="28"/>
          <w:lang w:val="ru-MO"/>
        </w:rPr>
      </w:pPr>
      <w:r w:rsidRPr="00CE6109">
        <w:rPr>
          <w:b w:val="0"/>
          <w:sz w:val="28"/>
          <w:szCs w:val="28"/>
          <w:lang w:val="ru-MO"/>
        </w:rPr>
        <w:t>Таким образом, исходя из зн</w:t>
      </w:r>
      <w:r>
        <w:rPr>
          <w:b w:val="0"/>
          <w:sz w:val="28"/>
          <w:szCs w:val="28"/>
          <w:lang w:val="ru-MO"/>
        </w:rPr>
        <w:t>а</w:t>
      </w:r>
      <w:r w:rsidRPr="00CE6109">
        <w:rPr>
          <w:b w:val="0"/>
          <w:sz w:val="28"/>
          <w:szCs w:val="28"/>
          <w:lang w:val="ru-MO"/>
        </w:rPr>
        <w:t xml:space="preserve">чительной стоимости исследований и для обеспечения оказания всего спектра медицинских услуг, ПМСУ Институт кардиологии, совместно с Министерством здравоохранения, </w:t>
      </w:r>
      <w:r>
        <w:rPr>
          <w:b w:val="0"/>
          <w:sz w:val="28"/>
          <w:szCs w:val="28"/>
          <w:lang w:val="ru-MO"/>
        </w:rPr>
        <w:t>необходимо</w:t>
      </w:r>
      <w:r w:rsidRPr="00CE6109">
        <w:rPr>
          <w:b w:val="0"/>
          <w:sz w:val="28"/>
          <w:szCs w:val="28"/>
          <w:lang w:val="ru-MO"/>
        </w:rPr>
        <w:t xml:space="preserve"> усилить меры по утверждению стоимости электрофизиологических исследований. Таким образом, НМСК будет иметь возможность контрактовать </w:t>
      </w:r>
      <w:r w:rsidRPr="00CE6109">
        <w:rPr>
          <w:b w:val="0"/>
          <w:sz w:val="28"/>
          <w:szCs w:val="28"/>
          <w:lang w:val="ru-MO"/>
        </w:rPr>
        <w:lastRenderedPageBreak/>
        <w:t>и оплачивать эти высоко</w:t>
      </w:r>
      <w:r>
        <w:rPr>
          <w:b w:val="0"/>
          <w:sz w:val="28"/>
          <w:szCs w:val="28"/>
          <w:lang w:val="ru-MO"/>
        </w:rPr>
        <w:t>специализирова</w:t>
      </w:r>
      <w:r w:rsidRPr="00CE6109">
        <w:rPr>
          <w:b w:val="0"/>
          <w:sz w:val="28"/>
          <w:szCs w:val="28"/>
          <w:lang w:val="ru-MO"/>
        </w:rPr>
        <w:t>нные услуги, а ПМСУ Институт кардиологии б</w:t>
      </w:r>
      <w:r>
        <w:rPr>
          <w:b w:val="0"/>
          <w:sz w:val="28"/>
          <w:szCs w:val="28"/>
          <w:lang w:val="ru-MO"/>
        </w:rPr>
        <w:t>удет</w:t>
      </w:r>
      <w:r w:rsidRPr="00CE6109">
        <w:rPr>
          <w:b w:val="0"/>
          <w:sz w:val="28"/>
          <w:szCs w:val="28"/>
          <w:lang w:val="ru-MO"/>
        </w:rPr>
        <w:t xml:space="preserve"> обеспечен достаточными финансовыми средствами для покрытия соответствующих расходов и издержек. </w:t>
      </w:r>
    </w:p>
    <w:p w:rsidR="00CE2D0C" w:rsidRPr="00CE6109" w:rsidRDefault="00CE2D0C" w:rsidP="00CE2D0C">
      <w:pPr>
        <w:pStyle w:val="Listparagraf"/>
        <w:numPr>
          <w:ilvl w:val="0"/>
          <w:numId w:val="8"/>
        </w:numPr>
        <w:tabs>
          <w:tab w:val="left" w:pos="851"/>
        </w:tabs>
        <w:spacing w:after="0" w:line="276" w:lineRule="auto"/>
        <w:ind w:left="0" w:firstLine="567"/>
        <w:jc w:val="both"/>
        <w:rPr>
          <w:rFonts w:ascii="Times New Roman" w:eastAsia="Times New Roman" w:hAnsi="Times New Roman"/>
          <w:sz w:val="28"/>
          <w:szCs w:val="28"/>
          <w:lang w:val="ru-MO"/>
        </w:rPr>
      </w:pPr>
      <w:r w:rsidRPr="00CE6109">
        <w:rPr>
          <w:rFonts w:ascii="Times New Roman" w:eastAsia="Times New Roman" w:hAnsi="Times New Roman"/>
          <w:sz w:val="28"/>
          <w:szCs w:val="28"/>
          <w:lang w:val="ru-MO"/>
        </w:rPr>
        <w:t xml:space="preserve">Инвестиционный проект </w:t>
      </w:r>
      <w:r w:rsidRPr="00CE6109">
        <w:rPr>
          <w:rFonts w:ascii="Times New Roman" w:eastAsia="Times New Roman" w:hAnsi="Times New Roman"/>
          <w:b/>
          <w:i/>
          <w:sz w:val="28"/>
          <w:szCs w:val="28"/>
          <w:lang w:val="ru-MO"/>
        </w:rPr>
        <w:t>„Перемещение и ремонт отделения консультативной поликилиники ПМСУ РКБ. Реконструкция и ремонт морфопатологического отделения в рамках РКБ”</w:t>
      </w:r>
      <w:r w:rsidRPr="00CE6109">
        <w:rPr>
          <w:rFonts w:ascii="Times New Roman" w:eastAsia="Times New Roman" w:hAnsi="Times New Roman"/>
          <w:sz w:val="28"/>
          <w:szCs w:val="28"/>
          <w:lang w:val="ru-MO"/>
        </w:rPr>
        <w:t xml:space="preserve"> (5,4 млн. леев) был оплачен НМСК из Фонда развития в сумме 1,2 млн. леев (задолженность с 2014 года), которая была получена ПМСУ РКБ и впоследствии перечислена в полном объеме поставщику</w:t>
      </w:r>
      <w:r w:rsidRPr="00CE6109">
        <w:rPr>
          <w:rFonts w:ascii="Times New Roman" w:eastAsia="Times New Roman" w:hAnsi="Times New Roman"/>
          <w:bCs/>
          <w:iCs/>
          <w:sz w:val="28"/>
          <w:szCs w:val="28"/>
          <w:lang w:val="ru-MO"/>
        </w:rPr>
        <w:t xml:space="preserve">. </w:t>
      </w:r>
    </w:p>
    <w:p w:rsidR="00CE2D0C" w:rsidRPr="00CE6109" w:rsidRDefault="00CE2D0C" w:rsidP="00CE2D0C">
      <w:pPr>
        <w:spacing w:after="0" w:line="276" w:lineRule="auto"/>
        <w:ind w:firstLine="567"/>
        <w:jc w:val="both"/>
        <w:rPr>
          <w:rFonts w:ascii="Times New Roman" w:eastAsia="Times New Roman" w:hAnsi="Times New Roman"/>
          <w:sz w:val="28"/>
          <w:szCs w:val="28"/>
          <w:lang w:val="ru-MO"/>
        </w:rPr>
      </w:pPr>
      <w:r w:rsidRPr="00CE6109">
        <w:rPr>
          <w:rFonts w:ascii="Times New Roman" w:eastAsia="Times New Roman" w:hAnsi="Times New Roman"/>
          <w:bCs/>
          <w:iCs/>
          <w:sz w:val="28"/>
          <w:szCs w:val="28"/>
          <w:lang w:val="ru-MO"/>
        </w:rPr>
        <w:t>При осмотре объектов аудиторская миссия установила, что работы были выполнены, а отремонтированные помещения используются по назначению, для предоставления соответствующих медицинских услуг.</w:t>
      </w:r>
      <w:r w:rsidRPr="00CE6109">
        <w:rPr>
          <w:rFonts w:ascii="Times New Roman" w:eastAsia="Times New Roman" w:hAnsi="Times New Roman"/>
          <w:sz w:val="28"/>
          <w:szCs w:val="28"/>
          <w:lang w:val="ru-MO"/>
        </w:rPr>
        <w:br w:type="page"/>
      </w:r>
    </w:p>
    <w:p w:rsidR="00CE2D0C" w:rsidRPr="00CE6109" w:rsidRDefault="00CE2D0C" w:rsidP="00CE2D0C">
      <w:pPr>
        <w:pStyle w:val="Listparagraf"/>
        <w:numPr>
          <w:ilvl w:val="0"/>
          <w:numId w:val="1"/>
        </w:numPr>
        <w:tabs>
          <w:tab w:val="left" w:pos="851"/>
          <w:tab w:val="left" w:pos="993"/>
        </w:tabs>
        <w:spacing w:after="0"/>
        <w:ind w:left="0" w:firstLine="567"/>
        <w:outlineLvl w:val="0"/>
        <w:rPr>
          <w:rFonts w:ascii="Times New Roman" w:hAnsi="Times New Roman"/>
          <w:b/>
          <w:color w:val="000000"/>
          <w:sz w:val="28"/>
          <w:szCs w:val="28"/>
          <w:lang w:val="ru-MO"/>
        </w:rPr>
      </w:pPr>
      <w:bookmarkStart w:id="42" w:name="_Toc454287234"/>
      <w:bookmarkStart w:id="43" w:name="_Toc443550621"/>
      <w:bookmarkStart w:id="44" w:name="_Toc447552132"/>
      <w:r>
        <w:rPr>
          <w:rFonts w:ascii="Times New Roman" w:hAnsi="Times New Roman"/>
          <w:b/>
          <w:color w:val="000000"/>
          <w:sz w:val="28"/>
          <w:szCs w:val="28"/>
          <w:lang w:val="ru-MO"/>
        </w:rPr>
        <w:lastRenderedPageBreak/>
        <w:t xml:space="preserve">ЗАКЛЮЧЕНИЕ </w:t>
      </w:r>
      <w:r w:rsidRPr="00CE6109">
        <w:rPr>
          <w:rFonts w:ascii="Times New Roman" w:hAnsi="Times New Roman"/>
          <w:b/>
          <w:color w:val="000000"/>
          <w:sz w:val="28"/>
          <w:szCs w:val="28"/>
          <w:lang w:val="ru-MO"/>
        </w:rPr>
        <w:t>АУДИТ</w:t>
      </w:r>
      <w:r>
        <w:rPr>
          <w:rFonts w:ascii="Times New Roman" w:hAnsi="Times New Roman"/>
          <w:b/>
          <w:color w:val="000000"/>
          <w:sz w:val="28"/>
          <w:szCs w:val="28"/>
          <w:lang w:val="ru-MO"/>
        </w:rPr>
        <w:t>А</w:t>
      </w:r>
      <w:bookmarkEnd w:id="42"/>
    </w:p>
    <w:p w:rsidR="00CE2D0C" w:rsidRPr="00CE6109" w:rsidRDefault="00CE2D0C" w:rsidP="00CE2D0C">
      <w:pPr>
        <w:spacing w:before="120" w:after="120" w:line="276" w:lineRule="auto"/>
        <w:ind w:firstLine="567"/>
        <w:jc w:val="both"/>
        <w:rPr>
          <w:rFonts w:ascii="Times New Roman" w:hAnsi="Times New Roman"/>
          <w:color w:val="000000"/>
          <w:sz w:val="28"/>
          <w:szCs w:val="28"/>
          <w:lang w:val="ru-MO"/>
        </w:rPr>
      </w:pPr>
      <w:r w:rsidRPr="00CE6109">
        <w:rPr>
          <w:rFonts w:ascii="Times New Roman" w:hAnsi="Times New Roman"/>
          <w:sz w:val="28"/>
          <w:szCs w:val="28"/>
          <w:lang w:val="ru-MO"/>
        </w:rPr>
        <w:t xml:space="preserve">На основании проводимой аудиторской деятельности, аудиторская группа установила, что деятельность и операции аудируемого субъекта в процессе администрирования и отчетности средств ФОМС ПМСУ Республиканская клиническая больница в 2015 году, в аспекте контрактации медицинских услуг, администрирования лекарств, </w:t>
      </w:r>
      <w:r>
        <w:rPr>
          <w:rFonts w:ascii="Times New Roman" w:hAnsi="Times New Roman"/>
          <w:sz w:val="28"/>
          <w:szCs w:val="28"/>
          <w:lang w:val="ru-MO"/>
        </w:rPr>
        <w:t xml:space="preserve">отражения в </w:t>
      </w:r>
      <w:r w:rsidRPr="00CE6109">
        <w:rPr>
          <w:rFonts w:ascii="Times New Roman" w:hAnsi="Times New Roman"/>
          <w:sz w:val="28"/>
          <w:szCs w:val="28"/>
          <w:lang w:val="ru-MO"/>
        </w:rPr>
        <w:t>отчетности износ</w:t>
      </w:r>
      <w:r>
        <w:rPr>
          <w:rFonts w:ascii="Times New Roman" w:hAnsi="Times New Roman"/>
          <w:sz w:val="28"/>
          <w:szCs w:val="28"/>
          <w:lang w:val="ru-MO"/>
        </w:rPr>
        <w:t>а</w:t>
      </w:r>
      <w:r w:rsidRPr="00CE6109">
        <w:rPr>
          <w:rFonts w:ascii="Times New Roman" w:hAnsi="Times New Roman"/>
          <w:sz w:val="28"/>
          <w:szCs w:val="28"/>
          <w:lang w:val="ru-MO"/>
        </w:rPr>
        <w:t xml:space="preserve"> основных средств, а также исполнения договоров о финансировании для реализации инвестиционных проектов соответствуют применяемым критериям, за исключением некоторых вопросов, касающихся </w:t>
      </w:r>
      <w:r w:rsidRPr="00CE6109">
        <w:rPr>
          <w:rFonts w:ascii="Times New Roman" w:hAnsi="Times New Roman"/>
          <w:b/>
          <w:i/>
          <w:sz w:val="28"/>
          <w:szCs w:val="28"/>
          <w:lang w:val="ru-MO"/>
        </w:rPr>
        <w:t>(i)</w:t>
      </w:r>
      <w:r w:rsidRPr="00CE6109">
        <w:rPr>
          <w:rFonts w:ascii="Times New Roman" w:hAnsi="Times New Roman"/>
          <w:sz w:val="28"/>
          <w:szCs w:val="28"/>
          <w:lang w:val="ru-MO"/>
        </w:rPr>
        <w:t xml:space="preserve"> прозрачности процесса контрактации медицинских услуг (248,4 млн. леев); </w:t>
      </w:r>
      <w:r w:rsidRPr="00CE6109">
        <w:rPr>
          <w:rFonts w:ascii="Times New Roman" w:hAnsi="Times New Roman"/>
          <w:b/>
          <w:i/>
          <w:sz w:val="28"/>
          <w:szCs w:val="28"/>
          <w:lang w:val="ru-MO"/>
        </w:rPr>
        <w:t>(ii)</w:t>
      </w:r>
      <w:r w:rsidRPr="00CE6109">
        <w:rPr>
          <w:rFonts w:ascii="Times New Roman" w:hAnsi="Times New Roman"/>
          <w:sz w:val="28"/>
          <w:szCs w:val="28"/>
          <w:lang w:val="ru-MO"/>
        </w:rPr>
        <w:t xml:space="preserve"> администрирования лекарственных препаратов для лечения пациентов (114,9 млн. леев); </w:t>
      </w:r>
      <w:r w:rsidRPr="00CE6109">
        <w:rPr>
          <w:rFonts w:ascii="Times New Roman" w:hAnsi="Times New Roman"/>
          <w:b/>
          <w:i/>
          <w:sz w:val="28"/>
          <w:szCs w:val="28"/>
          <w:lang w:val="ru-MO"/>
        </w:rPr>
        <w:t>(iii)</w:t>
      </w:r>
      <w:r w:rsidRPr="00CE6109">
        <w:rPr>
          <w:rFonts w:ascii="Times New Roman" w:hAnsi="Times New Roman"/>
          <w:sz w:val="28"/>
          <w:szCs w:val="28"/>
          <w:lang w:val="ru-MO"/>
        </w:rPr>
        <w:t xml:space="preserve"> невыполнения намеченной цели одного инвестиционного проекта, выраженного в неиспользовании помещения по назначению (11,5 млн. леев)</w:t>
      </w:r>
      <w:r w:rsidRPr="00CE6109">
        <w:rPr>
          <w:rFonts w:ascii="Times New Roman" w:hAnsi="Times New Roman"/>
          <w:color w:val="000000"/>
          <w:sz w:val="28"/>
          <w:szCs w:val="28"/>
          <w:lang w:val="ru-MO"/>
        </w:rPr>
        <w:t xml:space="preserve">. </w:t>
      </w:r>
    </w:p>
    <w:p w:rsidR="00CE2D0C" w:rsidRPr="00CE6109" w:rsidRDefault="00CE2D0C" w:rsidP="00CE2D0C">
      <w:pPr>
        <w:spacing w:line="276" w:lineRule="auto"/>
        <w:ind w:firstLine="567"/>
        <w:jc w:val="both"/>
        <w:rPr>
          <w:rFonts w:ascii="Times New Roman" w:hAnsi="Times New Roman"/>
          <w:b/>
          <w:color w:val="000000"/>
          <w:sz w:val="28"/>
          <w:szCs w:val="28"/>
          <w:lang w:val="ru-MO"/>
        </w:rPr>
      </w:pPr>
      <w:r w:rsidRPr="00CE6109">
        <w:rPr>
          <w:rFonts w:ascii="Times New Roman" w:hAnsi="Times New Roman"/>
          <w:sz w:val="28"/>
          <w:szCs w:val="28"/>
          <w:lang w:val="ru-MO"/>
        </w:rPr>
        <w:t>Аудиторская группа отмечает, что представленная ПМСУ Республиканская клиническая больница информация</w:t>
      </w:r>
      <w:r>
        <w:rPr>
          <w:rFonts w:ascii="Times New Roman" w:hAnsi="Times New Roman"/>
          <w:sz w:val="28"/>
          <w:szCs w:val="28"/>
          <w:lang w:val="ru-MO"/>
        </w:rPr>
        <w:t xml:space="preserve"> </w:t>
      </w:r>
      <w:r w:rsidRPr="00CE6109">
        <w:rPr>
          <w:rFonts w:ascii="Times New Roman" w:hAnsi="Times New Roman"/>
          <w:sz w:val="28"/>
          <w:szCs w:val="28"/>
          <w:lang w:val="ru-MO"/>
        </w:rPr>
        <w:t>об исполнении средств ФОМС</w:t>
      </w:r>
      <w:r>
        <w:rPr>
          <w:rFonts w:ascii="Times New Roman" w:hAnsi="Times New Roman"/>
          <w:sz w:val="28"/>
          <w:szCs w:val="28"/>
          <w:lang w:val="ru-MO"/>
        </w:rPr>
        <w:t>, в аспекте</w:t>
      </w:r>
      <w:r w:rsidRPr="00CE6109">
        <w:rPr>
          <w:rFonts w:ascii="Times New Roman" w:hAnsi="Times New Roman"/>
          <w:sz w:val="28"/>
          <w:szCs w:val="28"/>
          <w:lang w:val="ru-MO"/>
        </w:rPr>
        <w:t xml:space="preserve"> контрактации предоставляемых медицинских услуг, администрирования медикаментов и отражения в отчетности износа основных средств</w:t>
      </w:r>
      <w:r>
        <w:rPr>
          <w:rFonts w:ascii="Times New Roman" w:hAnsi="Times New Roman"/>
          <w:sz w:val="28"/>
          <w:szCs w:val="28"/>
          <w:lang w:val="ru-MO"/>
        </w:rPr>
        <w:t>,</w:t>
      </w:r>
      <w:r w:rsidRPr="00CE6109">
        <w:rPr>
          <w:rFonts w:ascii="Times New Roman" w:hAnsi="Times New Roman"/>
          <w:sz w:val="28"/>
          <w:szCs w:val="28"/>
          <w:lang w:val="ru-MO"/>
        </w:rPr>
        <w:t xml:space="preserve"> представля</w:t>
      </w:r>
      <w:r>
        <w:rPr>
          <w:rFonts w:ascii="Times New Roman" w:hAnsi="Times New Roman"/>
          <w:sz w:val="28"/>
          <w:szCs w:val="28"/>
          <w:lang w:val="ru-MO"/>
        </w:rPr>
        <w:t>е</w:t>
      </w:r>
      <w:r w:rsidRPr="00CE6109">
        <w:rPr>
          <w:rFonts w:ascii="Times New Roman" w:hAnsi="Times New Roman"/>
          <w:sz w:val="28"/>
          <w:szCs w:val="28"/>
          <w:lang w:val="ru-MO"/>
        </w:rPr>
        <w:t xml:space="preserve">т собой реальное и </w:t>
      </w:r>
      <w:r>
        <w:rPr>
          <w:rFonts w:ascii="Times New Roman" w:hAnsi="Times New Roman"/>
          <w:sz w:val="28"/>
          <w:szCs w:val="28"/>
          <w:lang w:val="ru-MO"/>
        </w:rPr>
        <w:t>правиль</w:t>
      </w:r>
      <w:r w:rsidRPr="00CE6109">
        <w:rPr>
          <w:rFonts w:ascii="Times New Roman" w:hAnsi="Times New Roman"/>
          <w:sz w:val="28"/>
          <w:szCs w:val="28"/>
          <w:lang w:val="ru-MO"/>
        </w:rPr>
        <w:t>ное отражение ситуации</w:t>
      </w:r>
      <w:r>
        <w:rPr>
          <w:rFonts w:ascii="Times New Roman" w:hAnsi="Times New Roman"/>
          <w:sz w:val="28"/>
          <w:szCs w:val="28"/>
          <w:lang w:val="ru-MO"/>
        </w:rPr>
        <w:t xml:space="preserve"> и</w:t>
      </w:r>
      <w:r w:rsidRPr="00CE6109">
        <w:rPr>
          <w:rFonts w:ascii="Times New Roman" w:hAnsi="Times New Roman"/>
          <w:sz w:val="28"/>
          <w:szCs w:val="28"/>
          <w:lang w:val="ru-MO"/>
        </w:rPr>
        <w:t xml:space="preserve"> предоставл</w:t>
      </w:r>
      <w:r>
        <w:rPr>
          <w:rFonts w:ascii="Times New Roman" w:hAnsi="Times New Roman"/>
          <w:sz w:val="28"/>
          <w:szCs w:val="28"/>
          <w:lang w:val="ru-MO"/>
        </w:rPr>
        <w:t>яет</w:t>
      </w:r>
      <w:r w:rsidRPr="00CE6109">
        <w:rPr>
          <w:rFonts w:ascii="Times New Roman" w:hAnsi="Times New Roman"/>
          <w:sz w:val="28"/>
          <w:szCs w:val="28"/>
          <w:lang w:val="ru-MO"/>
        </w:rPr>
        <w:t xml:space="preserve"> достоверны</w:t>
      </w:r>
      <w:r>
        <w:rPr>
          <w:rFonts w:ascii="Times New Roman" w:hAnsi="Times New Roman"/>
          <w:sz w:val="28"/>
          <w:szCs w:val="28"/>
          <w:lang w:val="ru-MO"/>
        </w:rPr>
        <w:t>е</w:t>
      </w:r>
      <w:r w:rsidRPr="00CE6109">
        <w:rPr>
          <w:rFonts w:ascii="Times New Roman" w:hAnsi="Times New Roman"/>
          <w:sz w:val="28"/>
          <w:szCs w:val="28"/>
          <w:lang w:val="ru-MO"/>
        </w:rPr>
        <w:t xml:space="preserve"> и исчерпывающи</w:t>
      </w:r>
      <w:r>
        <w:rPr>
          <w:rFonts w:ascii="Times New Roman" w:hAnsi="Times New Roman"/>
          <w:sz w:val="28"/>
          <w:szCs w:val="28"/>
          <w:lang w:val="ru-MO"/>
        </w:rPr>
        <w:t>е</w:t>
      </w:r>
      <w:r w:rsidRPr="00CE6109">
        <w:rPr>
          <w:rFonts w:ascii="Times New Roman" w:hAnsi="Times New Roman"/>
          <w:sz w:val="28"/>
          <w:szCs w:val="28"/>
          <w:lang w:val="ru-MO"/>
        </w:rPr>
        <w:t xml:space="preserve"> данны</w:t>
      </w:r>
      <w:r>
        <w:rPr>
          <w:rFonts w:ascii="Times New Roman" w:hAnsi="Times New Roman"/>
          <w:sz w:val="28"/>
          <w:szCs w:val="28"/>
          <w:lang w:val="ru-MO"/>
        </w:rPr>
        <w:t>е</w:t>
      </w:r>
      <w:r w:rsidRPr="00CE6109">
        <w:rPr>
          <w:rFonts w:ascii="Times New Roman" w:hAnsi="Times New Roman"/>
          <w:sz w:val="28"/>
          <w:szCs w:val="28"/>
          <w:lang w:val="ru-MO"/>
        </w:rPr>
        <w:t xml:space="preserve"> при консолидации Отчета Правительства об исполнении ФОМС на 2015 год, за исключением расходов на лекарства, </w:t>
      </w:r>
      <w:r>
        <w:rPr>
          <w:rFonts w:ascii="Times New Roman" w:hAnsi="Times New Roman"/>
          <w:sz w:val="28"/>
          <w:szCs w:val="28"/>
          <w:lang w:val="ru-MO"/>
        </w:rPr>
        <w:t>выраженные в</w:t>
      </w:r>
      <w:r w:rsidRPr="00CE6109">
        <w:rPr>
          <w:rFonts w:ascii="Times New Roman" w:hAnsi="Times New Roman"/>
          <w:sz w:val="28"/>
          <w:szCs w:val="28"/>
          <w:lang w:val="ru-MO"/>
        </w:rPr>
        <w:t xml:space="preserve">: </w:t>
      </w:r>
      <w:r w:rsidRPr="00CE6109">
        <w:rPr>
          <w:rFonts w:ascii="Times New Roman" w:hAnsi="Times New Roman"/>
          <w:b/>
          <w:i/>
          <w:sz w:val="28"/>
          <w:szCs w:val="28"/>
          <w:lang w:val="ru-MO"/>
        </w:rPr>
        <w:t>(i)</w:t>
      </w:r>
      <w:r w:rsidRPr="00CE6109">
        <w:rPr>
          <w:rFonts w:ascii="Times New Roman" w:hAnsi="Times New Roman"/>
          <w:sz w:val="28"/>
          <w:szCs w:val="28"/>
          <w:lang w:val="ru-MO"/>
        </w:rPr>
        <w:t xml:space="preserve"> заполнени</w:t>
      </w:r>
      <w:r>
        <w:rPr>
          <w:rFonts w:ascii="Times New Roman" w:hAnsi="Times New Roman"/>
          <w:sz w:val="28"/>
          <w:szCs w:val="28"/>
          <w:lang w:val="ru-MO"/>
        </w:rPr>
        <w:t>и</w:t>
      </w:r>
      <w:r w:rsidRPr="00CE6109">
        <w:rPr>
          <w:rFonts w:ascii="Times New Roman" w:hAnsi="Times New Roman"/>
          <w:sz w:val="28"/>
          <w:szCs w:val="28"/>
          <w:lang w:val="ru-MO"/>
        </w:rPr>
        <w:t xml:space="preserve"> медицинских </w:t>
      </w:r>
      <w:r>
        <w:rPr>
          <w:rFonts w:ascii="Times New Roman" w:hAnsi="Times New Roman"/>
          <w:sz w:val="28"/>
          <w:szCs w:val="28"/>
          <w:lang w:val="ru-MO"/>
        </w:rPr>
        <w:t>карточек</w:t>
      </w:r>
      <w:r w:rsidRPr="00CE6109">
        <w:rPr>
          <w:rFonts w:ascii="Times New Roman" w:hAnsi="Times New Roman"/>
          <w:sz w:val="28"/>
          <w:szCs w:val="28"/>
          <w:lang w:val="ru-MO"/>
        </w:rPr>
        <w:t xml:space="preserve"> и </w:t>
      </w:r>
      <w:r>
        <w:rPr>
          <w:rFonts w:ascii="Times New Roman" w:hAnsi="Times New Roman"/>
          <w:sz w:val="28"/>
          <w:szCs w:val="28"/>
          <w:lang w:val="ru-MO"/>
        </w:rPr>
        <w:t>чеков</w:t>
      </w:r>
      <w:r w:rsidRPr="00CE6109">
        <w:rPr>
          <w:rFonts w:ascii="Times New Roman" w:hAnsi="Times New Roman"/>
          <w:sz w:val="28"/>
          <w:szCs w:val="28"/>
          <w:lang w:val="ru-MO"/>
        </w:rPr>
        <w:t xml:space="preserve"> о выдаче лекарственных средств пациентам с в</w:t>
      </w:r>
      <w:r>
        <w:rPr>
          <w:rFonts w:ascii="Times New Roman" w:hAnsi="Times New Roman"/>
          <w:sz w:val="28"/>
          <w:szCs w:val="28"/>
          <w:lang w:val="ru-MO"/>
        </w:rPr>
        <w:t>несением</w:t>
      </w:r>
      <w:r w:rsidRPr="00CE6109">
        <w:rPr>
          <w:rFonts w:ascii="Times New Roman" w:hAnsi="Times New Roman"/>
          <w:sz w:val="28"/>
          <w:szCs w:val="28"/>
          <w:lang w:val="ru-MO"/>
        </w:rPr>
        <w:t xml:space="preserve"> поправок в отношении предписанного объема, типа и дозы, что не обеспечивает обоснование списания и реальное администрирование лекарств пациентам (63,5</w:t>
      </w:r>
      <w:r>
        <w:rPr>
          <w:rFonts w:ascii="Times New Roman" w:hAnsi="Times New Roman"/>
          <w:sz w:val="28"/>
          <w:szCs w:val="28"/>
          <w:lang w:val="ru-MO"/>
        </w:rPr>
        <w:t xml:space="preserve"> млн</w:t>
      </w:r>
      <w:r w:rsidRPr="00CE6109">
        <w:rPr>
          <w:rFonts w:ascii="Times New Roman" w:hAnsi="Times New Roman"/>
          <w:sz w:val="28"/>
          <w:szCs w:val="28"/>
          <w:lang w:val="ru-MO"/>
        </w:rPr>
        <w:t>.</w:t>
      </w:r>
      <w:r>
        <w:rPr>
          <w:rFonts w:ascii="Times New Roman" w:hAnsi="Times New Roman"/>
          <w:sz w:val="28"/>
          <w:szCs w:val="28"/>
          <w:lang w:val="ru-MO"/>
        </w:rPr>
        <w:t xml:space="preserve"> </w:t>
      </w:r>
      <w:r w:rsidRPr="00CE6109">
        <w:rPr>
          <w:rFonts w:ascii="Times New Roman" w:hAnsi="Times New Roman"/>
          <w:sz w:val="28"/>
          <w:szCs w:val="28"/>
          <w:lang w:val="ru-MO"/>
        </w:rPr>
        <w:t xml:space="preserve">леев); </w:t>
      </w:r>
      <w:r w:rsidRPr="00CE6109">
        <w:rPr>
          <w:rFonts w:ascii="Times New Roman" w:hAnsi="Times New Roman"/>
          <w:b/>
          <w:i/>
          <w:sz w:val="28"/>
          <w:szCs w:val="28"/>
          <w:lang w:val="ru-MO"/>
        </w:rPr>
        <w:t>(ii)</w:t>
      </w:r>
      <w:r w:rsidRPr="00CE6109">
        <w:rPr>
          <w:rFonts w:ascii="Times New Roman" w:hAnsi="Times New Roman"/>
          <w:sz w:val="28"/>
          <w:szCs w:val="28"/>
          <w:lang w:val="ru-MO"/>
        </w:rPr>
        <w:t xml:space="preserve"> включени</w:t>
      </w:r>
      <w:r>
        <w:rPr>
          <w:rFonts w:ascii="Times New Roman" w:hAnsi="Times New Roman"/>
          <w:sz w:val="28"/>
          <w:szCs w:val="28"/>
          <w:lang w:val="ru-MO"/>
        </w:rPr>
        <w:t>и</w:t>
      </w:r>
      <w:r w:rsidRPr="00CE6109">
        <w:rPr>
          <w:rFonts w:ascii="Times New Roman" w:hAnsi="Times New Roman"/>
          <w:sz w:val="28"/>
          <w:szCs w:val="28"/>
          <w:lang w:val="ru-MO"/>
        </w:rPr>
        <w:t xml:space="preserve"> в счет </w:t>
      </w:r>
      <w:r>
        <w:rPr>
          <w:rFonts w:ascii="Times New Roman" w:hAnsi="Times New Roman"/>
          <w:sz w:val="28"/>
          <w:szCs w:val="28"/>
          <w:lang w:val="ru-MO"/>
        </w:rPr>
        <w:t xml:space="preserve">за </w:t>
      </w:r>
      <w:r w:rsidRPr="00CE6109">
        <w:rPr>
          <w:rFonts w:ascii="Times New Roman" w:hAnsi="Times New Roman"/>
          <w:sz w:val="28"/>
          <w:szCs w:val="28"/>
          <w:lang w:val="ru-MO"/>
        </w:rPr>
        <w:t>стационарн</w:t>
      </w:r>
      <w:r>
        <w:rPr>
          <w:rFonts w:ascii="Times New Roman" w:hAnsi="Times New Roman"/>
          <w:sz w:val="28"/>
          <w:szCs w:val="28"/>
          <w:lang w:val="ru-MO"/>
        </w:rPr>
        <w:t>ую</w:t>
      </w:r>
      <w:r w:rsidRPr="00CE6109">
        <w:rPr>
          <w:rFonts w:ascii="Times New Roman" w:hAnsi="Times New Roman"/>
          <w:sz w:val="28"/>
          <w:szCs w:val="28"/>
          <w:lang w:val="ru-MO"/>
        </w:rPr>
        <w:t xml:space="preserve"> медицинск</w:t>
      </w:r>
      <w:r>
        <w:rPr>
          <w:rFonts w:ascii="Times New Roman" w:hAnsi="Times New Roman"/>
          <w:sz w:val="28"/>
          <w:szCs w:val="28"/>
          <w:lang w:val="ru-MO"/>
        </w:rPr>
        <w:t>ую</w:t>
      </w:r>
      <w:r w:rsidRPr="00CE6109">
        <w:rPr>
          <w:rFonts w:ascii="Times New Roman" w:hAnsi="Times New Roman"/>
          <w:sz w:val="28"/>
          <w:szCs w:val="28"/>
          <w:lang w:val="ru-MO"/>
        </w:rPr>
        <w:t xml:space="preserve"> помощ</w:t>
      </w:r>
      <w:r>
        <w:rPr>
          <w:rFonts w:ascii="Times New Roman" w:hAnsi="Times New Roman"/>
          <w:sz w:val="28"/>
          <w:szCs w:val="28"/>
          <w:lang w:val="ru-MO"/>
        </w:rPr>
        <w:t>ь</w:t>
      </w:r>
      <w:r w:rsidRPr="00CE6109">
        <w:rPr>
          <w:rFonts w:ascii="Times New Roman" w:hAnsi="Times New Roman"/>
          <w:sz w:val="28"/>
          <w:szCs w:val="28"/>
          <w:lang w:val="ru-MO"/>
        </w:rPr>
        <w:t xml:space="preserve"> медикаментов, предусмотренных </w:t>
      </w:r>
      <w:r>
        <w:rPr>
          <w:rFonts w:ascii="Times New Roman" w:hAnsi="Times New Roman"/>
          <w:sz w:val="28"/>
          <w:szCs w:val="28"/>
          <w:lang w:val="ru-MO"/>
        </w:rPr>
        <w:t xml:space="preserve">для </w:t>
      </w:r>
      <w:r w:rsidRPr="00CE6109">
        <w:rPr>
          <w:rFonts w:ascii="Times New Roman" w:hAnsi="Times New Roman"/>
          <w:sz w:val="28"/>
          <w:szCs w:val="28"/>
          <w:lang w:val="ru-MO"/>
        </w:rPr>
        <w:t>Национальны</w:t>
      </w:r>
      <w:r>
        <w:rPr>
          <w:rFonts w:ascii="Times New Roman" w:hAnsi="Times New Roman"/>
          <w:sz w:val="28"/>
          <w:szCs w:val="28"/>
          <w:lang w:val="ru-MO"/>
        </w:rPr>
        <w:t>х</w:t>
      </w:r>
      <w:r w:rsidRPr="00CE6109">
        <w:rPr>
          <w:rFonts w:ascii="Times New Roman" w:hAnsi="Times New Roman"/>
          <w:sz w:val="28"/>
          <w:szCs w:val="28"/>
          <w:lang w:val="ru-MO"/>
        </w:rPr>
        <w:t xml:space="preserve"> программ (53,2 млн. леев).</w:t>
      </w:r>
    </w:p>
    <w:p w:rsidR="00CE2D0C" w:rsidRPr="00CE6109" w:rsidRDefault="00CE2D0C" w:rsidP="00CE2D0C">
      <w:pPr>
        <w:pStyle w:val="Listparagraf"/>
        <w:numPr>
          <w:ilvl w:val="0"/>
          <w:numId w:val="1"/>
        </w:numPr>
        <w:tabs>
          <w:tab w:val="left" w:pos="851"/>
          <w:tab w:val="left" w:pos="993"/>
        </w:tabs>
        <w:ind w:left="0" w:firstLine="567"/>
        <w:contextualSpacing w:val="0"/>
        <w:jc w:val="both"/>
        <w:outlineLvl w:val="0"/>
        <w:rPr>
          <w:rFonts w:ascii="Times New Roman" w:hAnsi="Times New Roman"/>
          <w:b/>
          <w:color w:val="000000"/>
          <w:sz w:val="28"/>
          <w:szCs w:val="28"/>
          <w:lang w:val="ru-MO"/>
        </w:rPr>
      </w:pPr>
      <w:bookmarkStart w:id="45" w:name="_Toc454287235"/>
      <w:r w:rsidRPr="00CE6109">
        <w:rPr>
          <w:rFonts w:ascii="Times New Roman" w:hAnsi="Times New Roman"/>
          <w:b/>
          <w:color w:val="000000"/>
          <w:sz w:val="28"/>
          <w:szCs w:val="28"/>
          <w:lang w:val="ru-MO"/>
        </w:rPr>
        <w:t>РЕКОМЕНДАЦИИ</w:t>
      </w:r>
      <w:bookmarkEnd w:id="43"/>
      <w:bookmarkEnd w:id="44"/>
      <w:bookmarkEnd w:id="45"/>
    </w:p>
    <w:p w:rsidR="00CE2D0C" w:rsidRPr="00CE6109" w:rsidRDefault="00CE2D0C" w:rsidP="00CE2D0C">
      <w:pPr>
        <w:pStyle w:val="Listparagraf"/>
        <w:tabs>
          <w:tab w:val="left" w:pos="851"/>
        </w:tabs>
        <w:spacing w:after="0" w:line="240" w:lineRule="auto"/>
        <w:ind w:left="0" w:firstLine="567"/>
        <w:jc w:val="both"/>
        <w:rPr>
          <w:rFonts w:ascii="Times New Roman" w:eastAsia="Times New Roman" w:hAnsi="Times New Roman"/>
          <w:b/>
          <w:bCs/>
          <w:i/>
          <w:iCs/>
          <w:sz w:val="28"/>
          <w:szCs w:val="28"/>
          <w:lang w:val="ru-MO"/>
        </w:rPr>
      </w:pPr>
      <w:r w:rsidRPr="00CE6109">
        <w:rPr>
          <w:rFonts w:ascii="Times New Roman" w:eastAsia="Times New Roman" w:hAnsi="Times New Roman"/>
          <w:b/>
          <w:bCs/>
          <w:i/>
          <w:iCs/>
          <w:sz w:val="28"/>
          <w:szCs w:val="28"/>
          <w:lang w:val="ru-MO"/>
        </w:rPr>
        <w:t>ПМСУ Республиканская клиническая больница и Национальной медицинской страховой компании:</w:t>
      </w:r>
    </w:p>
    <w:p w:rsidR="00CE2D0C" w:rsidRPr="00CE6109" w:rsidRDefault="00CE2D0C" w:rsidP="00CE2D0C">
      <w:pPr>
        <w:pStyle w:val="Listparagraf"/>
        <w:tabs>
          <w:tab w:val="left" w:pos="851"/>
        </w:tabs>
        <w:spacing w:line="240" w:lineRule="auto"/>
        <w:ind w:left="0" w:firstLine="567"/>
        <w:contextualSpacing w:val="0"/>
        <w:jc w:val="both"/>
        <w:rPr>
          <w:rFonts w:ascii="Times New Roman" w:hAnsi="Times New Roman"/>
          <w:sz w:val="28"/>
          <w:szCs w:val="28"/>
          <w:lang w:val="ru-MO"/>
        </w:rPr>
      </w:pPr>
      <w:r w:rsidRPr="00CE6109">
        <w:rPr>
          <w:rFonts w:ascii="Times New Roman" w:eastAsia="Times New Roman" w:hAnsi="Times New Roman"/>
          <w:bCs/>
          <w:iCs/>
          <w:sz w:val="28"/>
          <w:szCs w:val="28"/>
          <w:lang w:val="ru-MO"/>
        </w:rPr>
        <w:t>1.</w:t>
      </w:r>
      <w:r w:rsidRPr="00CE6109">
        <w:rPr>
          <w:rFonts w:ascii="Times New Roman" w:eastAsia="Times New Roman" w:hAnsi="Times New Roman"/>
          <w:bCs/>
          <w:iCs/>
          <w:sz w:val="28"/>
          <w:szCs w:val="28"/>
          <w:lang w:val="ru-MO"/>
        </w:rPr>
        <w:tab/>
        <w:t xml:space="preserve">Обеспечить запрос и последующую контрактацию стационарной медицинской помощи на основе </w:t>
      </w:r>
      <w:r>
        <w:rPr>
          <w:rFonts w:ascii="Times New Roman" w:eastAsia="Times New Roman" w:hAnsi="Times New Roman"/>
          <w:bCs/>
          <w:iCs/>
          <w:sz w:val="28"/>
          <w:szCs w:val="28"/>
          <w:lang w:val="ru-MO"/>
        </w:rPr>
        <w:t>ДСГ (DRG)</w:t>
      </w:r>
      <w:r w:rsidRPr="00CE6109">
        <w:rPr>
          <w:rFonts w:ascii="Times New Roman" w:eastAsia="Times New Roman" w:hAnsi="Times New Roman"/>
          <w:bCs/>
          <w:iCs/>
          <w:sz w:val="28"/>
          <w:szCs w:val="28"/>
          <w:lang w:val="ru-MO"/>
        </w:rPr>
        <w:t xml:space="preserve">, в зависимости от эффективности и сложности случаев, с указанием в договоре измеряемых показателей, </w:t>
      </w:r>
      <w:r>
        <w:rPr>
          <w:rFonts w:ascii="Times New Roman" w:eastAsia="Times New Roman" w:hAnsi="Times New Roman"/>
          <w:bCs/>
          <w:iCs/>
          <w:sz w:val="28"/>
          <w:szCs w:val="28"/>
          <w:lang w:val="ru-MO"/>
        </w:rPr>
        <w:t>таких как</w:t>
      </w:r>
      <w:r w:rsidRPr="00CE6109">
        <w:rPr>
          <w:rFonts w:ascii="Times New Roman" w:eastAsia="Times New Roman" w:hAnsi="Times New Roman"/>
          <w:bCs/>
          <w:iCs/>
          <w:sz w:val="28"/>
          <w:szCs w:val="28"/>
          <w:lang w:val="ru-MO"/>
        </w:rPr>
        <w:t xml:space="preserve"> тариф, индекс сложности и количеств</w:t>
      </w:r>
      <w:r>
        <w:rPr>
          <w:rFonts w:ascii="Times New Roman" w:eastAsia="Times New Roman" w:hAnsi="Times New Roman"/>
          <w:bCs/>
          <w:iCs/>
          <w:sz w:val="28"/>
          <w:szCs w:val="28"/>
          <w:lang w:val="ru-MO"/>
        </w:rPr>
        <w:t>о</w:t>
      </w:r>
      <w:r w:rsidRPr="00CE6109">
        <w:rPr>
          <w:rFonts w:ascii="Times New Roman" w:eastAsia="Times New Roman" w:hAnsi="Times New Roman"/>
          <w:bCs/>
          <w:iCs/>
          <w:sz w:val="28"/>
          <w:szCs w:val="28"/>
          <w:lang w:val="ru-MO"/>
        </w:rPr>
        <w:t xml:space="preserve"> пролеченных случаев.</w:t>
      </w:r>
    </w:p>
    <w:p w:rsidR="00CE2D0C" w:rsidRPr="00CE6109" w:rsidRDefault="00CE2D0C" w:rsidP="00CE2D0C">
      <w:pPr>
        <w:pStyle w:val="Listparagraf"/>
        <w:tabs>
          <w:tab w:val="left" w:pos="851"/>
        </w:tabs>
        <w:spacing w:after="0" w:line="240" w:lineRule="auto"/>
        <w:ind w:left="0" w:firstLine="567"/>
        <w:jc w:val="both"/>
        <w:rPr>
          <w:rFonts w:ascii="Times New Roman" w:eastAsia="Times New Roman" w:hAnsi="Times New Roman"/>
          <w:b/>
          <w:bCs/>
          <w:i/>
          <w:iCs/>
          <w:sz w:val="28"/>
          <w:szCs w:val="28"/>
          <w:lang w:val="ru-MO"/>
        </w:rPr>
      </w:pPr>
      <w:r w:rsidRPr="00CE6109">
        <w:rPr>
          <w:rFonts w:ascii="Times New Roman" w:eastAsia="Times New Roman" w:hAnsi="Times New Roman"/>
          <w:b/>
          <w:bCs/>
          <w:i/>
          <w:iCs/>
          <w:sz w:val="28"/>
          <w:szCs w:val="28"/>
          <w:lang w:val="ru-MO"/>
        </w:rPr>
        <w:t>ПМСУ Республиканская клиническая больница:</w:t>
      </w:r>
    </w:p>
    <w:p w:rsidR="00CE2D0C" w:rsidRPr="00CE6109" w:rsidRDefault="00CE2D0C" w:rsidP="00CE2D0C">
      <w:pPr>
        <w:pStyle w:val="Listparagraf"/>
        <w:numPr>
          <w:ilvl w:val="0"/>
          <w:numId w:val="34"/>
        </w:numPr>
        <w:tabs>
          <w:tab w:val="left" w:pos="851"/>
        </w:tabs>
        <w:spacing w:after="0" w:line="240" w:lineRule="auto"/>
        <w:ind w:left="0" w:firstLine="567"/>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t xml:space="preserve">Разработать и утвердить план действий, с установлением ответственных лиц и сроков реализации, </w:t>
      </w:r>
      <w:r>
        <w:rPr>
          <w:rFonts w:ascii="Times New Roman" w:eastAsia="Times New Roman" w:hAnsi="Times New Roman"/>
          <w:bCs/>
          <w:iCs/>
          <w:sz w:val="28"/>
          <w:szCs w:val="28"/>
          <w:lang w:val="ru-MO"/>
        </w:rPr>
        <w:t>для</w:t>
      </w:r>
      <w:r w:rsidRPr="00CE6109">
        <w:rPr>
          <w:rFonts w:ascii="Times New Roman" w:eastAsia="Times New Roman" w:hAnsi="Times New Roman"/>
          <w:bCs/>
          <w:iCs/>
          <w:sz w:val="28"/>
          <w:szCs w:val="28"/>
          <w:lang w:val="ru-MO"/>
        </w:rPr>
        <w:t xml:space="preserve"> обеспеч</w:t>
      </w:r>
      <w:r>
        <w:rPr>
          <w:rFonts w:ascii="Times New Roman" w:eastAsia="Times New Roman" w:hAnsi="Times New Roman"/>
          <w:bCs/>
          <w:iCs/>
          <w:sz w:val="28"/>
          <w:szCs w:val="28"/>
          <w:lang w:val="ru-MO"/>
        </w:rPr>
        <w:t>ения</w:t>
      </w:r>
      <w:r w:rsidRPr="00CE6109">
        <w:rPr>
          <w:rFonts w:ascii="Times New Roman" w:eastAsia="Times New Roman" w:hAnsi="Times New Roman"/>
          <w:bCs/>
          <w:iCs/>
          <w:sz w:val="28"/>
          <w:szCs w:val="28"/>
          <w:lang w:val="ru-MO"/>
        </w:rPr>
        <w:t xml:space="preserve"> оценк</w:t>
      </w:r>
      <w:r>
        <w:rPr>
          <w:rFonts w:ascii="Times New Roman" w:eastAsia="Times New Roman" w:hAnsi="Times New Roman"/>
          <w:bCs/>
          <w:iCs/>
          <w:sz w:val="28"/>
          <w:szCs w:val="28"/>
          <w:lang w:val="ru-MO"/>
        </w:rPr>
        <w:t>и</w:t>
      </w:r>
      <w:r w:rsidRPr="00CE6109">
        <w:rPr>
          <w:rFonts w:ascii="Times New Roman" w:eastAsia="Times New Roman" w:hAnsi="Times New Roman"/>
          <w:bCs/>
          <w:iCs/>
          <w:sz w:val="28"/>
          <w:szCs w:val="28"/>
          <w:lang w:val="ru-MO"/>
        </w:rPr>
        <w:t xml:space="preserve"> </w:t>
      </w:r>
      <w:r>
        <w:rPr>
          <w:rFonts w:ascii="Times New Roman" w:eastAsia="Times New Roman" w:hAnsi="Times New Roman"/>
          <w:bCs/>
          <w:iCs/>
          <w:sz w:val="28"/>
          <w:szCs w:val="28"/>
          <w:lang w:val="ru-MO"/>
        </w:rPr>
        <w:t>потребностей</w:t>
      </w:r>
      <w:r w:rsidRPr="00CE6109">
        <w:rPr>
          <w:rFonts w:ascii="Times New Roman" w:eastAsia="Times New Roman" w:hAnsi="Times New Roman"/>
          <w:bCs/>
          <w:iCs/>
          <w:sz w:val="28"/>
          <w:szCs w:val="28"/>
          <w:lang w:val="ru-MO"/>
        </w:rPr>
        <w:t>, приоритета и экономичности расходов учреждения и приняти</w:t>
      </w:r>
      <w:r>
        <w:rPr>
          <w:rFonts w:ascii="Times New Roman" w:eastAsia="Times New Roman" w:hAnsi="Times New Roman"/>
          <w:bCs/>
          <w:iCs/>
          <w:sz w:val="28"/>
          <w:szCs w:val="28"/>
          <w:lang w:val="ru-MO"/>
        </w:rPr>
        <w:t>я</w:t>
      </w:r>
      <w:r w:rsidRPr="00CE6109">
        <w:rPr>
          <w:rFonts w:ascii="Times New Roman" w:eastAsia="Times New Roman" w:hAnsi="Times New Roman"/>
          <w:bCs/>
          <w:iCs/>
          <w:sz w:val="28"/>
          <w:szCs w:val="28"/>
          <w:lang w:val="ru-MO"/>
        </w:rPr>
        <w:t xml:space="preserve"> мер по их оптимизации.</w:t>
      </w:r>
    </w:p>
    <w:p w:rsidR="00CE2D0C" w:rsidRPr="00CE6109" w:rsidRDefault="00CE2D0C" w:rsidP="00CE2D0C">
      <w:pPr>
        <w:pStyle w:val="Listparagraf"/>
        <w:numPr>
          <w:ilvl w:val="0"/>
          <w:numId w:val="34"/>
        </w:numPr>
        <w:tabs>
          <w:tab w:val="left" w:pos="851"/>
        </w:tabs>
        <w:spacing w:after="0" w:line="240" w:lineRule="auto"/>
        <w:ind w:left="0" w:firstLine="567"/>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t>Составить и утвердить, в соответствии с существующими нормативными положениями, по</w:t>
      </w:r>
      <w:r>
        <w:rPr>
          <w:rFonts w:ascii="Times New Roman" w:eastAsia="Times New Roman" w:hAnsi="Times New Roman"/>
          <w:bCs/>
          <w:iCs/>
          <w:sz w:val="28"/>
          <w:szCs w:val="28"/>
          <w:lang w:val="ru-MO"/>
        </w:rPr>
        <w:t>вествователь</w:t>
      </w:r>
      <w:r w:rsidRPr="00CE6109">
        <w:rPr>
          <w:rFonts w:ascii="Times New Roman" w:eastAsia="Times New Roman" w:hAnsi="Times New Roman"/>
          <w:bCs/>
          <w:iCs/>
          <w:sz w:val="28"/>
          <w:szCs w:val="28"/>
          <w:lang w:val="ru-MO"/>
        </w:rPr>
        <w:t xml:space="preserve">ное и картографическое описание </w:t>
      </w:r>
      <w:r w:rsidRPr="00CE6109">
        <w:rPr>
          <w:rFonts w:ascii="Times New Roman" w:eastAsia="Times New Roman" w:hAnsi="Times New Roman"/>
          <w:bCs/>
          <w:iCs/>
          <w:sz w:val="28"/>
          <w:szCs w:val="28"/>
          <w:lang w:val="ru-MO"/>
        </w:rPr>
        <w:lastRenderedPageBreak/>
        <w:t>процесса внутреннего контроля, связанного с обеспечением необходимыми медикаментами для лечения больных.</w:t>
      </w:r>
    </w:p>
    <w:p w:rsidR="00CE2D0C" w:rsidRPr="00CE6109" w:rsidRDefault="00CE2D0C" w:rsidP="00CE2D0C">
      <w:pPr>
        <w:pStyle w:val="Listparagraf"/>
        <w:numPr>
          <w:ilvl w:val="0"/>
          <w:numId w:val="34"/>
        </w:numPr>
        <w:tabs>
          <w:tab w:val="left" w:pos="851"/>
        </w:tabs>
        <w:spacing w:after="0" w:line="240" w:lineRule="auto"/>
        <w:ind w:left="0" w:firstLine="567"/>
        <w:contextualSpacing w:val="0"/>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t>Обеспечить мониторинг выполнения договорных условий с поставщиками лекарственных препаратов и парафармацевтической продукции, в том числе обязательное обеспечение учреждением обоснования за</w:t>
      </w:r>
      <w:r>
        <w:rPr>
          <w:rFonts w:ascii="Times New Roman" w:eastAsia="Times New Roman" w:hAnsi="Times New Roman"/>
          <w:bCs/>
          <w:iCs/>
          <w:sz w:val="28"/>
          <w:szCs w:val="28"/>
          <w:lang w:val="ru-MO"/>
        </w:rPr>
        <w:t>казов</w:t>
      </w:r>
      <w:r w:rsidRPr="00CE6109">
        <w:rPr>
          <w:rFonts w:ascii="Times New Roman" w:eastAsia="Times New Roman" w:hAnsi="Times New Roman"/>
          <w:bCs/>
          <w:iCs/>
          <w:sz w:val="28"/>
          <w:szCs w:val="28"/>
          <w:lang w:val="ru-MO"/>
        </w:rPr>
        <w:t xml:space="preserve"> на лекарства у поставщика.</w:t>
      </w:r>
    </w:p>
    <w:p w:rsidR="00CE2D0C" w:rsidRPr="00CE6109" w:rsidRDefault="00CE2D0C" w:rsidP="00CE2D0C">
      <w:pPr>
        <w:pStyle w:val="Listparagraf"/>
        <w:numPr>
          <w:ilvl w:val="0"/>
          <w:numId w:val="34"/>
        </w:numPr>
        <w:tabs>
          <w:tab w:val="left" w:pos="851"/>
        </w:tabs>
        <w:ind w:left="0" w:firstLine="567"/>
        <w:contextualSpacing w:val="0"/>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t>Разработать план конкретных действий, с установлением сроков и лиц, ответственных за устранение возникающих несоответствий и недостатков, ускорение реализации намеченной цели, связанной со средствами, выделяем</w:t>
      </w:r>
      <w:r>
        <w:rPr>
          <w:rFonts w:ascii="Times New Roman" w:eastAsia="Times New Roman" w:hAnsi="Times New Roman"/>
          <w:bCs/>
          <w:iCs/>
          <w:sz w:val="28"/>
          <w:szCs w:val="28"/>
          <w:lang w:val="ru-MO"/>
        </w:rPr>
        <w:t>ыми</w:t>
      </w:r>
      <w:r w:rsidRPr="00CE6109">
        <w:rPr>
          <w:rFonts w:ascii="Times New Roman" w:eastAsia="Times New Roman" w:hAnsi="Times New Roman"/>
          <w:bCs/>
          <w:iCs/>
          <w:sz w:val="28"/>
          <w:szCs w:val="28"/>
          <w:lang w:val="ru-MO"/>
        </w:rPr>
        <w:t xml:space="preserve"> из ФОМС и используемы</w:t>
      </w:r>
      <w:r>
        <w:rPr>
          <w:rFonts w:ascii="Times New Roman" w:eastAsia="Times New Roman" w:hAnsi="Times New Roman"/>
          <w:bCs/>
          <w:iCs/>
          <w:sz w:val="28"/>
          <w:szCs w:val="28"/>
          <w:lang w:val="ru-MO"/>
        </w:rPr>
        <w:t>ми</w:t>
      </w:r>
      <w:r w:rsidRPr="00CE6109">
        <w:rPr>
          <w:rFonts w:ascii="Times New Roman" w:eastAsia="Times New Roman" w:hAnsi="Times New Roman"/>
          <w:bCs/>
          <w:iCs/>
          <w:sz w:val="28"/>
          <w:szCs w:val="28"/>
          <w:lang w:val="ru-MO"/>
        </w:rPr>
        <w:t xml:space="preserve"> в рамках инвестиционного проекта „Создание отделения Эндоурологии и Лечения аритмий сердца в ПМСУ РКБ”.</w:t>
      </w:r>
    </w:p>
    <w:p w:rsidR="00CE2D0C" w:rsidRPr="00CE6109" w:rsidRDefault="00CE2D0C" w:rsidP="00CE2D0C">
      <w:pPr>
        <w:pStyle w:val="Listparagraf"/>
        <w:tabs>
          <w:tab w:val="left" w:pos="851"/>
        </w:tabs>
        <w:ind w:left="0" w:firstLine="567"/>
        <w:jc w:val="both"/>
        <w:rPr>
          <w:rFonts w:ascii="Times New Roman" w:eastAsia="Times New Roman" w:hAnsi="Times New Roman"/>
          <w:b/>
          <w:bCs/>
          <w:i/>
          <w:iCs/>
          <w:sz w:val="28"/>
          <w:szCs w:val="28"/>
          <w:lang w:val="ru-MO"/>
        </w:rPr>
      </w:pPr>
      <w:r w:rsidRPr="00CE6109">
        <w:rPr>
          <w:rFonts w:ascii="Times New Roman" w:eastAsia="Times New Roman" w:hAnsi="Times New Roman"/>
          <w:b/>
          <w:bCs/>
          <w:i/>
          <w:iCs/>
          <w:sz w:val="28"/>
          <w:szCs w:val="28"/>
          <w:lang w:val="ru-MO"/>
        </w:rPr>
        <w:t>Агентству по лекарствам и медицинским изделиям, Агентству государственных закупок и ПМСУ Республиканская клиническая больница:</w:t>
      </w:r>
    </w:p>
    <w:p w:rsidR="00CE2D0C" w:rsidRPr="00CE6109" w:rsidRDefault="00CE2D0C" w:rsidP="00CE2D0C">
      <w:pPr>
        <w:pStyle w:val="Listparagraf"/>
        <w:numPr>
          <w:ilvl w:val="0"/>
          <w:numId w:val="34"/>
        </w:numPr>
        <w:tabs>
          <w:tab w:val="left" w:pos="851"/>
        </w:tabs>
        <w:spacing w:after="0" w:line="240" w:lineRule="auto"/>
        <w:ind w:left="0" w:firstLine="567"/>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t>Обеспечить, в рамках процесса переговоров по заключению договоров с поставщиками, установления разумных сроков для оплаты запрашиваемых, закупленных и контрактованных медикаментов и парафармацевтической продукции.</w:t>
      </w:r>
    </w:p>
    <w:p w:rsidR="00CE2D0C" w:rsidRPr="00CE6109" w:rsidRDefault="00CE2D0C" w:rsidP="00CE2D0C">
      <w:pPr>
        <w:tabs>
          <w:tab w:val="left" w:pos="851"/>
        </w:tabs>
        <w:ind w:firstLine="567"/>
        <w:jc w:val="both"/>
        <w:rPr>
          <w:rFonts w:ascii="Times New Roman" w:eastAsia="Times New Roman" w:hAnsi="Times New Roman"/>
          <w:bCs/>
          <w:iCs/>
          <w:sz w:val="28"/>
          <w:szCs w:val="28"/>
          <w:lang w:val="ru-MO"/>
        </w:rPr>
      </w:pPr>
    </w:p>
    <w:p w:rsidR="00CE2D0C" w:rsidRPr="00CE6109" w:rsidRDefault="00CE2D0C" w:rsidP="00CE2D0C">
      <w:pPr>
        <w:ind w:firstLine="567"/>
        <w:rPr>
          <w:rFonts w:ascii="Times New Roman" w:hAnsi="Times New Roman"/>
          <w:b/>
          <w:sz w:val="28"/>
          <w:szCs w:val="28"/>
          <w:lang w:val="ru-MO"/>
        </w:rPr>
      </w:pPr>
      <w:r w:rsidRPr="00CE6109">
        <w:rPr>
          <w:rFonts w:ascii="Times New Roman" w:hAnsi="Times New Roman"/>
          <w:b/>
          <w:sz w:val="28"/>
          <w:szCs w:val="28"/>
          <w:lang w:val="ru-MO"/>
        </w:rPr>
        <w:t>Аудиторская группа</w:t>
      </w:r>
    </w:p>
    <w:tbl>
      <w:tblPr>
        <w:tblW w:w="10657" w:type="dxa"/>
        <w:tblInd w:w="426" w:type="dxa"/>
        <w:tblLook w:val="04A0"/>
      </w:tblPr>
      <w:tblGrid>
        <w:gridCol w:w="8471"/>
        <w:gridCol w:w="2186"/>
      </w:tblGrid>
      <w:tr w:rsidR="00CE2D0C" w:rsidRPr="00C21C23" w:rsidTr="00266330">
        <w:trPr>
          <w:trHeight w:val="5581"/>
        </w:trPr>
        <w:tc>
          <w:tcPr>
            <w:tcW w:w="8471" w:type="dxa"/>
          </w:tcPr>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Старший государственный контролер,</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руководитель группы                                                   Люба Булмага</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Старший государственный контролер,</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 xml:space="preserve">член группы                                                                  Виолета Гуцу </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Главный государственный контролер,</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 xml:space="preserve">член группы                                                                  Юрие Испас </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p>
          <w:p w:rsidR="00CE2D0C" w:rsidRPr="00CD59C4" w:rsidRDefault="00CE2D0C" w:rsidP="00266330">
            <w:pPr>
              <w:tabs>
                <w:tab w:val="left" w:pos="851"/>
                <w:tab w:val="left" w:pos="7116"/>
              </w:tabs>
              <w:spacing w:after="0" w:line="276" w:lineRule="auto"/>
              <w:ind w:left="-84" w:right="-1908"/>
              <w:jc w:val="both"/>
              <w:rPr>
                <w:rFonts w:ascii="Times New Roman" w:hAnsi="Times New Roman"/>
                <w:i/>
                <w:sz w:val="28"/>
                <w:szCs w:val="28"/>
                <w:lang w:val="ru-MO"/>
              </w:rPr>
            </w:pPr>
            <w:r w:rsidRPr="00CD59C4">
              <w:rPr>
                <w:rFonts w:ascii="Times New Roman" w:hAnsi="Times New Roman"/>
                <w:i/>
                <w:sz w:val="28"/>
                <w:szCs w:val="28"/>
                <w:lang w:val="ru-MO"/>
              </w:rPr>
              <w:t>Ответственный за мониторинг:</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Начальник II Главного управления                              София Чувалски</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(Аудит финансов социального сектора</w:t>
            </w:r>
          </w:p>
          <w:p w:rsidR="00CE2D0C" w:rsidRPr="00CD59C4" w:rsidRDefault="00CE2D0C" w:rsidP="00266330">
            <w:pPr>
              <w:tabs>
                <w:tab w:val="left" w:pos="851"/>
                <w:tab w:val="left" w:pos="7116"/>
              </w:tabs>
              <w:spacing w:after="0" w:line="276" w:lineRule="auto"/>
              <w:ind w:left="-84" w:right="-1908"/>
              <w:jc w:val="both"/>
              <w:rPr>
                <w:rFonts w:ascii="Times New Roman" w:hAnsi="Times New Roman"/>
                <w:sz w:val="28"/>
                <w:szCs w:val="28"/>
                <w:lang w:val="ru-MO"/>
              </w:rPr>
            </w:pPr>
            <w:r w:rsidRPr="00CD59C4">
              <w:rPr>
                <w:rFonts w:ascii="Times New Roman" w:hAnsi="Times New Roman"/>
                <w:sz w:val="28"/>
                <w:szCs w:val="28"/>
                <w:lang w:val="ru-MO"/>
              </w:rPr>
              <w:t>и национальной экономики)</w:t>
            </w:r>
          </w:p>
          <w:p w:rsidR="00CE2D0C" w:rsidRPr="00CD59C4" w:rsidRDefault="00CE2D0C" w:rsidP="00266330">
            <w:pPr>
              <w:tabs>
                <w:tab w:val="left" w:pos="851"/>
                <w:tab w:val="left" w:pos="7116"/>
              </w:tabs>
              <w:spacing w:after="0" w:line="276" w:lineRule="auto"/>
              <w:ind w:left="-84"/>
              <w:jc w:val="both"/>
              <w:rPr>
                <w:rFonts w:ascii="Times New Roman" w:hAnsi="Times New Roman"/>
                <w:sz w:val="28"/>
                <w:szCs w:val="28"/>
                <w:lang w:val="ru-MO"/>
              </w:rPr>
            </w:pPr>
            <w:r w:rsidRPr="00CD59C4">
              <w:rPr>
                <w:rFonts w:ascii="Times New Roman" w:hAnsi="Times New Roman"/>
                <w:sz w:val="28"/>
                <w:szCs w:val="28"/>
                <w:lang w:val="ru-MO"/>
              </w:rPr>
              <w:t xml:space="preserve"> </w:t>
            </w:r>
          </w:p>
        </w:tc>
        <w:tc>
          <w:tcPr>
            <w:tcW w:w="2186" w:type="dxa"/>
            <w:vAlign w:val="bottom"/>
          </w:tcPr>
          <w:p w:rsidR="00CE2D0C" w:rsidRPr="00CD59C4" w:rsidRDefault="00CE2D0C" w:rsidP="00266330">
            <w:pPr>
              <w:spacing w:after="0" w:line="240" w:lineRule="auto"/>
              <w:ind w:firstLine="317"/>
              <w:rPr>
                <w:rFonts w:ascii="Times New Roman" w:hAnsi="Times New Roman"/>
                <w:b/>
                <w:sz w:val="28"/>
                <w:szCs w:val="28"/>
                <w:lang w:val="ru-MO"/>
              </w:rPr>
            </w:pPr>
          </w:p>
        </w:tc>
      </w:tr>
      <w:tr w:rsidR="00CE2D0C" w:rsidRPr="00C21C23" w:rsidTr="00266330">
        <w:trPr>
          <w:trHeight w:val="642"/>
        </w:trPr>
        <w:tc>
          <w:tcPr>
            <w:tcW w:w="8471" w:type="dxa"/>
          </w:tcPr>
          <w:p w:rsidR="00CE2D0C" w:rsidRPr="00CD59C4" w:rsidRDefault="00CE2D0C" w:rsidP="00266330">
            <w:pPr>
              <w:spacing w:after="0" w:line="240" w:lineRule="auto"/>
              <w:rPr>
                <w:rFonts w:ascii="Times New Roman" w:eastAsia="Times New Roman" w:hAnsi="Times New Roman"/>
                <w:bCs/>
                <w:i/>
                <w:sz w:val="28"/>
                <w:szCs w:val="28"/>
                <w:lang w:val="ru-MO"/>
              </w:rPr>
            </w:pPr>
          </w:p>
          <w:p w:rsidR="00CE2D0C" w:rsidRPr="00CD59C4" w:rsidRDefault="00CE2D0C" w:rsidP="00266330">
            <w:pPr>
              <w:spacing w:after="0" w:line="240" w:lineRule="auto"/>
              <w:rPr>
                <w:rFonts w:ascii="Times New Roman" w:hAnsi="Times New Roman"/>
                <w:sz w:val="28"/>
                <w:szCs w:val="28"/>
                <w:lang w:val="ru-MO"/>
              </w:rPr>
            </w:pPr>
          </w:p>
        </w:tc>
        <w:tc>
          <w:tcPr>
            <w:tcW w:w="2186" w:type="dxa"/>
            <w:vAlign w:val="bottom"/>
          </w:tcPr>
          <w:p w:rsidR="00CE2D0C" w:rsidRPr="00CD59C4" w:rsidRDefault="00CE2D0C" w:rsidP="00266330">
            <w:pPr>
              <w:spacing w:after="0" w:line="240" w:lineRule="auto"/>
              <w:rPr>
                <w:rFonts w:ascii="Times New Roman" w:hAnsi="Times New Roman"/>
                <w:b/>
                <w:sz w:val="28"/>
                <w:szCs w:val="28"/>
                <w:lang w:val="ru-MO"/>
              </w:rPr>
            </w:pPr>
          </w:p>
        </w:tc>
      </w:tr>
    </w:tbl>
    <w:p w:rsidR="00CE2D0C" w:rsidRPr="00CE6109" w:rsidRDefault="00CE2D0C" w:rsidP="00CE2D0C">
      <w:pPr>
        <w:tabs>
          <w:tab w:val="left" w:pos="851"/>
        </w:tabs>
        <w:ind w:firstLine="567"/>
        <w:jc w:val="both"/>
        <w:rPr>
          <w:rFonts w:ascii="Times New Roman" w:eastAsia="Times New Roman" w:hAnsi="Times New Roman"/>
          <w:bCs/>
          <w:iCs/>
          <w:sz w:val="28"/>
          <w:szCs w:val="28"/>
          <w:lang w:val="ru-MO"/>
        </w:rPr>
      </w:pPr>
      <w:r w:rsidRPr="00CE6109">
        <w:rPr>
          <w:rFonts w:ascii="Times New Roman" w:eastAsia="Times New Roman" w:hAnsi="Times New Roman"/>
          <w:bCs/>
          <w:iCs/>
          <w:sz w:val="28"/>
          <w:szCs w:val="28"/>
          <w:lang w:val="ru-MO"/>
        </w:rPr>
        <w:br w:type="page"/>
      </w:r>
    </w:p>
    <w:p w:rsidR="00CE2D0C" w:rsidRPr="00CE6109" w:rsidRDefault="00CE2D0C" w:rsidP="00CE2D0C">
      <w:pPr>
        <w:pStyle w:val="Listparagraf"/>
        <w:numPr>
          <w:ilvl w:val="0"/>
          <w:numId w:val="1"/>
        </w:numPr>
        <w:tabs>
          <w:tab w:val="left" w:pos="1134"/>
        </w:tabs>
        <w:ind w:left="0" w:firstLine="567"/>
        <w:outlineLvl w:val="0"/>
        <w:rPr>
          <w:rFonts w:ascii="Times New Roman" w:hAnsi="Times New Roman"/>
          <w:b/>
          <w:color w:val="000000"/>
          <w:sz w:val="32"/>
          <w:szCs w:val="32"/>
          <w:lang w:val="ru-MO"/>
        </w:rPr>
      </w:pPr>
      <w:bookmarkStart w:id="46" w:name="_Toc443550624"/>
      <w:bookmarkStart w:id="47" w:name="_Toc447552135"/>
      <w:r w:rsidRPr="00CE6109">
        <w:rPr>
          <w:rFonts w:ascii="Times New Roman" w:hAnsi="Times New Roman"/>
          <w:b/>
          <w:color w:val="000000"/>
          <w:sz w:val="28"/>
          <w:szCs w:val="28"/>
          <w:lang w:val="ru-MO"/>
        </w:rPr>
        <w:lastRenderedPageBreak/>
        <w:t xml:space="preserve"> </w:t>
      </w:r>
      <w:bookmarkStart w:id="48" w:name="_Toc454287236"/>
      <w:r w:rsidRPr="00CE6109">
        <w:rPr>
          <w:rFonts w:ascii="Times New Roman" w:hAnsi="Times New Roman"/>
          <w:b/>
          <w:color w:val="000000"/>
          <w:sz w:val="28"/>
          <w:szCs w:val="28"/>
          <w:lang w:val="ru-MO"/>
        </w:rPr>
        <w:t>ПРИЛОЖЕНИЯ</w:t>
      </w:r>
      <w:bookmarkEnd w:id="46"/>
      <w:bookmarkEnd w:id="47"/>
      <w:bookmarkEnd w:id="48"/>
    </w:p>
    <w:p w:rsidR="00CE2D0C" w:rsidRPr="00CE6109" w:rsidRDefault="00CE2D0C" w:rsidP="00CE2D0C">
      <w:pPr>
        <w:pStyle w:val="Titlu2"/>
        <w:jc w:val="right"/>
        <w:rPr>
          <w:rFonts w:ascii="Times New Roman" w:hAnsi="Times New Roman"/>
          <w:b/>
          <w:color w:val="auto"/>
          <w:sz w:val="28"/>
          <w:szCs w:val="28"/>
          <w:lang w:val="ru-MO"/>
        </w:rPr>
      </w:pPr>
      <w:bookmarkStart w:id="49" w:name="_Toc454287237"/>
      <w:r w:rsidRPr="00CE6109">
        <w:rPr>
          <w:rFonts w:ascii="Times New Roman" w:hAnsi="Times New Roman"/>
          <w:b/>
          <w:color w:val="auto"/>
          <w:sz w:val="28"/>
          <w:szCs w:val="28"/>
          <w:lang w:val="ru-MO"/>
        </w:rPr>
        <w:t>Приложение №1</w:t>
      </w:r>
      <w:bookmarkEnd w:id="49"/>
    </w:p>
    <w:p w:rsidR="00CE2D0C" w:rsidRPr="00CE6109" w:rsidRDefault="00CE2D0C" w:rsidP="00CE2D0C">
      <w:pPr>
        <w:pStyle w:val="Titlu2"/>
        <w:spacing w:after="240"/>
        <w:jc w:val="center"/>
        <w:rPr>
          <w:rFonts w:ascii="Times New Roman" w:hAnsi="Times New Roman"/>
          <w:b/>
          <w:i/>
          <w:color w:val="auto"/>
          <w:sz w:val="28"/>
          <w:szCs w:val="28"/>
          <w:lang w:val="ru-MO"/>
        </w:rPr>
      </w:pPr>
      <w:bookmarkStart w:id="50" w:name="_Toc454287238"/>
      <w:r w:rsidRPr="00CE6109">
        <w:rPr>
          <w:rFonts w:ascii="Times New Roman" w:hAnsi="Times New Roman"/>
          <w:b/>
          <w:i/>
          <w:color w:val="auto"/>
          <w:sz w:val="28"/>
          <w:szCs w:val="28"/>
          <w:lang w:val="ru-MO"/>
        </w:rPr>
        <w:t>Процедуры, подвергнутые проверке, и применяемые критерии</w:t>
      </w:r>
      <w:bookmarkEnd w:id="50"/>
      <w:r w:rsidRPr="00CE6109">
        <w:rPr>
          <w:rFonts w:ascii="Times New Roman" w:hAnsi="Times New Roman"/>
          <w:b/>
          <w:i/>
          <w:color w:val="auto"/>
          <w:sz w:val="28"/>
          <w:szCs w:val="28"/>
          <w:lang w:val="ru-MO"/>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485"/>
      </w:tblGrid>
      <w:tr w:rsidR="00CE2D0C" w:rsidRPr="00CD59C4" w:rsidTr="00266330">
        <w:tc>
          <w:tcPr>
            <w:tcW w:w="3115" w:type="dxa"/>
          </w:tcPr>
          <w:p w:rsidR="00CE2D0C" w:rsidRPr="00CD59C4" w:rsidRDefault="00CE2D0C" w:rsidP="00266330">
            <w:pPr>
              <w:spacing w:after="0" w:line="240" w:lineRule="auto"/>
              <w:jc w:val="center"/>
              <w:rPr>
                <w:b/>
                <w:sz w:val="20"/>
                <w:szCs w:val="20"/>
                <w:lang w:val="ru-MO"/>
              </w:rPr>
            </w:pPr>
            <w:r w:rsidRPr="00CD59C4">
              <w:rPr>
                <w:b/>
                <w:sz w:val="20"/>
                <w:szCs w:val="20"/>
                <w:lang w:val="ru-MO"/>
              </w:rPr>
              <w:t>Оцененный процесс</w:t>
            </w:r>
          </w:p>
        </w:tc>
        <w:tc>
          <w:tcPr>
            <w:tcW w:w="3115" w:type="dxa"/>
          </w:tcPr>
          <w:p w:rsidR="00CE2D0C" w:rsidRPr="00CD59C4" w:rsidRDefault="00CE2D0C" w:rsidP="00266330">
            <w:pPr>
              <w:spacing w:after="0" w:line="240" w:lineRule="auto"/>
              <w:jc w:val="center"/>
              <w:rPr>
                <w:b/>
                <w:sz w:val="20"/>
                <w:szCs w:val="20"/>
                <w:lang w:val="ru-MO"/>
              </w:rPr>
            </w:pPr>
            <w:r w:rsidRPr="00CD59C4">
              <w:rPr>
                <w:b/>
                <w:sz w:val="20"/>
                <w:szCs w:val="20"/>
                <w:lang w:val="ru-MO"/>
              </w:rPr>
              <w:t>Применяемые критерии</w:t>
            </w:r>
          </w:p>
        </w:tc>
        <w:tc>
          <w:tcPr>
            <w:tcW w:w="3485" w:type="dxa"/>
          </w:tcPr>
          <w:p w:rsidR="00CE2D0C" w:rsidRPr="00CD59C4" w:rsidRDefault="00CE2D0C" w:rsidP="00266330">
            <w:pPr>
              <w:tabs>
                <w:tab w:val="left" w:pos="150"/>
              </w:tabs>
              <w:spacing w:after="0" w:line="240" w:lineRule="auto"/>
              <w:jc w:val="center"/>
              <w:rPr>
                <w:b/>
                <w:sz w:val="20"/>
                <w:szCs w:val="20"/>
                <w:lang w:val="ru-MO"/>
              </w:rPr>
            </w:pPr>
            <w:r w:rsidRPr="00CD59C4">
              <w:rPr>
                <w:b/>
                <w:sz w:val="20"/>
                <w:szCs w:val="20"/>
                <w:lang w:val="ru-MO"/>
              </w:rPr>
              <w:t xml:space="preserve">Аудиторские процедуры и техники </w:t>
            </w:r>
          </w:p>
        </w:tc>
      </w:tr>
      <w:tr w:rsidR="00CE2D0C" w:rsidRPr="00CD59C4" w:rsidTr="00266330">
        <w:tc>
          <w:tcPr>
            <w:tcW w:w="3115" w:type="dxa"/>
          </w:tcPr>
          <w:p w:rsidR="00CE2D0C" w:rsidRPr="00CD59C4" w:rsidRDefault="00CE2D0C" w:rsidP="00266330">
            <w:pPr>
              <w:spacing w:after="0" w:line="240" w:lineRule="auto"/>
              <w:jc w:val="both"/>
              <w:rPr>
                <w:sz w:val="20"/>
                <w:szCs w:val="20"/>
                <w:lang w:val="ru-MO"/>
              </w:rPr>
            </w:pPr>
            <w:r w:rsidRPr="00CD59C4">
              <w:rPr>
                <w:sz w:val="20"/>
                <w:szCs w:val="20"/>
                <w:lang w:val="ru-MO"/>
              </w:rPr>
              <w:t xml:space="preserve">Планирование, контрактация, исполнение и оплата предоставляемых медицинских услуг </w:t>
            </w:r>
          </w:p>
        </w:tc>
        <w:tc>
          <w:tcPr>
            <w:tcW w:w="3115" w:type="dxa"/>
          </w:tcPr>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 xml:space="preserve">Закон о фондах обязательного медицинского страхования на 2015 год №74 от 12.04.2015 </w:t>
            </w:r>
          </w:p>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Постановление Правительства №1387 от 10.12.2007 „Об утверждении Единой программы обязательного медицинского страхования”.</w:t>
            </w:r>
          </w:p>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Приказ министра Здравоохранения №400/219 от 28.05.2015 „Об утверждении Методологических норм применения в 2015 году Единой программы обязательного медицинского страхования”</w:t>
            </w:r>
            <w:r w:rsidRPr="00CD59C4">
              <w:rPr>
                <w:bCs/>
                <w:color w:val="000000"/>
                <w:sz w:val="20"/>
                <w:szCs w:val="20"/>
                <w:lang w:val="ru-MO"/>
              </w:rPr>
              <w:t>.</w:t>
            </w:r>
          </w:p>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Совместный приказ Министерства здравоохранения и НМСК №396/209 от 27.05.2015 „Об утверждении Методологических норм по формированию сметы доходов и расходов (бизнес-плана) и управлению финансовыми средствами ПМСУ, включенными в систему обязательного медицинского страхования”, утвержденных Министерством здравоохранения, НМСК и Профсоюзом „Sănătatea”.</w:t>
            </w:r>
          </w:p>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 xml:space="preserve">Приказ директора ПМСУ ИУМ № 173 от 07.08.2014 о накоплении потребностей на 2015 год. </w:t>
            </w:r>
          </w:p>
          <w:p w:rsidR="00CE2D0C" w:rsidRPr="00CD59C4" w:rsidRDefault="00CE2D0C" w:rsidP="00266330">
            <w:pPr>
              <w:pStyle w:val="Listparagraf"/>
              <w:numPr>
                <w:ilvl w:val="0"/>
                <w:numId w:val="24"/>
              </w:numPr>
              <w:tabs>
                <w:tab w:val="left" w:pos="282"/>
              </w:tabs>
              <w:spacing w:after="0" w:line="240" w:lineRule="auto"/>
              <w:ind w:left="0" w:firstLine="0"/>
              <w:jc w:val="both"/>
              <w:rPr>
                <w:sz w:val="20"/>
                <w:szCs w:val="20"/>
                <w:lang w:val="ru-MO"/>
              </w:rPr>
            </w:pPr>
            <w:r w:rsidRPr="00CD59C4">
              <w:rPr>
                <w:sz w:val="20"/>
                <w:szCs w:val="20"/>
                <w:lang w:val="ru-MO"/>
              </w:rPr>
              <w:t>Приказ НМСК и Министерства здравоохранения №397/125 от 05.04.2013 об утверждении Положения о порядке кодирования, сбора, отчетности и проверки данных на уровне пациента в рамках финансирования больниц на основе ДСГ (DRG) (CASE-MIXT)</w:t>
            </w:r>
          </w:p>
        </w:tc>
        <w:tc>
          <w:tcPr>
            <w:tcW w:w="3485" w:type="dxa"/>
          </w:tcPr>
          <w:p w:rsidR="00CE2D0C" w:rsidRPr="00CD59C4" w:rsidRDefault="00CE2D0C" w:rsidP="00266330">
            <w:pPr>
              <w:pStyle w:val="Listparagraf"/>
              <w:numPr>
                <w:ilvl w:val="0"/>
                <w:numId w:val="36"/>
              </w:numPr>
              <w:tabs>
                <w:tab w:val="left" w:pos="257"/>
              </w:tabs>
              <w:spacing w:after="0" w:line="276" w:lineRule="auto"/>
              <w:ind w:left="47" w:firstLine="0"/>
              <w:rPr>
                <w:sz w:val="20"/>
                <w:szCs w:val="20"/>
                <w:lang w:val="ru-MO"/>
              </w:rPr>
            </w:pPr>
            <w:r w:rsidRPr="00CD59C4">
              <w:rPr>
                <w:sz w:val="20"/>
                <w:szCs w:val="20"/>
                <w:lang w:val="ru-MO"/>
              </w:rPr>
              <w:t>Проверка /рассмотрение документов.</w:t>
            </w:r>
          </w:p>
          <w:p w:rsidR="00CE2D0C" w:rsidRPr="00CD59C4" w:rsidRDefault="00CE2D0C" w:rsidP="00266330">
            <w:pPr>
              <w:pStyle w:val="Listparagraf"/>
              <w:numPr>
                <w:ilvl w:val="0"/>
                <w:numId w:val="36"/>
              </w:numPr>
              <w:tabs>
                <w:tab w:val="left" w:pos="257"/>
              </w:tabs>
              <w:spacing w:after="0" w:line="276" w:lineRule="auto"/>
              <w:ind w:left="47" w:firstLine="0"/>
              <w:rPr>
                <w:sz w:val="20"/>
                <w:szCs w:val="20"/>
                <w:lang w:val="ru-MO"/>
              </w:rPr>
            </w:pPr>
            <w:r w:rsidRPr="00CD59C4">
              <w:rPr>
                <w:sz w:val="20"/>
                <w:szCs w:val="20"/>
                <w:lang w:val="ru-MO"/>
              </w:rPr>
              <w:t xml:space="preserve">Пересчет </w:t>
            </w:r>
          </w:p>
          <w:p w:rsidR="00CE2D0C" w:rsidRPr="00CD59C4" w:rsidRDefault="00CE2D0C" w:rsidP="00266330">
            <w:pPr>
              <w:pStyle w:val="Listparagraf"/>
              <w:tabs>
                <w:tab w:val="left" w:pos="257"/>
                <w:tab w:val="left" w:pos="323"/>
              </w:tabs>
              <w:spacing w:after="0" w:line="240" w:lineRule="auto"/>
              <w:ind w:left="0"/>
              <w:rPr>
                <w:sz w:val="20"/>
                <w:szCs w:val="20"/>
                <w:lang w:val="ru-MO"/>
              </w:rPr>
            </w:pPr>
          </w:p>
        </w:tc>
      </w:tr>
      <w:tr w:rsidR="00CE2D0C" w:rsidRPr="00CD59C4" w:rsidTr="00266330">
        <w:tc>
          <w:tcPr>
            <w:tcW w:w="3115" w:type="dxa"/>
          </w:tcPr>
          <w:p w:rsidR="00CE2D0C" w:rsidRPr="00CD59C4" w:rsidRDefault="00CE2D0C" w:rsidP="00266330">
            <w:pPr>
              <w:spacing w:after="0" w:line="240" w:lineRule="auto"/>
              <w:rPr>
                <w:sz w:val="20"/>
                <w:szCs w:val="20"/>
                <w:lang w:val="ru-MO"/>
              </w:rPr>
            </w:pPr>
            <w:r w:rsidRPr="00CD59C4">
              <w:rPr>
                <w:sz w:val="20"/>
                <w:szCs w:val="20"/>
                <w:lang w:val="ru-MO"/>
              </w:rPr>
              <w:t>Обеспечение необходимыми лекарствами для лечения пациентов</w:t>
            </w:r>
          </w:p>
        </w:tc>
        <w:tc>
          <w:tcPr>
            <w:tcW w:w="3115" w:type="dxa"/>
          </w:tcPr>
          <w:p w:rsidR="00CE2D0C" w:rsidRPr="00CD59C4" w:rsidRDefault="00CE2D0C" w:rsidP="00266330">
            <w:pPr>
              <w:pStyle w:val="Listparagraf"/>
              <w:numPr>
                <w:ilvl w:val="0"/>
                <w:numId w:val="25"/>
              </w:numPr>
              <w:tabs>
                <w:tab w:val="left" w:pos="288"/>
              </w:tabs>
              <w:spacing w:after="0" w:line="240" w:lineRule="auto"/>
              <w:ind w:left="12" w:hanging="12"/>
              <w:jc w:val="both"/>
              <w:rPr>
                <w:sz w:val="20"/>
                <w:szCs w:val="20"/>
                <w:lang w:val="ru-MO"/>
              </w:rPr>
            </w:pPr>
            <w:r w:rsidRPr="00CD59C4">
              <w:rPr>
                <w:sz w:val="20"/>
                <w:szCs w:val="20"/>
                <w:lang w:val="ru-MO"/>
              </w:rPr>
              <w:t xml:space="preserve">Приказ Министерства здравоохранения № 322 от 22.11.2002 о помощи лекарствами госпитализированным больным. </w:t>
            </w:r>
          </w:p>
          <w:p w:rsidR="00CE2D0C" w:rsidRPr="00CD59C4" w:rsidRDefault="00CE2D0C" w:rsidP="00266330">
            <w:pPr>
              <w:pStyle w:val="Listparagraf"/>
              <w:numPr>
                <w:ilvl w:val="0"/>
                <w:numId w:val="25"/>
              </w:numPr>
              <w:tabs>
                <w:tab w:val="left" w:pos="282"/>
              </w:tabs>
              <w:spacing w:after="0" w:line="240" w:lineRule="auto"/>
              <w:ind w:left="12" w:hanging="12"/>
              <w:jc w:val="both"/>
              <w:rPr>
                <w:sz w:val="20"/>
                <w:szCs w:val="20"/>
                <w:lang w:val="ru-MO"/>
              </w:rPr>
            </w:pPr>
            <w:r w:rsidRPr="00CD59C4">
              <w:rPr>
                <w:sz w:val="20"/>
                <w:szCs w:val="20"/>
                <w:lang w:val="ru-MO"/>
              </w:rPr>
              <w:t>Приказ Министерства здравоохранения №426 от 11.05.2012 „Об утверждении статистических форм первичного медицинского учета”.</w:t>
            </w:r>
          </w:p>
          <w:p w:rsidR="00CE2D0C" w:rsidRPr="00CD59C4" w:rsidRDefault="00CE2D0C" w:rsidP="00266330">
            <w:pPr>
              <w:pStyle w:val="Listparagraf"/>
              <w:numPr>
                <w:ilvl w:val="0"/>
                <w:numId w:val="25"/>
              </w:numPr>
              <w:tabs>
                <w:tab w:val="left" w:pos="282"/>
              </w:tabs>
              <w:spacing w:after="0" w:line="240" w:lineRule="auto"/>
              <w:ind w:left="12" w:hanging="12"/>
              <w:jc w:val="both"/>
              <w:rPr>
                <w:sz w:val="20"/>
                <w:szCs w:val="20"/>
                <w:lang w:val="ru-MO"/>
              </w:rPr>
            </w:pPr>
            <w:r w:rsidRPr="00CD59C4">
              <w:rPr>
                <w:sz w:val="20"/>
                <w:szCs w:val="20"/>
                <w:lang w:val="ru-MO"/>
              </w:rPr>
              <w:t xml:space="preserve">Приказ Министерства здравоохранения №400/219 от </w:t>
            </w:r>
            <w:r w:rsidRPr="00CD59C4">
              <w:rPr>
                <w:sz w:val="20"/>
                <w:szCs w:val="20"/>
                <w:lang w:val="ru-MO"/>
              </w:rPr>
              <w:lastRenderedPageBreak/>
              <w:t>28.05.2015 об утверждении Методологических норм применения в 2015 году Единой программы обязательного медицинского страхования</w:t>
            </w:r>
            <w:r w:rsidRPr="00CD59C4">
              <w:rPr>
                <w:bCs/>
                <w:color w:val="000000"/>
                <w:sz w:val="20"/>
                <w:szCs w:val="20"/>
                <w:lang w:val="ru-MO"/>
              </w:rPr>
              <w:t>.</w:t>
            </w:r>
          </w:p>
          <w:p w:rsidR="00CE2D0C" w:rsidRPr="00CD59C4" w:rsidRDefault="00CE2D0C" w:rsidP="00266330">
            <w:pPr>
              <w:pStyle w:val="Listparagraf"/>
              <w:numPr>
                <w:ilvl w:val="0"/>
                <w:numId w:val="25"/>
              </w:numPr>
              <w:tabs>
                <w:tab w:val="left" w:pos="282"/>
              </w:tabs>
              <w:spacing w:after="0" w:line="240" w:lineRule="auto"/>
              <w:ind w:left="12" w:hanging="12"/>
              <w:jc w:val="both"/>
              <w:rPr>
                <w:sz w:val="20"/>
                <w:szCs w:val="20"/>
                <w:lang w:val="ru-MO"/>
              </w:rPr>
            </w:pPr>
            <w:r w:rsidRPr="00CD59C4">
              <w:rPr>
                <w:sz w:val="20"/>
                <w:szCs w:val="20"/>
                <w:lang w:val="ru-MO"/>
              </w:rPr>
              <w:t>Совместный приказ Министерства здравоохранения и НМСК № 396/209 от 27.05.2015 об утверждении Методологических норм по формированию сметы доходов и расходов (бизнес-плана) и управлению финансовыми средствами ПМСУ, включенных в систему обязательного медицинского страхования, утвержденных Министерством здравоохранения, НМСК и Профсоюзом „Sănătatea” .</w:t>
            </w:r>
          </w:p>
          <w:p w:rsidR="00CE2D0C" w:rsidRPr="00CD59C4" w:rsidRDefault="00CE2D0C" w:rsidP="00266330">
            <w:pPr>
              <w:pStyle w:val="Listparagraf"/>
              <w:numPr>
                <w:ilvl w:val="0"/>
                <w:numId w:val="25"/>
              </w:numPr>
              <w:tabs>
                <w:tab w:val="left" w:pos="282"/>
              </w:tabs>
              <w:spacing w:after="0" w:line="240" w:lineRule="auto"/>
              <w:ind w:left="12" w:hanging="12"/>
              <w:jc w:val="both"/>
              <w:rPr>
                <w:sz w:val="20"/>
                <w:szCs w:val="20"/>
                <w:lang w:val="ru-MO"/>
              </w:rPr>
            </w:pPr>
            <w:r w:rsidRPr="00CD59C4">
              <w:rPr>
                <w:sz w:val="20"/>
                <w:szCs w:val="20"/>
                <w:lang w:val="ru-MO"/>
              </w:rPr>
              <w:t xml:space="preserve">Совместный приказ Министерства здравоохранения и НМСК №205/94 от 19.03.2015 об утверждении формы №1-16/d  </w:t>
            </w:r>
          </w:p>
        </w:tc>
        <w:tc>
          <w:tcPr>
            <w:tcW w:w="3485" w:type="dxa"/>
          </w:tcPr>
          <w:p w:rsidR="00CE2D0C" w:rsidRPr="00CD59C4" w:rsidRDefault="00CE2D0C" w:rsidP="00266330">
            <w:pPr>
              <w:pStyle w:val="Listparagraf"/>
              <w:tabs>
                <w:tab w:val="left" w:pos="257"/>
              </w:tabs>
              <w:spacing w:after="0" w:line="276" w:lineRule="auto"/>
              <w:ind w:left="47"/>
              <w:rPr>
                <w:sz w:val="20"/>
                <w:szCs w:val="20"/>
                <w:lang w:val="ru-MO"/>
              </w:rPr>
            </w:pPr>
            <w:r w:rsidRPr="00CD59C4">
              <w:rPr>
                <w:sz w:val="20"/>
                <w:szCs w:val="20"/>
                <w:lang w:val="ru-MO"/>
              </w:rPr>
              <w:lastRenderedPageBreak/>
              <w:t>1. Проверка /рассмотрение документов.</w:t>
            </w:r>
          </w:p>
          <w:p w:rsidR="00CE2D0C" w:rsidRPr="00CD59C4" w:rsidRDefault="00CE2D0C" w:rsidP="00266330">
            <w:pPr>
              <w:pStyle w:val="Listparagraf"/>
              <w:tabs>
                <w:tab w:val="left" w:pos="257"/>
              </w:tabs>
              <w:spacing w:after="0" w:line="276" w:lineRule="auto"/>
              <w:ind w:left="47"/>
              <w:rPr>
                <w:sz w:val="20"/>
                <w:szCs w:val="20"/>
                <w:lang w:val="ru-MO"/>
              </w:rPr>
            </w:pPr>
            <w:r w:rsidRPr="00CD59C4">
              <w:rPr>
                <w:sz w:val="20"/>
                <w:szCs w:val="20"/>
                <w:lang w:val="ru-MO"/>
              </w:rPr>
              <w:t>2. Пересчет</w:t>
            </w:r>
          </w:p>
          <w:p w:rsidR="00CE2D0C" w:rsidRPr="00CD59C4" w:rsidRDefault="00CE2D0C" w:rsidP="00266330">
            <w:pPr>
              <w:tabs>
                <w:tab w:val="left" w:pos="150"/>
              </w:tabs>
              <w:spacing w:after="0" w:line="240" w:lineRule="auto"/>
              <w:rPr>
                <w:sz w:val="20"/>
                <w:szCs w:val="20"/>
                <w:lang w:val="ru-MO"/>
              </w:rPr>
            </w:pPr>
          </w:p>
        </w:tc>
      </w:tr>
      <w:tr w:rsidR="00CE2D0C" w:rsidRPr="00CD59C4" w:rsidTr="00266330">
        <w:tc>
          <w:tcPr>
            <w:tcW w:w="3115" w:type="dxa"/>
          </w:tcPr>
          <w:p w:rsidR="00CE2D0C" w:rsidRPr="00CD59C4" w:rsidRDefault="00CE2D0C" w:rsidP="00266330">
            <w:pPr>
              <w:spacing w:after="0" w:line="240" w:lineRule="auto"/>
              <w:rPr>
                <w:sz w:val="20"/>
                <w:szCs w:val="20"/>
                <w:lang w:val="ru-MO"/>
              </w:rPr>
            </w:pPr>
            <w:r w:rsidRPr="00CD59C4">
              <w:rPr>
                <w:sz w:val="20"/>
                <w:szCs w:val="20"/>
                <w:lang w:val="ru-MO"/>
              </w:rPr>
              <w:lastRenderedPageBreak/>
              <w:t>Учет и отчетность расходов на износ основных средств</w:t>
            </w:r>
          </w:p>
        </w:tc>
        <w:tc>
          <w:tcPr>
            <w:tcW w:w="3115" w:type="dxa"/>
          </w:tcPr>
          <w:p w:rsidR="00CE2D0C" w:rsidRPr="00CD59C4" w:rsidRDefault="00CE2D0C" w:rsidP="00266330">
            <w:pPr>
              <w:pStyle w:val="Textnotdesubsol"/>
              <w:numPr>
                <w:ilvl w:val="0"/>
                <w:numId w:val="26"/>
              </w:numPr>
              <w:tabs>
                <w:tab w:val="left" w:pos="288"/>
                <w:tab w:val="left" w:pos="314"/>
                <w:tab w:val="left" w:pos="480"/>
              </w:tabs>
              <w:ind w:left="12" w:firstLine="0"/>
              <w:jc w:val="both"/>
              <w:rPr>
                <w:lang w:val="ru-MO"/>
              </w:rPr>
            </w:pPr>
            <w:r w:rsidRPr="00CD59C4">
              <w:rPr>
                <w:lang w:val="ru-MO"/>
              </w:rPr>
              <w:t>Методические указания о бухгалтерском учете производственных затрат и калькуляции себестоимости продукции и услуг, утвержденные Приказом министра Финансов №118 от 06.08.2013 „Об утверждении Национальных стандартов бухгалтерского учета”.</w:t>
            </w:r>
          </w:p>
          <w:p w:rsidR="00CE2D0C" w:rsidRPr="00CD59C4" w:rsidRDefault="00CE2D0C" w:rsidP="00266330">
            <w:pPr>
              <w:pStyle w:val="Textnotdesubsol"/>
              <w:numPr>
                <w:ilvl w:val="0"/>
                <w:numId w:val="26"/>
              </w:numPr>
              <w:tabs>
                <w:tab w:val="left" w:pos="288"/>
                <w:tab w:val="left" w:pos="314"/>
                <w:tab w:val="left" w:pos="480"/>
              </w:tabs>
              <w:ind w:left="12" w:firstLine="0"/>
              <w:jc w:val="both"/>
              <w:rPr>
                <w:lang w:val="ru-MO"/>
              </w:rPr>
            </w:pPr>
            <w:r w:rsidRPr="00CD59C4">
              <w:rPr>
                <w:lang w:val="ru-MO"/>
              </w:rPr>
              <w:t xml:space="preserve">Постановление Правительства №1020 от 29.12.2011 „О тарифах на медико-санитарные услуги” </w:t>
            </w:r>
          </w:p>
        </w:tc>
        <w:tc>
          <w:tcPr>
            <w:tcW w:w="3485" w:type="dxa"/>
          </w:tcPr>
          <w:p w:rsidR="00CE2D0C" w:rsidRPr="00CD59C4" w:rsidRDefault="00CE2D0C" w:rsidP="00266330">
            <w:pPr>
              <w:pStyle w:val="Listparagraf"/>
              <w:numPr>
                <w:ilvl w:val="0"/>
                <w:numId w:val="30"/>
              </w:numPr>
              <w:tabs>
                <w:tab w:val="left" w:pos="257"/>
              </w:tabs>
              <w:spacing w:after="0" w:line="276" w:lineRule="auto"/>
              <w:ind w:left="0" w:firstLine="0"/>
              <w:rPr>
                <w:sz w:val="20"/>
                <w:szCs w:val="20"/>
                <w:lang w:val="ru-MO"/>
              </w:rPr>
            </w:pPr>
            <w:r w:rsidRPr="00CD59C4">
              <w:rPr>
                <w:sz w:val="20"/>
                <w:szCs w:val="20"/>
                <w:lang w:val="ru-MO"/>
              </w:rPr>
              <w:t>Проверка /рассмотрение документов.</w:t>
            </w:r>
          </w:p>
          <w:p w:rsidR="00CE2D0C" w:rsidRPr="00CD59C4" w:rsidRDefault="00CE2D0C" w:rsidP="00266330">
            <w:pPr>
              <w:pStyle w:val="Listparagraf"/>
              <w:numPr>
                <w:ilvl w:val="0"/>
                <w:numId w:val="30"/>
              </w:numPr>
              <w:tabs>
                <w:tab w:val="left" w:pos="257"/>
              </w:tabs>
              <w:spacing w:after="0" w:line="276" w:lineRule="auto"/>
              <w:ind w:left="0" w:firstLine="0"/>
              <w:rPr>
                <w:sz w:val="20"/>
                <w:szCs w:val="20"/>
                <w:lang w:val="ru-MO"/>
              </w:rPr>
            </w:pPr>
            <w:r w:rsidRPr="00CD59C4">
              <w:rPr>
                <w:sz w:val="20"/>
                <w:szCs w:val="20"/>
                <w:lang w:val="ru-MO"/>
              </w:rPr>
              <w:t>Пересчет</w:t>
            </w:r>
          </w:p>
          <w:p w:rsidR="00CE2D0C" w:rsidRPr="00CD59C4" w:rsidRDefault="00CE2D0C" w:rsidP="00266330">
            <w:pPr>
              <w:tabs>
                <w:tab w:val="left" w:pos="323"/>
              </w:tabs>
              <w:spacing w:after="0" w:line="240" w:lineRule="auto"/>
              <w:rPr>
                <w:sz w:val="20"/>
                <w:szCs w:val="20"/>
                <w:lang w:val="ru-MO"/>
              </w:rPr>
            </w:pPr>
          </w:p>
        </w:tc>
      </w:tr>
      <w:tr w:rsidR="00CE2D0C" w:rsidRPr="00CD59C4" w:rsidTr="00266330">
        <w:tc>
          <w:tcPr>
            <w:tcW w:w="3115" w:type="dxa"/>
          </w:tcPr>
          <w:p w:rsidR="00CE2D0C" w:rsidRPr="00CD59C4" w:rsidRDefault="00CE2D0C" w:rsidP="00266330">
            <w:pPr>
              <w:spacing w:before="120" w:after="120" w:line="240" w:lineRule="auto"/>
              <w:jc w:val="both"/>
              <w:rPr>
                <w:sz w:val="20"/>
                <w:szCs w:val="20"/>
                <w:lang w:val="ru-MO"/>
              </w:rPr>
            </w:pPr>
            <w:r w:rsidRPr="00CD59C4">
              <w:rPr>
                <w:sz w:val="20"/>
                <w:szCs w:val="20"/>
                <w:lang w:val="ru-MO"/>
              </w:rPr>
              <w:t xml:space="preserve">Использование средств из Фонда развития и модернизации публичных поставщиков за счет ФОМС </w:t>
            </w:r>
          </w:p>
          <w:p w:rsidR="00CE2D0C" w:rsidRPr="00CD59C4" w:rsidRDefault="00CE2D0C" w:rsidP="00266330">
            <w:pPr>
              <w:spacing w:after="0" w:line="240" w:lineRule="auto"/>
              <w:rPr>
                <w:sz w:val="20"/>
                <w:szCs w:val="20"/>
                <w:lang w:val="ru-MO"/>
              </w:rPr>
            </w:pPr>
          </w:p>
        </w:tc>
        <w:tc>
          <w:tcPr>
            <w:tcW w:w="3115" w:type="dxa"/>
          </w:tcPr>
          <w:p w:rsidR="00CE2D0C" w:rsidRPr="00CD59C4" w:rsidRDefault="00CE2D0C" w:rsidP="00266330">
            <w:pPr>
              <w:pStyle w:val="Textnotdesubsol"/>
              <w:numPr>
                <w:ilvl w:val="0"/>
                <w:numId w:val="27"/>
              </w:numPr>
              <w:tabs>
                <w:tab w:val="left" w:pos="288"/>
                <w:tab w:val="left" w:pos="314"/>
              </w:tabs>
              <w:ind w:left="0" w:firstLine="0"/>
              <w:jc w:val="both"/>
              <w:rPr>
                <w:lang w:val="ru-MO"/>
              </w:rPr>
            </w:pPr>
            <w:r w:rsidRPr="00CD59C4">
              <w:rPr>
                <w:lang w:val="ru-MO"/>
              </w:rPr>
              <w:t>Закон о медицинских изделиях №92 от 26.04.2012.</w:t>
            </w:r>
          </w:p>
          <w:p w:rsidR="00CE2D0C" w:rsidRPr="00CD59C4" w:rsidRDefault="00CE2D0C" w:rsidP="00266330">
            <w:pPr>
              <w:pStyle w:val="Textnotdesubsol"/>
              <w:numPr>
                <w:ilvl w:val="0"/>
                <w:numId w:val="27"/>
              </w:numPr>
              <w:tabs>
                <w:tab w:val="left" w:pos="288"/>
                <w:tab w:val="left" w:pos="314"/>
              </w:tabs>
              <w:ind w:left="0" w:firstLine="0"/>
              <w:jc w:val="both"/>
              <w:rPr>
                <w:lang w:val="ru-MO"/>
              </w:rPr>
            </w:pPr>
            <w:r w:rsidRPr="00CD59C4">
              <w:rPr>
                <w:rFonts w:eastAsia="Times New Roman"/>
                <w:lang w:val="ru-MO"/>
              </w:rPr>
              <w:t xml:space="preserve">Закон о государственных закупках №96-XVI от 13.04.2007. </w:t>
            </w:r>
          </w:p>
          <w:p w:rsidR="00CE2D0C" w:rsidRPr="00CD59C4" w:rsidRDefault="00CE2D0C" w:rsidP="00266330">
            <w:pPr>
              <w:pStyle w:val="Textnotdesubsol"/>
              <w:numPr>
                <w:ilvl w:val="0"/>
                <w:numId w:val="27"/>
              </w:numPr>
              <w:tabs>
                <w:tab w:val="left" w:pos="288"/>
                <w:tab w:val="left" w:pos="314"/>
              </w:tabs>
              <w:ind w:left="0" w:firstLine="0"/>
              <w:jc w:val="both"/>
              <w:rPr>
                <w:lang w:val="ru-MO"/>
              </w:rPr>
            </w:pPr>
            <w:r w:rsidRPr="00CD59C4">
              <w:rPr>
                <w:lang w:val="ru-MO"/>
              </w:rPr>
              <w:t xml:space="preserve">Постановление Правительства №594 от 14.05.2002 “Об утверждении Положения о порядке образования и управления фондами обязательного медицинского страхования”. </w:t>
            </w:r>
          </w:p>
          <w:p w:rsidR="00CE2D0C" w:rsidRPr="00CD59C4" w:rsidRDefault="00CE2D0C" w:rsidP="00266330">
            <w:pPr>
              <w:pStyle w:val="Textnotdesubsol"/>
              <w:numPr>
                <w:ilvl w:val="0"/>
                <w:numId w:val="27"/>
              </w:numPr>
              <w:tabs>
                <w:tab w:val="left" w:pos="288"/>
                <w:tab w:val="left" w:pos="314"/>
              </w:tabs>
              <w:ind w:left="0" w:firstLine="0"/>
              <w:jc w:val="both"/>
              <w:rPr>
                <w:lang w:val="ru-MO"/>
              </w:rPr>
            </w:pPr>
            <w:r w:rsidRPr="00CD59C4">
              <w:rPr>
                <w:lang w:val="ru-MO"/>
              </w:rPr>
              <w:t xml:space="preserve">Постановление Правительства №1380 от 10.12.2007 „Об утверждении Положения о деятельности рабочей группы по закупкам”.  </w:t>
            </w:r>
          </w:p>
          <w:p w:rsidR="00CE2D0C" w:rsidRPr="00CD59C4" w:rsidRDefault="00CE2D0C" w:rsidP="00266330">
            <w:pPr>
              <w:pStyle w:val="Textnotdesubsol"/>
              <w:numPr>
                <w:ilvl w:val="0"/>
                <w:numId w:val="27"/>
              </w:numPr>
              <w:tabs>
                <w:tab w:val="left" w:pos="288"/>
                <w:tab w:val="left" w:pos="314"/>
              </w:tabs>
              <w:ind w:left="0" w:firstLine="0"/>
              <w:jc w:val="both"/>
              <w:rPr>
                <w:lang w:val="ru-MO"/>
              </w:rPr>
            </w:pPr>
            <w:r w:rsidRPr="00CD59C4">
              <w:rPr>
                <w:lang w:val="ru-MO"/>
              </w:rPr>
              <w:t xml:space="preserve">Совместный приказ Министерства здравоохранения и НМСК №663/175 от 27.09.2010 „Об утверждении Положения о критериях и порядке отбора и осуществления инвестиционных проектов, финансируемых из Фонда развития и модернизации </w:t>
            </w:r>
            <w:r w:rsidRPr="00CD59C4">
              <w:rPr>
                <w:lang w:val="ru-MO"/>
              </w:rPr>
              <w:lastRenderedPageBreak/>
              <w:t xml:space="preserve">публичных поставщиков медицинских услуг”. </w:t>
            </w:r>
          </w:p>
        </w:tc>
        <w:tc>
          <w:tcPr>
            <w:tcW w:w="3485" w:type="dxa"/>
          </w:tcPr>
          <w:p w:rsidR="00CE2D0C" w:rsidRPr="00CD59C4" w:rsidRDefault="00CE2D0C" w:rsidP="00266330">
            <w:pPr>
              <w:pStyle w:val="Listparagraf"/>
              <w:tabs>
                <w:tab w:val="left" w:pos="257"/>
              </w:tabs>
              <w:spacing w:after="0" w:line="276" w:lineRule="auto"/>
              <w:ind w:left="47"/>
              <w:rPr>
                <w:sz w:val="20"/>
                <w:szCs w:val="20"/>
                <w:lang w:val="ru-MO"/>
              </w:rPr>
            </w:pPr>
            <w:r w:rsidRPr="00CD59C4">
              <w:rPr>
                <w:sz w:val="20"/>
                <w:szCs w:val="20"/>
                <w:lang w:val="ru-MO"/>
              </w:rPr>
              <w:lastRenderedPageBreak/>
              <w:t>1. Проверка /рассмотрение документов.</w:t>
            </w:r>
          </w:p>
          <w:p w:rsidR="00CE2D0C" w:rsidRPr="00CD59C4" w:rsidRDefault="00CE2D0C" w:rsidP="00266330">
            <w:pPr>
              <w:pStyle w:val="Listparagraf"/>
              <w:tabs>
                <w:tab w:val="left" w:pos="257"/>
              </w:tabs>
              <w:spacing w:after="0" w:line="276" w:lineRule="auto"/>
              <w:ind w:left="47"/>
              <w:rPr>
                <w:sz w:val="20"/>
                <w:szCs w:val="20"/>
                <w:lang w:val="ru-MO"/>
              </w:rPr>
            </w:pPr>
            <w:r w:rsidRPr="00CD59C4">
              <w:rPr>
                <w:sz w:val="20"/>
                <w:szCs w:val="20"/>
                <w:lang w:val="ru-MO"/>
              </w:rPr>
              <w:t xml:space="preserve">2. Пересчет </w:t>
            </w:r>
          </w:p>
        </w:tc>
      </w:tr>
    </w:tbl>
    <w:p w:rsidR="00CE2D0C" w:rsidRPr="00CE6109" w:rsidRDefault="00CE2D0C" w:rsidP="00CE2D0C">
      <w:pPr>
        <w:spacing w:after="0"/>
        <w:rPr>
          <w:rFonts w:ascii="Times New Roman" w:hAnsi="Times New Roman"/>
          <w:sz w:val="20"/>
          <w:szCs w:val="20"/>
          <w:lang w:val="ru-MO"/>
        </w:rPr>
      </w:pPr>
      <w:r w:rsidRPr="00CE6109">
        <w:rPr>
          <w:rFonts w:ascii="Times New Roman" w:hAnsi="Times New Roman"/>
          <w:b/>
          <w:i/>
          <w:sz w:val="20"/>
          <w:szCs w:val="20"/>
          <w:lang w:val="ru-MO"/>
        </w:rPr>
        <w:lastRenderedPageBreak/>
        <w:t>Источник:</w:t>
      </w:r>
      <w:r w:rsidRPr="00CE6109">
        <w:rPr>
          <w:rFonts w:ascii="Times New Roman" w:hAnsi="Times New Roman"/>
          <w:b/>
          <w:sz w:val="20"/>
          <w:szCs w:val="20"/>
          <w:lang w:val="ru-MO"/>
        </w:rPr>
        <w:t xml:space="preserve"> </w:t>
      </w:r>
      <w:r w:rsidRPr="00CE6109">
        <w:rPr>
          <w:rFonts w:ascii="Times New Roman" w:hAnsi="Times New Roman"/>
          <w:sz w:val="20"/>
          <w:szCs w:val="20"/>
          <w:lang w:val="ru-MO"/>
        </w:rPr>
        <w:t>Разработано аудитом.</w:t>
      </w:r>
      <w:r w:rsidRPr="00CE6109">
        <w:rPr>
          <w:rFonts w:ascii="Times New Roman" w:hAnsi="Times New Roman"/>
          <w:sz w:val="20"/>
          <w:szCs w:val="20"/>
          <w:lang w:val="ru-MO"/>
        </w:rPr>
        <w:br w:type="page"/>
      </w:r>
    </w:p>
    <w:p w:rsidR="00CE2D0C" w:rsidRPr="00CE6109" w:rsidRDefault="00CE2D0C" w:rsidP="00CE2D0C">
      <w:pPr>
        <w:pStyle w:val="Titlu2"/>
        <w:jc w:val="right"/>
        <w:rPr>
          <w:rFonts w:ascii="Times New Roman" w:hAnsi="Times New Roman"/>
          <w:b/>
          <w:color w:val="auto"/>
          <w:sz w:val="28"/>
          <w:szCs w:val="28"/>
          <w:lang w:val="ru-MO"/>
        </w:rPr>
      </w:pPr>
      <w:bookmarkStart w:id="51" w:name="_Toc454287239"/>
      <w:r w:rsidRPr="00CE6109">
        <w:rPr>
          <w:rFonts w:ascii="Times New Roman" w:hAnsi="Times New Roman"/>
          <w:b/>
          <w:color w:val="auto"/>
          <w:sz w:val="28"/>
          <w:szCs w:val="28"/>
          <w:lang w:val="ru-MO"/>
        </w:rPr>
        <w:lastRenderedPageBreak/>
        <w:t>Приложение №2</w:t>
      </w:r>
      <w:bookmarkEnd w:id="51"/>
    </w:p>
    <w:p w:rsidR="00CE2D0C" w:rsidRPr="00CE6109" w:rsidRDefault="00CE2D0C" w:rsidP="00CE2D0C">
      <w:pPr>
        <w:pStyle w:val="Titlu2"/>
        <w:spacing w:after="240"/>
        <w:jc w:val="center"/>
        <w:rPr>
          <w:rFonts w:ascii="Times New Roman" w:hAnsi="Times New Roman"/>
          <w:b/>
          <w:i/>
          <w:color w:val="auto"/>
          <w:sz w:val="24"/>
          <w:szCs w:val="24"/>
          <w:lang w:val="ru-MO"/>
        </w:rPr>
      </w:pPr>
      <w:bookmarkStart w:id="52" w:name="_Toc454287240"/>
      <w:r w:rsidRPr="00CE6109">
        <w:rPr>
          <w:rFonts w:ascii="Times New Roman" w:hAnsi="Times New Roman"/>
          <w:b/>
          <w:i/>
          <w:color w:val="auto"/>
          <w:sz w:val="24"/>
          <w:szCs w:val="24"/>
          <w:lang w:val="ru-MO"/>
        </w:rPr>
        <w:t>Стоимость пролеченных случаев в отделения</w:t>
      </w:r>
      <w:r>
        <w:rPr>
          <w:rFonts w:ascii="Times New Roman" w:hAnsi="Times New Roman"/>
          <w:b/>
          <w:i/>
          <w:color w:val="auto"/>
          <w:sz w:val="24"/>
          <w:szCs w:val="24"/>
          <w:lang w:val="ru-MO"/>
        </w:rPr>
        <w:t xml:space="preserve">х ПМСУ РКБ, </w:t>
      </w:r>
      <w:r w:rsidRPr="00CE6109">
        <w:rPr>
          <w:rFonts w:ascii="Times New Roman" w:hAnsi="Times New Roman"/>
          <w:b/>
          <w:i/>
          <w:color w:val="auto"/>
          <w:sz w:val="24"/>
          <w:szCs w:val="24"/>
          <w:lang w:val="ru-MO"/>
        </w:rPr>
        <w:t>скорректированная с индексом сложности случая, реализованн</w:t>
      </w:r>
      <w:r>
        <w:rPr>
          <w:rFonts w:ascii="Times New Roman" w:hAnsi="Times New Roman"/>
          <w:b/>
          <w:i/>
          <w:color w:val="auto"/>
          <w:sz w:val="24"/>
          <w:szCs w:val="24"/>
          <w:lang w:val="ru-MO"/>
        </w:rPr>
        <w:t>ым</w:t>
      </w:r>
      <w:r w:rsidRPr="00CE6109">
        <w:rPr>
          <w:rFonts w:ascii="Times New Roman" w:hAnsi="Times New Roman"/>
          <w:b/>
          <w:i/>
          <w:color w:val="auto"/>
          <w:sz w:val="24"/>
          <w:szCs w:val="24"/>
          <w:lang w:val="ru-MO"/>
        </w:rPr>
        <w:t xml:space="preserve"> в течение 2015 года</w:t>
      </w:r>
      <w:bookmarkEnd w:id="52"/>
    </w:p>
    <w:tbl>
      <w:tblPr>
        <w:tblW w:w="10444" w:type="dxa"/>
        <w:tblInd w:w="-289" w:type="dxa"/>
        <w:tblLook w:val="04A0"/>
      </w:tblPr>
      <w:tblGrid>
        <w:gridCol w:w="2263"/>
        <w:gridCol w:w="1770"/>
        <w:gridCol w:w="1811"/>
        <w:gridCol w:w="1590"/>
        <w:gridCol w:w="1393"/>
        <w:gridCol w:w="1617"/>
      </w:tblGrid>
      <w:tr w:rsidR="00CE2D0C" w:rsidRPr="00C21C23" w:rsidTr="00266330">
        <w:trPr>
          <w:trHeight w:val="1063"/>
        </w:trPr>
        <w:tc>
          <w:tcPr>
            <w:tcW w:w="226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Наименование отделения</w:t>
            </w:r>
          </w:p>
        </w:tc>
        <w:tc>
          <w:tcPr>
            <w:tcW w:w="1770" w:type="dxa"/>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 xml:space="preserve">Тариф на один контрактованный случай с НМСК в 2015 году, леев </w:t>
            </w:r>
          </w:p>
        </w:tc>
        <w:tc>
          <w:tcPr>
            <w:tcW w:w="1811" w:type="dxa"/>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ИСС,</w:t>
            </w:r>
            <w:r>
              <w:rPr>
                <w:rFonts w:eastAsia="Times New Roman"/>
                <w:b/>
                <w:bCs/>
                <w:color w:val="000000"/>
                <w:sz w:val="20"/>
                <w:szCs w:val="20"/>
                <w:lang w:val="ru-MO"/>
              </w:rPr>
              <w:t xml:space="preserve"> </w:t>
            </w:r>
            <w:r w:rsidRPr="00CE6109">
              <w:rPr>
                <w:rFonts w:eastAsia="Times New Roman"/>
                <w:b/>
                <w:bCs/>
                <w:color w:val="000000"/>
                <w:sz w:val="20"/>
                <w:szCs w:val="20"/>
                <w:lang w:val="ru-MO"/>
              </w:rPr>
              <w:t>реализуемый в 2015 году</w:t>
            </w:r>
          </w:p>
        </w:tc>
        <w:tc>
          <w:tcPr>
            <w:tcW w:w="1590" w:type="dxa"/>
            <w:tcBorders>
              <w:top w:val="single" w:sz="4" w:space="0" w:color="auto"/>
              <w:left w:val="nil"/>
              <w:bottom w:val="single" w:sz="4" w:space="0" w:color="auto"/>
              <w:right w:val="nil"/>
            </w:tcBorders>
            <w:shd w:val="clear" w:color="auto" w:fill="E2EFD9"/>
            <w:vAlign w:val="center"/>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Дорогостоящие расходные материалы, леев</w:t>
            </w:r>
          </w:p>
        </w:tc>
        <w:tc>
          <w:tcPr>
            <w:tcW w:w="1393"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Кол-во исполненных случаев</w:t>
            </w:r>
          </w:p>
        </w:tc>
        <w:tc>
          <w:tcPr>
            <w:tcW w:w="1617" w:type="dxa"/>
            <w:tcBorders>
              <w:top w:val="single" w:sz="4" w:space="0" w:color="auto"/>
              <w:left w:val="nil"/>
              <w:bottom w:val="single" w:sz="4" w:space="0" w:color="auto"/>
              <w:right w:val="single" w:sz="4" w:space="0" w:color="auto"/>
            </w:tcBorders>
            <w:shd w:val="clear" w:color="auto" w:fill="E2EFD9"/>
            <w:vAlign w:val="center"/>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Тариф, скорректи-рованный с реальным ИСС, включая дорогостоящие расходные материалы, леев</w:t>
            </w:r>
          </w:p>
        </w:tc>
      </w:tr>
      <w:tr w:rsidR="00CE2D0C" w:rsidRPr="00CD59C4" w:rsidTr="00266330">
        <w:trPr>
          <w:trHeight w:val="194"/>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Артрология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1,7984</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1223</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8.527.241,29</w:t>
            </w:r>
          </w:p>
        </w:tc>
      </w:tr>
      <w:tr w:rsidR="00CE2D0C" w:rsidRPr="00CD59C4" w:rsidTr="00266330">
        <w:trPr>
          <w:trHeight w:val="21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Ревматология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2,0218</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1325</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10.386.037,15</w:t>
            </w:r>
          </w:p>
        </w:tc>
      </w:tr>
      <w:tr w:rsidR="00CE2D0C" w:rsidRPr="00CD59C4" w:rsidTr="00266330">
        <w:trPr>
          <w:trHeight w:val="216"/>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Гастроэнтерология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0,9654</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786</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2.941.884,66</w:t>
            </w:r>
          </w:p>
        </w:tc>
      </w:tr>
      <w:tr w:rsidR="00CE2D0C" w:rsidRPr="00CD59C4" w:rsidTr="00266330">
        <w:trPr>
          <w:trHeight w:val="219"/>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Эндокринология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1,2009</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1940</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9.032.425,24</w:t>
            </w:r>
          </w:p>
        </w:tc>
      </w:tr>
      <w:tr w:rsidR="00CE2D0C" w:rsidRPr="00CD59C4" w:rsidTr="00266330">
        <w:trPr>
          <w:trHeight w:val="224"/>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Аллергология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0,8967</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310</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1.077.716,83</w:t>
            </w:r>
          </w:p>
        </w:tc>
      </w:tr>
      <w:tr w:rsidR="00CE2D0C" w:rsidRPr="00CD59C4" w:rsidTr="00266330">
        <w:trPr>
          <w:trHeight w:val="228"/>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Нефрология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1,4641</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1136</w:t>
            </w:r>
          </w:p>
        </w:tc>
        <w:tc>
          <w:tcPr>
            <w:tcW w:w="1617" w:type="dxa"/>
            <w:tcBorders>
              <w:top w:val="nil"/>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6.448.294,64</w:t>
            </w:r>
          </w:p>
        </w:tc>
      </w:tr>
      <w:tr w:rsidR="00CE2D0C" w:rsidRPr="00CD59C4" w:rsidTr="00266330">
        <w:trPr>
          <w:trHeight w:val="23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Гепатология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1,5391</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1576</w:t>
            </w:r>
          </w:p>
        </w:tc>
        <w:tc>
          <w:tcPr>
            <w:tcW w:w="1617" w:type="dxa"/>
            <w:tcBorders>
              <w:top w:val="single" w:sz="4" w:space="0" w:color="auto"/>
              <w:left w:val="nil"/>
              <w:bottom w:val="single" w:sz="4" w:space="0" w:color="auto"/>
              <w:right w:val="single" w:sz="4" w:space="0" w:color="auto"/>
            </w:tcBorders>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9.404.134,94</w:t>
            </w:r>
          </w:p>
        </w:tc>
      </w:tr>
      <w:tr w:rsidR="00CE2D0C" w:rsidRPr="00CD59C4" w:rsidTr="00266330">
        <w:trPr>
          <w:trHeight w:val="236"/>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Общая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2,3135</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140</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2137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19.466.872,21</w:t>
            </w:r>
          </w:p>
        </w:tc>
      </w:tr>
      <w:tr w:rsidR="00CE2D0C" w:rsidRPr="00CD59C4" w:rsidTr="00266330">
        <w:trPr>
          <w:trHeight w:val="254"/>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Висцеральная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1,5418</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1397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8.350.649,36</w:t>
            </w:r>
          </w:p>
        </w:tc>
      </w:tr>
      <w:tr w:rsidR="00CE2D0C" w:rsidRPr="00CD59C4" w:rsidTr="00266330">
        <w:trPr>
          <w:trHeight w:val="257"/>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Гепатобилиарная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2,5403</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1303</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12.832.912,26</w:t>
            </w:r>
          </w:p>
        </w:tc>
      </w:tr>
      <w:tr w:rsidR="00CE2D0C" w:rsidRPr="00CD59C4" w:rsidTr="00266330">
        <w:trPr>
          <w:trHeight w:val="248"/>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Урология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1,3917</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1432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7.726.529,13</w:t>
            </w:r>
          </w:p>
        </w:tc>
      </w:tr>
      <w:tr w:rsidR="00CE2D0C" w:rsidRPr="00CD59C4" w:rsidTr="00266330">
        <w:trPr>
          <w:trHeight w:val="25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Грудная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2,6468</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591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6.064.631,37</w:t>
            </w:r>
          </w:p>
        </w:tc>
      </w:tr>
      <w:tr w:rsidR="00CE2D0C" w:rsidRPr="00CD59C4" w:rsidTr="00266330">
        <w:trPr>
          <w:trHeight w:val="256"/>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Септическая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3877</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3,0094</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572</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6.673.777,85</w:t>
            </w:r>
          </w:p>
        </w:tc>
      </w:tr>
      <w:tr w:rsidR="00CE2D0C" w:rsidRPr="00CD59C4" w:rsidTr="00266330">
        <w:trPr>
          <w:trHeight w:val="260"/>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Васкулярная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4000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2,2103</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1977</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1291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13.966.296,20</w:t>
            </w:r>
          </w:p>
        </w:tc>
      </w:tr>
      <w:tr w:rsidR="00CE2D0C" w:rsidRPr="00CD59C4" w:rsidTr="00266330">
        <w:trPr>
          <w:trHeight w:val="12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Колоректальная хирургия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3400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1,4181</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1117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5.385.660,18</w:t>
            </w:r>
          </w:p>
        </w:tc>
      </w:tr>
      <w:tr w:rsidR="00CE2D0C" w:rsidRPr="00CD59C4" w:rsidTr="00266330">
        <w:trPr>
          <w:trHeight w:val="28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Офтальмология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3400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0,8931</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519</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1737</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6.175.972,98</w:t>
            </w:r>
          </w:p>
        </w:tc>
      </w:tr>
      <w:tr w:rsidR="00CE2D0C" w:rsidRPr="00CD59C4" w:rsidTr="00266330">
        <w:trPr>
          <w:trHeight w:val="272"/>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Отоларингология</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3400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0,8741</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1545</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4.591.647,30</w:t>
            </w:r>
          </w:p>
        </w:tc>
      </w:tr>
      <w:tr w:rsidR="00CE2D0C" w:rsidRPr="00CD59C4" w:rsidTr="00266330">
        <w:trPr>
          <w:trHeight w:val="134"/>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Кардиохирургия детей</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4000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4,5393</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6043</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388</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9.389.677,60</w:t>
            </w:r>
          </w:p>
        </w:tc>
      </w:tr>
      <w:tr w:rsidR="00CE2D0C" w:rsidRPr="00CD59C4" w:rsidTr="00266330">
        <w:trPr>
          <w:trHeight w:val="266"/>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Кардиохирургия взрослых</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4000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6,2914</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5295</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341</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10.387.064,60</w:t>
            </w:r>
          </w:p>
        </w:tc>
      </w:tr>
      <w:tr w:rsidR="00CE2D0C" w:rsidRPr="00CD59C4" w:rsidTr="00266330">
        <w:trPr>
          <w:trHeight w:val="128"/>
        </w:trPr>
        <w:tc>
          <w:tcPr>
            <w:tcW w:w="2263"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 xml:space="preserve">Нейрохирургия </w:t>
            </w:r>
          </w:p>
        </w:tc>
        <w:tc>
          <w:tcPr>
            <w:tcW w:w="1770" w:type="dxa"/>
            <w:tcBorders>
              <w:top w:val="nil"/>
              <w:left w:val="nil"/>
              <w:bottom w:val="single" w:sz="4" w:space="0" w:color="auto"/>
              <w:right w:val="single" w:sz="4" w:space="0" w:color="auto"/>
            </w:tcBorders>
            <w:shd w:val="clear" w:color="auto" w:fill="auto"/>
            <w:noWrap/>
            <w:vAlign w:val="center"/>
            <w:hideMark/>
          </w:tcPr>
          <w:p w:rsidR="00CE2D0C" w:rsidRPr="00CE6109" w:rsidRDefault="00CE2D0C" w:rsidP="00266330">
            <w:pPr>
              <w:spacing w:after="0" w:line="240" w:lineRule="auto"/>
              <w:jc w:val="center"/>
              <w:rPr>
                <w:rFonts w:eastAsia="Times New Roman"/>
                <w:color w:val="000000"/>
                <w:sz w:val="20"/>
                <w:szCs w:val="20"/>
                <w:lang w:val="ru-MO"/>
              </w:rPr>
            </w:pPr>
            <w:r w:rsidRPr="00CE6109">
              <w:rPr>
                <w:rFonts w:eastAsia="Times New Roman"/>
                <w:color w:val="000000"/>
                <w:sz w:val="20"/>
                <w:szCs w:val="20"/>
                <w:lang w:val="ru-MO"/>
              </w:rPr>
              <w:t>4000</w:t>
            </w:r>
          </w:p>
        </w:tc>
        <w:tc>
          <w:tcPr>
            <w:tcW w:w="1811" w:type="dxa"/>
            <w:tcBorders>
              <w:top w:val="nil"/>
              <w:left w:val="nil"/>
              <w:bottom w:val="single" w:sz="4" w:space="0" w:color="auto"/>
              <w:right w:val="single" w:sz="4" w:space="0" w:color="auto"/>
            </w:tcBorders>
            <w:shd w:val="clear" w:color="auto" w:fill="auto"/>
            <w:vAlign w:val="center"/>
            <w:hideMark/>
          </w:tcPr>
          <w:p w:rsidR="00CE2D0C" w:rsidRPr="00CE6109" w:rsidRDefault="00CE2D0C" w:rsidP="00266330">
            <w:pPr>
              <w:spacing w:after="0" w:line="240" w:lineRule="auto"/>
              <w:jc w:val="center"/>
              <w:rPr>
                <w:rFonts w:eastAsia="Times New Roman" w:cs="Arial"/>
                <w:color w:val="000000"/>
                <w:sz w:val="20"/>
                <w:szCs w:val="20"/>
                <w:lang w:val="ru-MO"/>
              </w:rPr>
            </w:pPr>
            <w:r w:rsidRPr="00CE6109">
              <w:rPr>
                <w:rFonts w:eastAsia="Times New Roman" w:cs="Arial"/>
                <w:color w:val="000000"/>
                <w:sz w:val="20"/>
                <w:szCs w:val="20"/>
                <w:lang w:val="ru-MO"/>
              </w:rPr>
              <w:t>3,3267</w:t>
            </w:r>
          </w:p>
        </w:tc>
        <w:tc>
          <w:tcPr>
            <w:tcW w:w="1590" w:type="dxa"/>
            <w:tcBorders>
              <w:top w:val="single" w:sz="4" w:space="0" w:color="auto"/>
              <w:left w:val="nil"/>
              <w:bottom w:val="single" w:sz="4" w:space="0" w:color="auto"/>
              <w:right w:val="nil"/>
            </w:tcBorders>
            <w:vAlign w:val="center"/>
          </w:tcPr>
          <w:p w:rsidR="00CE2D0C" w:rsidRPr="00CE6109" w:rsidRDefault="00CE2D0C" w:rsidP="00266330">
            <w:pPr>
              <w:spacing w:after="0" w:line="240" w:lineRule="auto"/>
              <w:jc w:val="center"/>
              <w:rPr>
                <w:rFonts w:eastAsia="Times New Roman" w:cs="Arial"/>
                <w:color w:val="000000"/>
                <w:sz w:val="20"/>
                <w:szCs w:val="20"/>
                <w:lang w:val="ru-MO"/>
              </w:rPr>
            </w:pPr>
            <w:r w:rsidRPr="00CD59C4">
              <w:rPr>
                <w:color w:val="000000"/>
                <w:sz w:val="20"/>
                <w:szCs w:val="20"/>
                <w:lang w:val="ru-MO"/>
              </w:rPr>
              <w:t>1973</w:t>
            </w:r>
          </w:p>
        </w:tc>
        <w:tc>
          <w:tcPr>
            <w:tcW w:w="1393" w:type="dxa"/>
            <w:tcBorders>
              <w:top w:val="nil"/>
              <w:left w:val="single" w:sz="4" w:space="0" w:color="auto"/>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336</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bottom"/>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5.134.012,80</w:t>
            </w:r>
          </w:p>
        </w:tc>
      </w:tr>
      <w:tr w:rsidR="00CE2D0C" w:rsidRPr="00CD59C4" w:rsidTr="00266330">
        <w:trPr>
          <w:trHeight w:val="145"/>
        </w:trPr>
        <w:tc>
          <w:tcPr>
            <w:tcW w:w="2263" w:type="dxa"/>
            <w:tcBorders>
              <w:top w:val="nil"/>
              <w:left w:val="single" w:sz="4" w:space="0" w:color="auto"/>
              <w:bottom w:val="single" w:sz="4" w:space="0" w:color="auto"/>
              <w:right w:val="single" w:sz="4" w:space="0" w:color="auto"/>
            </w:tcBorders>
            <w:shd w:val="clear" w:color="auto" w:fill="DEEAF6"/>
            <w:noWrap/>
            <w:vAlign w:val="center"/>
            <w:hideMark/>
          </w:tcPr>
          <w:p w:rsidR="00CE2D0C" w:rsidRPr="00CE6109" w:rsidRDefault="00CE2D0C" w:rsidP="00266330">
            <w:pPr>
              <w:spacing w:after="0" w:line="240" w:lineRule="auto"/>
              <w:jc w:val="center"/>
              <w:rPr>
                <w:rFonts w:eastAsia="Times New Roman"/>
                <w:b/>
                <w:color w:val="000000"/>
                <w:lang w:val="ru-MO"/>
              </w:rPr>
            </w:pPr>
            <w:r w:rsidRPr="00CE6109">
              <w:rPr>
                <w:rFonts w:eastAsia="Times New Roman"/>
                <w:b/>
                <w:color w:val="000000"/>
                <w:lang w:val="ru-MO"/>
              </w:rPr>
              <w:t>ВСЕГО</w:t>
            </w:r>
          </w:p>
        </w:tc>
        <w:tc>
          <w:tcPr>
            <w:tcW w:w="1770" w:type="dxa"/>
            <w:tcBorders>
              <w:top w:val="nil"/>
              <w:left w:val="nil"/>
              <w:bottom w:val="single" w:sz="4" w:space="0" w:color="auto"/>
              <w:right w:val="single" w:sz="4" w:space="0" w:color="auto"/>
            </w:tcBorders>
            <w:shd w:val="clear" w:color="auto" w:fill="DEEAF6"/>
            <w:noWrap/>
            <w:vAlign w:val="center"/>
            <w:hideMark/>
          </w:tcPr>
          <w:p w:rsidR="00CE2D0C" w:rsidRPr="00CE6109" w:rsidRDefault="00CE2D0C" w:rsidP="00266330">
            <w:pPr>
              <w:spacing w:after="0" w:line="240" w:lineRule="auto"/>
              <w:jc w:val="center"/>
              <w:rPr>
                <w:rFonts w:eastAsia="Times New Roman"/>
                <w:b/>
                <w:color w:val="000000"/>
                <w:lang w:val="ru-MO"/>
              </w:rPr>
            </w:pPr>
            <w:r w:rsidRPr="00CE6109">
              <w:rPr>
                <w:rFonts w:eastAsia="Times New Roman"/>
                <w:b/>
                <w:color w:val="000000"/>
                <w:lang w:val="ru-MO"/>
              </w:rPr>
              <w:t>-</w:t>
            </w:r>
          </w:p>
        </w:tc>
        <w:tc>
          <w:tcPr>
            <w:tcW w:w="1811" w:type="dxa"/>
            <w:tcBorders>
              <w:top w:val="nil"/>
              <w:left w:val="nil"/>
              <w:bottom w:val="single" w:sz="4" w:space="0" w:color="auto"/>
              <w:right w:val="single" w:sz="4" w:space="0" w:color="auto"/>
            </w:tcBorders>
            <w:shd w:val="clear" w:color="auto" w:fill="DEEAF6"/>
            <w:vAlign w:val="center"/>
            <w:hideMark/>
          </w:tcPr>
          <w:p w:rsidR="00CE2D0C" w:rsidRPr="00CE6109" w:rsidRDefault="00CE2D0C" w:rsidP="00266330">
            <w:pPr>
              <w:spacing w:after="0" w:line="240" w:lineRule="auto"/>
              <w:jc w:val="center"/>
              <w:rPr>
                <w:rFonts w:eastAsia="Times New Roman" w:cs="Arial"/>
                <w:b/>
                <w:bCs/>
                <w:color w:val="000000"/>
                <w:lang w:val="ru-MO"/>
              </w:rPr>
            </w:pPr>
            <w:r w:rsidRPr="00CE6109">
              <w:rPr>
                <w:rFonts w:eastAsia="Times New Roman" w:cs="Arial"/>
                <w:b/>
                <w:bCs/>
                <w:color w:val="000000"/>
                <w:lang w:val="ru-MO"/>
              </w:rPr>
              <w:t>-</w:t>
            </w:r>
          </w:p>
        </w:tc>
        <w:tc>
          <w:tcPr>
            <w:tcW w:w="1590" w:type="dxa"/>
            <w:tcBorders>
              <w:top w:val="single" w:sz="4" w:space="0" w:color="auto"/>
              <w:left w:val="nil"/>
              <w:bottom w:val="single" w:sz="4" w:space="0" w:color="auto"/>
              <w:right w:val="nil"/>
            </w:tcBorders>
            <w:shd w:val="clear" w:color="auto" w:fill="DEEAF6"/>
            <w:vAlign w:val="center"/>
          </w:tcPr>
          <w:p w:rsidR="00CE2D0C" w:rsidRPr="00CE6109" w:rsidRDefault="00CE2D0C" w:rsidP="00266330">
            <w:pPr>
              <w:spacing w:after="0" w:line="240" w:lineRule="auto"/>
              <w:jc w:val="center"/>
              <w:rPr>
                <w:rFonts w:eastAsia="Times New Roman"/>
                <w:b/>
                <w:color w:val="000000"/>
                <w:lang w:val="ru-MO"/>
              </w:rPr>
            </w:pPr>
            <w:r w:rsidRPr="00CE6109">
              <w:rPr>
                <w:rFonts w:eastAsia="Times New Roman"/>
                <w:b/>
                <w:color w:val="000000"/>
                <w:lang w:val="ru-MO"/>
              </w:rPr>
              <w:t>-</w:t>
            </w:r>
          </w:p>
        </w:tc>
        <w:tc>
          <w:tcPr>
            <w:tcW w:w="1393" w:type="dxa"/>
            <w:tcBorders>
              <w:top w:val="nil"/>
              <w:left w:val="single" w:sz="4" w:space="0" w:color="auto"/>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b/>
                <w:color w:val="000000"/>
                <w:lang w:val="ru-MO"/>
              </w:rPr>
            </w:pPr>
            <w:r w:rsidRPr="00CD59C4">
              <w:rPr>
                <w:b/>
                <w:color w:val="000000"/>
                <w:lang w:val="ru-MO"/>
              </w:rPr>
              <w:t>22482</w:t>
            </w:r>
          </w:p>
        </w:tc>
        <w:tc>
          <w:tcPr>
            <w:tcW w:w="1617" w:type="dxa"/>
            <w:tcBorders>
              <w:top w:val="nil"/>
              <w:left w:val="nil"/>
              <w:bottom w:val="single" w:sz="4" w:space="0" w:color="auto"/>
              <w:right w:val="single" w:sz="4" w:space="0" w:color="auto"/>
            </w:tcBorders>
            <w:shd w:val="clear" w:color="auto" w:fill="DEEAF6"/>
            <w:vAlign w:val="center"/>
          </w:tcPr>
          <w:p w:rsidR="00CE2D0C" w:rsidRPr="00CD59C4" w:rsidRDefault="00CE2D0C" w:rsidP="00266330">
            <w:pPr>
              <w:spacing w:after="0"/>
              <w:jc w:val="center"/>
              <w:rPr>
                <w:b/>
                <w:bCs/>
                <w:color w:val="000000"/>
                <w:lang w:val="ru-MO"/>
              </w:rPr>
            </w:pPr>
            <w:r w:rsidRPr="00CD59C4">
              <w:rPr>
                <w:b/>
                <w:bCs/>
                <w:color w:val="000000"/>
                <w:lang w:val="ru-MO"/>
              </w:rPr>
              <w:t>163.963.438,58</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сведений, представленных ПМСУ РКБ.</w:t>
      </w:r>
    </w:p>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sz w:val="20"/>
          <w:szCs w:val="20"/>
          <w:lang w:val="ru-MO"/>
        </w:rPr>
        <w:br w:type="page"/>
      </w:r>
    </w:p>
    <w:p w:rsidR="00CE2D0C" w:rsidRPr="00CE6109" w:rsidRDefault="00CE2D0C" w:rsidP="00CE2D0C">
      <w:pPr>
        <w:pStyle w:val="Titlu2"/>
        <w:jc w:val="right"/>
        <w:rPr>
          <w:rFonts w:ascii="Times New Roman" w:hAnsi="Times New Roman"/>
          <w:b/>
          <w:color w:val="auto"/>
          <w:sz w:val="28"/>
          <w:szCs w:val="28"/>
          <w:lang w:val="ru-MO"/>
        </w:rPr>
      </w:pPr>
      <w:bookmarkStart w:id="53" w:name="_Toc454287241"/>
      <w:r>
        <w:rPr>
          <w:rFonts w:ascii="Times New Roman" w:hAnsi="Times New Roman"/>
          <w:b/>
          <w:color w:val="auto"/>
          <w:sz w:val="28"/>
          <w:szCs w:val="28"/>
          <w:lang w:val="ru-MO"/>
        </w:rPr>
        <w:lastRenderedPageBreak/>
        <w:t>Приложение №</w:t>
      </w:r>
      <w:r w:rsidRPr="00CE6109">
        <w:rPr>
          <w:rFonts w:ascii="Times New Roman" w:hAnsi="Times New Roman"/>
          <w:b/>
          <w:color w:val="auto"/>
          <w:sz w:val="28"/>
          <w:szCs w:val="28"/>
          <w:lang w:val="ru-MO"/>
        </w:rPr>
        <w:t>3</w:t>
      </w:r>
      <w:bookmarkEnd w:id="53"/>
    </w:p>
    <w:p w:rsidR="00CE2D0C" w:rsidRDefault="00CE2D0C" w:rsidP="00CE2D0C">
      <w:pPr>
        <w:pStyle w:val="Titlu2"/>
        <w:jc w:val="center"/>
        <w:rPr>
          <w:rFonts w:ascii="Times New Roman" w:hAnsi="Times New Roman"/>
          <w:b/>
          <w:i/>
          <w:color w:val="auto"/>
          <w:sz w:val="24"/>
          <w:szCs w:val="24"/>
          <w:lang w:val="ru-MO"/>
        </w:rPr>
      </w:pPr>
      <w:bookmarkStart w:id="54" w:name="_Toc454287242"/>
      <w:r w:rsidRPr="009F43DB">
        <w:rPr>
          <w:rFonts w:ascii="Times New Roman" w:hAnsi="Times New Roman"/>
          <w:b/>
          <w:i/>
          <w:color w:val="auto"/>
          <w:sz w:val="24"/>
          <w:szCs w:val="24"/>
          <w:lang w:val="ru-MO"/>
        </w:rPr>
        <w:t xml:space="preserve">Средняя стоимость одного </w:t>
      </w:r>
      <w:r>
        <w:rPr>
          <w:rFonts w:ascii="Times New Roman" w:hAnsi="Times New Roman"/>
          <w:b/>
          <w:i/>
          <w:color w:val="auto"/>
          <w:sz w:val="24"/>
          <w:szCs w:val="24"/>
          <w:lang w:val="ru-MO"/>
        </w:rPr>
        <w:t>пролеченного</w:t>
      </w:r>
      <w:r w:rsidRPr="009F43DB">
        <w:rPr>
          <w:rFonts w:ascii="Times New Roman" w:hAnsi="Times New Roman"/>
          <w:b/>
          <w:i/>
          <w:color w:val="auto"/>
          <w:sz w:val="24"/>
          <w:szCs w:val="24"/>
          <w:lang w:val="ru-MO"/>
        </w:rPr>
        <w:t xml:space="preserve"> случа</w:t>
      </w:r>
      <w:r>
        <w:rPr>
          <w:rFonts w:ascii="Times New Roman" w:hAnsi="Times New Roman"/>
          <w:b/>
          <w:i/>
          <w:color w:val="auto"/>
          <w:sz w:val="24"/>
          <w:szCs w:val="24"/>
          <w:lang w:val="ru-MO"/>
        </w:rPr>
        <w:t>я в</w:t>
      </w:r>
      <w:r w:rsidRPr="009F43DB">
        <w:rPr>
          <w:rFonts w:ascii="Times New Roman" w:hAnsi="Times New Roman"/>
          <w:b/>
          <w:i/>
          <w:color w:val="auto"/>
          <w:sz w:val="24"/>
          <w:szCs w:val="24"/>
          <w:lang w:val="ru-MO"/>
        </w:rPr>
        <w:t xml:space="preserve"> отделения</w:t>
      </w:r>
      <w:r>
        <w:rPr>
          <w:rFonts w:ascii="Times New Roman" w:hAnsi="Times New Roman"/>
          <w:b/>
          <w:i/>
          <w:color w:val="auto"/>
          <w:sz w:val="24"/>
          <w:szCs w:val="24"/>
          <w:lang w:val="ru-MO"/>
        </w:rPr>
        <w:t xml:space="preserve">х </w:t>
      </w:r>
      <w:r w:rsidRPr="009F43DB">
        <w:rPr>
          <w:rFonts w:ascii="Times New Roman" w:hAnsi="Times New Roman"/>
          <w:b/>
          <w:i/>
          <w:color w:val="auto"/>
          <w:sz w:val="24"/>
          <w:szCs w:val="24"/>
          <w:lang w:val="ru-MO"/>
        </w:rPr>
        <w:t xml:space="preserve"> ПМСУ РКБ,</w:t>
      </w:r>
      <w:bookmarkEnd w:id="54"/>
    </w:p>
    <w:p w:rsidR="00CE2D0C" w:rsidRPr="00CE6109" w:rsidRDefault="00CE2D0C" w:rsidP="00CE2D0C">
      <w:pPr>
        <w:pStyle w:val="Titlu2"/>
        <w:jc w:val="center"/>
        <w:rPr>
          <w:rFonts w:ascii="Times New Roman" w:hAnsi="Times New Roman"/>
          <w:b/>
          <w:i/>
          <w:color w:val="auto"/>
          <w:sz w:val="24"/>
          <w:szCs w:val="24"/>
          <w:lang w:val="ru-MO"/>
        </w:rPr>
      </w:pPr>
      <w:r w:rsidRPr="009F43DB">
        <w:rPr>
          <w:rFonts w:ascii="Times New Roman" w:hAnsi="Times New Roman"/>
          <w:b/>
          <w:i/>
          <w:color w:val="auto"/>
          <w:sz w:val="24"/>
          <w:szCs w:val="24"/>
          <w:lang w:val="ru-MO"/>
        </w:rPr>
        <w:t xml:space="preserve"> </w:t>
      </w:r>
      <w:bookmarkStart w:id="55" w:name="_Toc454287243"/>
      <w:r>
        <w:rPr>
          <w:rFonts w:ascii="Times New Roman" w:hAnsi="Times New Roman"/>
          <w:b/>
          <w:i/>
          <w:color w:val="auto"/>
          <w:sz w:val="24"/>
          <w:szCs w:val="24"/>
          <w:lang w:val="ru-MO"/>
        </w:rPr>
        <w:t>по сравнению с</w:t>
      </w:r>
      <w:r w:rsidRPr="009F43DB">
        <w:rPr>
          <w:rFonts w:ascii="Times New Roman" w:hAnsi="Times New Roman"/>
          <w:b/>
          <w:i/>
          <w:color w:val="auto"/>
          <w:sz w:val="24"/>
          <w:szCs w:val="24"/>
          <w:lang w:val="ru-MO"/>
        </w:rPr>
        <w:t xml:space="preserve"> тариф</w:t>
      </w:r>
      <w:r>
        <w:rPr>
          <w:rFonts w:ascii="Times New Roman" w:hAnsi="Times New Roman"/>
          <w:b/>
          <w:i/>
          <w:color w:val="auto"/>
          <w:sz w:val="24"/>
          <w:szCs w:val="24"/>
          <w:lang w:val="ru-MO"/>
        </w:rPr>
        <w:t>ом</w:t>
      </w:r>
      <w:r w:rsidRPr="009F43DB">
        <w:rPr>
          <w:rFonts w:ascii="Times New Roman" w:hAnsi="Times New Roman"/>
          <w:b/>
          <w:i/>
          <w:color w:val="auto"/>
          <w:sz w:val="24"/>
          <w:szCs w:val="24"/>
          <w:lang w:val="ru-MO"/>
        </w:rPr>
        <w:t xml:space="preserve"> НМСК</w:t>
      </w:r>
      <w:bookmarkEnd w:id="55"/>
      <w:r>
        <w:rPr>
          <w:rFonts w:ascii="Times New Roman" w:hAnsi="Times New Roman"/>
          <w:b/>
          <w:i/>
          <w:color w:val="auto"/>
          <w:sz w:val="24"/>
          <w:szCs w:val="24"/>
          <w:lang w:val="ru-MO"/>
        </w:rPr>
        <w:t xml:space="preserve"> </w:t>
      </w:r>
    </w:p>
    <w:tbl>
      <w:tblPr>
        <w:tblW w:w="9923" w:type="dxa"/>
        <w:tblInd w:w="-289" w:type="dxa"/>
        <w:tblLook w:val="04A0"/>
      </w:tblPr>
      <w:tblGrid>
        <w:gridCol w:w="2977"/>
        <w:gridCol w:w="2126"/>
        <w:gridCol w:w="1985"/>
        <w:gridCol w:w="2835"/>
      </w:tblGrid>
      <w:tr w:rsidR="00CE2D0C" w:rsidRPr="00C21C23" w:rsidTr="00266330">
        <w:trPr>
          <w:trHeight w:val="453"/>
        </w:trPr>
        <w:tc>
          <w:tcPr>
            <w:tcW w:w="297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E6109">
              <w:rPr>
                <w:rFonts w:eastAsia="Times New Roman"/>
                <w:b/>
                <w:bCs/>
                <w:color w:val="000000"/>
                <w:sz w:val="20"/>
                <w:szCs w:val="20"/>
                <w:lang w:val="ru-MO"/>
              </w:rPr>
              <w:t>Наименование отделения</w:t>
            </w:r>
          </w:p>
        </w:tc>
        <w:tc>
          <w:tcPr>
            <w:tcW w:w="2126" w:type="dxa"/>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9F43DB">
              <w:rPr>
                <w:rFonts w:eastAsia="Times New Roman"/>
                <w:b/>
                <w:bCs/>
                <w:color w:val="000000"/>
                <w:sz w:val="20"/>
                <w:szCs w:val="20"/>
                <w:lang w:val="ru-MO"/>
              </w:rPr>
              <w:t>Необходим</w:t>
            </w:r>
            <w:r>
              <w:rPr>
                <w:rFonts w:eastAsia="Times New Roman"/>
                <w:b/>
                <w:bCs/>
                <w:color w:val="000000"/>
                <w:sz w:val="20"/>
                <w:szCs w:val="20"/>
                <w:lang w:val="ru-MO"/>
              </w:rPr>
              <w:t xml:space="preserve">ая фактическая </w:t>
            </w:r>
            <w:r w:rsidRPr="009F43DB">
              <w:rPr>
                <w:rFonts w:eastAsia="Times New Roman"/>
                <w:b/>
                <w:bCs/>
                <w:color w:val="000000"/>
                <w:sz w:val="20"/>
                <w:szCs w:val="20"/>
                <w:lang w:val="ru-MO"/>
              </w:rPr>
              <w:t xml:space="preserve"> </w:t>
            </w:r>
            <w:r>
              <w:rPr>
                <w:rFonts w:eastAsia="Times New Roman"/>
                <w:b/>
                <w:bCs/>
                <w:color w:val="000000"/>
                <w:sz w:val="20"/>
                <w:szCs w:val="20"/>
                <w:lang w:val="ru-MO"/>
              </w:rPr>
              <w:t>с</w:t>
            </w:r>
            <w:r w:rsidRPr="009F43DB">
              <w:rPr>
                <w:rFonts w:eastAsia="Times New Roman"/>
                <w:b/>
                <w:bCs/>
                <w:color w:val="000000"/>
                <w:sz w:val="20"/>
                <w:szCs w:val="20"/>
                <w:lang w:val="ru-MO"/>
              </w:rPr>
              <w:t xml:space="preserve">тоимость </w:t>
            </w:r>
            <w:r>
              <w:rPr>
                <w:rFonts w:eastAsia="Times New Roman"/>
                <w:b/>
                <w:bCs/>
                <w:color w:val="000000"/>
                <w:sz w:val="20"/>
                <w:szCs w:val="20"/>
                <w:lang w:val="ru-MO"/>
              </w:rPr>
              <w:t xml:space="preserve">одного пролеченного </w:t>
            </w:r>
            <w:r w:rsidRPr="009F43DB">
              <w:rPr>
                <w:rFonts w:eastAsia="Times New Roman"/>
                <w:b/>
                <w:bCs/>
                <w:color w:val="000000"/>
                <w:sz w:val="20"/>
                <w:szCs w:val="20"/>
                <w:lang w:val="ru-MO"/>
              </w:rPr>
              <w:t>случа</w:t>
            </w:r>
            <w:r>
              <w:rPr>
                <w:rFonts w:eastAsia="Times New Roman"/>
                <w:b/>
                <w:bCs/>
                <w:color w:val="000000"/>
                <w:sz w:val="20"/>
                <w:szCs w:val="20"/>
                <w:lang w:val="ru-MO"/>
              </w:rPr>
              <w:t>я</w:t>
            </w:r>
            <w:r w:rsidRPr="009F43DB">
              <w:rPr>
                <w:rFonts w:eastAsia="Times New Roman"/>
                <w:b/>
                <w:bCs/>
                <w:color w:val="000000"/>
                <w:sz w:val="20"/>
                <w:szCs w:val="20"/>
                <w:lang w:val="ru-MO"/>
              </w:rPr>
              <w:t xml:space="preserve"> в 2015 году, леев </w:t>
            </w:r>
          </w:p>
        </w:tc>
        <w:tc>
          <w:tcPr>
            <w:tcW w:w="1985" w:type="dxa"/>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line="240" w:lineRule="auto"/>
              <w:jc w:val="center"/>
              <w:rPr>
                <w:rFonts w:eastAsia="Times New Roman"/>
                <w:b/>
                <w:bCs/>
                <w:color w:val="000000"/>
                <w:sz w:val="20"/>
                <w:szCs w:val="20"/>
                <w:lang w:val="ru-MO"/>
              </w:rPr>
            </w:pPr>
            <w:r w:rsidRPr="00CD59C4">
              <w:rPr>
                <w:b/>
                <w:bCs/>
                <w:color w:val="000000"/>
                <w:sz w:val="20"/>
                <w:szCs w:val="20"/>
                <w:lang w:val="ru-MO"/>
              </w:rPr>
              <w:t>Число исполненных случаев</w:t>
            </w:r>
          </w:p>
        </w:tc>
        <w:tc>
          <w:tcPr>
            <w:tcW w:w="2835" w:type="dxa"/>
            <w:tcBorders>
              <w:top w:val="single" w:sz="4" w:space="0" w:color="auto"/>
              <w:left w:val="nil"/>
              <w:bottom w:val="single" w:sz="4" w:space="0" w:color="auto"/>
              <w:right w:val="single" w:sz="4" w:space="0" w:color="auto"/>
            </w:tcBorders>
            <w:shd w:val="clear" w:color="auto" w:fill="E2EFD9"/>
            <w:vAlign w:val="center"/>
            <w:hideMark/>
          </w:tcPr>
          <w:p w:rsidR="00CE2D0C" w:rsidRPr="00CE6109" w:rsidRDefault="00CE2D0C" w:rsidP="00266330">
            <w:pPr>
              <w:spacing w:after="0"/>
              <w:jc w:val="center"/>
              <w:rPr>
                <w:rFonts w:eastAsia="Times New Roman"/>
                <w:b/>
                <w:bCs/>
                <w:color w:val="000000"/>
                <w:sz w:val="20"/>
                <w:szCs w:val="20"/>
                <w:lang w:val="ru-MO"/>
              </w:rPr>
            </w:pPr>
            <w:r w:rsidRPr="00CD59C4">
              <w:rPr>
                <w:b/>
                <w:bCs/>
                <w:color w:val="000000"/>
                <w:sz w:val="20"/>
                <w:szCs w:val="20"/>
                <w:lang w:val="ru-MO"/>
              </w:rPr>
              <w:t>Необходимые фактические затраты на пролеченные случаи по отделениям, леев</w:t>
            </w:r>
          </w:p>
        </w:tc>
      </w:tr>
      <w:tr w:rsidR="00CE2D0C" w:rsidRPr="00CD59C4" w:rsidTr="00266330">
        <w:trPr>
          <w:trHeight w:val="206"/>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Артрология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8179</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1223</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10.002.917,00</w:t>
            </w:r>
          </w:p>
        </w:tc>
      </w:tr>
      <w:tr w:rsidR="00CE2D0C" w:rsidRPr="00CD59C4" w:rsidTr="00266330">
        <w:trPr>
          <w:trHeight w:val="237"/>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Ревматология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8173</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1325</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10.829.225,00</w:t>
            </w:r>
          </w:p>
        </w:tc>
      </w:tr>
      <w:tr w:rsidR="00CE2D0C" w:rsidRPr="00CD59C4" w:rsidTr="00266330">
        <w:trPr>
          <w:trHeight w:val="256"/>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Гастроэнтерология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5098</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786</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4.007.028,00</w:t>
            </w:r>
          </w:p>
        </w:tc>
      </w:tr>
      <w:tr w:rsidR="00CE2D0C" w:rsidRPr="00CD59C4" w:rsidTr="00266330">
        <w:trPr>
          <w:trHeight w:val="145"/>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Эндокринология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7135</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1940</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13.841.900,00</w:t>
            </w:r>
          </w:p>
        </w:tc>
      </w:tr>
      <w:tr w:rsidR="00CE2D0C" w:rsidRPr="00CD59C4" w:rsidTr="00266330">
        <w:trPr>
          <w:trHeight w:val="164"/>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Аллергология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4377</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310</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1.356.870,00</w:t>
            </w:r>
          </w:p>
        </w:tc>
      </w:tr>
      <w:tr w:rsidR="00CE2D0C" w:rsidRPr="00CD59C4" w:rsidTr="00266330">
        <w:trPr>
          <w:trHeight w:val="192"/>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Нефрология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8486</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1136</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9.640.096,00</w:t>
            </w:r>
          </w:p>
        </w:tc>
      </w:tr>
      <w:tr w:rsidR="00CE2D0C" w:rsidRPr="00CD59C4" w:rsidTr="00266330">
        <w:trPr>
          <w:trHeight w:val="130"/>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Гепатология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11636</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1576</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18.338.336,00</w:t>
            </w:r>
          </w:p>
        </w:tc>
      </w:tr>
      <w:tr w:rsidR="00CE2D0C" w:rsidRPr="00CD59C4" w:rsidTr="00266330">
        <w:trPr>
          <w:trHeight w:val="177"/>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Общая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14998</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2137</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32.050.726,00</w:t>
            </w:r>
          </w:p>
        </w:tc>
      </w:tr>
      <w:tr w:rsidR="00CE2D0C" w:rsidRPr="00CD59C4" w:rsidTr="00266330">
        <w:trPr>
          <w:trHeight w:val="208"/>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Висцеральная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11520</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1397</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16.093.440,00</w:t>
            </w:r>
          </w:p>
        </w:tc>
      </w:tr>
      <w:tr w:rsidR="00CE2D0C" w:rsidRPr="00CD59C4" w:rsidTr="00266330">
        <w:trPr>
          <w:trHeight w:val="241"/>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Гепатобилиарная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24481</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1303</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31.898.743,00</w:t>
            </w:r>
          </w:p>
        </w:tc>
      </w:tr>
      <w:tr w:rsidR="00CE2D0C" w:rsidRPr="00CD59C4" w:rsidTr="00266330">
        <w:trPr>
          <w:trHeight w:val="116"/>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Урология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9430</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1432</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13.503.760,00</w:t>
            </w:r>
          </w:p>
        </w:tc>
      </w:tr>
      <w:tr w:rsidR="00CE2D0C" w:rsidRPr="00CD59C4" w:rsidTr="00266330">
        <w:trPr>
          <w:trHeight w:val="148"/>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Грудная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21834</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591</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12.903.894,00</w:t>
            </w:r>
          </w:p>
        </w:tc>
      </w:tr>
      <w:tr w:rsidR="00CE2D0C" w:rsidRPr="00CD59C4" w:rsidTr="00266330">
        <w:trPr>
          <w:trHeight w:val="179"/>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Септическая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37543</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572</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21.474.596,00</w:t>
            </w:r>
          </w:p>
        </w:tc>
      </w:tr>
      <w:tr w:rsidR="00CE2D0C" w:rsidRPr="00CD59C4" w:rsidTr="00266330">
        <w:trPr>
          <w:trHeight w:val="212"/>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Васкулярная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21016</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1291</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27.131.656,00</w:t>
            </w:r>
          </w:p>
        </w:tc>
      </w:tr>
      <w:tr w:rsidR="00CE2D0C" w:rsidRPr="00CD59C4" w:rsidTr="00266330">
        <w:trPr>
          <w:trHeight w:val="102"/>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Колоректальная 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10244</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1117</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11.442.548,00</w:t>
            </w:r>
          </w:p>
        </w:tc>
      </w:tr>
      <w:tr w:rsidR="00CE2D0C" w:rsidRPr="00CD59C4" w:rsidTr="00266330">
        <w:trPr>
          <w:trHeight w:val="120"/>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Офтальмология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8968</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1737</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15.577.416,00</w:t>
            </w:r>
          </w:p>
        </w:tc>
      </w:tr>
      <w:tr w:rsidR="00CE2D0C" w:rsidRPr="00CD59C4" w:rsidTr="00266330">
        <w:trPr>
          <w:trHeight w:val="152"/>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Отоларингология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5108</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1545</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7.891.860,00</w:t>
            </w:r>
          </w:p>
        </w:tc>
      </w:tr>
      <w:tr w:rsidR="00CE2D0C" w:rsidRPr="00CD59C4" w:rsidTr="00266330">
        <w:trPr>
          <w:trHeight w:val="183"/>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Кардиохирургия детей</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79665</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388</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30.910.020,00</w:t>
            </w:r>
          </w:p>
        </w:tc>
      </w:tr>
      <w:tr w:rsidR="00CE2D0C" w:rsidRPr="00CD59C4" w:rsidTr="00266330">
        <w:trPr>
          <w:trHeight w:val="216"/>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Кардиохирургия взрослых</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103156</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341</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35.176.196,00</w:t>
            </w:r>
          </w:p>
        </w:tc>
      </w:tr>
      <w:tr w:rsidR="00CE2D0C" w:rsidRPr="00CD59C4" w:rsidTr="00266330">
        <w:trPr>
          <w:trHeight w:val="106"/>
        </w:trPr>
        <w:tc>
          <w:tcPr>
            <w:tcW w:w="2977" w:type="dxa"/>
            <w:tcBorders>
              <w:top w:val="nil"/>
              <w:left w:val="single" w:sz="4" w:space="0" w:color="auto"/>
              <w:bottom w:val="single" w:sz="4" w:space="0" w:color="auto"/>
              <w:right w:val="single" w:sz="4" w:space="0" w:color="auto"/>
            </w:tcBorders>
            <w:shd w:val="clear" w:color="auto" w:fill="FBE4D5"/>
            <w:noWrap/>
            <w:vAlign w:val="center"/>
            <w:hideMark/>
          </w:tcPr>
          <w:p w:rsidR="00CE2D0C" w:rsidRPr="00CE6109" w:rsidRDefault="00CE2D0C" w:rsidP="00266330">
            <w:pPr>
              <w:spacing w:after="0" w:line="240" w:lineRule="auto"/>
              <w:rPr>
                <w:rFonts w:eastAsia="Times New Roman"/>
                <w:color w:val="000000"/>
                <w:sz w:val="20"/>
                <w:szCs w:val="20"/>
                <w:lang w:val="ru-MO"/>
              </w:rPr>
            </w:pPr>
            <w:r w:rsidRPr="00CE6109">
              <w:rPr>
                <w:rFonts w:eastAsia="Times New Roman"/>
                <w:color w:val="000000"/>
                <w:sz w:val="20"/>
                <w:szCs w:val="20"/>
                <w:lang w:val="ru-MO"/>
              </w:rPr>
              <w:t xml:space="preserve">Нейрохирургия </w:t>
            </w:r>
          </w:p>
        </w:tc>
        <w:tc>
          <w:tcPr>
            <w:tcW w:w="2126"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Cs/>
                <w:color w:val="000000"/>
                <w:sz w:val="20"/>
                <w:szCs w:val="20"/>
                <w:lang w:val="ru-MO"/>
              </w:rPr>
            </w:pPr>
            <w:r w:rsidRPr="00CE6109">
              <w:rPr>
                <w:rFonts w:eastAsia="Times New Roman"/>
                <w:bCs/>
                <w:color w:val="000000"/>
                <w:sz w:val="20"/>
                <w:szCs w:val="20"/>
                <w:lang w:val="ru-MO"/>
              </w:rPr>
              <w:t>48463</w:t>
            </w:r>
          </w:p>
        </w:tc>
        <w:tc>
          <w:tcPr>
            <w:tcW w:w="1985" w:type="dxa"/>
            <w:tcBorders>
              <w:top w:val="nil"/>
              <w:left w:val="nil"/>
              <w:bottom w:val="single" w:sz="4" w:space="0" w:color="auto"/>
              <w:right w:val="single" w:sz="4" w:space="0" w:color="auto"/>
            </w:tcBorders>
            <w:shd w:val="clear" w:color="auto" w:fill="auto"/>
            <w:hideMark/>
          </w:tcPr>
          <w:p w:rsidR="00CE2D0C" w:rsidRPr="00CE6109" w:rsidRDefault="00CE2D0C" w:rsidP="00266330">
            <w:pPr>
              <w:spacing w:after="0" w:line="240" w:lineRule="auto"/>
              <w:jc w:val="center"/>
              <w:rPr>
                <w:rFonts w:eastAsia="Times New Roman" w:cs="Arial"/>
                <w:color w:val="000000"/>
                <w:sz w:val="20"/>
                <w:szCs w:val="20"/>
                <w:lang w:val="ru-MO"/>
              </w:rPr>
            </w:pPr>
            <w:r w:rsidRPr="00CD59C4">
              <w:rPr>
                <w:rFonts w:cs="Arial"/>
                <w:color w:val="000000"/>
                <w:sz w:val="20"/>
                <w:szCs w:val="20"/>
                <w:lang w:val="ru-MO"/>
              </w:rPr>
              <w:t>336</w:t>
            </w:r>
          </w:p>
        </w:tc>
        <w:tc>
          <w:tcPr>
            <w:tcW w:w="2835" w:type="dxa"/>
            <w:tcBorders>
              <w:top w:val="nil"/>
              <w:left w:val="nil"/>
              <w:bottom w:val="single" w:sz="4" w:space="0" w:color="auto"/>
              <w:right w:val="single" w:sz="4" w:space="0" w:color="auto"/>
            </w:tcBorders>
            <w:shd w:val="clear" w:color="auto" w:fill="auto"/>
            <w:noWrap/>
            <w:vAlign w:val="bottom"/>
            <w:hideMark/>
          </w:tcPr>
          <w:p w:rsidR="00CE2D0C" w:rsidRPr="00CE6109" w:rsidRDefault="00CE2D0C" w:rsidP="00266330">
            <w:pPr>
              <w:spacing w:after="0" w:line="240" w:lineRule="auto"/>
              <w:jc w:val="center"/>
              <w:rPr>
                <w:rFonts w:eastAsia="Times New Roman"/>
                <w:b/>
                <w:color w:val="000000"/>
                <w:sz w:val="20"/>
                <w:szCs w:val="20"/>
                <w:lang w:val="ru-MO"/>
              </w:rPr>
            </w:pPr>
            <w:r w:rsidRPr="00CD59C4">
              <w:rPr>
                <w:b/>
                <w:color w:val="000000"/>
                <w:sz w:val="20"/>
                <w:szCs w:val="20"/>
                <w:lang w:val="ru-MO"/>
              </w:rPr>
              <w:t>16.283.568,00</w:t>
            </w:r>
          </w:p>
        </w:tc>
      </w:tr>
      <w:tr w:rsidR="00CE2D0C" w:rsidRPr="00CD59C4" w:rsidTr="00266330">
        <w:trPr>
          <w:trHeight w:val="300"/>
        </w:trPr>
        <w:tc>
          <w:tcPr>
            <w:tcW w:w="2977" w:type="dxa"/>
            <w:tcBorders>
              <w:top w:val="nil"/>
              <w:left w:val="single" w:sz="4" w:space="0" w:color="auto"/>
              <w:bottom w:val="single" w:sz="4" w:space="0" w:color="auto"/>
              <w:right w:val="single" w:sz="4" w:space="0" w:color="auto"/>
            </w:tcBorders>
            <w:shd w:val="clear" w:color="auto" w:fill="DEEAF6"/>
            <w:noWrap/>
            <w:vAlign w:val="center"/>
            <w:hideMark/>
          </w:tcPr>
          <w:p w:rsidR="00CE2D0C" w:rsidRPr="00CE6109" w:rsidRDefault="00CE2D0C" w:rsidP="00266330">
            <w:pPr>
              <w:spacing w:after="0" w:line="240" w:lineRule="auto"/>
              <w:jc w:val="center"/>
              <w:rPr>
                <w:rFonts w:eastAsia="Times New Roman"/>
                <w:b/>
                <w:color w:val="000000"/>
                <w:lang w:val="ru-MO"/>
              </w:rPr>
            </w:pPr>
            <w:r>
              <w:rPr>
                <w:rFonts w:eastAsia="Times New Roman"/>
                <w:b/>
                <w:color w:val="000000"/>
                <w:lang w:val="ru-MO"/>
              </w:rPr>
              <w:t>ВСЕГО</w:t>
            </w:r>
          </w:p>
        </w:tc>
        <w:tc>
          <w:tcPr>
            <w:tcW w:w="2126" w:type="dxa"/>
            <w:tcBorders>
              <w:top w:val="nil"/>
              <w:left w:val="nil"/>
              <w:bottom w:val="single" w:sz="4" w:space="0" w:color="auto"/>
              <w:right w:val="single" w:sz="4" w:space="0" w:color="auto"/>
            </w:tcBorders>
            <w:shd w:val="clear" w:color="auto" w:fill="DEEAF6"/>
            <w:noWrap/>
            <w:vAlign w:val="center"/>
            <w:hideMark/>
          </w:tcPr>
          <w:p w:rsidR="00CE2D0C" w:rsidRPr="00CE6109" w:rsidRDefault="00CE2D0C" w:rsidP="00266330">
            <w:pPr>
              <w:spacing w:after="0" w:line="240" w:lineRule="auto"/>
              <w:jc w:val="center"/>
              <w:rPr>
                <w:rFonts w:eastAsia="Times New Roman"/>
                <w:b/>
                <w:color w:val="000000"/>
                <w:lang w:val="ru-MO"/>
              </w:rPr>
            </w:pPr>
            <w:r w:rsidRPr="00CE6109">
              <w:rPr>
                <w:rFonts w:eastAsia="Times New Roman"/>
                <w:b/>
                <w:color w:val="000000"/>
                <w:lang w:val="ru-MO"/>
              </w:rPr>
              <w:t>-</w:t>
            </w:r>
          </w:p>
        </w:tc>
        <w:tc>
          <w:tcPr>
            <w:tcW w:w="1985" w:type="dxa"/>
            <w:tcBorders>
              <w:top w:val="nil"/>
              <w:left w:val="nil"/>
              <w:bottom w:val="single" w:sz="4" w:space="0" w:color="auto"/>
              <w:right w:val="single" w:sz="4" w:space="0" w:color="auto"/>
            </w:tcBorders>
            <w:shd w:val="clear" w:color="auto" w:fill="DEEAF6"/>
            <w:noWrap/>
            <w:vAlign w:val="center"/>
            <w:hideMark/>
          </w:tcPr>
          <w:p w:rsidR="00CE2D0C" w:rsidRPr="00CD59C4" w:rsidRDefault="00CE2D0C" w:rsidP="00266330">
            <w:pPr>
              <w:spacing w:after="0"/>
              <w:jc w:val="center"/>
              <w:rPr>
                <w:b/>
                <w:color w:val="000000"/>
                <w:lang w:val="ru-MO"/>
              </w:rPr>
            </w:pPr>
            <w:r w:rsidRPr="00CD59C4">
              <w:rPr>
                <w:b/>
                <w:color w:val="000000"/>
                <w:lang w:val="ru-MO"/>
              </w:rPr>
              <w:t>22482</w:t>
            </w:r>
          </w:p>
        </w:tc>
        <w:tc>
          <w:tcPr>
            <w:tcW w:w="2835" w:type="dxa"/>
            <w:tcBorders>
              <w:top w:val="nil"/>
              <w:left w:val="nil"/>
              <w:bottom w:val="single" w:sz="4" w:space="0" w:color="auto"/>
              <w:right w:val="single" w:sz="4" w:space="0" w:color="auto"/>
            </w:tcBorders>
            <w:shd w:val="clear" w:color="auto" w:fill="DEEAF6"/>
            <w:noWrap/>
            <w:vAlign w:val="bottom"/>
            <w:hideMark/>
          </w:tcPr>
          <w:p w:rsidR="00CE2D0C" w:rsidRPr="00CE6109" w:rsidRDefault="00CE2D0C" w:rsidP="00266330">
            <w:pPr>
              <w:spacing w:after="0" w:line="240" w:lineRule="auto"/>
              <w:jc w:val="center"/>
              <w:rPr>
                <w:rFonts w:eastAsia="Times New Roman"/>
                <w:b/>
                <w:color w:val="000000"/>
                <w:lang w:val="ru-MO"/>
              </w:rPr>
            </w:pPr>
            <w:r w:rsidRPr="00CD59C4">
              <w:rPr>
                <w:b/>
                <w:color w:val="000000"/>
                <w:lang w:val="ru-MO"/>
              </w:rPr>
              <w:t>340.354.795,00</w:t>
            </w:r>
          </w:p>
        </w:tc>
      </w:tr>
    </w:tbl>
    <w:p w:rsidR="00CE2D0C" w:rsidRPr="00CE6109" w:rsidRDefault="00CE2D0C" w:rsidP="00CE2D0C">
      <w:pPr>
        <w:spacing w:after="0"/>
        <w:jc w:val="both"/>
        <w:rPr>
          <w:rFonts w:ascii="Times New Roman" w:hAnsi="Times New Roman"/>
          <w:sz w:val="20"/>
          <w:szCs w:val="20"/>
          <w:lang w:val="ru-MO"/>
        </w:rPr>
      </w:pPr>
      <w:r w:rsidRPr="00CE6109">
        <w:rPr>
          <w:rFonts w:ascii="Times New Roman" w:hAnsi="Times New Roman"/>
          <w:b/>
          <w:i/>
          <w:sz w:val="20"/>
          <w:szCs w:val="20"/>
          <w:lang w:val="ru-MO"/>
        </w:rPr>
        <w:t xml:space="preserve">Источник: </w:t>
      </w:r>
      <w:r w:rsidRPr="00CE6109">
        <w:rPr>
          <w:rFonts w:ascii="Times New Roman" w:hAnsi="Times New Roman"/>
          <w:sz w:val="20"/>
          <w:szCs w:val="20"/>
          <w:lang w:val="ru-MO"/>
        </w:rPr>
        <w:t>Разработано аудитом на основании сведений, представленных ПМСУ РКБ.</w:t>
      </w:r>
    </w:p>
    <w:p w:rsidR="00CE2D0C" w:rsidRPr="00CE6109" w:rsidRDefault="00CE2D0C" w:rsidP="00CE2D0C">
      <w:pPr>
        <w:spacing w:after="0"/>
        <w:jc w:val="both"/>
        <w:rPr>
          <w:rFonts w:ascii="Times New Roman" w:hAnsi="Times New Roman"/>
          <w:sz w:val="20"/>
          <w:szCs w:val="20"/>
          <w:lang w:val="ru-MO"/>
        </w:rPr>
      </w:pPr>
    </w:p>
    <w:p w:rsidR="00CE2D0C" w:rsidRPr="00CE6109" w:rsidRDefault="00CE2D0C" w:rsidP="00CE2D0C">
      <w:pPr>
        <w:spacing w:after="0"/>
        <w:jc w:val="both"/>
        <w:rPr>
          <w:rFonts w:ascii="Times New Roman" w:hAnsi="Times New Roman"/>
          <w:sz w:val="20"/>
          <w:szCs w:val="20"/>
          <w:lang w:val="ru-MO"/>
        </w:rPr>
      </w:pPr>
    </w:p>
    <w:p w:rsidR="00823101" w:rsidRPr="00CE2D0C" w:rsidRDefault="009B3E4C">
      <w:pPr>
        <w:rPr>
          <w:lang w:val="ru-MO"/>
        </w:rPr>
      </w:pPr>
    </w:p>
    <w:sectPr w:rsidR="00823101" w:rsidRPr="00CE2D0C" w:rsidSect="003D6644">
      <w:footerReference w:type="default" r:id="rId10"/>
      <w:type w:val="continuous"/>
      <w:pgSz w:w="11906" w:h="16838" w:code="9"/>
      <w:pgMar w:top="1134" w:right="850" w:bottom="709" w:left="1418"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E4C" w:rsidRDefault="009B3E4C" w:rsidP="00CE2D0C">
      <w:pPr>
        <w:spacing w:after="0" w:line="240" w:lineRule="auto"/>
      </w:pPr>
      <w:r>
        <w:separator/>
      </w:r>
    </w:p>
  </w:endnote>
  <w:endnote w:type="continuationSeparator" w:id="1">
    <w:p w:rsidR="009B3E4C" w:rsidRDefault="009B3E4C" w:rsidP="00CE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0C" w:rsidRPr="00131B9C" w:rsidRDefault="00CE2D0C" w:rsidP="00131B9C">
    <w:pPr>
      <w:pStyle w:val="Subsol"/>
      <w:jc w:val="right"/>
      <w:rPr>
        <w:rFonts w:ascii="Times New Roman" w:hAnsi="Times New Roman"/>
        <w:sz w:val="20"/>
        <w:szCs w:val="20"/>
      </w:rPr>
    </w:pPr>
    <w:r w:rsidRPr="00A42E0F">
      <w:rPr>
        <w:rFonts w:ascii="Times New Roman" w:hAnsi="Times New Roman"/>
        <w:sz w:val="20"/>
        <w:szCs w:val="20"/>
      </w:rPr>
      <w:fldChar w:fldCharType="begin"/>
    </w:r>
    <w:r w:rsidRPr="00A42E0F">
      <w:rPr>
        <w:rFonts w:ascii="Times New Roman" w:hAnsi="Times New Roman"/>
        <w:sz w:val="20"/>
        <w:szCs w:val="20"/>
      </w:rPr>
      <w:instrText xml:space="preserve"> PAGE   \* MERGEFORMAT </w:instrText>
    </w:r>
    <w:r w:rsidRPr="00A42E0F">
      <w:rPr>
        <w:rFonts w:ascii="Times New Roman" w:hAnsi="Times New Roman"/>
        <w:sz w:val="20"/>
        <w:szCs w:val="20"/>
      </w:rPr>
      <w:fldChar w:fldCharType="separate"/>
    </w:r>
    <w:r>
      <w:rPr>
        <w:rFonts w:ascii="Times New Roman" w:hAnsi="Times New Roman"/>
        <w:noProof/>
        <w:sz w:val="20"/>
        <w:szCs w:val="20"/>
      </w:rPr>
      <w:t>1</w:t>
    </w:r>
    <w:r w:rsidRPr="00A42E0F">
      <w:rPr>
        <w:rFonts w:ascii="Times New Roman" w:hAnsi="Times New Roman"/>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9" w:rsidRPr="002017B7" w:rsidRDefault="009B3E4C" w:rsidP="00262B06">
    <w:pPr>
      <w:pStyle w:val="Subsol"/>
      <w:jc w:val="right"/>
      <w:rPr>
        <w:rFonts w:ascii="Times New Roman" w:hAnsi="Times New Roman"/>
        <w:sz w:val="20"/>
        <w:szCs w:val="20"/>
      </w:rPr>
    </w:pPr>
    <w:r w:rsidRPr="002017B7">
      <w:rPr>
        <w:rFonts w:ascii="Times New Roman" w:hAnsi="Times New Roman"/>
        <w:sz w:val="20"/>
        <w:szCs w:val="20"/>
      </w:rPr>
      <w:fldChar w:fldCharType="begin"/>
    </w:r>
    <w:r w:rsidRPr="002017B7">
      <w:rPr>
        <w:rFonts w:ascii="Times New Roman" w:hAnsi="Times New Roman"/>
        <w:sz w:val="20"/>
        <w:szCs w:val="20"/>
      </w:rPr>
      <w:instrText xml:space="preserve"> PAGE   \* MERGEFORMAT </w:instrText>
    </w:r>
    <w:r w:rsidRPr="002017B7">
      <w:rPr>
        <w:rFonts w:ascii="Times New Roman" w:hAnsi="Times New Roman"/>
        <w:sz w:val="20"/>
        <w:szCs w:val="20"/>
      </w:rPr>
      <w:fldChar w:fldCharType="separate"/>
    </w:r>
    <w:r w:rsidR="00CE2D0C">
      <w:rPr>
        <w:rFonts w:ascii="Times New Roman" w:hAnsi="Times New Roman"/>
        <w:noProof/>
        <w:sz w:val="20"/>
        <w:szCs w:val="20"/>
      </w:rPr>
      <w:t>23</w:t>
    </w:r>
    <w:r w:rsidRPr="002017B7">
      <w:rPr>
        <w:rFonts w:ascii="Times New Roman" w:hAnsi="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E4C" w:rsidRDefault="009B3E4C" w:rsidP="00CE2D0C">
      <w:pPr>
        <w:spacing w:after="0" w:line="240" w:lineRule="auto"/>
      </w:pPr>
      <w:r>
        <w:separator/>
      </w:r>
    </w:p>
  </w:footnote>
  <w:footnote w:type="continuationSeparator" w:id="1">
    <w:p w:rsidR="009B3E4C" w:rsidRDefault="009B3E4C" w:rsidP="00CE2D0C">
      <w:pPr>
        <w:spacing w:after="0" w:line="240" w:lineRule="auto"/>
      </w:pPr>
      <w:r>
        <w:continuationSeparator/>
      </w:r>
    </w:p>
  </w:footnote>
  <w:footnote w:id="2">
    <w:p w:rsidR="00CE2D0C" w:rsidRPr="00CE2D0C" w:rsidRDefault="00CE2D0C" w:rsidP="00CE2D0C">
      <w:pPr>
        <w:pStyle w:val="Textnotdesubsol"/>
        <w:jc w:val="both"/>
        <w:rPr>
          <w:rFonts w:ascii="Times New Roman" w:hAnsi="Times New Roman"/>
          <w:lang w:val="ru-RU"/>
        </w:rPr>
      </w:pPr>
      <w:r w:rsidRPr="00AB1233">
        <w:rPr>
          <w:rStyle w:val="Referinnotdesubsol"/>
          <w:rFonts w:ascii="Times New Roman" w:hAnsi="Times New Roman"/>
        </w:rPr>
        <w:footnoteRef/>
      </w:r>
      <w:r w:rsidRPr="00CE2D0C">
        <w:rPr>
          <w:rFonts w:ascii="Times New Roman" w:hAnsi="Times New Roman"/>
          <w:lang w:val="ru-RU"/>
        </w:rPr>
        <w:t xml:space="preserve"> </w:t>
      </w:r>
      <w:r w:rsidRPr="003E6AE3">
        <w:rPr>
          <w:rFonts w:ascii="Times New Roman" w:hAnsi="Times New Roman"/>
          <w:lang w:val="ru-MO"/>
        </w:rPr>
        <w:t>ISSAI 100 „Основополагающие принципы аудита публичного сектора”, ISSAI 400 „Основополагающие принципы аудита соответствия”, утвержденные Постановлением Счетной палаты №60 от 11.12.2013 „О применении Национальных стандартов аудита Высших органов аудита 3 уровня – ISSAI 100, ISSAI 200, ISSAI 300, ISSAI 400 в рамках аудиторских миссий Счетной палаты”.</w:t>
      </w:r>
    </w:p>
  </w:footnote>
  <w:footnote w:id="3">
    <w:p w:rsidR="00CE2D0C" w:rsidRPr="008F22DC" w:rsidRDefault="00CE2D0C" w:rsidP="00CE2D0C">
      <w:pPr>
        <w:pStyle w:val="Textnotdesubsol"/>
        <w:jc w:val="both"/>
        <w:rPr>
          <w:rFonts w:ascii="Times New Roman" w:hAnsi="Times New Roman"/>
          <w:lang w:val="ru-MO"/>
        </w:rPr>
      </w:pPr>
      <w:r w:rsidRPr="00AB1233">
        <w:rPr>
          <w:rStyle w:val="Referinnotdesubsol"/>
          <w:rFonts w:ascii="Times New Roman" w:hAnsi="Times New Roman"/>
        </w:rPr>
        <w:footnoteRef/>
      </w:r>
      <w:r w:rsidRPr="00CE2D0C">
        <w:rPr>
          <w:rFonts w:ascii="Times New Roman" w:hAnsi="Times New Roman"/>
          <w:lang w:val="ru-RU"/>
        </w:rPr>
        <w:t xml:space="preserve"> </w:t>
      </w:r>
      <w:r w:rsidRPr="008F22DC">
        <w:rPr>
          <w:rFonts w:ascii="Times New Roman" w:hAnsi="Times New Roman"/>
          <w:lang w:val="ru-MO"/>
        </w:rPr>
        <w:t>Положение о ПМСУ РКБ, утвержденное Приказом министра здравоохранения №1020 от 29.12.2015.</w:t>
      </w:r>
    </w:p>
  </w:footnote>
  <w:footnote w:id="4">
    <w:p w:rsidR="00CE2D0C" w:rsidRPr="006B1A1B" w:rsidRDefault="00CE2D0C" w:rsidP="00CE2D0C">
      <w:pPr>
        <w:pStyle w:val="Textnotdesubsol"/>
        <w:jc w:val="both"/>
        <w:rPr>
          <w:rFonts w:ascii="Times New Roman" w:hAnsi="Times New Roman"/>
          <w:lang w:val="ru-MO"/>
        </w:rPr>
      </w:pPr>
      <w:r w:rsidRPr="006B1A1B">
        <w:rPr>
          <w:rStyle w:val="Referinnotdesubsol"/>
          <w:rFonts w:ascii="Times New Roman" w:hAnsi="Times New Roman"/>
          <w:lang w:val="ru-MO"/>
        </w:rPr>
        <w:footnoteRef/>
      </w:r>
      <w:r w:rsidRPr="006B1A1B">
        <w:rPr>
          <w:rFonts w:ascii="Times New Roman" w:hAnsi="Times New Roman"/>
          <w:lang w:val="ru-MO"/>
        </w:rPr>
        <w:t xml:space="preserve"> Постановление Счетной палаты №57 от 08.12.2014 „Об утверждении Программы аудиторской деятельности Счетной палаты на 2015 год”</w:t>
      </w:r>
      <w:r w:rsidRPr="006B1A1B">
        <w:rPr>
          <w:rFonts w:ascii="Times New Roman" w:hAnsi="Times New Roman"/>
          <w:bCs/>
          <w:color w:val="000000"/>
          <w:lang w:val="ru-MO" w:eastAsia="zh-CN"/>
        </w:rPr>
        <w:t>.</w:t>
      </w:r>
    </w:p>
  </w:footnote>
  <w:footnote w:id="5">
    <w:p w:rsidR="00CE2D0C" w:rsidRPr="006B1A1B" w:rsidRDefault="00CE2D0C" w:rsidP="00CE2D0C">
      <w:pPr>
        <w:pStyle w:val="Textnotdesubsol"/>
        <w:jc w:val="both"/>
        <w:rPr>
          <w:rFonts w:ascii="Times New Roman" w:hAnsi="Times New Roman"/>
          <w:lang w:val="ru-MO"/>
        </w:rPr>
      </w:pPr>
      <w:r w:rsidRPr="006B1A1B">
        <w:rPr>
          <w:rStyle w:val="Referinnotdesubsol"/>
          <w:rFonts w:ascii="Times New Roman" w:hAnsi="Times New Roman"/>
          <w:lang w:val="ru-MO"/>
        </w:rPr>
        <w:footnoteRef/>
      </w:r>
      <w:r w:rsidRPr="006B1A1B">
        <w:rPr>
          <w:rFonts w:ascii="Times New Roman" w:hAnsi="Times New Roman"/>
          <w:lang w:val="ru-MO"/>
        </w:rPr>
        <w:t xml:space="preserve"> Постановление Счетной палаты №46 от 14.12.2015 „Об утверждении Программы аудиторской деятельности Счетной палаты на 2016 год”</w:t>
      </w:r>
      <w:r w:rsidRPr="006B1A1B">
        <w:rPr>
          <w:rFonts w:ascii="Times New Roman" w:hAnsi="Times New Roman"/>
          <w:bCs/>
          <w:color w:val="000000"/>
          <w:lang w:val="ru-MO" w:eastAsia="zh-CN"/>
        </w:rPr>
        <w:t>.</w:t>
      </w:r>
    </w:p>
  </w:footnote>
  <w:footnote w:id="6">
    <w:p w:rsidR="00CE2D0C" w:rsidRPr="00E22D24" w:rsidRDefault="00CE2D0C" w:rsidP="00CE2D0C">
      <w:pPr>
        <w:pStyle w:val="Textnotdesubsol"/>
        <w:jc w:val="both"/>
        <w:rPr>
          <w:rFonts w:ascii="Times New Roman" w:hAnsi="Times New Roman"/>
          <w:lang w:val="ru-MO"/>
        </w:rPr>
      </w:pPr>
      <w:r w:rsidRPr="00D47E8D">
        <w:rPr>
          <w:rStyle w:val="Referinnotdesubsol"/>
          <w:rFonts w:ascii="Times New Roman" w:hAnsi="Times New Roman"/>
        </w:rPr>
        <w:footnoteRef/>
      </w:r>
      <w:r w:rsidRPr="00CE2D0C">
        <w:rPr>
          <w:rFonts w:ascii="Times New Roman" w:hAnsi="Times New Roman"/>
          <w:lang w:val="ru-RU"/>
        </w:rPr>
        <w:t xml:space="preserve"> </w:t>
      </w:r>
      <w:r w:rsidRPr="00E22D24">
        <w:rPr>
          <w:rFonts w:ascii="Times New Roman" w:hAnsi="Times New Roman"/>
          <w:lang w:val="ru-MO"/>
        </w:rPr>
        <w:t>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w:t>
      </w:r>
    </w:p>
  </w:footnote>
  <w:footnote w:id="7">
    <w:p w:rsidR="00CE2D0C" w:rsidRPr="00E22D24" w:rsidRDefault="00CE2D0C" w:rsidP="00CE2D0C">
      <w:pPr>
        <w:jc w:val="both"/>
        <w:rPr>
          <w:rFonts w:ascii="Times New Roman" w:hAnsi="Times New Roman"/>
          <w:sz w:val="20"/>
          <w:szCs w:val="20"/>
          <w:lang w:val="ru-MO"/>
        </w:rPr>
      </w:pPr>
      <w:r w:rsidRPr="00E22D24">
        <w:rPr>
          <w:rStyle w:val="Referinnotdesubsol"/>
          <w:rFonts w:ascii="Times New Roman" w:hAnsi="Times New Roman"/>
          <w:sz w:val="20"/>
          <w:szCs w:val="20"/>
          <w:lang w:val="ru-MO"/>
        </w:rPr>
        <w:footnoteRef/>
      </w:r>
      <w:r w:rsidRPr="00E22D24">
        <w:rPr>
          <w:rFonts w:ascii="Times New Roman" w:hAnsi="Times New Roman"/>
          <w:sz w:val="20"/>
          <w:szCs w:val="20"/>
          <w:lang w:val="ru-MO"/>
        </w:rPr>
        <w:t xml:space="preserve"> Постановление Счетной палаты №7 от 10.03.2014 „О применении Руководящих принципов аудита (ISSAI 1000-9999) в рамках публичного аудита”.</w:t>
      </w:r>
    </w:p>
    <w:p w:rsidR="00CE2D0C" w:rsidRPr="00CE2D0C" w:rsidRDefault="00CE2D0C" w:rsidP="00CE2D0C">
      <w:pPr>
        <w:pStyle w:val="Textnotdesubsol"/>
        <w:jc w:val="both"/>
        <w:rPr>
          <w:rFonts w:ascii="Arial" w:hAnsi="Arial" w:cs="Arial"/>
          <w:sz w:val="14"/>
          <w:szCs w:val="14"/>
          <w:lang w:val="ru-RU"/>
        </w:rPr>
      </w:pPr>
    </w:p>
  </w:footnote>
  <w:footnote w:id="8">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Pr>
          <w:rFonts w:ascii="Times New Roman" w:hAnsi="Times New Roman"/>
          <w:lang w:val="ru-RU"/>
        </w:rPr>
        <w:t>Положение о ПМСУ РКБ, утвержденное Приказом министра здравоохранения №</w:t>
      </w:r>
      <w:r w:rsidRPr="00CE2D0C">
        <w:rPr>
          <w:rFonts w:ascii="Times New Roman" w:hAnsi="Times New Roman"/>
          <w:lang w:val="ru-RU"/>
        </w:rPr>
        <w:t xml:space="preserve">1020 </w:t>
      </w:r>
      <w:r>
        <w:rPr>
          <w:rFonts w:ascii="Times New Roman" w:hAnsi="Times New Roman"/>
          <w:lang w:val="ru-RU"/>
        </w:rPr>
        <w:t>от</w:t>
      </w:r>
      <w:r w:rsidRPr="00CE2D0C">
        <w:rPr>
          <w:rFonts w:ascii="Times New Roman" w:hAnsi="Times New Roman"/>
          <w:lang w:val="ru-RU"/>
        </w:rPr>
        <w:t xml:space="preserve"> 29.12.2015.</w:t>
      </w:r>
    </w:p>
  </w:footnote>
  <w:footnote w:id="9">
    <w:p w:rsidR="00CE2D0C" w:rsidRPr="000A43B1" w:rsidRDefault="00CE2D0C" w:rsidP="00CE2D0C">
      <w:pPr>
        <w:pStyle w:val="Textnotdesubsol"/>
        <w:jc w:val="both"/>
        <w:rPr>
          <w:rFonts w:ascii="Times New Roman" w:hAnsi="Times New Roman"/>
          <w:lang w:val="ru-MO"/>
        </w:rPr>
      </w:pPr>
      <w:r w:rsidRPr="00191A7E">
        <w:rPr>
          <w:rStyle w:val="Referinnotdesubsol"/>
          <w:rFonts w:ascii="Times New Roman" w:hAnsi="Times New Roman"/>
        </w:rPr>
        <w:footnoteRef/>
      </w:r>
      <w:r w:rsidRPr="00CE2D0C">
        <w:rPr>
          <w:rFonts w:ascii="Times New Roman" w:hAnsi="Times New Roman"/>
          <w:lang w:val="ru-RU"/>
        </w:rPr>
        <w:t xml:space="preserve"> </w:t>
      </w:r>
      <w:r w:rsidRPr="000A43B1">
        <w:rPr>
          <w:rFonts w:ascii="Times New Roman" w:hAnsi="Times New Roman"/>
          <w:lang w:val="ru-MO"/>
        </w:rPr>
        <w:t>Индекс потребительских цен: в 2013 году – 105,2%; в 2014 году – 104,7% и в 2015 году – 113,6%.</w:t>
      </w:r>
    </w:p>
  </w:footnote>
  <w:footnote w:id="10">
    <w:p w:rsidR="00CE2D0C" w:rsidRPr="000A43B1" w:rsidRDefault="00CE2D0C" w:rsidP="00CE2D0C">
      <w:pPr>
        <w:pStyle w:val="Textnotdesubsol"/>
        <w:jc w:val="both"/>
        <w:rPr>
          <w:rFonts w:ascii="Times New Roman" w:hAnsi="Times New Roman"/>
          <w:lang w:val="ru-MO"/>
        </w:rPr>
      </w:pPr>
      <w:r w:rsidRPr="000A43B1">
        <w:rPr>
          <w:rStyle w:val="Referinnotdesubsol"/>
          <w:rFonts w:ascii="Times New Roman" w:hAnsi="Times New Roman"/>
          <w:lang w:val="ru-MO"/>
        </w:rPr>
        <w:footnoteRef/>
      </w:r>
      <w:r w:rsidRPr="000A43B1">
        <w:rPr>
          <w:rFonts w:ascii="Times New Roman" w:hAnsi="Times New Roman"/>
          <w:lang w:val="ru-MO"/>
        </w:rPr>
        <w:t xml:space="preserve"> Методологические нормы по формированию сметы доходов и расходов (бизнес-плана) и управления финансовыми средствами, полученными из фондов обязательного медицинского страхования медико-санитарными учреждениями, включенными в систему обязательного медицинского страхования, утвержденные совместным Приказом Министерства здравоохранения и НМСК от 26.10.2012.</w:t>
      </w:r>
    </w:p>
  </w:footnote>
  <w:footnote w:id="11">
    <w:p w:rsidR="00CE2D0C" w:rsidRPr="000A43B1" w:rsidRDefault="00CE2D0C" w:rsidP="00CE2D0C">
      <w:pPr>
        <w:pStyle w:val="Textnotdesubsol"/>
        <w:jc w:val="both"/>
        <w:rPr>
          <w:rFonts w:ascii="Times New Roman" w:hAnsi="Times New Roman"/>
          <w:lang w:val="ru-MO"/>
        </w:rPr>
      </w:pPr>
      <w:r w:rsidRPr="000A43B1">
        <w:rPr>
          <w:rStyle w:val="Referinnotdesubsol"/>
          <w:rFonts w:ascii="Times New Roman" w:hAnsi="Times New Roman"/>
          <w:lang w:val="ru-MO"/>
        </w:rPr>
        <w:footnoteRef/>
      </w:r>
      <w:r w:rsidRPr="000A43B1">
        <w:rPr>
          <w:rFonts w:ascii="Times New Roman" w:hAnsi="Times New Roman"/>
          <w:lang w:val="ru-MO"/>
        </w:rPr>
        <w:t xml:space="preserve"> Методологические нормы применения в 2015 году Единой программы обязательного медицинского страхования, утвержденные совместным Приказом Министерства Здравоохранения и НМСК №1490/672-29.12.2014.</w:t>
      </w:r>
    </w:p>
  </w:footnote>
  <w:footnote w:id="12">
    <w:p w:rsidR="00CE2D0C" w:rsidRPr="00400D59" w:rsidRDefault="00CE2D0C" w:rsidP="00CE2D0C">
      <w:pPr>
        <w:pStyle w:val="Textnotdesubsol"/>
        <w:jc w:val="both"/>
        <w:rPr>
          <w:rFonts w:ascii="Times New Roman" w:hAnsi="Times New Roman"/>
          <w:lang w:val="ru-MO"/>
        </w:rPr>
      </w:pPr>
      <w:r w:rsidRPr="00191A7E">
        <w:rPr>
          <w:rStyle w:val="Referinnotdesubsol"/>
          <w:rFonts w:ascii="Times New Roman" w:hAnsi="Times New Roman"/>
        </w:rPr>
        <w:footnoteRef/>
      </w:r>
      <w:r w:rsidRPr="00CE2D0C">
        <w:rPr>
          <w:rFonts w:ascii="Times New Roman" w:hAnsi="Times New Roman"/>
          <w:lang w:val="ru-RU"/>
        </w:rPr>
        <w:t xml:space="preserve"> </w:t>
      </w:r>
      <w:r w:rsidRPr="00400D59">
        <w:rPr>
          <w:rFonts w:ascii="Times New Roman" w:hAnsi="Times New Roman"/>
          <w:lang w:val="ru-MO"/>
        </w:rPr>
        <w:t xml:space="preserve">П.165 Методологических норм по применению в 2015 году Единой программы обязательного медицинского страхования, утвержденные совместным Приказом Министерства здравоохранения и НМСК №400/219-28.05.2015 (далее – Методологические нормы, утвержденные совместным Приказом Министерства здравоохранения и НМСК №400/219-28.05.2015). </w:t>
      </w:r>
    </w:p>
  </w:footnote>
  <w:footnote w:id="13">
    <w:p w:rsidR="00CE2D0C" w:rsidRPr="00400D59" w:rsidRDefault="00CE2D0C" w:rsidP="00CE2D0C">
      <w:pPr>
        <w:pStyle w:val="Textnotdesubsol"/>
        <w:jc w:val="both"/>
        <w:rPr>
          <w:rFonts w:ascii="Times New Roman" w:hAnsi="Times New Roman"/>
          <w:lang w:val="ru-MO"/>
        </w:rPr>
      </w:pPr>
      <w:r w:rsidRPr="00400D59">
        <w:rPr>
          <w:rStyle w:val="Referinnotdesubsol"/>
          <w:rFonts w:ascii="Times New Roman" w:hAnsi="Times New Roman"/>
          <w:lang w:val="ru-MO"/>
        </w:rPr>
        <w:footnoteRef/>
      </w:r>
      <w:r w:rsidRPr="00400D59">
        <w:rPr>
          <w:rFonts w:ascii="Times New Roman" w:hAnsi="Times New Roman"/>
          <w:lang w:val="ru-MO"/>
        </w:rPr>
        <w:t xml:space="preserve"> Общая программа; специальная программа „Хирургическое лечение катаракты”; специальная программа „Кардиохирургия”; специальная программа „Сосудистое протезирование”; специальная программа „Эндоваскулярная хирургия”; специальная программа „Нейрохирургия переломов позвоночника”.</w:t>
      </w:r>
    </w:p>
  </w:footnote>
  <w:footnote w:id="14">
    <w:p w:rsidR="00CE2D0C" w:rsidRPr="00400D59" w:rsidRDefault="00CE2D0C" w:rsidP="00CE2D0C">
      <w:pPr>
        <w:pStyle w:val="Textnotdesubsol"/>
        <w:jc w:val="both"/>
        <w:rPr>
          <w:rFonts w:ascii="Times New Roman" w:hAnsi="Times New Roman"/>
          <w:lang w:val="ru-MO"/>
        </w:rPr>
      </w:pPr>
      <w:r w:rsidRPr="00400D59">
        <w:rPr>
          <w:rStyle w:val="Referinnotdesubsol"/>
          <w:rFonts w:ascii="Times New Roman" w:hAnsi="Times New Roman"/>
          <w:lang w:val="ru-MO"/>
        </w:rPr>
        <w:footnoteRef/>
      </w:r>
      <w:r w:rsidRPr="00400D59">
        <w:rPr>
          <w:rFonts w:ascii="Times New Roman" w:hAnsi="Times New Roman"/>
          <w:lang w:val="ru-MO"/>
        </w:rPr>
        <w:t xml:space="preserve"> Совместный приказ Министерства здравоохранения и НМСК №397/125 от 05.04.2013.</w:t>
      </w:r>
    </w:p>
  </w:footnote>
  <w:footnote w:id="15">
    <w:p w:rsidR="00CE2D0C" w:rsidRPr="00633775" w:rsidRDefault="00CE2D0C" w:rsidP="00CE2D0C">
      <w:pPr>
        <w:pStyle w:val="Textnotdesubsol"/>
        <w:jc w:val="both"/>
        <w:rPr>
          <w:rFonts w:ascii="Times New Roman" w:hAnsi="Times New Roman"/>
          <w:lang w:val="ru-MO"/>
        </w:rPr>
      </w:pPr>
      <w:r w:rsidRPr="00191A7E">
        <w:rPr>
          <w:rStyle w:val="Referinnotdesubsol"/>
          <w:rFonts w:ascii="Times New Roman" w:hAnsi="Times New Roman"/>
        </w:rPr>
        <w:footnoteRef/>
      </w:r>
      <w:r w:rsidRPr="00CE2D0C">
        <w:rPr>
          <w:rFonts w:ascii="Times New Roman" w:hAnsi="Times New Roman"/>
          <w:lang w:val="ru-RU"/>
        </w:rPr>
        <w:t xml:space="preserve"> </w:t>
      </w:r>
      <w:r w:rsidRPr="00633775">
        <w:rPr>
          <w:rFonts w:ascii="Times New Roman" w:hAnsi="Times New Roman"/>
          <w:lang w:val="ru-MO"/>
        </w:rPr>
        <w:t>Методологические нормы применения в 2015 году Единой программы обязательного медицинского страхования, утвержденные совместным Приказом Министерства здравоохранения и НМСК №400/219-28.05.2015.</w:t>
      </w:r>
    </w:p>
  </w:footnote>
  <w:footnote w:id="16">
    <w:p w:rsidR="00CE2D0C" w:rsidRPr="0099646C" w:rsidRDefault="00CE2D0C" w:rsidP="00CE2D0C">
      <w:pPr>
        <w:pStyle w:val="Textnotdesubsol"/>
        <w:jc w:val="both"/>
        <w:rPr>
          <w:rFonts w:ascii="Times New Roman" w:hAnsi="Times New Roman"/>
          <w:lang w:val="ru-MO"/>
        </w:rPr>
      </w:pPr>
      <w:r w:rsidRPr="00191A7E">
        <w:rPr>
          <w:rStyle w:val="Referinnotdesubsol"/>
          <w:rFonts w:ascii="Times New Roman" w:hAnsi="Times New Roman"/>
        </w:rPr>
        <w:footnoteRef/>
      </w:r>
      <w:r w:rsidRPr="00CE2D0C">
        <w:rPr>
          <w:rFonts w:ascii="Times New Roman" w:hAnsi="Times New Roman"/>
          <w:lang w:val="ru-RU"/>
        </w:rPr>
        <w:t xml:space="preserve"> </w:t>
      </w:r>
      <w:r w:rsidRPr="0099646C">
        <w:rPr>
          <w:rFonts w:ascii="Times New Roman" w:hAnsi="Times New Roman"/>
          <w:lang w:val="ru-MO"/>
        </w:rPr>
        <w:t>П.7 подп.5 Положения об организации и функционировании Агентства по лекарствам и медицинских изделиям, утвержденного Постановлением Правительства №71 от 23.01.2013.</w:t>
      </w:r>
    </w:p>
  </w:footnote>
  <w:footnote w:id="17">
    <w:p w:rsidR="00CE2D0C" w:rsidRPr="00CE2D0C" w:rsidRDefault="00CE2D0C" w:rsidP="00CE2D0C">
      <w:pPr>
        <w:pStyle w:val="a0"/>
        <w:shd w:val="clear" w:color="auto" w:fill="auto"/>
        <w:rPr>
          <w:sz w:val="20"/>
          <w:szCs w:val="20"/>
          <w:lang w:val="ru-RU"/>
        </w:rPr>
      </w:pPr>
      <w:r w:rsidRPr="00191A7E">
        <w:rPr>
          <w:sz w:val="20"/>
          <w:szCs w:val="20"/>
          <w:vertAlign w:val="superscript"/>
        </w:rPr>
        <w:footnoteRef/>
      </w:r>
      <w:r w:rsidRPr="00CE2D0C">
        <w:rPr>
          <w:sz w:val="20"/>
          <w:szCs w:val="20"/>
          <w:lang w:val="ru-RU"/>
        </w:rPr>
        <w:t xml:space="preserve"> </w:t>
      </w:r>
      <w:r w:rsidRPr="00970E5E">
        <w:rPr>
          <w:sz w:val="20"/>
          <w:szCs w:val="20"/>
          <w:lang w:val="ru-MO"/>
        </w:rPr>
        <w:t>П.21 Методологических норм по формированию сметы доходов и расходов и управлени</w:t>
      </w:r>
      <w:r>
        <w:rPr>
          <w:sz w:val="20"/>
          <w:szCs w:val="20"/>
          <w:lang w:val="ru-MO"/>
        </w:rPr>
        <w:t>ю</w:t>
      </w:r>
      <w:r w:rsidRPr="00970E5E">
        <w:rPr>
          <w:sz w:val="20"/>
          <w:szCs w:val="20"/>
          <w:lang w:val="ru-MO"/>
        </w:rPr>
        <w:t xml:space="preserve"> финансовы</w:t>
      </w:r>
      <w:r>
        <w:rPr>
          <w:sz w:val="20"/>
          <w:szCs w:val="20"/>
          <w:lang w:val="ru-MO"/>
        </w:rPr>
        <w:t>ми</w:t>
      </w:r>
      <w:r w:rsidRPr="00970E5E">
        <w:rPr>
          <w:sz w:val="20"/>
          <w:szCs w:val="20"/>
          <w:lang w:val="ru-MO"/>
        </w:rPr>
        <w:t xml:space="preserve"> средств</w:t>
      </w:r>
      <w:r>
        <w:rPr>
          <w:sz w:val="20"/>
          <w:szCs w:val="20"/>
          <w:lang w:val="ru-MO"/>
        </w:rPr>
        <w:t>ами</w:t>
      </w:r>
      <w:r w:rsidRPr="00970E5E">
        <w:rPr>
          <w:sz w:val="20"/>
          <w:szCs w:val="20"/>
          <w:lang w:val="ru-MO"/>
        </w:rPr>
        <w:t xml:space="preserve"> </w:t>
      </w:r>
      <w:r>
        <w:rPr>
          <w:sz w:val="20"/>
          <w:szCs w:val="20"/>
          <w:lang w:val="ru-MO"/>
        </w:rPr>
        <w:t>публичными</w:t>
      </w:r>
      <w:r w:rsidRPr="00970E5E">
        <w:rPr>
          <w:sz w:val="20"/>
          <w:szCs w:val="20"/>
          <w:lang w:val="ru-MO"/>
        </w:rPr>
        <w:t xml:space="preserve"> медико-санитарны</w:t>
      </w:r>
      <w:r>
        <w:rPr>
          <w:sz w:val="20"/>
          <w:szCs w:val="20"/>
          <w:lang w:val="ru-MO"/>
        </w:rPr>
        <w:t>ми</w:t>
      </w:r>
      <w:r w:rsidRPr="00970E5E">
        <w:rPr>
          <w:sz w:val="20"/>
          <w:szCs w:val="20"/>
          <w:lang w:val="ru-MO"/>
        </w:rPr>
        <w:t xml:space="preserve"> учреждения</w:t>
      </w:r>
      <w:r>
        <w:rPr>
          <w:sz w:val="20"/>
          <w:szCs w:val="20"/>
          <w:lang w:val="ru-MO"/>
        </w:rPr>
        <w:t>ми</w:t>
      </w:r>
      <w:r w:rsidRPr="00970E5E">
        <w:rPr>
          <w:sz w:val="20"/>
          <w:szCs w:val="20"/>
          <w:lang w:val="ru-MO"/>
        </w:rPr>
        <w:t>, включенны</w:t>
      </w:r>
      <w:r>
        <w:rPr>
          <w:sz w:val="20"/>
          <w:szCs w:val="20"/>
          <w:lang w:val="ru-MO"/>
        </w:rPr>
        <w:t>ми</w:t>
      </w:r>
      <w:r w:rsidRPr="00970E5E">
        <w:rPr>
          <w:sz w:val="20"/>
          <w:szCs w:val="20"/>
          <w:lang w:val="ru-MO"/>
        </w:rPr>
        <w:t xml:space="preserve"> в систему обязательного медицинского страхования, утвержденных совместным Приказом Министерства здравоохранения №01-3/1/13-163 от 27.12.2013, НМСК №01/17-1441 от 27.12.2012 и Профсоюза „Здоровье” №04/526 от 28.12.2013</w:t>
      </w:r>
      <w:r w:rsidRPr="00CE2D0C">
        <w:rPr>
          <w:sz w:val="20"/>
          <w:szCs w:val="20"/>
          <w:lang w:val="ru-RU"/>
        </w:rPr>
        <w:t>.</w:t>
      </w:r>
    </w:p>
  </w:footnote>
  <w:footnote w:id="18">
    <w:p w:rsidR="00CE2D0C" w:rsidRPr="00057093" w:rsidRDefault="00CE2D0C" w:rsidP="00CE2D0C">
      <w:pPr>
        <w:pStyle w:val="Textnotdesubsol"/>
        <w:rPr>
          <w:rFonts w:ascii="Times New Roman" w:hAnsi="Times New Roman"/>
          <w:lang w:val="ru-MO"/>
        </w:rPr>
      </w:pPr>
      <w:r w:rsidRPr="00057093">
        <w:rPr>
          <w:rStyle w:val="Referinnotdesubsol"/>
          <w:rFonts w:ascii="Times New Roman" w:hAnsi="Times New Roman"/>
          <w:lang w:val="ru-MO"/>
        </w:rPr>
        <w:footnoteRef/>
      </w:r>
      <w:r w:rsidRPr="00057093">
        <w:rPr>
          <w:rFonts w:ascii="Times New Roman" w:hAnsi="Times New Roman"/>
          <w:lang w:val="ru-MO"/>
        </w:rPr>
        <w:t xml:space="preserve"> Закон о фондах обязательного медицинского страхования на 2015 год №74 от 12.04.2015.</w:t>
      </w:r>
    </w:p>
  </w:footnote>
  <w:footnote w:id="19">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sidRPr="006B453C">
        <w:rPr>
          <w:rFonts w:ascii="Times New Roman" w:hAnsi="Times New Roman"/>
          <w:lang w:val="ru-MO"/>
        </w:rPr>
        <w:t>Приказ министра Здравоохранения №322 от 22.11.2002 „О по</w:t>
      </w:r>
      <w:r>
        <w:rPr>
          <w:rFonts w:ascii="Times New Roman" w:hAnsi="Times New Roman"/>
          <w:lang w:val="ru-MO"/>
        </w:rPr>
        <w:t>мощи</w:t>
      </w:r>
      <w:r w:rsidRPr="006B453C">
        <w:rPr>
          <w:rFonts w:ascii="Times New Roman" w:hAnsi="Times New Roman"/>
          <w:lang w:val="ru-MO"/>
        </w:rPr>
        <w:t xml:space="preserve"> лекарствами госпитализированны</w:t>
      </w:r>
      <w:r>
        <w:rPr>
          <w:rFonts w:ascii="Times New Roman" w:hAnsi="Times New Roman"/>
          <w:lang w:val="ru-MO"/>
        </w:rPr>
        <w:t>м</w:t>
      </w:r>
      <w:r w:rsidRPr="006B453C">
        <w:rPr>
          <w:rFonts w:ascii="Times New Roman" w:hAnsi="Times New Roman"/>
          <w:lang w:val="ru-MO"/>
        </w:rPr>
        <w:t xml:space="preserve"> больны</w:t>
      </w:r>
      <w:r>
        <w:rPr>
          <w:rFonts w:ascii="Times New Roman" w:hAnsi="Times New Roman"/>
          <w:lang w:val="ru-MO"/>
        </w:rPr>
        <w:t>м</w:t>
      </w:r>
      <w:r w:rsidRPr="006B453C">
        <w:rPr>
          <w:rFonts w:ascii="Times New Roman" w:hAnsi="Times New Roman"/>
          <w:lang w:val="ru-MO"/>
        </w:rPr>
        <w:t>”.</w:t>
      </w:r>
    </w:p>
  </w:footnote>
  <w:footnote w:id="20">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Приказ министра Здравоохранения</w:t>
      </w:r>
      <w:r>
        <w:rPr>
          <w:rFonts w:ascii="Times New Roman" w:hAnsi="Times New Roman"/>
          <w:lang w:val="ru-RU"/>
        </w:rPr>
        <w:t xml:space="preserve"> </w:t>
      </w:r>
      <w:r w:rsidRPr="00CE2D0C">
        <w:rPr>
          <w:rFonts w:ascii="Times New Roman" w:hAnsi="Times New Roman"/>
          <w:lang w:val="ru-RU"/>
        </w:rPr>
        <w:t>№426 от 11.05.2012 „Об утверждении форм статистического учета первичной медицинской помощи”.</w:t>
      </w:r>
    </w:p>
  </w:footnote>
  <w:footnote w:id="21">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Pr>
          <w:rFonts w:ascii="Times New Roman" w:hAnsi="Times New Roman"/>
          <w:lang w:val="ru-RU"/>
        </w:rPr>
        <w:t>П</w:t>
      </w:r>
      <w:r w:rsidRPr="00CE2D0C">
        <w:rPr>
          <w:rFonts w:ascii="Times New Roman" w:hAnsi="Times New Roman"/>
          <w:lang w:val="ru-RU"/>
        </w:rPr>
        <w:t>.6.6 Положени</w:t>
      </w:r>
      <w:r>
        <w:rPr>
          <w:rFonts w:ascii="Times New Roman" w:hAnsi="Times New Roman"/>
          <w:lang w:val="ru-RU"/>
        </w:rPr>
        <w:t>я</w:t>
      </w:r>
      <w:r w:rsidRPr="00CE2D0C">
        <w:rPr>
          <w:rFonts w:ascii="Times New Roman" w:hAnsi="Times New Roman"/>
          <w:lang w:val="ru-RU"/>
        </w:rPr>
        <w:t xml:space="preserve"> о помощи госпитализированны</w:t>
      </w:r>
      <w:r>
        <w:rPr>
          <w:rFonts w:ascii="Times New Roman" w:hAnsi="Times New Roman"/>
          <w:lang w:val="ru-RU"/>
        </w:rPr>
        <w:t>м</w:t>
      </w:r>
      <w:r w:rsidRPr="00CE2D0C">
        <w:rPr>
          <w:rFonts w:ascii="Times New Roman" w:hAnsi="Times New Roman"/>
          <w:lang w:val="ru-RU"/>
        </w:rPr>
        <w:t xml:space="preserve"> больны</w:t>
      </w:r>
      <w:r>
        <w:rPr>
          <w:rFonts w:ascii="Times New Roman" w:hAnsi="Times New Roman"/>
          <w:lang w:val="ru-RU"/>
        </w:rPr>
        <w:t>м</w:t>
      </w:r>
      <w:r w:rsidRPr="00CE2D0C">
        <w:rPr>
          <w:rFonts w:ascii="Times New Roman" w:hAnsi="Times New Roman"/>
          <w:lang w:val="ru-RU"/>
        </w:rPr>
        <w:t>, утвержденн</w:t>
      </w:r>
      <w:r>
        <w:rPr>
          <w:rFonts w:ascii="Times New Roman" w:hAnsi="Times New Roman"/>
          <w:lang w:val="ru-RU"/>
        </w:rPr>
        <w:t>ого</w:t>
      </w:r>
      <w:r w:rsidRPr="00CE2D0C">
        <w:rPr>
          <w:rFonts w:ascii="Times New Roman" w:hAnsi="Times New Roman"/>
          <w:lang w:val="ru-RU"/>
        </w:rPr>
        <w:t xml:space="preserve"> Приказом министра Здравоохранения</w:t>
      </w:r>
      <w:r>
        <w:rPr>
          <w:rFonts w:ascii="Times New Roman" w:hAnsi="Times New Roman"/>
          <w:lang w:val="ru-RU"/>
        </w:rPr>
        <w:t xml:space="preserve"> </w:t>
      </w:r>
      <w:r w:rsidRPr="00CE2D0C">
        <w:rPr>
          <w:rFonts w:ascii="Times New Roman" w:hAnsi="Times New Roman"/>
          <w:lang w:val="ru-RU"/>
        </w:rPr>
        <w:t>№322 от 22.11.2001.</w:t>
      </w:r>
    </w:p>
  </w:footnote>
  <w:footnote w:id="22">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Форма</w:t>
      </w:r>
      <w:r>
        <w:rPr>
          <w:rFonts w:ascii="Times New Roman" w:hAnsi="Times New Roman"/>
          <w:lang w:val="ru-RU"/>
        </w:rPr>
        <w:t xml:space="preserve"> </w:t>
      </w:r>
      <w:r w:rsidRPr="00CE2D0C">
        <w:rPr>
          <w:rFonts w:ascii="Times New Roman" w:hAnsi="Times New Roman"/>
          <w:lang w:val="ru-RU"/>
        </w:rPr>
        <w:t>№1-16/</w:t>
      </w:r>
      <w:r w:rsidRPr="00697168">
        <w:rPr>
          <w:rFonts w:ascii="Times New Roman" w:hAnsi="Times New Roman"/>
        </w:rPr>
        <w:t>d</w:t>
      </w:r>
      <w:r w:rsidRPr="00CE2D0C">
        <w:rPr>
          <w:rFonts w:ascii="Times New Roman" w:hAnsi="Times New Roman"/>
          <w:lang w:val="ru-RU"/>
        </w:rPr>
        <w:t>, утвержденн</w:t>
      </w:r>
      <w:r>
        <w:rPr>
          <w:rFonts w:ascii="Times New Roman" w:hAnsi="Times New Roman"/>
          <w:lang w:val="ru-RU"/>
        </w:rPr>
        <w:t>ая</w:t>
      </w:r>
      <w:r w:rsidRPr="00CE2D0C">
        <w:rPr>
          <w:rFonts w:ascii="Times New Roman" w:hAnsi="Times New Roman"/>
          <w:lang w:val="ru-RU"/>
        </w:rPr>
        <w:t xml:space="preserve"> совместным Приказом Министерства </w:t>
      </w:r>
      <w:r>
        <w:rPr>
          <w:rFonts w:ascii="Times New Roman" w:hAnsi="Times New Roman"/>
          <w:lang w:val="ru-RU"/>
        </w:rPr>
        <w:t>з</w:t>
      </w:r>
      <w:r w:rsidRPr="00CE2D0C">
        <w:rPr>
          <w:rFonts w:ascii="Times New Roman" w:hAnsi="Times New Roman"/>
          <w:lang w:val="ru-RU"/>
        </w:rPr>
        <w:t>дравоохранения и НМСК</w:t>
      </w:r>
      <w:r>
        <w:rPr>
          <w:rFonts w:ascii="Times New Roman" w:hAnsi="Times New Roman"/>
          <w:lang w:val="ru-RU"/>
        </w:rPr>
        <w:t xml:space="preserve"> </w:t>
      </w:r>
      <w:r w:rsidRPr="00CE2D0C">
        <w:rPr>
          <w:rFonts w:ascii="Times New Roman" w:hAnsi="Times New Roman"/>
          <w:lang w:val="ru-RU"/>
        </w:rPr>
        <w:t>№205/94-19.03.2015.</w:t>
      </w:r>
    </w:p>
  </w:footnote>
  <w:footnote w:id="23">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Pr>
          <w:rFonts w:ascii="Times New Roman" w:hAnsi="Times New Roman"/>
          <w:lang w:val="ru-RU"/>
        </w:rPr>
        <w:t>П</w:t>
      </w:r>
      <w:r w:rsidRPr="00CE2D0C">
        <w:rPr>
          <w:rFonts w:ascii="Times New Roman" w:hAnsi="Times New Roman"/>
          <w:lang w:val="ru-RU"/>
        </w:rPr>
        <w:t xml:space="preserve">.8 </w:t>
      </w:r>
      <w:r>
        <w:rPr>
          <w:rFonts w:ascii="Times New Roman" w:hAnsi="Times New Roman"/>
          <w:lang w:val="ru-RU"/>
        </w:rPr>
        <w:t>М</w:t>
      </w:r>
      <w:r w:rsidRPr="00CE2D0C">
        <w:rPr>
          <w:rFonts w:ascii="Times New Roman" w:hAnsi="Times New Roman"/>
          <w:lang w:val="ru-RU"/>
        </w:rPr>
        <w:t>етодически</w:t>
      </w:r>
      <w:r>
        <w:rPr>
          <w:rFonts w:ascii="Times New Roman" w:hAnsi="Times New Roman"/>
          <w:lang w:val="ru-RU"/>
        </w:rPr>
        <w:t>х</w:t>
      </w:r>
      <w:r w:rsidRPr="00CE2D0C">
        <w:rPr>
          <w:rFonts w:ascii="Times New Roman" w:hAnsi="Times New Roman"/>
          <w:lang w:val="ru-RU"/>
        </w:rPr>
        <w:t xml:space="preserve"> </w:t>
      </w:r>
      <w:r>
        <w:rPr>
          <w:rFonts w:ascii="Times New Roman" w:hAnsi="Times New Roman"/>
          <w:lang w:val="ru-RU"/>
        </w:rPr>
        <w:t>у</w:t>
      </w:r>
      <w:r w:rsidRPr="00CE2D0C">
        <w:rPr>
          <w:rFonts w:ascii="Times New Roman" w:hAnsi="Times New Roman"/>
          <w:lang w:val="ru-RU"/>
        </w:rPr>
        <w:t xml:space="preserve">казания </w:t>
      </w:r>
      <w:r>
        <w:rPr>
          <w:rFonts w:ascii="Times New Roman" w:hAnsi="Times New Roman"/>
          <w:lang w:val="ru-RU"/>
        </w:rPr>
        <w:t>п</w:t>
      </w:r>
      <w:r w:rsidRPr="00CE2D0C">
        <w:rPr>
          <w:rFonts w:ascii="Times New Roman" w:hAnsi="Times New Roman"/>
          <w:lang w:val="ru-RU"/>
        </w:rPr>
        <w:t>о бухгалтерском</w:t>
      </w:r>
      <w:r>
        <w:rPr>
          <w:rFonts w:ascii="Times New Roman" w:hAnsi="Times New Roman"/>
          <w:lang w:val="ru-RU"/>
        </w:rPr>
        <w:t>у</w:t>
      </w:r>
      <w:r w:rsidRPr="00CE2D0C">
        <w:rPr>
          <w:rFonts w:ascii="Times New Roman" w:hAnsi="Times New Roman"/>
          <w:lang w:val="ru-RU"/>
        </w:rPr>
        <w:t xml:space="preserve"> учет</w:t>
      </w:r>
      <w:r>
        <w:rPr>
          <w:rFonts w:ascii="Times New Roman" w:hAnsi="Times New Roman"/>
          <w:lang w:val="ru-RU"/>
        </w:rPr>
        <w:t>у</w:t>
      </w:r>
      <w:r w:rsidRPr="00CE2D0C">
        <w:rPr>
          <w:rFonts w:ascii="Times New Roman" w:hAnsi="Times New Roman"/>
          <w:lang w:val="ru-RU"/>
        </w:rPr>
        <w:t xml:space="preserve"> производственных затрат и калькуляци</w:t>
      </w:r>
      <w:r>
        <w:rPr>
          <w:rFonts w:ascii="Times New Roman" w:hAnsi="Times New Roman"/>
          <w:lang w:val="ru-RU"/>
        </w:rPr>
        <w:t>и</w:t>
      </w:r>
      <w:r w:rsidRPr="00CE2D0C">
        <w:rPr>
          <w:rFonts w:ascii="Times New Roman" w:hAnsi="Times New Roman"/>
          <w:lang w:val="ru-RU"/>
        </w:rPr>
        <w:t xml:space="preserve"> себестоимости продукции и услуг, утвержденных Приказом министра Финансов</w:t>
      </w:r>
      <w:r>
        <w:rPr>
          <w:rFonts w:ascii="Times New Roman" w:hAnsi="Times New Roman"/>
          <w:lang w:val="ru-RU"/>
        </w:rPr>
        <w:t xml:space="preserve"> </w:t>
      </w:r>
      <w:r w:rsidRPr="00CE2D0C">
        <w:rPr>
          <w:rFonts w:ascii="Times New Roman" w:hAnsi="Times New Roman"/>
          <w:lang w:val="ru-RU"/>
        </w:rPr>
        <w:t>№118 от 06.08.2013.</w:t>
      </w:r>
    </w:p>
  </w:footnote>
  <w:footnote w:id="24">
    <w:p w:rsidR="00CE2D0C" w:rsidRPr="00CE2D0C" w:rsidRDefault="00CE2D0C" w:rsidP="00CE2D0C">
      <w:pPr>
        <w:pStyle w:val="Textnotdesubsol"/>
        <w:jc w:val="both"/>
        <w:rPr>
          <w:rFonts w:ascii="Times New Roman" w:hAnsi="Times New Roman"/>
          <w:bCs/>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Pr>
          <w:rFonts w:ascii="Times New Roman" w:hAnsi="Times New Roman"/>
          <w:lang w:val="ru-RU"/>
        </w:rPr>
        <w:t>П</w:t>
      </w:r>
      <w:r w:rsidRPr="00CE2D0C">
        <w:rPr>
          <w:rFonts w:ascii="Times New Roman" w:hAnsi="Times New Roman"/>
          <w:lang w:val="ru-RU"/>
        </w:rPr>
        <w:t>.25 Метод</w:t>
      </w:r>
      <w:r>
        <w:rPr>
          <w:rFonts w:ascii="Times New Roman" w:hAnsi="Times New Roman"/>
          <w:lang w:val="ru-RU"/>
        </w:rPr>
        <w:t>ологии</w:t>
      </w:r>
      <w:r w:rsidRPr="00CE2D0C">
        <w:rPr>
          <w:rFonts w:ascii="Times New Roman" w:hAnsi="Times New Roman"/>
          <w:lang w:val="ru-RU"/>
        </w:rPr>
        <w:t xml:space="preserve"> установления тарифов на оказание медико-санитарных услуг, утвержденной Постановлением Правительства</w:t>
      </w:r>
      <w:r>
        <w:rPr>
          <w:rFonts w:ascii="Times New Roman" w:hAnsi="Times New Roman"/>
          <w:lang w:val="ru-RU"/>
        </w:rPr>
        <w:t xml:space="preserve"> </w:t>
      </w:r>
      <w:r w:rsidRPr="00CE2D0C">
        <w:rPr>
          <w:rFonts w:ascii="Times New Roman" w:hAnsi="Times New Roman"/>
          <w:lang w:val="ru-RU"/>
        </w:rPr>
        <w:t>№1020 от 29.12.2011 „</w:t>
      </w:r>
      <w:r>
        <w:rPr>
          <w:rFonts w:ascii="Times New Roman" w:hAnsi="Times New Roman"/>
          <w:lang w:val="ru-RU"/>
        </w:rPr>
        <w:t>О</w:t>
      </w:r>
      <w:r w:rsidRPr="00CE2D0C">
        <w:rPr>
          <w:rFonts w:ascii="Times New Roman" w:hAnsi="Times New Roman"/>
          <w:lang w:val="ru-RU"/>
        </w:rPr>
        <w:t xml:space="preserve"> тарифах на медико-санитарные услуги”.</w:t>
      </w:r>
    </w:p>
  </w:footnote>
  <w:footnote w:id="25">
    <w:p w:rsidR="00CE2D0C" w:rsidRPr="00CE2D0C" w:rsidRDefault="00CE2D0C" w:rsidP="00CE2D0C">
      <w:pPr>
        <w:pStyle w:val="Textnotdesubsol"/>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Постановление Счетной палаты</w:t>
      </w:r>
      <w:r>
        <w:rPr>
          <w:rFonts w:ascii="Times New Roman" w:hAnsi="Times New Roman"/>
          <w:lang w:val="ru-RU"/>
        </w:rPr>
        <w:t xml:space="preserve"> </w:t>
      </w:r>
      <w:r w:rsidRPr="00CE2D0C">
        <w:rPr>
          <w:rFonts w:ascii="Times New Roman" w:hAnsi="Times New Roman"/>
          <w:lang w:val="ru-RU"/>
        </w:rPr>
        <w:t>№21 от 30.06.2015 „</w:t>
      </w:r>
      <w:r>
        <w:rPr>
          <w:rFonts w:ascii="Times New Roman" w:hAnsi="Times New Roman"/>
          <w:lang w:val="ru-RU"/>
        </w:rPr>
        <w:t>О</w:t>
      </w:r>
      <w:r w:rsidRPr="00CE2D0C">
        <w:rPr>
          <w:rFonts w:ascii="Times New Roman" w:hAnsi="Times New Roman"/>
          <w:lang w:val="ru-RU"/>
        </w:rPr>
        <w:t>б Отчетах аудита соответстви</w:t>
      </w:r>
      <w:r>
        <w:rPr>
          <w:rFonts w:ascii="Times New Roman" w:hAnsi="Times New Roman"/>
          <w:lang w:val="ru-RU"/>
        </w:rPr>
        <w:t xml:space="preserve">я </w:t>
      </w:r>
      <w:r w:rsidRPr="00CE2D0C">
        <w:rPr>
          <w:rFonts w:ascii="Times New Roman" w:hAnsi="Times New Roman"/>
          <w:lang w:val="ru-RU"/>
        </w:rPr>
        <w:t xml:space="preserve">Отчета Правительства об исполнении фондов обязательного медицинского страхования </w:t>
      </w:r>
      <w:r>
        <w:rPr>
          <w:rFonts w:ascii="Times New Roman" w:hAnsi="Times New Roman"/>
          <w:lang w:val="ru-RU"/>
        </w:rPr>
        <w:t>за</w:t>
      </w:r>
      <w:r w:rsidRPr="00CE2D0C">
        <w:rPr>
          <w:rFonts w:ascii="Times New Roman" w:hAnsi="Times New Roman"/>
          <w:lang w:val="ru-RU"/>
        </w:rPr>
        <w:t xml:space="preserve"> 2014 бюджет</w:t>
      </w:r>
      <w:r>
        <w:rPr>
          <w:rFonts w:ascii="Times New Roman" w:hAnsi="Times New Roman"/>
          <w:lang w:val="ru-RU"/>
        </w:rPr>
        <w:t>ный</w:t>
      </w:r>
      <w:r w:rsidRPr="00CE2D0C">
        <w:rPr>
          <w:rFonts w:ascii="Times New Roman" w:hAnsi="Times New Roman"/>
          <w:lang w:val="ru-RU"/>
        </w:rPr>
        <w:t xml:space="preserve"> год и эффективности институциональной системы по администрированию средств фондов обязательного медицинского страхования” (далее – Постановление Счетной палаты</w:t>
      </w:r>
      <w:r>
        <w:rPr>
          <w:rFonts w:ascii="Times New Roman" w:hAnsi="Times New Roman"/>
          <w:lang w:val="ru-RU"/>
        </w:rPr>
        <w:t xml:space="preserve"> </w:t>
      </w:r>
      <w:r w:rsidRPr="00CE2D0C">
        <w:rPr>
          <w:rFonts w:ascii="Times New Roman" w:hAnsi="Times New Roman"/>
          <w:lang w:val="ru-RU"/>
        </w:rPr>
        <w:t>№21 30.06.2015).</w:t>
      </w:r>
    </w:p>
  </w:footnote>
  <w:footnote w:id="26">
    <w:p w:rsidR="00CE2D0C" w:rsidRPr="00CE2D0C" w:rsidRDefault="00CE2D0C" w:rsidP="00CE2D0C">
      <w:pPr>
        <w:pStyle w:val="Textnotdesubsol"/>
        <w:tabs>
          <w:tab w:val="center" w:pos="4819"/>
        </w:tabs>
        <w:jc w:val="both"/>
        <w:rPr>
          <w:rFonts w:ascii="Times New Roman" w:hAnsi="Times New Roman"/>
          <w:lang w:val="ru-RU"/>
        </w:rPr>
      </w:pPr>
      <w:r w:rsidRPr="00191A7E">
        <w:rPr>
          <w:rStyle w:val="Referinnotdesubsol"/>
          <w:rFonts w:ascii="Times New Roman" w:hAnsi="Times New Roman"/>
        </w:rPr>
        <w:footnoteRef/>
      </w:r>
      <w:r w:rsidRPr="00CE2D0C">
        <w:rPr>
          <w:rFonts w:ascii="Times New Roman" w:hAnsi="Times New Roman"/>
          <w:lang w:val="ru-RU"/>
        </w:rPr>
        <w:t xml:space="preserve"> </w:t>
      </w:r>
      <w:r>
        <w:rPr>
          <w:rFonts w:ascii="Times New Roman" w:hAnsi="Times New Roman"/>
          <w:lang w:val="ru-RU"/>
        </w:rPr>
        <w:t>Постановление Счетной палаты №</w:t>
      </w:r>
      <w:r w:rsidRPr="00CE2D0C">
        <w:rPr>
          <w:rFonts w:ascii="Times New Roman" w:hAnsi="Times New Roman"/>
          <w:lang w:val="ru-RU"/>
        </w:rPr>
        <w:t xml:space="preserve">21 </w:t>
      </w:r>
      <w:r>
        <w:rPr>
          <w:rFonts w:ascii="Times New Roman" w:hAnsi="Times New Roman"/>
          <w:lang w:val="ru-RU"/>
        </w:rPr>
        <w:t>от</w:t>
      </w:r>
      <w:r w:rsidRPr="00CE2D0C">
        <w:rPr>
          <w:rFonts w:ascii="Times New Roman" w:hAnsi="Times New Roman"/>
          <w:lang w:val="ru-RU"/>
        </w:rPr>
        <w:t xml:space="preserve"> 30.06.2015.</w:t>
      </w:r>
      <w:r w:rsidRPr="00CE2D0C">
        <w:rPr>
          <w:rFonts w:ascii="Times New Roman" w:hAnsi="Times New Roman"/>
          <w:lang w:val="ru-RU"/>
        </w:rPr>
        <w:tab/>
      </w:r>
    </w:p>
  </w:footnote>
  <w:footnote w:id="27">
    <w:p w:rsidR="00CE2D0C" w:rsidRPr="00CE2D0C" w:rsidRDefault="00CE2D0C" w:rsidP="00CE2D0C">
      <w:pPr>
        <w:spacing w:after="0" w:line="240" w:lineRule="auto"/>
        <w:jc w:val="both"/>
        <w:rPr>
          <w:rFonts w:ascii="Times New Roman" w:eastAsia="Times New Roman" w:hAnsi="Times New Roman"/>
          <w:bCs/>
          <w:sz w:val="20"/>
          <w:szCs w:val="20"/>
          <w:lang w:val="ru-RU"/>
        </w:rPr>
      </w:pPr>
      <w:r w:rsidRPr="00191A7E">
        <w:rPr>
          <w:rStyle w:val="Referinnotdesubsol"/>
          <w:rFonts w:ascii="Times New Roman" w:hAnsi="Times New Roman"/>
          <w:sz w:val="20"/>
          <w:szCs w:val="20"/>
        </w:rPr>
        <w:footnoteRef/>
      </w:r>
      <w:r w:rsidRPr="00CE2D0C">
        <w:rPr>
          <w:rFonts w:ascii="Times New Roman" w:hAnsi="Times New Roman"/>
          <w:sz w:val="20"/>
          <w:szCs w:val="20"/>
          <w:lang w:val="ru-RU"/>
        </w:rPr>
        <w:t xml:space="preserve"> Постановление Правительства</w:t>
      </w:r>
      <w:r>
        <w:rPr>
          <w:rFonts w:ascii="Times New Roman" w:hAnsi="Times New Roman"/>
          <w:sz w:val="20"/>
          <w:szCs w:val="20"/>
          <w:lang w:val="ru-RU"/>
        </w:rPr>
        <w:t xml:space="preserve"> </w:t>
      </w:r>
      <w:r w:rsidRPr="00CE2D0C">
        <w:rPr>
          <w:rFonts w:ascii="Times New Roman" w:hAnsi="Times New Roman"/>
          <w:sz w:val="20"/>
          <w:szCs w:val="20"/>
          <w:lang w:val="ru-RU"/>
        </w:rPr>
        <w:t>№1387 от 10.12.2007 „</w:t>
      </w:r>
      <w:r>
        <w:rPr>
          <w:rFonts w:ascii="Times New Roman" w:hAnsi="Times New Roman"/>
          <w:sz w:val="20"/>
          <w:szCs w:val="20"/>
          <w:lang w:val="ru-RU"/>
        </w:rPr>
        <w:t>О</w:t>
      </w:r>
      <w:r w:rsidRPr="00CE2D0C">
        <w:rPr>
          <w:rFonts w:ascii="Times New Roman" w:hAnsi="Times New Roman"/>
          <w:sz w:val="20"/>
          <w:szCs w:val="20"/>
          <w:lang w:val="ru-RU"/>
        </w:rPr>
        <w:t xml:space="preserve">б утверждении </w:t>
      </w:r>
      <w:r>
        <w:rPr>
          <w:rFonts w:ascii="Times New Roman" w:hAnsi="Times New Roman"/>
          <w:sz w:val="20"/>
          <w:szCs w:val="20"/>
          <w:lang w:val="ru-RU"/>
        </w:rPr>
        <w:t>Е</w:t>
      </w:r>
      <w:r w:rsidRPr="00CE2D0C">
        <w:rPr>
          <w:rFonts w:ascii="Times New Roman" w:hAnsi="Times New Roman"/>
          <w:sz w:val="20"/>
          <w:szCs w:val="20"/>
          <w:lang w:val="ru-RU"/>
        </w:rPr>
        <w:t xml:space="preserve">диной </w:t>
      </w:r>
      <w:r>
        <w:rPr>
          <w:rFonts w:ascii="Times New Roman" w:hAnsi="Times New Roman"/>
          <w:sz w:val="20"/>
          <w:szCs w:val="20"/>
          <w:lang w:val="ru-RU"/>
        </w:rPr>
        <w:t>п</w:t>
      </w:r>
      <w:r w:rsidRPr="00CE2D0C">
        <w:rPr>
          <w:rFonts w:ascii="Times New Roman" w:hAnsi="Times New Roman"/>
          <w:sz w:val="20"/>
          <w:szCs w:val="20"/>
          <w:lang w:val="ru-RU"/>
        </w:rPr>
        <w:t>рограммы обязательного медицинского страхования”.</w:t>
      </w:r>
    </w:p>
    <w:p w:rsidR="00CE2D0C" w:rsidRPr="00CE2D0C" w:rsidRDefault="00CE2D0C" w:rsidP="00CE2D0C">
      <w:pPr>
        <w:pStyle w:val="Textnotdesubsol"/>
        <w:jc w:val="both"/>
        <w:rPr>
          <w:rFonts w:ascii="Times New Roman" w:hAnsi="Times New Roman"/>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0C" w:rsidRPr="00906F5F" w:rsidRDefault="00CE2D0C" w:rsidP="00CE2D0C">
    <w:pPr>
      <w:pStyle w:val="Antet"/>
      <w:shd w:val="clear" w:color="auto" w:fill="CC99FF"/>
      <w:ind w:right="-51"/>
      <w:rPr>
        <w:rFonts w:ascii="Times New Roman" w:hAnsi="Times New Roman"/>
        <w:b/>
        <w:i/>
        <w:color w:val="1F3864"/>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0EC"/>
    <w:multiLevelType w:val="hybridMultilevel"/>
    <w:tmpl w:val="EE2C9EC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nsid w:val="0BCA0549"/>
    <w:multiLevelType w:val="hybridMultilevel"/>
    <w:tmpl w:val="479216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4D1A2A"/>
    <w:multiLevelType w:val="hybridMultilevel"/>
    <w:tmpl w:val="66A89F78"/>
    <w:lvl w:ilvl="0" w:tplc="5B22BA88">
      <w:start w:val="5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8A02C6"/>
    <w:multiLevelType w:val="hybridMultilevel"/>
    <w:tmpl w:val="E9FE54F0"/>
    <w:lvl w:ilvl="0" w:tplc="70E80068">
      <w:start w:val="55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4B63BF7"/>
    <w:multiLevelType w:val="hybridMultilevel"/>
    <w:tmpl w:val="FB603358"/>
    <w:lvl w:ilvl="0" w:tplc="4B0C677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415118"/>
    <w:multiLevelType w:val="hybridMultilevel"/>
    <w:tmpl w:val="FC585CE6"/>
    <w:lvl w:ilvl="0" w:tplc="A4AC086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7A54BF7"/>
    <w:multiLevelType w:val="hybridMultilevel"/>
    <w:tmpl w:val="0ADE32B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20365FC6"/>
    <w:multiLevelType w:val="hybridMultilevel"/>
    <w:tmpl w:val="E8AC90C0"/>
    <w:lvl w:ilvl="0" w:tplc="BCEC56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4435BE7"/>
    <w:multiLevelType w:val="hybridMultilevel"/>
    <w:tmpl w:val="CB00626E"/>
    <w:lvl w:ilvl="0" w:tplc="751891E6">
      <w:start w:val="1"/>
      <w:numFmt w:val="decimal"/>
      <w:lvlText w:val="%1."/>
      <w:lvlJc w:val="left"/>
      <w:pPr>
        <w:ind w:left="720" w:hanging="360"/>
      </w:pPr>
      <w:rPr>
        <w:rFonts w:ascii="Calibri" w:eastAsia="Calibri" w:hAnsi="Calibri" w:cs="Times New Roman" w:hint="default"/>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nsid w:val="24E40662"/>
    <w:multiLevelType w:val="multilevel"/>
    <w:tmpl w:val="7A56A49C"/>
    <w:lvl w:ilvl="0">
      <w:start w:val="1"/>
      <w:numFmt w:val="upperRoman"/>
      <w:lvlText w:val="%1."/>
      <w:lvlJc w:val="left"/>
      <w:pPr>
        <w:ind w:left="1080" w:hanging="720"/>
      </w:pPr>
      <w:rPr>
        <w:rFonts w:hint="default"/>
      </w:rPr>
    </w:lvl>
    <w:lvl w:ilvl="1">
      <w:start w:val="1"/>
      <w:numFmt w:val="decimal"/>
      <w:isLgl/>
      <w:lvlText w:val="%1.%2"/>
      <w:lvlJc w:val="left"/>
      <w:pPr>
        <w:ind w:left="1680" w:hanging="4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26676A66"/>
    <w:multiLevelType w:val="hybridMultilevel"/>
    <w:tmpl w:val="841468DE"/>
    <w:lvl w:ilvl="0" w:tplc="648EF9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9C5769"/>
    <w:multiLevelType w:val="hybridMultilevel"/>
    <w:tmpl w:val="DCDECC9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nsid w:val="34E27290"/>
    <w:multiLevelType w:val="hybridMultilevel"/>
    <w:tmpl w:val="9CF262DA"/>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52A3CAF"/>
    <w:multiLevelType w:val="hybridMultilevel"/>
    <w:tmpl w:val="693CBA6A"/>
    <w:lvl w:ilvl="0" w:tplc="BA46A41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9E675F8"/>
    <w:multiLevelType w:val="hybridMultilevel"/>
    <w:tmpl w:val="CEDA0D26"/>
    <w:lvl w:ilvl="0" w:tplc="BEF670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6D2E11"/>
    <w:multiLevelType w:val="hybridMultilevel"/>
    <w:tmpl w:val="A40A915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nsid w:val="433767D0"/>
    <w:multiLevelType w:val="hybridMultilevel"/>
    <w:tmpl w:val="A3DEE8B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nsid w:val="45D65DC4"/>
    <w:multiLevelType w:val="hybridMultilevel"/>
    <w:tmpl w:val="088AD48A"/>
    <w:lvl w:ilvl="0" w:tplc="64AA3BF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189371D"/>
    <w:multiLevelType w:val="hybridMultilevel"/>
    <w:tmpl w:val="B13CF5EA"/>
    <w:lvl w:ilvl="0" w:tplc="8AD23B62">
      <w:start w:val="55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1CA6C0F"/>
    <w:multiLevelType w:val="hybridMultilevel"/>
    <w:tmpl w:val="B32C22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2C17F90"/>
    <w:multiLevelType w:val="hybridMultilevel"/>
    <w:tmpl w:val="FD9858BA"/>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4946F7F"/>
    <w:multiLevelType w:val="hybridMultilevel"/>
    <w:tmpl w:val="359891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66A63C0"/>
    <w:multiLevelType w:val="hybridMultilevel"/>
    <w:tmpl w:val="BDF01880"/>
    <w:lvl w:ilvl="0" w:tplc="EA8ED32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91A1457"/>
    <w:multiLevelType w:val="hybridMultilevel"/>
    <w:tmpl w:val="9C2E248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nsid w:val="5E215CAF"/>
    <w:multiLevelType w:val="hybridMultilevel"/>
    <w:tmpl w:val="67CC7E7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nsid w:val="60B95F75"/>
    <w:multiLevelType w:val="hybridMultilevel"/>
    <w:tmpl w:val="CD9C6178"/>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2C73F8D"/>
    <w:multiLevelType w:val="hybridMultilevel"/>
    <w:tmpl w:val="8C7E4B28"/>
    <w:lvl w:ilvl="0" w:tplc="04090001">
      <w:start w:val="1"/>
      <w:numFmt w:val="bullet"/>
      <w:lvlText w:val=""/>
      <w:lvlJc w:val="left"/>
      <w:pPr>
        <w:ind w:left="2410" w:hanging="360"/>
      </w:pPr>
      <w:rPr>
        <w:rFonts w:ascii="Symbol" w:hAnsi="Symbol" w:hint="default"/>
      </w:rPr>
    </w:lvl>
    <w:lvl w:ilvl="1" w:tplc="04090003" w:tentative="1">
      <w:start w:val="1"/>
      <w:numFmt w:val="bullet"/>
      <w:lvlText w:val="o"/>
      <w:lvlJc w:val="left"/>
      <w:pPr>
        <w:ind w:left="3130" w:hanging="360"/>
      </w:pPr>
      <w:rPr>
        <w:rFonts w:ascii="Courier New" w:hAnsi="Courier New" w:cs="Courier New" w:hint="default"/>
      </w:rPr>
    </w:lvl>
    <w:lvl w:ilvl="2" w:tplc="04090005" w:tentative="1">
      <w:start w:val="1"/>
      <w:numFmt w:val="bullet"/>
      <w:lvlText w:val=""/>
      <w:lvlJc w:val="left"/>
      <w:pPr>
        <w:ind w:left="3850" w:hanging="360"/>
      </w:pPr>
      <w:rPr>
        <w:rFonts w:ascii="Wingdings" w:hAnsi="Wingdings" w:hint="default"/>
      </w:rPr>
    </w:lvl>
    <w:lvl w:ilvl="3" w:tplc="04090001" w:tentative="1">
      <w:start w:val="1"/>
      <w:numFmt w:val="bullet"/>
      <w:lvlText w:val=""/>
      <w:lvlJc w:val="left"/>
      <w:pPr>
        <w:ind w:left="4570" w:hanging="360"/>
      </w:pPr>
      <w:rPr>
        <w:rFonts w:ascii="Symbol" w:hAnsi="Symbol" w:hint="default"/>
      </w:rPr>
    </w:lvl>
    <w:lvl w:ilvl="4" w:tplc="04090003" w:tentative="1">
      <w:start w:val="1"/>
      <w:numFmt w:val="bullet"/>
      <w:lvlText w:val="o"/>
      <w:lvlJc w:val="left"/>
      <w:pPr>
        <w:ind w:left="5290" w:hanging="360"/>
      </w:pPr>
      <w:rPr>
        <w:rFonts w:ascii="Courier New" w:hAnsi="Courier New" w:cs="Courier New" w:hint="default"/>
      </w:rPr>
    </w:lvl>
    <w:lvl w:ilvl="5" w:tplc="04090005" w:tentative="1">
      <w:start w:val="1"/>
      <w:numFmt w:val="bullet"/>
      <w:lvlText w:val=""/>
      <w:lvlJc w:val="left"/>
      <w:pPr>
        <w:ind w:left="6010" w:hanging="360"/>
      </w:pPr>
      <w:rPr>
        <w:rFonts w:ascii="Wingdings" w:hAnsi="Wingdings" w:hint="default"/>
      </w:rPr>
    </w:lvl>
    <w:lvl w:ilvl="6" w:tplc="04090001" w:tentative="1">
      <w:start w:val="1"/>
      <w:numFmt w:val="bullet"/>
      <w:lvlText w:val=""/>
      <w:lvlJc w:val="left"/>
      <w:pPr>
        <w:ind w:left="6730" w:hanging="360"/>
      </w:pPr>
      <w:rPr>
        <w:rFonts w:ascii="Symbol" w:hAnsi="Symbol" w:hint="default"/>
      </w:rPr>
    </w:lvl>
    <w:lvl w:ilvl="7" w:tplc="04090003" w:tentative="1">
      <w:start w:val="1"/>
      <w:numFmt w:val="bullet"/>
      <w:lvlText w:val="o"/>
      <w:lvlJc w:val="left"/>
      <w:pPr>
        <w:ind w:left="7450" w:hanging="360"/>
      </w:pPr>
      <w:rPr>
        <w:rFonts w:ascii="Courier New" w:hAnsi="Courier New" w:cs="Courier New" w:hint="default"/>
      </w:rPr>
    </w:lvl>
    <w:lvl w:ilvl="8" w:tplc="04090005" w:tentative="1">
      <w:start w:val="1"/>
      <w:numFmt w:val="bullet"/>
      <w:lvlText w:val=""/>
      <w:lvlJc w:val="left"/>
      <w:pPr>
        <w:ind w:left="8170" w:hanging="360"/>
      </w:pPr>
      <w:rPr>
        <w:rFonts w:ascii="Wingdings" w:hAnsi="Wingdings" w:hint="default"/>
      </w:rPr>
    </w:lvl>
  </w:abstractNum>
  <w:abstractNum w:abstractNumId="27">
    <w:nsid w:val="6415534D"/>
    <w:multiLevelType w:val="hybridMultilevel"/>
    <w:tmpl w:val="DB1A2A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44D18B8"/>
    <w:multiLevelType w:val="hybridMultilevel"/>
    <w:tmpl w:val="E27E9B7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632470C"/>
    <w:multiLevelType w:val="hybridMultilevel"/>
    <w:tmpl w:val="03A6373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nsid w:val="6A2139BC"/>
    <w:multiLevelType w:val="hybridMultilevel"/>
    <w:tmpl w:val="38A0B7B2"/>
    <w:lvl w:ilvl="0" w:tplc="872C035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12B5776"/>
    <w:multiLevelType w:val="hybridMultilevel"/>
    <w:tmpl w:val="11EE1C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1D13B52"/>
    <w:multiLevelType w:val="hybridMultilevel"/>
    <w:tmpl w:val="2A880A10"/>
    <w:lvl w:ilvl="0" w:tplc="F2B008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29B7848"/>
    <w:multiLevelType w:val="hybridMultilevel"/>
    <w:tmpl w:val="B646494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nsid w:val="7E780315"/>
    <w:multiLevelType w:val="hybridMultilevel"/>
    <w:tmpl w:val="E2FC6C78"/>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35">
    <w:nsid w:val="7E8B699B"/>
    <w:multiLevelType w:val="hybridMultilevel"/>
    <w:tmpl w:val="70F03B96"/>
    <w:lvl w:ilvl="0" w:tplc="0409000D">
      <w:start w:val="1"/>
      <w:numFmt w:val="bullet"/>
      <w:lvlText w:val=""/>
      <w:lvlJc w:val="left"/>
      <w:pPr>
        <w:ind w:left="1355" w:hanging="360"/>
      </w:pPr>
      <w:rPr>
        <w:rFonts w:ascii="Wingdings" w:hAnsi="Wingdings"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num w:numId="1">
    <w:abstractNumId w:val="9"/>
  </w:num>
  <w:num w:numId="2">
    <w:abstractNumId w:val="7"/>
  </w:num>
  <w:num w:numId="3">
    <w:abstractNumId w:val="17"/>
  </w:num>
  <w:num w:numId="4">
    <w:abstractNumId w:val="35"/>
  </w:num>
  <w:num w:numId="5">
    <w:abstractNumId w:val="19"/>
  </w:num>
  <w:num w:numId="6">
    <w:abstractNumId w:val="26"/>
  </w:num>
  <w:num w:numId="7">
    <w:abstractNumId w:val="34"/>
  </w:num>
  <w:num w:numId="8">
    <w:abstractNumId w:val="1"/>
  </w:num>
  <w:num w:numId="9">
    <w:abstractNumId w:val="14"/>
  </w:num>
  <w:num w:numId="10">
    <w:abstractNumId w:val="30"/>
  </w:num>
  <w:num w:numId="11">
    <w:abstractNumId w:val="28"/>
  </w:num>
  <w:num w:numId="12">
    <w:abstractNumId w:val="25"/>
  </w:num>
  <w:num w:numId="13">
    <w:abstractNumId w:val="13"/>
  </w:num>
  <w:num w:numId="14">
    <w:abstractNumId w:val="20"/>
  </w:num>
  <w:num w:numId="15">
    <w:abstractNumId w:val="3"/>
  </w:num>
  <w:num w:numId="16">
    <w:abstractNumId w:val="27"/>
  </w:num>
  <w:num w:numId="17">
    <w:abstractNumId w:val="2"/>
  </w:num>
  <w:num w:numId="18">
    <w:abstractNumId w:val="12"/>
  </w:num>
  <w:num w:numId="19">
    <w:abstractNumId w:val="18"/>
  </w:num>
  <w:num w:numId="20">
    <w:abstractNumId w:val="31"/>
  </w:num>
  <w:num w:numId="21">
    <w:abstractNumId w:val="5"/>
  </w:num>
  <w:num w:numId="22">
    <w:abstractNumId w:val="32"/>
  </w:num>
  <w:num w:numId="23">
    <w:abstractNumId w:val="10"/>
  </w:num>
  <w:num w:numId="24">
    <w:abstractNumId w:val="33"/>
  </w:num>
  <w:num w:numId="25">
    <w:abstractNumId w:val="0"/>
  </w:num>
  <w:num w:numId="26">
    <w:abstractNumId w:val="6"/>
  </w:num>
  <w:num w:numId="27">
    <w:abstractNumId w:val="8"/>
  </w:num>
  <w:num w:numId="28">
    <w:abstractNumId w:val="24"/>
  </w:num>
  <w:num w:numId="29">
    <w:abstractNumId w:val="16"/>
  </w:num>
  <w:num w:numId="30">
    <w:abstractNumId w:val="15"/>
  </w:num>
  <w:num w:numId="31">
    <w:abstractNumId w:val="23"/>
  </w:num>
  <w:num w:numId="32">
    <w:abstractNumId w:val="21"/>
  </w:num>
  <w:num w:numId="33">
    <w:abstractNumId w:val="4"/>
  </w:num>
  <w:num w:numId="34">
    <w:abstractNumId w:val="22"/>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CE2D0C"/>
    <w:rsid w:val="00002D1D"/>
    <w:rsid w:val="00006CD1"/>
    <w:rsid w:val="000149DE"/>
    <w:rsid w:val="0001646B"/>
    <w:rsid w:val="00017C6A"/>
    <w:rsid w:val="00023E9B"/>
    <w:rsid w:val="00024ED7"/>
    <w:rsid w:val="00026F67"/>
    <w:rsid w:val="00036EA0"/>
    <w:rsid w:val="00040BC8"/>
    <w:rsid w:val="00040C59"/>
    <w:rsid w:val="000413A3"/>
    <w:rsid w:val="00061689"/>
    <w:rsid w:val="00065D97"/>
    <w:rsid w:val="00066FC5"/>
    <w:rsid w:val="0006730F"/>
    <w:rsid w:val="0007603C"/>
    <w:rsid w:val="0007658F"/>
    <w:rsid w:val="000831E6"/>
    <w:rsid w:val="00090131"/>
    <w:rsid w:val="00096062"/>
    <w:rsid w:val="00096779"/>
    <w:rsid w:val="00096966"/>
    <w:rsid w:val="000A0669"/>
    <w:rsid w:val="000A2D7C"/>
    <w:rsid w:val="000B4391"/>
    <w:rsid w:val="000B637B"/>
    <w:rsid w:val="000B677D"/>
    <w:rsid w:val="000C7335"/>
    <w:rsid w:val="000D0646"/>
    <w:rsid w:val="000E79E3"/>
    <w:rsid w:val="000E7D2F"/>
    <w:rsid w:val="000F3361"/>
    <w:rsid w:val="000F4931"/>
    <w:rsid w:val="00105BD4"/>
    <w:rsid w:val="001065D1"/>
    <w:rsid w:val="00107C48"/>
    <w:rsid w:val="00120BD8"/>
    <w:rsid w:val="00123572"/>
    <w:rsid w:val="00125D16"/>
    <w:rsid w:val="00137F49"/>
    <w:rsid w:val="00146FF3"/>
    <w:rsid w:val="001470FB"/>
    <w:rsid w:val="00152C9B"/>
    <w:rsid w:val="00157E8B"/>
    <w:rsid w:val="0016287C"/>
    <w:rsid w:val="001675D2"/>
    <w:rsid w:val="00170DF4"/>
    <w:rsid w:val="00170EEE"/>
    <w:rsid w:val="001717AD"/>
    <w:rsid w:val="00172177"/>
    <w:rsid w:val="001760DE"/>
    <w:rsid w:val="00190E15"/>
    <w:rsid w:val="001944A9"/>
    <w:rsid w:val="0019593C"/>
    <w:rsid w:val="001959D3"/>
    <w:rsid w:val="00197BF5"/>
    <w:rsid w:val="00197CB3"/>
    <w:rsid w:val="001B5365"/>
    <w:rsid w:val="001B5BA1"/>
    <w:rsid w:val="001B6E74"/>
    <w:rsid w:val="001C2CE2"/>
    <w:rsid w:val="001D3807"/>
    <w:rsid w:val="001D526D"/>
    <w:rsid w:val="001D66E2"/>
    <w:rsid w:val="001E216F"/>
    <w:rsid w:val="001E570B"/>
    <w:rsid w:val="001E5A17"/>
    <w:rsid w:val="001E6C9C"/>
    <w:rsid w:val="001F06F4"/>
    <w:rsid w:val="001F11F1"/>
    <w:rsid w:val="001F182F"/>
    <w:rsid w:val="001F2FD7"/>
    <w:rsid w:val="001F5852"/>
    <w:rsid w:val="002059B4"/>
    <w:rsid w:val="002066FD"/>
    <w:rsid w:val="00207CF3"/>
    <w:rsid w:val="00211433"/>
    <w:rsid w:val="002115FC"/>
    <w:rsid w:val="00211CAA"/>
    <w:rsid w:val="002156E3"/>
    <w:rsid w:val="002202A2"/>
    <w:rsid w:val="002216C2"/>
    <w:rsid w:val="00226236"/>
    <w:rsid w:val="0024116C"/>
    <w:rsid w:val="0025088F"/>
    <w:rsid w:val="00253024"/>
    <w:rsid w:val="002534D3"/>
    <w:rsid w:val="0025491F"/>
    <w:rsid w:val="00263F1C"/>
    <w:rsid w:val="00264AE2"/>
    <w:rsid w:val="002703D6"/>
    <w:rsid w:val="002736DE"/>
    <w:rsid w:val="002967A0"/>
    <w:rsid w:val="002A0694"/>
    <w:rsid w:val="002A278D"/>
    <w:rsid w:val="002A3B02"/>
    <w:rsid w:val="002A4D32"/>
    <w:rsid w:val="002D0E8A"/>
    <w:rsid w:val="002D137C"/>
    <w:rsid w:val="002D18F1"/>
    <w:rsid w:val="002D27C2"/>
    <w:rsid w:val="002D74ED"/>
    <w:rsid w:val="002E0BF1"/>
    <w:rsid w:val="002E46D7"/>
    <w:rsid w:val="002E477E"/>
    <w:rsid w:val="002E612F"/>
    <w:rsid w:val="002F4B7B"/>
    <w:rsid w:val="002F64B2"/>
    <w:rsid w:val="00301053"/>
    <w:rsid w:val="00306CC1"/>
    <w:rsid w:val="003071CA"/>
    <w:rsid w:val="00311C5A"/>
    <w:rsid w:val="0031563E"/>
    <w:rsid w:val="0032267A"/>
    <w:rsid w:val="003262D6"/>
    <w:rsid w:val="00327C6C"/>
    <w:rsid w:val="00331504"/>
    <w:rsid w:val="0034196F"/>
    <w:rsid w:val="00342CBE"/>
    <w:rsid w:val="00344CEC"/>
    <w:rsid w:val="003543CF"/>
    <w:rsid w:val="0036439F"/>
    <w:rsid w:val="00365EAB"/>
    <w:rsid w:val="00373734"/>
    <w:rsid w:val="0038097B"/>
    <w:rsid w:val="00380EE7"/>
    <w:rsid w:val="00383291"/>
    <w:rsid w:val="00384B4C"/>
    <w:rsid w:val="003948CF"/>
    <w:rsid w:val="00395CFB"/>
    <w:rsid w:val="00397343"/>
    <w:rsid w:val="003B3733"/>
    <w:rsid w:val="003B3ED2"/>
    <w:rsid w:val="003C1D1F"/>
    <w:rsid w:val="003C5742"/>
    <w:rsid w:val="003C61C5"/>
    <w:rsid w:val="003D4E5B"/>
    <w:rsid w:val="003D5478"/>
    <w:rsid w:val="003D5FF9"/>
    <w:rsid w:val="003F0EAA"/>
    <w:rsid w:val="003F3BFB"/>
    <w:rsid w:val="0040024A"/>
    <w:rsid w:val="004009B8"/>
    <w:rsid w:val="00401793"/>
    <w:rsid w:val="00402D64"/>
    <w:rsid w:val="00406116"/>
    <w:rsid w:val="00407BCB"/>
    <w:rsid w:val="00410DA2"/>
    <w:rsid w:val="004267CB"/>
    <w:rsid w:val="00431AE1"/>
    <w:rsid w:val="00445BA5"/>
    <w:rsid w:val="0045016D"/>
    <w:rsid w:val="00450928"/>
    <w:rsid w:val="004552ED"/>
    <w:rsid w:val="0046446F"/>
    <w:rsid w:val="00471BD9"/>
    <w:rsid w:val="004773BA"/>
    <w:rsid w:val="004928FD"/>
    <w:rsid w:val="004A2450"/>
    <w:rsid w:val="004B03E8"/>
    <w:rsid w:val="004B77FB"/>
    <w:rsid w:val="004C24C7"/>
    <w:rsid w:val="004C70A1"/>
    <w:rsid w:val="004C714F"/>
    <w:rsid w:val="004D06FA"/>
    <w:rsid w:val="004D355A"/>
    <w:rsid w:val="004D3867"/>
    <w:rsid w:val="004D4184"/>
    <w:rsid w:val="004D69AC"/>
    <w:rsid w:val="004D70C1"/>
    <w:rsid w:val="004E044C"/>
    <w:rsid w:val="004E06BE"/>
    <w:rsid w:val="004E0838"/>
    <w:rsid w:val="004E3841"/>
    <w:rsid w:val="004E3FAC"/>
    <w:rsid w:val="004F0033"/>
    <w:rsid w:val="004F2A77"/>
    <w:rsid w:val="005068BF"/>
    <w:rsid w:val="00521EAB"/>
    <w:rsid w:val="005270B3"/>
    <w:rsid w:val="00532110"/>
    <w:rsid w:val="005323A1"/>
    <w:rsid w:val="005356F0"/>
    <w:rsid w:val="005425B4"/>
    <w:rsid w:val="00547237"/>
    <w:rsid w:val="0056030D"/>
    <w:rsid w:val="00562719"/>
    <w:rsid w:val="00573F6C"/>
    <w:rsid w:val="005761E7"/>
    <w:rsid w:val="005809BC"/>
    <w:rsid w:val="005830F9"/>
    <w:rsid w:val="00595960"/>
    <w:rsid w:val="00597A9A"/>
    <w:rsid w:val="005A1020"/>
    <w:rsid w:val="005A50C3"/>
    <w:rsid w:val="005B1A85"/>
    <w:rsid w:val="005B29C0"/>
    <w:rsid w:val="005B33C4"/>
    <w:rsid w:val="005C0808"/>
    <w:rsid w:val="005C4B96"/>
    <w:rsid w:val="005C55F8"/>
    <w:rsid w:val="005C6774"/>
    <w:rsid w:val="005D0325"/>
    <w:rsid w:val="005D2EC5"/>
    <w:rsid w:val="005E28C2"/>
    <w:rsid w:val="005F1648"/>
    <w:rsid w:val="005F1B83"/>
    <w:rsid w:val="005F6978"/>
    <w:rsid w:val="005F78C3"/>
    <w:rsid w:val="0060258A"/>
    <w:rsid w:val="00602CCC"/>
    <w:rsid w:val="00603419"/>
    <w:rsid w:val="00614BC0"/>
    <w:rsid w:val="006150B9"/>
    <w:rsid w:val="0062207C"/>
    <w:rsid w:val="006245AA"/>
    <w:rsid w:val="006255B2"/>
    <w:rsid w:val="006333A0"/>
    <w:rsid w:val="00633C2C"/>
    <w:rsid w:val="0063676B"/>
    <w:rsid w:val="00640B0E"/>
    <w:rsid w:val="006475D0"/>
    <w:rsid w:val="00647D10"/>
    <w:rsid w:val="006537ED"/>
    <w:rsid w:val="0066531F"/>
    <w:rsid w:val="0066616E"/>
    <w:rsid w:val="00672CD6"/>
    <w:rsid w:val="0067433A"/>
    <w:rsid w:val="006760DE"/>
    <w:rsid w:val="0067643E"/>
    <w:rsid w:val="00677179"/>
    <w:rsid w:val="006805A8"/>
    <w:rsid w:val="006822C1"/>
    <w:rsid w:val="006826EE"/>
    <w:rsid w:val="00682F86"/>
    <w:rsid w:val="00683978"/>
    <w:rsid w:val="0069063C"/>
    <w:rsid w:val="00693AE4"/>
    <w:rsid w:val="006965AD"/>
    <w:rsid w:val="00697243"/>
    <w:rsid w:val="006A6B51"/>
    <w:rsid w:val="006B24E7"/>
    <w:rsid w:val="006B3256"/>
    <w:rsid w:val="006D155B"/>
    <w:rsid w:val="006D1A1B"/>
    <w:rsid w:val="006D1B7D"/>
    <w:rsid w:val="006D1BB5"/>
    <w:rsid w:val="006D3924"/>
    <w:rsid w:val="006E2603"/>
    <w:rsid w:val="006E2DF1"/>
    <w:rsid w:val="006E4F77"/>
    <w:rsid w:val="006F273D"/>
    <w:rsid w:val="00700254"/>
    <w:rsid w:val="00703EFD"/>
    <w:rsid w:val="00705820"/>
    <w:rsid w:val="00707BC2"/>
    <w:rsid w:val="00707C3F"/>
    <w:rsid w:val="00714B77"/>
    <w:rsid w:val="00715BA1"/>
    <w:rsid w:val="00721F21"/>
    <w:rsid w:val="00746628"/>
    <w:rsid w:val="007506CB"/>
    <w:rsid w:val="00752B9B"/>
    <w:rsid w:val="0075774B"/>
    <w:rsid w:val="00761844"/>
    <w:rsid w:val="007642D3"/>
    <w:rsid w:val="007650D4"/>
    <w:rsid w:val="00767298"/>
    <w:rsid w:val="00767D78"/>
    <w:rsid w:val="00774360"/>
    <w:rsid w:val="007931AF"/>
    <w:rsid w:val="00793228"/>
    <w:rsid w:val="007A3FEF"/>
    <w:rsid w:val="007A3FF5"/>
    <w:rsid w:val="007A4068"/>
    <w:rsid w:val="007A555F"/>
    <w:rsid w:val="007A7288"/>
    <w:rsid w:val="007A72A0"/>
    <w:rsid w:val="007B1179"/>
    <w:rsid w:val="007B1F11"/>
    <w:rsid w:val="007B48D5"/>
    <w:rsid w:val="007C0FFB"/>
    <w:rsid w:val="007C4398"/>
    <w:rsid w:val="007C6558"/>
    <w:rsid w:val="007D07FA"/>
    <w:rsid w:val="007D33A6"/>
    <w:rsid w:val="007D38C9"/>
    <w:rsid w:val="007F1863"/>
    <w:rsid w:val="007F280A"/>
    <w:rsid w:val="008058E4"/>
    <w:rsid w:val="0080673F"/>
    <w:rsid w:val="00807A7E"/>
    <w:rsid w:val="00812B43"/>
    <w:rsid w:val="00814611"/>
    <w:rsid w:val="00814CF7"/>
    <w:rsid w:val="0081646F"/>
    <w:rsid w:val="00817115"/>
    <w:rsid w:val="00820AAB"/>
    <w:rsid w:val="00823149"/>
    <w:rsid w:val="0082420B"/>
    <w:rsid w:val="00825D56"/>
    <w:rsid w:val="00827E61"/>
    <w:rsid w:val="00830254"/>
    <w:rsid w:val="00834ACB"/>
    <w:rsid w:val="008472EE"/>
    <w:rsid w:val="008527E4"/>
    <w:rsid w:val="0086007D"/>
    <w:rsid w:val="0086716D"/>
    <w:rsid w:val="008675AC"/>
    <w:rsid w:val="00873020"/>
    <w:rsid w:val="0087636C"/>
    <w:rsid w:val="0087687D"/>
    <w:rsid w:val="008825BC"/>
    <w:rsid w:val="0088284D"/>
    <w:rsid w:val="0088660F"/>
    <w:rsid w:val="00896017"/>
    <w:rsid w:val="00897D5F"/>
    <w:rsid w:val="008A0F87"/>
    <w:rsid w:val="008A3037"/>
    <w:rsid w:val="008A51FB"/>
    <w:rsid w:val="008B218A"/>
    <w:rsid w:val="008B26B8"/>
    <w:rsid w:val="008B453F"/>
    <w:rsid w:val="008B585D"/>
    <w:rsid w:val="008C2A4E"/>
    <w:rsid w:val="008C7162"/>
    <w:rsid w:val="008D208F"/>
    <w:rsid w:val="008D63F9"/>
    <w:rsid w:val="008E06D6"/>
    <w:rsid w:val="008E4488"/>
    <w:rsid w:val="008F1054"/>
    <w:rsid w:val="008F3440"/>
    <w:rsid w:val="008F658E"/>
    <w:rsid w:val="009007D3"/>
    <w:rsid w:val="00902EFF"/>
    <w:rsid w:val="009037C6"/>
    <w:rsid w:val="00904005"/>
    <w:rsid w:val="00904625"/>
    <w:rsid w:val="00907BDA"/>
    <w:rsid w:val="00912212"/>
    <w:rsid w:val="009307B7"/>
    <w:rsid w:val="0093142D"/>
    <w:rsid w:val="00934AB4"/>
    <w:rsid w:val="00936C54"/>
    <w:rsid w:val="00943BD3"/>
    <w:rsid w:val="0094747F"/>
    <w:rsid w:val="009501FF"/>
    <w:rsid w:val="0095253E"/>
    <w:rsid w:val="009542CB"/>
    <w:rsid w:val="009609B9"/>
    <w:rsid w:val="00964FAC"/>
    <w:rsid w:val="0097293C"/>
    <w:rsid w:val="009742EF"/>
    <w:rsid w:val="009758E1"/>
    <w:rsid w:val="00977916"/>
    <w:rsid w:val="00982661"/>
    <w:rsid w:val="009A1217"/>
    <w:rsid w:val="009A308D"/>
    <w:rsid w:val="009A5414"/>
    <w:rsid w:val="009A56E0"/>
    <w:rsid w:val="009A62BA"/>
    <w:rsid w:val="009A6A95"/>
    <w:rsid w:val="009A71A9"/>
    <w:rsid w:val="009B1F14"/>
    <w:rsid w:val="009B3E4C"/>
    <w:rsid w:val="009B4271"/>
    <w:rsid w:val="009B4B96"/>
    <w:rsid w:val="009C1797"/>
    <w:rsid w:val="009C1E84"/>
    <w:rsid w:val="009C2893"/>
    <w:rsid w:val="009D15F9"/>
    <w:rsid w:val="009D1B6B"/>
    <w:rsid w:val="009D4BAD"/>
    <w:rsid w:val="009D5EBB"/>
    <w:rsid w:val="009E7EEB"/>
    <w:rsid w:val="009F025E"/>
    <w:rsid w:val="009F6A02"/>
    <w:rsid w:val="009F6F8C"/>
    <w:rsid w:val="00A037A5"/>
    <w:rsid w:val="00A0615E"/>
    <w:rsid w:val="00A11479"/>
    <w:rsid w:val="00A11555"/>
    <w:rsid w:val="00A16504"/>
    <w:rsid w:val="00A33F55"/>
    <w:rsid w:val="00A3691B"/>
    <w:rsid w:val="00A42DCB"/>
    <w:rsid w:val="00A46688"/>
    <w:rsid w:val="00A50A56"/>
    <w:rsid w:val="00A5243E"/>
    <w:rsid w:val="00A54877"/>
    <w:rsid w:val="00A549AA"/>
    <w:rsid w:val="00A56A48"/>
    <w:rsid w:val="00A63B38"/>
    <w:rsid w:val="00A67EDD"/>
    <w:rsid w:val="00A702DD"/>
    <w:rsid w:val="00A734F0"/>
    <w:rsid w:val="00A96430"/>
    <w:rsid w:val="00AA011B"/>
    <w:rsid w:val="00AB6454"/>
    <w:rsid w:val="00AC1A47"/>
    <w:rsid w:val="00AE4296"/>
    <w:rsid w:val="00AF109C"/>
    <w:rsid w:val="00AF1259"/>
    <w:rsid w:val="00AF3CF3"/>
    <w:rsid w:val="00B0094E"/>
    <w:rsid w:val="00B01FA2"/>
    <w:rsid w:val="00B030AF"/>
    <w:rsid w:val="00B03C84"/>
    <w:rsid w:val="00B04302"/>
    <w:rsid w:val="00B04817"/>
    <w:rsid w:val="00B05B99"/>
    <w:rsid w:val="00B0728F"/>
    <w:rsid w:val="00B10004"/>
    <w:rsid w:val="00B13A17"/>
    <w:rsid w:val="00B148B5"/>
    <w:rsid w:val="00B150CD"/>
    <w:rsid w:val="00B17055"/>
    <w:rsid w:val="00B20959"/>
    <w:rsid w:val="00B255A9"/>
    <w:rsid w:val="00B35054"/>
    <w:rsid w:val="00B448CE"/>
    <w:rsid w:val="00B5091C"/>
    <w:rsid w:val="00B53CD5"/>
    <w:rsid w:val="00B552FC"/>
    <w:rsid w:val="00B560FB"/>
    <w:rsid w:val="00B561AF"/>
    <w:rsid w:val="00B562E7"/>
    <w:rsid w:val="00B57B80"/>
    <w:rsid w:val="00B61388"/>
    <w:rsid w:val="00B76ED7"/>
    <w:rsid w:val="00B81019"/>
    <w:rsid w:val="00B85094"/>
    <w:rsid w:val="00B85646"/>
    <w:rsid w:val="00B8594E"/>
    <w:rsid w:val="00B87132"/>
    <w:rsid w:val="00B90EC6"/>
    <w:rsid w:val="00B91A63"/>
    <w:rsid w:val="00B94ADB"/>
    <w:rsid w:val="00BB21B5"/>
    <w:rsid w:val="00BB32A1"/>
    <w:rsid w:val="00BC13F1"/>
    <w:rsid w:val="00BD0F61"/>
    <w:rsid w:val="00BD587A"/>
    <w:rsid w:val="00BD73D9"/>
    <w:rsid w:val="00BE357C"/>
    <w:rsid w:val="00BE38D0"/>
    <w:rsid w:val="00BE7E3A"/>
    <w:rsid w:val="00BF25B2"/>
    <w:rsid w:val="00BF28BA"/>
    <w:rsid w:val="00BF79A8"/>
    <w:rsid w:val="00C003A3"/>
    <w:rsid w:val="00C05FB8"/>
    <w:rsid w:val="00C06C3A"/>
    <w:rsid w:val="00C24C3A"/>
    <w:rsid w:val="00C313D3"/>
    <w:rsid w:val="00C34BB3"/>
    <w:rsid w:val="00C37C67"/>
    <w:rsid w:val="00C455CF"/>
    <w:rsid w:val="00C463BA"/>
    <w:rsid w:val="00C54203"/>
    <w:rsid w:val="00C66AAF"/>
    <w:rsid w:val="00C73C90"/>
    <w:rsid w:val="00C754BF"/>
    <w:rsid w:val="00C77BC3"/>
    <w:rsid w:val="00C810D5"/>
    <w:rsid w:val="00C878B2"/>
    <w:rsid w:val="00C915CF"/>
    <w:rsid w:val="00CA6B2F"/>
    <w:rsid w:val="00CC1A20"/>
    <w:rsid w:val="00CE2D0C"/>
    <w:rsid w:val="00CE51D5"/>
    <w:rsid w:val="00CF1295"/>
    <w:rsid w:val="00CF7923"/>
    <w:rsid w:val="00CF7EDD"/>
    <w:rsid w:val="00D00E73"/>
    <w:rsid w:val="00D038F5"/>
    <w:rsid w:val="00D06F1D"/>
    <w:rsid w:val="00D07EA1"/>
    <w:rsid w:val="00D14EBB"/>
    <w:rsid w:val="00D14EC2"/>
    <w:rsid w:val="00D17434"/>
    <w:rsid w:val="00D23DBD"/>
    <w:rsid w:val="00D31EFE"/>
    <w:rsid w:val="00D3327F"/>
    <w:rsid w:val="00D34429"/>
    <w:rsid w:val="00D41E4B"/>
    <w:rsid w:val="00D42037"/>
    <w:rsid w:val="00D427D0"/>
    <w:rsid w:val="00D46F5D"/>
    <w:rsid w:val="00D47B39"/>
    <w:rsid w:val="00D50DE2"/>
    <w:rsid w:val="00D521B3"/>
    <w:rsid w:val="00D53F01"/>
    <w:rsid w:val="00D7289A"/>
    <w:rsid w:val="00D74CE2"/>
    <w:rsid w:val="00D84B4E"/>
    <w:rsid w:val="00D871AD"/>
    <w:rsid w:val="00D91ED2"/>
    <w:rsid w:val="00D93412"/>
    <w:rsid w:val="00DA2060"/>
    <w:rsid w:val="00DA24F7"/>
    <w:rsid w:val="00DB14F5"/>
    <w:rsid w:val="00DB59A2"/>
    <w:rsid w:val="00DB5ECE"/>
    <w:rsid w:val="00DB7BB1"/>
    <w:rsid w:val="00DC14A5"/>
    <w:rsid w:val="00DC2D10"/>
    <w:rsid w:val="00DC60D0"/>
    <w:rsid w:val="00DD1F35"/>
    <w:rsid w:val="00DD3C03"/>
    <w:rsid w:val="00DE131B"/>
    <w:rsid w:val="00DE2FA4"/>
    <w:rsid w:val="00DE3E2B"/>
    <w:rsid w:val="00DF4073"/>
    <w:rsid w:val="00DF424C"/>
    <w:rsid w:val="00DF58B0"/>
    <w:rsid w:val="00E05B3E"/>
    <w:rsid w:val="00E20747"/>
    <w:rsid w:val="00E2676B"/>
    <w:rsid w:val="00E30FED"/>
    <w:rsid w:val="00E37FE8"/>
    <w:rsid w:val="00E428D9"/>
    <w:rsid w:val="00E46CB7"/>
    <w:rsid w:val="00E510AE"/>
    <w:rsid w:val="00E5211B"/>
    <w:rsid w:val="00E551DB"/>
    <w:rsid w:val="00E61CD5"/>
    <w:rsid w:val="00E74A19"/>
    <w:rsid w:val="00E9509C"/>
    <w:rsid w:val="00E95209"/>
    <w:rsid w:val="00E9736C"/>
    <w:rsid w:val="00E976F5"/>
    <w:rsid w:val="00EA5E84"/>
    <w:rsid w:val="00EA6BE0"/>
    <w:rsid w:val="00EA7F16"/>
    <w:rsid w:val="00EB17C9"/>
    <w:rsid w:val="00EC1039"/>
    <w:rsid w:val="00EC18C4"/>
    <w:rsid w:val="00EC384E"/>
    <w:rsid w:val="00EC77AE"/>
    <w:rsid w:val="00ED20AB"/>
    <w:rsid w:val="00ED3B74"/>
    <w:rsid w:val="00EE17E7"/>
    <w:rsid w:val="00EE3858"/>
    <w:rsid w:val="00EE3F43"/>
    <w:rsid w:val="00EF45E2"/>
    <w:rsid w:val="00F00D33"/>
    <w:rsid w:val="00F0155B"/>
    <w:rsid w:val="00F03F95"/>
    <w:rsid w:val="00F1060D"/>
    <w:rsid w:val="00F10E68"/>
    <w:rsid w:val="00F14E48"/>
    <w:rsid w:val="00F15542"/>
    <w:rsid w:val="00F20FCE"/>
    <w:rsid w:val="00F22E55"/>
    <w:rsid w:val="00F24BB0"/>
    <w:rsid w:val="00F25CF6"/>
    <w:rsid w:val="00F278BF"/>
    <w:rsid w:val="00F352F1"/>
    <w:rsid w:val="00F427C3"/>
    <w:rsid w:val="00F42F63"/>
    <w:rsid w:val="00F44479"/>
    <w:rsid w:val="00F44761"/>
    <w:rsid w:val="00F45837"/>
    <w:rsid w:val="00F5343E"/>
    <w:rsid w:val="00F53A92"/>
    <w:rsid w:val="00F72DC0"/>
    <w:rsid w:val="00F76A0E"/>
    <w:rsid w:val="00F76C7A"/>
    <w:rsid w:val="00FA2BA0"/>
    <w:rsid w:val="00FA4CCF"/>
    <w:rsid w:val="00FA6B3A"/>
    <w:rsid w:val="00FB2D60"/>
    <w:rsid w:val="00FB5257"/>
    <w:rsid w:val="00FC304A"/>
    <w:rsid w:val="00FC322D"/>
    <w:rsid w:val="00FD40A2"/>
    <w:rsid w:val="00FD45AE"/>
    <w:rsid w:val="00FE1031"/>
    <w:rsid w:val="00FE1F34"/>
    <w:rsid w:val="00FE2EA1"/>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0C"/>
    <w:pPr>
      <w:spacing w:after="160" w:line="259" w:lineRule="auto"/>
    </w:pPr>
    <w:rPr>
      <w:rFonts w:ascii="Calibri" w:eastAsia="Calibri" w:hAnsi="Calibri" w:cs="Times New Roman"/>
    </w:rPr>
  </w:style>
  <w:style w:type="paragraph" w:styleId="Titlu1">
    <w:name w:val="heading 1"/>
    <w:basedOn w:val="Normal"/>
    <w:next w:val="Normal"/>
    <w:link w:val="Titlu1Caracter"/>
    <w:uiPriority w:val="9"/>
    <w:qFormat/>
    <w:rsid w:val="00CE2D0C"/>
    <w:pPr>
      <w:keepNext/>
      <w:keepLines/>
      <w:spacing w:before="240" w:after="0"/>
      <w:outlineLvl w:val="0"/>
    </w:pPr>
    <w:rPr>
      <w:rFonts w:ascii="Calibri Light" w:eastAsia="Times New Roman" w:hAnsi="Calibri Light"/>
      <w:color w:val="2E74B5"/>
      <w:sz w:val="32"/>
      <w:szCs w:val="32"/>
    </w:rPr>
  </w:style>
  <w:style w:type="paragraph" w:styleId="Titlu2">
    <w:name w:val="heading 2"/>
    <w:basedOn w:val="Normal"/>
    <w:next w:val="Normal"/>
    <w:link w:val="Titlu2Caracter"/>
    <w:uiPriority w:val="9"/>
    <w:qFormat/>
    <w:rsid w:val="00CE2D0C"/>
    <w:pPr>
      <w:keepNext/>
      <w:keepLines/>
      <w:spacing w:before="40" w:after="0"/>
      <w:outlineLvl w:val="1"/>
    </w:pPr>
    <w:rPr>
      <w:rFonts w:ascii="Calibri Light" w:eastAsia="Times New Roman" w:hAnsi="Calibri Light"/>
      <w:color w:val="2E74B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E2D0C"/>
    <w:rPr>
      <w:rFonts w:ascii="Calibri Light" w:eastAsia="Times New Roman" w:hAnsi="Calibri Light" w:cs="Times New Roman"/>
      <w:color w:val="2E74B5"/>
      <w:sz w:val="32"/>
      <w:szCs w:val="32"/>
    </w:rPr>
  </w:style>
  <w:style w:type="character" w:customStyle="1" w:styleId="Titlu2Caracter">
    <w:name w:val="Titlu 2 Caracter"/>
    <w:basedOn w:val="Fontdeparagrafimplicit"/>
    <w:link w:val="Titlu2"/>
    <w:uiPriority w:val="9"/>
    <w:rsid w:val="00CE2D0C"/>
    <w:rPr>
      <w:rFonts w:ascii="Calibri Light" w:eastAsia="Times New Roman" w:hAnsi="Calibri Light" w:cs="Times New Roman"/>
      <w:color w:val="2E74B5"/>
      <w:sz w:val="26"/>
      <w:szCs w:val="26"/>
    </w:rPr>
  </w:style>
  <w:style w:type="paragraph" w:styleId="Listparagraf">
    <w:name w:val="List Paragraph"/>
    <w:basedOn w:val="Normal"/>
    <w:link w:val="ListparagrafCaracter"/>
    <w:qFormat/>
    <w:rsid w:val="00CE2D0C"/>
    <w:pPr>
      <w:ind w:left="720"/>
      <w:contextualSpacing/>
    </w:pPr>
  </w:style>
  <w:style w:type="character" w:customStyle="1" w:styleId="ListparagrafCaracter">
    <w:name w:val="Listă paragraf Caracter"/>
    <w:link w:val="Listparagraf"/>
    <w:rsid w:val="00CE2D0C"/>
    <w:rPr>
      <w:rFonts w:ascii="Calibri" w:eastAsia="Calibri" w:hAnsi="Calibri" w:cs="Times New Roman"/>
    </w:rPr>
  </w:style>
  <w:style w:type="paragraph" w:styleId="Titlucuprins">
    <w:name w:val="TOC Heading"/>
    <w:basedOn w:val="Titlu1"/>
    <w:next w:val="Normal"/>
    <w:uiPriority w:val="39"/>
    <w:qFormat/>
    <w:rsid w:val="00CE2D0C"/>
    <w:pPr>
      <w:outlineLvl w:val="9"/>
    </w:pPr>
  </w:style>
  <w:style w:type="paragraph" w:styleId="Cuprins1">
    <w:name w:val="toc 1"/>
    <w:basedOn w:val="Normal"/>
    <w:next w:val="Normal"/>
    <w:uiPriority w:val="39"/>
    <w:rsid w:val="00CE2D0C"/>
    <w:pPr>
      <w:spacing w:after="100"/>
    </w:pPr>
  </w:style>
  <w:style w:type="paragraph" w:styleId="Cuprins2">
    <w:name w:val="toc 2"/>
    <w:basedOn w:val="Normal"/>
    <w:next w:val="Normal"/>
    <w:uiPriority w:val="39"/>
    <w:rsid w:val="00CE2D0C"/>
    <w:pPr>
      <w:spacing w:after="100"/>
      <w:ind w:left="220"/>
    </w:pPr>
  </w:style>
  <w:style w:type="paragraph" w:styleId="Cuprins3">
    <w:name w:val="toc 3"/>
    <w:basedOn w:val="Normal"/>
    <w:next w:val="Normal"/>
    <w:uiPriority w:val="39"/>
    <w:rsid w:val="00CE2D0C"/>
    <w:pPr>
      <w:spacing w:after="100"/>
      <w:ind w:left="440"/>
    </w:pPr>
  </w:style>
  <w:style w:type="character" w:styleId="Hyperlink">
    <w:name w:val="Hyperlink"/>
    <w:basedOn w:val="Fontdeparagrafimplicit"/>
    <w:uiPriority w:val="99"/>
    <w:rsid w:val="00CE2D0C"/>
    <w:rPr>
      <w:color w:val="0563C1"/>
      <w:u w:val="single"/>
    </w:rPr>
  </w:style>
  <w:style w:type="paragraph" w:styleId="Textnotdesubsol">
    <w:name w:val="footnote text"/>
    <w:aliases w:val="Fußnote Char Char,Fußnote Char,Fußnote Char Car Char Char,Fußnote Char Car Char Char Char Char Char Char Char Char Char Char,Fußnote Char Car Char Char Char Char Char Char Char Char Char Char Char Char Char Char,single space,fn,A"/>
    <w:basedOn w:val="Normal"/>
    <w:link w:val="TextnotdesubsolCaracter"/>
    <w:uiPriority w:val="99"/>
    <w:rsid w:val="00CE2D0C"/>
    <w:pPr>
      <w:spacing w:after="0" w:line="240" w:lineRule="auto"/>
    </w:pPr>
    <w:rPr>
      <w:sz w:val="20"/>
      <w:szCs w:val="20"/>
    </w:rPr>
  </w:style>
  <w:style w:type="character" w:customStyle="1" w:styleId="TextnotdesubsolCaracter">
    <w:name w:val="Text notă de subsol Caracter"/>
    <w:aliases w:val="Fußnote Char Char Caracter,Fußnote Char Caracter,Fußnote Char Car Char Char Caracter,Fußnote Char Car Char Char Char Char Char Char Char Char Char Char Caracter,single space Caracter,fn Caracter,A Caracter"/>
    <w:basedOn w:val="Fontdeparagrafimplicit"/>
    <w:link w:val="Textnotdesubsol"/>
    <w:uiPriority w:val="99"/>
    <w:rsid w:val="00CE2D0C"/>
    <w:rPr>
      <w:rFonts w:ascii="Calibri" w:eastAsia="Calibri" w:hAnsi="Calibri" w:cs="Times New Roman"/>
      <w:sz w:val="20"/>
      <w:szCs w:val="20"/>
    </w:rPr>
  </w:style>
  <w:style w:type="character" w:styleId="Referinnotdesubsol">
    <w:name w:val="footnote reference"/>
    <w:aliases w:val="ftref,Times 10 Point,Exposant 3 Point,Footnote symbol,Footnote reference number,EN Footnote Reference,note TESI,16 Point,Superscript 6 Point"/>
    <w:basedOn w:val="Fontdeparagrafimplicit"/>
    <w:uiPriority w:val="99"/>
    <w:rsid w:val="00CE2D0C"/>
    <w:rPr>
      <w:vertAlign w:val="superscript"/>
    </w:rPr>
  </w:style>
  <w:style w:type="paragraph" w:styleId="NormalWeb">
    <w:name w:val="Normal (Web)"/>
    <w:basedOn w:val="Normal"/>
    <w:uiPriority w:val="99"/>
    <w:rsid w:val="00CE2D0C"/>
    <w:pPr>
      <w:spacing w:after="0" w:line="240" w:lineRule="auto"/>
      <w:ind w:firstLine="567"/>
      <w:jc w:val="both"/>
    </w:pPr>
    <w:rPr>
      <w:rFonts w:ascii="Times New Roman" w:eastAsia="Times New Roman" w:hAnsi="Times New Roman"/>
      <w:sz w:val="24"/>
      <w:szCs w:val="24"/>
    </w:rPr>
  </w:style>
  <w:style w:type="paragraph" w:customStyle="1" w:styleId="md">
    <w:name w:val="md"/>
    <w:basedOn w:val="Normal"/>
    <w:rsid w:val="00CE2D0C"/>
    <w:pPr>
      <w:spacing w:after="0" w:line="240" w:lineRule="auto"/>
      <w:ind w:firstLine="567"/>
      <w:jc w:val="both"/>
    </w:pPr>
    <w:rPr>
      <w:rFonts w:ascii="Times New Roman" w:eastAsia="Times New Roman" w:hAnsi="Times New Roman"/>
      <w:i/>
      <w:iCs/>
      <w:color w:val="663300"/>
      <w:sz w:val="20"/>
      <w:szCs w:val="20"/>
    </w:rPr>
  </w:style>
  <w:style w:type="paragraph" w:styleId="TextnBalon">
    <w:name w:val="Balloon Text"/>
    <w:basedOn w:val="Normal"/>
    <w:link w:val="TextnBalonCaracter"/>
    <w:uiPriority w:val="99"/>
    <w:semiHidden/>
    <w:unhideWhenUsed/>
    <w:rsid w:val="00CE2D0C"/>
    <w:pPr>
      <w:spacing w:after="0" w:line="240" w:lineRule="auto"/>
    </w:pPr>
    <w:rPr>
      <w:rFonts w:ascii="Arial" w:hAnsi="Arial" w:cs="Arial"/>
      <w:sz w:val="18"/>
      <w:szCs w:val="18"/>
    </w:rPr>
  </w:style>
  <w:style w:type="character" w:customStyle="1" w:styleId="TextnBalonCaracter">
    <w:name w:val="Text în Balon Caracter"/>
    <w:basedOn w:val="Fontdeparagrafimplicit"/>
    <w:link w:val="TextnBalon"/>
    <w:uiPriority w:val="99"/>
    <w:semiHidden/>
    <w:rsid w:val="00CE2D0C"/>
    <w:rPr>
      <w:rFonts w:ascii="Arial" w:eastAsia="Calibri" w:hAnsi="Arial" w:cs="Arial"/>
      <w:sz w:val="18"/>
      <w:szCs w:val="18"/>
    </w:rPr>
  </w:style>
  <w:style w:type="paragraph" w:styleId="Antet">
    <w:name w:val="header"/>
    <w:basedOn w:val="Normal"/>
    <w:link w:val="AntetCaracter"/>
    <w:uiPriority w:val="99"/>
    <w:unhideWhenUsed/>
    <w:rsid w:val="00CE2D0C"/>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CE2D0C"/>
    <w:rPr>
      <w:rFonts w:ascii="Calibri" w:eastAsia="Calibri" w:hAnsi="Calibri" w:cs="Times New Roman"/>
    </w:rPr>
  </w:style>
  <w:style w:type="paragraph" w:styleId="Subsol">
    <w:name w:val="footer"/>
    <w:basedOn w:val="Normal"/>
    <w:link w:val="SubsolCaracter"/>
    <w:uiPriority w:val="99"/>
    <w:unhideWhenUsed/>
    <w:rsid w:val="00CE2D0C"/>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CE2D0C"/>
    <w:rPr>
      <w:rFonts w:ascii="Calibri" w:eastAsia="Calibri" w:hAnsi="Calibri" w:cs="Times New Roman"/>
    </w:rPr>
  </w:style>
  <w:style w:type="paragraph" w:styleId="Frspaiere">
    <w:name w:val="No Spacing"/>
    <w:uiPriority w:val="1"/>
    <w:qFormat/>
    <w:rsid w:val="00CE2D0C"/>
    <w:pPr>
      <w:spacing w:after="0" w:line="240" w:lineRule="auto"/>
    </w:pPr>
    <w:rPr>
      <w:rFonts w:ascii="Times New Roman" w:eastAsia="Times New Roman" w:hAnsi="Times New Roman" w:cs="Times New Roman"/>
      <w:sz w:val="24"/>
      <w:szCs w:val="24"/>
      <w:lang w:val="ru-RU" w:eastAsia="ru-RU"/>
    </w:rPr>
  </w:style>
  <w:style w:type="character" w:customStyle="1" w:styleId="TextcomentariuCaracter">
    <w:name w:val="Text comentariu Caracter"/>
    <w:basedOn w:val="Fontdeparagrafimplicit"/>
    <w:link w:val="Textcomentariu"/>
    <w:uiPriority w:val="99"/>
    <w:semiHidden/>
    <w:rsid w:val="00CE2D0C"/>
    <w:rPr>
      <w:rFonts w:eastAsia="Times New Roman"/>
      <w:sz w:val="20"/>
      <w:szCs w:val="20"/>
      <w:lang w:val="ru-RU" w:eastAsia="ru-RU"/>
    </w:rPr>
  </w:style>
  <w:style w:type="paragraph" w:styleId="Textcomentariu">
    <w:name w:val="annotation text"/>
    <w:basedOn w:val="Normal"/>
    <w:link w:val="TextcomentariuCaracter"/>
    <w:uiPriority w:val="99"/>
    <w:semiHidden/>
    <w:unhideWhenUsed/>
    <w:rsid w:val="00CE2D0C"/>
    <w:pPr>
      <w:spacing w:after="200" w:line="240" w:lineRule="auto"/>
    </w:pPr>
    <w:rPr>
      <w:rFonts w:asciiTheme="minorHAnsi" w:eastAsia="Times New Roman" w:hAnsiTheme="minorHAnsi" w:cstheme="minorBidi"/>
      <w:sz w:val="20"/>
      <w:szCs w:val="20"/>
      <w:lang w:val="ru-RU" w:eastAsia="ru-RU"/>
    </w:rPr>
  </w:style>
  <w:style w:type="character" w:customStyle="1" w:styleId="TextcomentariuCaracter1">
    <w:name w:val="Text comentariu Caracter1"/>
    <w:basedOn w:val="Fontdeparagrafimplicit"/>
    <w:link w:val="Textcomentariu"/>
    <w:uiPriority w:val="99"/>
    <w:semiHidden/>
    <w:rsid w:val="00CE2D0C"/>
    <w:rPr>
      <w:rFonts w:ascii="Calibri" w:eastAsia="Calibri" w:hAnsi="Calibri" w:cs="Times New Roman"/>
      <w:sz w:val="20"/>
      <w:szCs w:val="20"/>
    </w:rPr>
  </w:style>
  <w:style w:type="character" w:customStyle="1" w:styleId="CommentTextChar1">
    <w:name w:val="Comment Text Char1"/>
    <w:basedOn w:val="Fontdeparagrafimplicit"/>
    <w:uiPriority w:val="99"/>
    <w:semiHidden/>
    <w:rsid w:val="00CE2D0C"/>
    <w:rPr>
      <w:sz w:val="20"/>
      <w:szCs w:val="20"/>
    </w:rPr>
  </w:style>
  <w:style w:type="character" w:customStyle="1" w:styleId="SubiectComentariuCaracter">
    <w:name w:val="Subiect Comentariu Caracter"/>
    <w:basedOn w:val="TextcomentariuCaracter"/>
    <w:link w:val="SubiectComentariu"/>
    <w:uiPriority w:val="99"/>
    <w:semiHidden/>
    <w:rsid w:val="00CE2D0C"/>
    <w:rPr>
      <w:b/>
      <w:bCs/>
    </w:rPr>
  </w:style>
  <w:style w:type="paragraph" w:styleId="SubiectComentariu">
    <w:name w:val="annotation subject"/>
    <w:basedOn w:val="Textcomentariu"/>
    <w:next w:val="Textcomentariu"/>
    <w:link w:val="SubiectComentariuCaracter"/>
    <w:uiPriority w:val="99"/>
    <w:semiHidden/>
    <w:unhideWhenUsed/>
    <w:rsid w:val="00CE2D0C"/>
    <w:rPr>
      <w:b/>
      <w:bCs/>
    </w:rPr>
  </w:style>
  <w:style w:type="character" w:customStyle="1" w:styleId="SubiectComentariuCaracter1">
    <w:name w:val="Subiect Comentariu Caracter1"/>
    <w:basedOn w:val="TextcomentariuCaracter1"/>
    <w:link w:val="SubiectComentariu"/>
    <w:uiPriority w:val="99"/>
    <w:semiHidden/>
    <w:rsid w:val="00CE2D0C"/>
    <w:rPr>
      <w:b/>
      <w:bCs/>
    </w:rPr>
  </w:style>
  <w:style w:type="character" w:customStyle="1" w:styleId="CommentSubjectChar1">
    <w:name w:val="Comment Subject Char1"/>
    <w:basedOn w:val="CommentTextChar1"/>
    <w:uiPriority w:val="99"/>
    <w:semiHidden/>
    <w:rsid w:val="00CE2D0C"/>
    <w:rPr>
      <w:b/>
      <w:bCs/>
    </w:rPr>
  </w:style>
  <w:style w:type="paragraph" w:customStyle="1" w:styleId="Style6">
    <w:name w:val="Style6"/>
    <w:basedOn w:val="Normal"/>
    <w:uiPriority w:val="99"/>
    <w:rsid w:val="00CE2D0C"/>
    <w:pPr>
      <w:widowControl w:val="0"/>
      <w:autoSpaceDE w:val="0"/>
      <w:autoSpaceDN w:val="0"/>
      <w:adjustRightInd w:val="0"/>
      <w:spacing w:after="0" w:line="299" w:lineRule="exact"/>
      <w:ind w:firstLine="677"/>
      <w:jc w:val="both"/>
    </w:pPr>
    <w:rPr>
      <w:rFonts w:ascii="Times New Roman" w:eastAsia="Times New Roman" w:hAnsi="Times New Roman"/>
      <w:sz w:val="24"/>
      <w:szCs w:val="24"/>
    </w:rPr>
  </w:style>
  <w:style w:type="paragraph" w:customStyle="1" w:styleId="Style9">
    <w:name w:val="Style9"/>
    <w:basedOn w:val="Normal"/>
    <w:uiPriority w:val="99"/>
    <w:rsid w:val="00CE2D0C"/>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0">
    <w:name w:val="Font Style20"/>
    <w:basedOn w:val="Fontdeparagrafimplicit"/>
    <w:uiPriority w:val="99"/>
    <w:rsid w:val="00CE2D0C"/>
    <w:rPr>
      <w:rFonts w:ascii="Times New Roman" w:hAnsi="Times New Roman" w:cs="Times New Roman"/>
      <w:color w:val="000000"/>
      <w:sz w:val="24"/>
      <w:szCs w:val="24"/>
    </w:rPr>
  </w:style>
  <w:style w:type="paragraph" w:customStyle="1" w:styleId="tt">
    <w:name w:val="tt"/>
    <w:basedOn w:val="Normal"/>
    <w:rsid w:val="00CE2D0C"/>
    <w:pPr>
      <w:spacing w:after="0" w:line="240" w:lineRule="auto"/>
      <w:jc w:val="center"/>
    </w:pPr>
    <w:rPr>
      <w:rFonts w:ascii="Times New Roman" w:eastAsia="Times New Roman" w:hAnsi="Times New Roman"/>
      <w:b/>
      <w:bCs/>
      <w:sz w:val="24"/>
      <w:szCs w:val="24"/>
    </w:rPr>
  </w:style>
  <w:style w:type="paragraph" w:customStyle="1" w:styleId="pb">
    <w:name w:val="pb"/>
    <w:basedOn w:val="Normal"/>
    <w:rsid w:val="00CE2D0C"/>
    <w:pPr>
      <w:spacing w:after="0" w:line="240" w:lineRule="auto"/>
      <w:jc w:val="center"/>
    </w:pPr>
    <w:rPr>
      <w:rFonts w:ascii="Times New Roman" w:eastAsia="Times New Roman" w:hAnsi="Times New Roman"/>
      <w:i/>
      <w:iCs/>
      <w:color w:val="663300"/>
      <w:sz w:val="20"/>
      <w:szCs w:val="20"/>
    </w:rPr>
  </w:style>
  <w:style w:type="paragraph" w:customStyle="1" w:styleId="cn">
    <w:name w:val="cn"/>
    <w:basedOn w:val="Normal"/>
    <w:rsid w:val="00CE2D0C"/>
    <w:pPr>
      <w:spacing w:after="0" w:line="240" w:lineRule="auto"/>
      <w:jc w:val="center"/>
    </w:pPr>
    <w:rPr>
      <w:rFonts w:ascii="Times New Roman" w:eastAsia="Times New Roman" w:hAnsi="Times New Roman"/>
      <w:sz w:val="24"/>
      <w:szCs w:val="24"/>
    </w:rPr>
  </w:style>
  <w:style w:type="character" w:styleId="Robust">
    <w:name w:val="Strong"/>
    <w:basedOn w:val="Fontdeparagrafimplicit"/>
    <w:uiPriority w:val="22"/>
    <w:qFormat/>
    <w:rsid w:val="00CE2D0C"/>
    <w:rPr>
      <w:b/>
      <w:bCs/>
    </w:rPr>
  </w:style>
  <w:style w:type="character" w:customStyle="1" w:styleId="apple-converted-space">
    <w:name w:val="apple-converted-space"/>
    <w:basedOn w:val="Fontdeparagrafimplicit"/>
    <w:rsid w:val="00CE2D0C"/>
  </w:style>
  <w:style w:type="character" w:customStyle="1" w:styleId="docheader">
    <w:name w:val="doc_header"/>
    <w:basedOn w:val="Fontdeparagrafimplicit"/>
    <w:rsid w:val="00CE2D0C"/>
  </w:style>
  <w:style w:type="paragraph" w:customStyle="1" w:styleId="rg">
    <w:name w:val="rg"/>
    <w:basedOn w:val="Normal"/>
    <w:rsid w:val="00CE2D0C"/>
    <w:pPr>
      <w:spacing w:after="0" w:line="240" w:lineRule="auto"/>
      <w:jc w:val="right"/>
    </w:pPr>
    <w:rPr>
      <w:rFonts w:ascii="Times New Roman" w:eastAsia="Times New Roman" w:hAnsi="Times New Roman"/>
      <w:sz w:val="24"/>
      <w:szCs w:val="24"/>
    </w:rPr>
  </w:style>
  <w:style w:type="character" w:customStyle="1" w:styleId="docbody1">
    <w:name w:val="doc_body1"/>
    <w:basedOn w:val="Fontdeparagrafimplicit"/>
    <w:rsid w:val="00CE2D0C"/>
    <w:rPr>
      <w:rFonts w:ascii="Times New Roman" w:hAnsi="Times New Roman" w:cs="Times New Roman" w:hint="default"/>
      <w:color w:val="000000"/>
      <w:sz w:val="24"/>
      <w:szCs w:val="24"/>
    </w:rPr>
  </w:style>
  <w:style w:type="character" w:customStyle="1" w:styleId="2">
    <w:name w:val="Основной текст (2)_"/>
    <w:basedOn w:val="Fontdeparagrafimplicit"/>
    <w:link w:val="20"/>
    <w:rsid w:val="00CE2D0C"/>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CE2D0C"/>
    <w:pPr>
      <w:widowControl w:val="0"/>
      <w:shd w:val="clear" w:color="auto" w:fill="FFFFFF"/>
      <w:spacing w:before="1800" w:after="60" w:line="278" w:lineRule="exact"/>
      <w:ind w:hanging="380"/>
    </w:pPr>
    <w:rPr>
      <w:rFonts w:ascii="Times New Roman" w:eastAsia="Times New Roman" w:hAnsi="Times New Roman"/>
    </w:rPr>
  </w:style>
  <w:style w:type="character" w:customStyle="1" w:styleId="21">
    <w:name w:val="Сноска (2)_"/>
    <w:basedOn w:val="Fontdeparagrafimplicit"/>
    <w:link w:val="22"/>
    <w:rsid w:val="00CE2D0C"/>
    <w:rPr>
      <w:rFonts w:ascii="Times New Roman" w:eastAsia="Times New Roman" w:hAnsi="Times New Roman" w:cs="Times New Roman"/>
      <w:sz w:val="16"/>
      <w:szCs w:val="16"/>
      <w:shd w:val="clear" w:color="auto" w:fill="FFFFFF"/>
    </w:rPr>
  </w:style>
  <w:style w:type="paragraph" w:customStyle="1" w:styleId="22">
    <w:name w:val="Сноска (2)"/>
    <w:basedOn w:val="Normal"/>
    <w:link w:val="21"/>
    <w:rsid w:val="00CE2D0C"/>
    <w:pPr>
      <w:widowControl w:val="0"/>
      <w:shd w:val="clear" w:color="auto" w:fill="FFFFFF"/>
      <w:spacing w:after="0" w:line="178" w:lineRule="exact"/>
    </w:pPr>
    <w:rPr>
      <w:rFonts w:ascii="Times New Roman" w:eastAsia="Times New Roman" w:hAnsi="Times New Roman"/>
      <w:sz w:val="16"/>
      <w:szCs w:val="16"/>
    </w:rPr>
  </w:style>
  <w:style w:type="character" w:customStyle="1" w:styleId="a">
    <w:name w:val="Сноска_"/>
    <w:basedOn w:val="Fontdeparagrafimplicit"/>
    <w:link w:val="a0"/>
    <w:rsid w:val="00CE2D0C"/>
    <w:rPr>
      <w:rFonts w:ascii="Times New Roman" w:eastAsia="Times New Roman" w:hAnsi="Times New Roman" w:cs="Times New Roman"/>
      <w:sz w:val="18"/>
      <w:szCs w:val="18"/>
      <w:shd w:val="clear" w:color="auto" w:fill="FFFFFF"/>
    </w:rPr>
  </w:style>
  <w:style w:type="character" w:customStyle="1" w:styleId="23">
    <w:name w:val="Основной текст (2) + Полужирный"/>
    <w:basedOn w:val="2"/>
    <w:rsid w:val="00CE2D0C"/>
    <w:rPr>
      <w:b/>
      <w:bCs/>
      <w:i w:val="0"/>
      <w:iCs w:val="0"/>
      <w:smallCaps w:val="0"/>
      <w:strike w:val="0"/>
      <w:color w:val="000000"/>
      <w:spacing w:val="0"/>
      <w:w w:val="100"/>
      <w:position w:val="0"/>
      <w:sz w:val="24"/>
      <w:szCs w:val="24"/>
      <w:u w:val="none"/>
      <w:lang w:val="en-US" w:eastAsia="en-US" w:bidi="en-US"/>
    </w:rPr>
  </w:style>
  <w:style w:type="paragraph" w:customStyle="1" w:styleId="a0">
    <w:name w:val="Сноска"/>
    <w:basedOn w:val="Normal"/>
    <w:link w:val="a"/>
    <w:rsid w:val="00CE2D0C"/>
    <w:pPr>
      <w:widowControl w:val="0"/>
      <w:shd w:val="clear" w:color="auto" w:fill="FFFFFF"/>
      <w:spacing w:after="0" w:line="235" w:lineRule="exact"/>
      <w:jc w:val="both"/>
    </w:pPr>
    <w:rPr>
      <w:rFonts w:ascii="Times New Roman" w:eastAsia="Times New Roman" w:hAnsi="Times New Roman"/>
      <w:sz w:val="18"/>
      <w:szCs w:val="18"/>
    </w:rPr>
  </w:style>
  <w:style w:type="character" w:styleId="Referincomentariu">
    <w:name w:val="annotation reference"/>
    <w:basedOn w:val="Fontdeparagrafimplicit"/>
    <w:uiPriority w:val="99"/>
    <w:semiHidden/>
    <w:unhideWhenUsed/>
    <w:rsid w:val="00CE2D0C"/>
    <w:rPr>
      <w:sz w:val="16"/>
      <w:szCs w:val="16"/>
    </w:rPr>
  </w:style>
  <w:style w:type="paragraph" w:styleId="Textnotdefinal">
    <w:name w:val="endnote text"/>
    <w:basedOn w:val="Normal"/>
    <w:link w:val="TextnotdefinalCaracter"/>
    <w:uiPriority w:val="99"/>
    <w:semiHidden/>
    <w:unhideWhenUsed/>
    <w:rsid w:val="00CE2D0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CE2D0C"/>
    <w:rPr>
      <w:rFonts w:ascii="Calibri" w:eastAsia="Calibri" w:hAnsi="Calibri" w:cs="Times New Roman"/>
      <w:sz w:val="20"/>
      <w:szCs w:val="20"/>
    </w:rPr>
  </w:style>
  <w:style w:type="character" w:styleId="Referinnotdefinal">
    <w:name w:val="endnote reference"/>
    <w:basedOn w:val="Fontdeparagrafimplicit"/>
    <w:uiPriority w:val="99"/>
    <w:semiHidden/>
    <w:unhideWhenUsed/>
    <w:rsid w:val="00CE2D0C"/>
    <w:rPr>
      <w:vertAlign w:val="superscript"/>
    </w:rPr>
  </w:style>
  <w:style w:type="table" w:styleId="GrilTabel">
    <w:name w:val="Table Grid"/>
    <w:basedOn w:val="TabelNormal"/>
    <w:uiPriority w:val="39"/>
    <w:rsid w:val="00CE2D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ubash">
    <w:name w:val="liubash"/>
    <w:basedOn w:val="Normal"/>
    <w:link w:val="liubashChar"/>
    <w:rsid w:val="00CE2D0C"/>
    <w:pPr>
      <w:spacing w:after="0" w:line="240" w:lineRule="auto"/>
      <w:ind w:firstLine="684"/>
      <w:jc w:val="both"/>
    </w:pPr>
    <w:rPr>
      <w:rFonts w:ascii="Times New Roman" w:eastAsia="Times New Roman" w:hAnsi="Times New Roman"/>
      <w:sz w:val="28"/>
      <w:szCs w:val="32"/>
      <w:lang w:val="ro-RO" w:eastAsia="ru-RU"/>
    </w:rPr>
  </w:style>
  <w:style w:type="character" w:customStyle="1" w:styleId="liubashChar">
    <w:name w:val="liubash Char"/>
    <w:link w:val="liubash"/>
    <w:rsid w:val="00CE2D0C"/>
    <w:rPr>
      <w:rFonts w:ascii="Times New Roman" w:eastAsia="Times New Roman" w:hAnsi="Times New Roman" w:cs="Times New Roman"/>
      <w:sz w:val="28"/>
      <w:szCs w:val="32"/>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_mereuta\AppData\Local\Microsoft\Windows\Temporary%20Internet%20Files\Content.Outlook\PYPJO6LO\IMSP%20SCR%20-%20figuri%20&#238;n%20rus&#25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ru-RU" sz="1200" b="1" i="0" u="none" strike="noStrike" kern="1200"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a:t>Удельный вес каждого вида медицинской помощи в контрактованных средствах ФОМС </a:t>
            </a:r>
            <a:endParaRPr lang="x-none"/>
          </a:p>
        </c:rich>
      </c:tx>
      <c:spPr>
        <a:noFill/>
        <a:ln>
          <a:noFill/>
        </a:ln>
        <a:effectLst/>
      </c:spPr>
    </c:title>
    <c:plotArea>
      <c:layout/>
      <c:pieChart>
        <c:varyColors val="1"/>
        <c:ser>
          <c:idx val="1"/>
          <c:order val="0"/>
          <c:dPt>
            <c:idx val="0"/>
            <c:spPr>
              <a:pattFill prst="wdUpDiag">
                <a:fgClr>
                  <a:schemeClr val="accent2">
                    <a:lumMod val="75000"/>
                  </a:schemeClr>
                </a:fgClr>
                <a:bgClr>
                  <a:schemeClr val="bg1"/>
                </a:bgClr>
              </a:pattFill>
            </c:spPr>
            <c:extLst xmlns:c16r2="http://schemas.microsoft.com/office/drawing/2015/06/chart">
              <c:ext xmlns:c16="http://schemas.microsoft.com/office/drawing/2014/chart" uri="{C3380CC4-5D6E-409C-BE32-E72D297353CC}">
                <c16:uniqueId val="{00000010-EABC-412F-9436-3A9537755B54}"/>
              </c:ext>
            </c:extLst>
          </c:dPt>
          <c:dPt>
            <c:idx val="1"/>
            <c:spPr>
              <a:pattFill prst="pct60">
                <a:fgClr>
                  <a:schemeClr val="accent1">
                    <a:lumMod val="75000"/>
                  </a:schemeClr>
                </a:fgClr>
                <a:bgClr>
                  <a:schemeClr val="bg1"/>
                </a:bgClr>
              </a:pattFill>
            </c:spPr>
            <c:extLst xmlns:c16r2="http://schemas.microsoft.com/office/drawing/2015/06/chart">
              <c:ext xmlns:c16="http://schemas.microsoft.com/office/drawing/2014/chart" uri="{C3380CC4-5D6E-409C-BE32-E72D297353CC}">
                <c16:uniqueId val="{00000011-EABC-412F-9436-3A9537755B54}"/>
              </c:ext>
            </c:extLst>
          </c:dPt>
          <c:dPt>
            <c:idx val="2"/>
            <c:spPr>
              <a:pattFill prst="zigZag">
                <a:fgClr>
                  <a:srgbClr val="7030A0"/>
                </a:fgClr>
                <a:bgClr>
                  <a:schemeClr val="bg1"/>
                </a:bgClr>
              </a:pattFill>
            </c:spPr>
            <c:extLst xmlns:c16r2="http://schemas.microsoft.com/office/drawing/2015/06/chart">
              <c:ext xmlns:c16="http://schemas.microsoft.com/office/drawing/2014/chart" uri="{C3380CC4-5D6E-409C-BE32-E72D297353CC}">
                <c16:uniqueId val="{00000012-EABC-412F-9436-3A9537755B54}"/>
              </c:ext>
            </c:extLst>
          </c:dPt>
          <c:dLbls>
            <c:dLbl>
              <c:idx val="0"/>
              <c:layout>
                <c:manualLayout>
                  <c:x val="0.11444401766852315"/>
                  <c:y val="-8.859542942736309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EABC-412F-9436-3A9537755B54}"/>
                </c:ext>
              </c:extLst>
            </c:dLbl>
            <c:dLbl>
              <c:idx val="1"/>
              <c:layout>
                <c:manualLayout>
                  <c:x val="-4.4240445554061841E-2"/>
                  <c:y val="3.1010262534663974E-3"/>
                </c:manualLayout>
              </c:layout>
              <c:tx>
                <c:rich>
                  <a:bodyPr/>
                  <a:lstStyle/>
                  <a:p>
                    <a:r>
                      <a:rPr lang="en-US"/>
                      <a:t>2,2</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EABC-412F-9436-3A9537755B54}"/>
                </c:ext>
              </c:extLst>
            </c:dLbl>
            <c:dLbl>
              <c:idx val="2"/>
              <c:layout>
                <c:manualLayout>
                  <c:x val="8.9475065616798008E-2"/>
                  <c:y val="2.5737303402627445E-2"/>
                </c:manualLayout>
              </c:layout>
              <c:tx>
                <c:rich>
                  <a:bodyPr/>
                  <a:lstStyle/>
                  <a:p>
                    <a:r>
                      <a:rPr lang="en-US"/>
                      <a:t>1,8</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EABC-412F-9436-3A9537755B54}"/>
                </c:ext>
              </c:extLst>
            </c:dLbl>
            <c:spPr>
              <a:noFill/>
              <a:ln>
                <a:noFill/>
              </a:ln>
              <a:effectLst/>
            </c:spPr>
            <c:txPr>
              <a:bodyPr/>
              <a:lstStyle/>
              <a:p>
                <a:pPr>
                  <a:defRPr lang="ru-RU"/>
                </a:pPr>
                <a:endParaRPr lang="en-US"/>
              </a:p>
            </c:txPr>
            <c:showVal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'contractare - achitări cu CNAM\[deviz.xlsx]modif venit'!$A$16:$A$18</c:f>
              <c:strCache>
                <c:ptCount val="3"/>
                <c:pt idx="0">
                  <c:v>СМП - 238,5 млн. леев (96,0%)</c:v>
                </c:pt>
                <c:pt idx="1">
                  <c:v>АСМП - 5,4 млн. леев (2,2%)</c:v>
                </c:pt>
                <c:pt idx="2">
                  <c:v>ВКМУ - 4,5 млн. леев (1,8%)</c:v>
                </c:pt>
              </c:strCache>
            </c:strRef>
          </c:cat>
          <c:val>
            <c:numRef>
              <c:f>'contractare - achitări cu CNAM\[deviz.xlsx]modif venit'!$B$16:$B$18</c:f>
              <c:numCache>
                <c:formatCode>General</c:formatCode>
                <c:ptCount val="3"/>
                <c:pt idx="0">
                  <c:v>96.02</c:v>
                </c:pt>
                <c:pt idx="1">
                  <c:v>2.1651379117466454</c:v>
                </c:pt>
                <c:pt idx="2">
                  <c:v>1.8195772318369041</c:v>
                </c:pt>
              </c:numCache>
            </c:numRef>
          </c:val>
          <c:extLst xmlns:c16r2="http://schemas.microsoft.com/office/drawing/2015/06/chart">
            <c:ext xmlns:c16="http://schemas.microsoft.com/office/drawing/2014/chart" uri="{C3380CC4-5D6E-409C-BE32-E72D297353CC}">
              <c16:uniqueId val="{0000000F-EABC-412F-9436-3A9537755B54}"/>
            </c:ext>
          </c:extLst>
        </c:ser>
        <c:ser>
          <c:idx val="0"/>
          <c:order val="1"/>
          <c:dPt>
            <c:idx val="0"/>
            <c:explosion val="4"/>
            <c:spPr>
              <a:pattFill prst="wdUpDiag">
                <a:fgClr>
                  <a:schemeClr val="accent2">
                    <a:lumMod val="75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9-EABC-412F-9436-3A9537755B54}"/>
              </c:ext>
            </c:extLst>
          </c:dPt>
          <c:dPt>
            <c:idx val="1"/>
            <c:spPr>
              <a:pattFill prst="pct60">
                <a:fgClr>
                  <a:schemeClr val="accent1">
                    <a:lumMod val="75000"/>
                  </a:schemeClr>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B-EABC-412F-9436-3A9537755B54}"/>
              </c:ext>
            </c:extLst>
          </c:dPt>
          <c:dPt>
            <c:idx val="2"/>
            <c:spPr>
              <a:pattFill prst="zigZag">
                <a:fgClr>
                  <a:srgbClr val="7030A0"/>
                </a:fgClr>
                <a:bgClr>
                  <a:schemeClr val="bg1"/>
                </a:bgClr>
              </a:pattFill>
              <a:ln w="19050">
                <a:solidFill>
                  <a:schemeClr val="lt1"/>
                </a:solidFill>
              </a:ln>
              <a:effectLst/>
            </c:spPr>
            <c:extLst xmlns:c16r2="http://schemas.microsoft.com/office/drawing/2015/06/chart">
              <c:ext xmlns:c16="http://schemas.microsoft.com/office/drawing/2014/chart" uri="{C3380CC4-5D6E-409C-BE32-E72D297353CC}">
                <c16:uniqueId val="{0000000D-EABC-412F-9436-3A9537755B54}"/>
              </c:ext>
            </c:extLst>
          </c:dPt>
          <c:dLbls>
            <c:dLbl>
              <c:idx val="0"/>
              <c:layout>
                <c:manualLayout>
                  <c:x val="0.19450557480314962"/>
                  <c:y val="-0.12595602436487888"/>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ABC-412F-9436-3A9537755B54}"/>
                </c:ext>
              </c:extLst>
            </c:dLbl>
            <c:dLbl>
              <c:idx val="1"/>
              <c:layout>
                <c:manualLayout>
                  <c:x val="-3.7924759405074414E-2"/>
                  <c:y val="-1.9484543598716924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ABC-412F-9436-3A9537755B54}"/>
                </c:ext>
              </c:extLst>
            </c:dLbl>
            <c:dLbl>
              <c:idx val="2"/>
              <c:layout>
                <c:manualLayout>
                  <c:x val="6.9984251968503913E-2"/>
                  <c:y val="-2.443470509582541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ABC-412F-9436-3A9537755B54}"/>
                </c:ext>
              </c:extLst>
            </c:dLbl>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Val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'contractare - achitări cu CNAM\[deviz.xlsx]modif venit'!$A$16:$A$18</c:f>
              <c:strCache>
                <c:ptCount val="3"/>
                <c:pt idx="0">
                  <c:v>СМП - 238,5 млн. леев (96,0%)</c:v>
                </c:pt>
                <c:pt idx="1">
                  <c:v>АСМП - 5,4 млн. леев (2,2%)</c:v>
                </c:pt>
                <c:pt idx="2">
                  <c:v>ВКМУ - 4,5 млн. леев (1,8%)</c:v>
                </c:pt>
              </c:strCache>
            </c:strRef>
          </c:cat>
          <c:val>
            <c:numRef>
              <c:f>'contractare - achitări cu CNAM\[deviz.xlsx]modif venit'!$B$16:$B$18</c:f>
              <c:numCache>
                <c:formatCode>General</c:formatCode>
                <c:ptCount val="3"/>
                <c:pt idx="0">
                  <c:v>96.02</c:v>
                </c:pt>
                <c:pt idx="1">
                  <c:v>2.1651379117466454</c:v>
                </c:pt>
                <c:pt idx="2">
                  <c:v>1.8195772318369041</c:v>
                </c:pt>
              </c:numCache>
            </c:numRef>
          </c:val>
          <c:extLst xmlns:c16r2="http://schemas.microsoft.com/office/drawing/2015/06/chart">
            <c:ext xmlns:c16="http://schemas.microsoft.com/office/drawing/2014/chart" uri="{C3380CC4-5D6E-409C-BE32-E72D297353CC}">
              <c16:uniqueId val="{0000000E-EABC-412F-9436-3A9537755B54}"/>
            </c:ext>
          </c:extLst>
        </c:ser>
        <c:dLbls>
          <c:showVal val="1"/>
        </c:dLbls>
        <c:firstSliceAng val="0"/>
      </c:pieChart>
      <c:spPr>
        <a:noFill/>
        <a:ln>
          <a:noFill/>
        </a:ln>
        <a:effectLst/>
      </c:spPr>
    </c:plotArea>
    <c:legend>
      <c:legendPos val="r"/>
      <c:layout>
        <c:manualLayout>
          <c:xMode val="edge"/>
          <c:yMode val="edge"/>
          <c:x val="0.64341875861754605"/>
          <c:y val="0.37235180508097065"/>
          <c:w val="0.30171451891684342"/>
          <c:h val="0.39485132481833085"/>
        </c:manualLayout>
      </c:layout>
      <c:spPr>
        <a:solidFill>
          <a:schemeClr val="lt1">
            <a:alpha val="50000"/>
          </a:schemeClr>
        </a:solid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chart>
  <c:spPr>
    <a:pattFill prst="zigZag">
      <a:fgClr>
        <a:schemeClr val="accent6">
          <a:lumMod val="20000"/>
          <a:lumOff val="80000"/>
        </a:schemeClr>
      </a:fgClr>
      <a:bgClr>
        <a:schemeClr val="bg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10275</Words>
  <Characters>58568</Characters>
  <Application>Microsoft Office Word</Application>
  <DocSecurity>0</DocSecurity>
  <Lines>488</Lines>
  <Paragraphs>137</Paragraphs>
  <ScaleCrop>false</ScaleCrop>
  <Company/>
  <LinksUpToDate>false</LinksUpToDate>
  <CharactersWithSpaces>68706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2016-07-04T07:37:00Z</dcterms:created>
  <dcterms:modified xsi:type="dcterms:W3CDTF">2016-07-04T07:39:00Z</dcterms:modified>
</cp:coreProperties>
</file>