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FF" w:rsidRPr="005F652A" w:rsidRDefault="00903BFF" w:rsidP="00903BFF">
      <w:pPr>
        <w:pStyle w:val="rg"/>
        <w:outlineLvl w:val="0"/>
        <w:rPr>
          <w:lang w:val="ro-MD"/>
        </w:rPr>
      </w:pPr>
    </w:p>
    <w:p w:rsidR="00903BFF" w:rsidRPr="005F652A" w:rsidRDefault="00903BFF" w:rsidP="00903BFF">
      <w:pPr>
        <w:pStyle w:val="rg"/>
        <w:outlineLvl w:val="0"/>
        <w:rPr>
          <w:b/>
          <w:i/>
          <w:lang w:val="ro-MD"/>
        </w:rPr>
      </w:pPr>
      <w:r w:rsidRPr="005F652A">
        <w:rPr>
          <w:b/>
          <w:i/>
          <w:lang w:val="ro-MD"/>
        </w:rPr>
        <w:t>Aprobat</w:t>
      </w:r>
    </w:p>
    <w:p w:rsidR="00903BFF" w:rsidRPr="005F652A" w:rsidRDefault="00903BFF" w:rsidP="00903BFF">
      <w:pPr>
        <w:pStyle w:val="rg"/>
        <w:rPr>
          <w:lang w:val="ro-MD"/>
        </w:rPr>
      </w:pPr>
      <w:r w:rsidRPr="005F652A">
        <w:rPr>
          <w:lang w:val="ro-MD"/>
        </w:rPr>
        <w:t>prin Hotărîrea Curţii de Conturi</w:t>
      </w:r>
    </w:p>
    <w:p w:rsidR="00903BFF" w:rsidRPr="005F652A" w:rsidRDefault="00903BFF" w:rsidP="00903BFF">
      <w:pPr>
        <w:spacing w:after="0" w:line="240" w:lineRule="auto"/>
        <w:jc w:val="right"/>
        <w:rPr>
          <w:rFonts w:ascii="Times New Roman" w:hAnsi="Times New Roman"/>
          <w:sz w:val="24"/>
          <w:szCs w:val="24"/>
          <w:lang w:val="ro-MD"/>
        </w:rPr>
      </w:pPr>
      <w:r w:rsidRPr="005F652A">
        <w:rPr>
          <w:rFonts w:ascii="Times New Roman" w:hAnsi="Times New Roman"/>
          <w:sz w:val="24"/>
          <w:szCs w:val="24"/>
          <w:lang w:val="ro-MD"/>
        </w:rPr>
        <w:t>nr.</w:t>
      </w:r>
      <w:r>
        <w:rPr>
          <w:rFonts w:ascii="Times New Roman" w:hAnsi="Times New Roman"/>
          <w:sz w:val="24"/>
          <w:szCs w:val="24"/>
          <w:lang w:val="ro-MD"/>
        </w:rPr>
        <w:t xml:space="preserve">17 </w:t>
      </w:r>
      <w:r w:rsidRPr="005F652A">
        <w:rPr>
          <w:rFonts w:ascii="Times New Roman" w:hAnsi="Times New Roman"/>
          <w:sz w:val="24"/>
          <w:szCs w:val="24"/>
          <w:lang w:val="ro-MD"/>
        </w:rPr>
        <w:t>din 23 iunie 2016</w:t>
      </w:r>
    </w:p>
    <w:p w:rsidR="00903BFF" w:rsidRPr="005F652A" w:rsidRDefault="00903BFF" w:rsidP="00903BFF">
      <w:pPr>
        <w:spacing w:after="0"/>
        <w:rPr>
          <w:rFonts w:ascii="Times New Roman" w:hAnsi="Times New Roman"/>
          <w:b/>
          <w:sz w:val="28"/>
          <w:szCs w:val="28"/>
          <w:lang w:val="ro-MD"/>
        </w:rPr>
      </w:pPr>
    </w:p>
    <w:p w:rsidR="00903BFF" w:rsidRPr="00A80935" w:rsidRDefault="00903BFF" w:rsidP="00903BFF">
      <w:pPr>
        <w:spacing w:after="0"/>
        <w:jc w:val="center"/>
        <w:rPr>
          <w:rFonts w:ascii="Times New Roman" w:hAnsi="Times New Roman"/>
          <w:b/>
          <w:sz w:val="24"/>
          <w:szCs w:val="24"/>
          <w:lang w:val="ro-MD"/>
        </w:rPr>
      </w:pPr>
    </w:p>
    <w:p w:rsidR="00903BFF" w:rsidRPr="00A80935" w:rsidRDefault="00903BFF" w:rsidP="00903BFF">
      <w:pPr>
        <w:spacing w:after="0"/>
        <w:jc w:val="center"/>
        <w:rPr>
          <w:rFonts w:ascii="Times New Roman" w:hAnsi="Times New Roman"/>
          <w:b/>
          <w:bCs/>
          <w:iCs/>
          <w:sz w:val="24"/>
          <w:szCs w:val="24"/>
          <w:lang w:val="ro-MD"/>
        </w:rPr>
      </w:pPr>
      <w:r w:rsidRPr="00A80935">
        <w:rPr>
          <w:rFonts w:ascii="Times New Roman" w:hAnsi="Times New Roman"/>
          <w:b/>
          <w:sz w:val="24"/>
          <w:szCs w:val="24"/>
          <w:lang w:val="ro-MD"/>
        </w:rPr>
        <w:t>RAPORTUL</w:t>
      </w:r>
    </w:p>
    <w:p w:rsidR="00903BFF" w:rsidRPr="00A80935" w:rsidRDefault="00903BFF" w:rsidP="00903BFF">
      <w:pPr>
        <w:spacing w:after="0"/>
        <w:jc w:val="center"/>
        <w:rPr>
          <w:rFonts w:ascii="Times New Roman" w:hAnsi="Times New Roman"/>
          <w:b/>
          <w:bCs/>
          <w:sz w:val="24"/>
          <w:szCs w:val="24"/>
          <w:lang w:val="ro-MD"/>
        </w:rPr>
      </w:pPr>
      <w:r w:rsidRPr="00A80935">
        <w:rPr>
          <w:rFonts w:ascii="Times New Roman" w:hAnsi="Times New Roman"/>
          <w:b/>
          <w:bCs/>
          <w:sz w:val="24"/>
          <w:szCs w:val="24"/>
          <w:lang w:val="ro-MD"/>
        </w:rPr>
        <w:t>auditului conformității gestionării patrimoniului public în cadrul entităților publice din raionul Sîngerei pe anul 2015</w:t>
      </w:r>
    </w:p>
    <w:p w:rsidR="00903BFF" w:rsidRPr="00A80935" w:rsidRDefault="00903BFF" w:rsidP="00903BFF">
      <w:pPr>
        <w:jc w:val="center"/>
        <w:rPr>
          <w:rFonts w:ascii="Times New Roman" w:hAnsi="Times New Roman"/>
          <w:b/>
          <w:sz w:val="24"/>
          <w:szCs w:val="24"/>
          <w:lang w:val="ro-MD"/>
        </w:rPr>
      </w:pPr>
    </w:p>
    <w:p w:rsidR="00903BFF" w:rsidRPr="00A80935" w:rsidRDefault="00903BFF" w:rsidP="00903BFF">
      <w:pPr>
        <w:jc w:val="center"/>
        <w:rPr>
          <w:rFonts w:ascii="Times New Roman" w:hAnsi="Times New Roman"/>
          <w:b/>
          <w:sz w:val="24"/>
          <w:szCs w:val="24"/>
          <w:lang w:val="ro-MD"/>
        </w:rPr>
      </w:pPr>
      <w:r w:rsidRPr="00A80935">
        <w:rPr>
          <w:rFonts w:ascii="Times New Roman" w:hAnsi="Times New Roman"/>
          <w:b/>
          <w:sz w:val="24"/>
          <w:szCs w:val="24"/>
          <w:lang w:val="ro-MD"/>
        </w:rPr>
        <w:t>LISTA ABREVIERILOR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799"/>
      </w:tblGrid>
      <w:tr w:rsidR="00903BFF" w:rsidRPr="00A80935" w:rsidTr="001B4D6B">
        <w:tc>
          <w:tcPr>
            <w:tcW w:w="1555" w:type="dxa"/>
            <w:shd w:val="clear" w:color="auto" w:fill="auto"/>
          </w:tcPr>
          <w:p w:rsidR="00903BFF" w:rsidRPr="00A80935" w:rsidRDefault="00903BFF" w:rsidP="001B4D6B">
            <w:pPr>
              <w:spacing w:after="0" w:line="240" w:lineRule="auto"/>
              <w:jc w:val="center"/>
              <w:rPr>
                <w:rFonts w:ascii="Times New Roman" w:eastAsia="Times New Roman" w:hAnsi="Times New Roman"/>
                <w:b/>
                <w:sz w:val="24"/>
                <w:szCs w:val="24"/>
                <w:lang w:val="ro-MD" w:eastAsia="ja-JP"/>
              </w:rPr>
            </w:pPr>
            <w:r w:rsidRPr="00A80935">
              <w:rPr>
                <w:rFonts w:ascii="Times New Roman" w:eastAsia="Times New Roman" w:hAnsi="Times New Roman"/>
                <w:b/>
                <w:sz w:val="24"/>
                <w:szCs w:val="24"/>
                <w:lang w:val="ro-MD" w:eastAsia="ja-JP"/>
              </w:rPr>
              <w:t>Abrevierea</w:t>
            </w:r>
          </w:p>
        </w:tc>
        <w:tc>
          <w:tcPr>
            <w:tcW w:w="8124" w:type="dxa"/>
            <w:shd w:val="clear" w:color="auto" w:fill="auto"/>
          </w:tcPr>
          <w:p w:rsidR="00903BFF" w:rsidRPr="00A80935" w:rsidRDefault="00903BFF" w:rsidP="001B4D6B">
            <w:pPr>
              <w:spacing w:after="0" w:line="240" w:lineRule="auto"/>
              <w:jc w:val="center"/>
              <w:rPr>
                <w:rFonts w:ascii="Times New Roman" w:eastAsia="Times New Roman" w:hAnsi="Times New Roman"/>
                <w:b/>
                <w:sz w:val="24"/>
                <w:szCs w:val="24"/>
                <w:lang w:val="ro-MD" w:eastAsia="ja-JP"/>
              </w:rPr>
            </w:pPr>
            <w:r w:rsidRPr="00A80935">
              <w:rPr>
                <w:rFonts w:ascii="Times New Roman" w:eastAsia="Times New Roman" w:hAnsi="Times New Roman"/>
                <w:b/>
                <w:sz w:val="24"/>
                <w:szCs w:val="24"/>
                <w:lang w:val="ro-MD" w:eastAsia="ja-JP"/>
              </w:rPr>
              <w:t>Termenul abreviat</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AAPL </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Autorități ale administrației publice locale </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UAT </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Unitate administrativ-teritorială </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APL</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Administrația publică locală</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AP</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Aparatul președintelui raionului</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CO</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Consiliul orășenesc</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CL </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Consiliul local </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CR </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Consiliul raional </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DASPF </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Direcția Asistență Socială și Protecție a Familiei </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DE </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Direcția Educație </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DF </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Direcția Finanțe </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HG</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Hotărîrea Guvernului </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ÎM</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 xml:space="preserve">Întreprindere municipală </w:t>
            </w:r>
          </w:p>
        </w:tc>
      </w:tr>
      <w:tr w:rsidR="00903BFF" w:rsidRPr="00A80935" w:rsidTr="001B4D6B">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AP</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Aparatul președintelui raionului</w:t>
            </w:r>
          </w:p>
        </w:tc>
      </w:tr>
      <w:tr w:rsidR="00903BFF" w:rsidRPr="00A80935" w:rsidTr="001B4D6B">
        <w:trPr>
          <w:trHeight w:val="179"/>
        </w:trPr>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SA</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Societate pe acțiuni</w:t>
            </w:r>
          </w:p>
        </w:tc>
      </w:tr>
      <w:tr w:rsidR="00903BFF" w:rsidRPr="00A80935" w:rsidTr="001B4D6B">
        <w:trPr>
          <w:trHeight w:val="179"/>
        </w:trPr>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IMSP</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Institu</w:t>
            </w:r>
            <w:r w:rsidRPr="00A80935">
              <w:rPr>
                <w:rFonts w:ascii="Times New Roman" w:eastAsia="Times New Roman" w:hAnsi="Times New Roman"/>
                <w:sz w:val="24"/>
                <w:szCs w:val="24"/>
                <w:lang w:val="ro-RO" w:eastAsia="ja-JP"/>
              </w:rPr>
              <w:t xml:space="preserve">ție </w:t>
            </w:r>
            <w:r w:rsidRPr="00A80935">
              <w:rPr>
                <w:rFonts w:ascii="Times New Roman" w:eastAsia="Times New Roman" w:hAnsi="Times New Roman"/>
                <w:sz w:val="24"/>
                <w:szCs w:val="24"/>
                <w:lang w:val="ro-MD" w:eastAsia="ja-JP"/>
              </w:rPr>
              <w:t xml:space="preserve">Medico-Sanitară Publică </w:t>
            </w:r>
          </w:p>
        </w:tc>
      </w:tr>
      <w:tr w:rsidR="00903BFF" w:rsidRPr="00A80935" w:rsidTr="001B4D6B">
        <w:trPr>
          <w:trHeight w:val="179"/>
        </w:trPr>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DPGCL Sîngerei</w:t>
            </w:r>
          </w:p>
        </w:tc>
        <w:tc>
          <w:tcPr>
            <w:tcW w:w="8124"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Direcția de Producție a Gospodăriei Comunale și Locuințe din or. Sîngerei</w:t>
            </w:r>
          </w:p>
        </w:tc>
      </w:tr>
      <w:tr w:rsidR="00903BFF" w:rsidRPr="00A80935" w:rsidTr="001B4D6B">
        <w:trPr>
          <w:trHeight w:val="179"/>
        </w:trPr>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BPSRS</w:t>
            </w:r>
          </w:p>
        </w:tc>
        <w:tc>
          <w:tcPr>
            <w:tcW w:w="8124" w:type="dxa"/>
            <w:shd w:val="clear" w:color="auto" w:fill="auto"/>
          </w:tcPr>
          <w:p w:rsidR="00903BFF" w:rsidRPr="00A80935" w:rsidRDefault="00903BFF" w:rsidP="001B4D6B">
            <w:pPr>
              <w:spacing w:after="120" w:line="240" w:lineRule="auto"/>
              <w:jc w:val="both"/>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Biroul de Proiectare și Sistematizare al raionului Sîngerei</w:t>
            </w:r>
          </w:p>
        </w:tc>
      </w:tr>
      <w:tr w:rsidR="00903BFF" w:rsidRPr="00A80935" w:rsidTr="001B4D6B">
        <w:trPr>
          <w:trHeight w:val="179"/>
        </w:trPr>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DPGL Biruința</w:t>
            </w:r>
          </w:p>
        </w:tc>
        <w:tc>
          <w:tcPr>
            <w:tcW w:w="8124" w:type="dxa"/>
            <w:shd w:val="clear" w:color="auto" w:fill="auto"/>
          </w:tcPr>
          <w:p w:rsidR="00903BFF" w:rsidRPr="00A80935" w:rsidRDefault="00903BFF" w:rsidP="001B4D6B">
            <w:pPr>
              <w:spacing w:after="120" w:line="240" w:lineRule="auto"/>
              <w:jc w:val="both"/>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Direcția de Producție a Gospodăriei Comunale Locative din or. Biruința</w:t>
            </w:r>
          </w:p>
        </w:tc>
      </w:tr>
      <w:tr w:rsidR="00903BFF" w:rsidRPr="00A80935" w:rsidTr="001B4D6B">
        <w:trPr>
          <w:trHeight w:val="179"/>
        </w:trPr>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CÎS</w:t>
            </w:r>
          </w:p>
        </w:tc>
        <w:tc>
          <w:tcPr>
            <w:tcW w:w="8124" w:type="dxa"/>
            <w:shd w:val="clear" w:color="auto" w:fill="auto"/>
          </w:tcPr>
          <w:p w:rsidR="00903BFF" w:rsidRPr="00A80935" w:rsidRDefault="00903BFF" w:rsidP="001B4D6B">
            <w:pPr>
              <w:spacing w:after="120" w:line="240" w:lineRule="auto"/>
              <w:jc w:val="both"/>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Camera Înregistrării de Stat</w:t>
            </w:r>
          </w:p>
        </w:tc>
      </w:tr>
      <w:tr w:rsidR="00903BFF" w:rsidRPr="00A80935" w:rsidTr="001B4D6B">
        <w:trPr>
          <w:trHeight w:val="179"/>
        </w:trPr>
        <w:tc>
          <w:tcPr>
            <w:tcW w:w="1555" w:type="dxa"/>
            <w:shd w:val="clear" w:color="auto" w:fill="auto"/>
          </w:tcPr>
          <w:p w:rsidR="00903BFF" w:rsidRPr="00A80935" w:rsidRDefault="00903BFF" w:rsidP="001B4D6B">
            <w:pPr>
              <w:spacing w:after="120" w:line="240" w:lineRule="auto"/>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OCT</w:t>
            </w:r>
          </w:p>
        </w:tc>
        <w:tc>
          <w:tcPr>
            <w:tcW w:w="8124" w:type="dxa"/>
            <w:shd w:val="clear" w:color="auto" w:fill="auto"/>
          </w:tcPr>
          <w:p w:rsidR="00903BFF" w:rsidRPr="00A80935" w:rsidRDefault="00903BFF" w:rsidP="001B4D6B">
            <w:pPr>
              <w:spacing w:after="120" w:line="240" w:lineRule="auto"/>
              <w:jc w:val="both"/>
              <w:rPr>
                <w:rFonts w:ascii="Times New Roman" w:eastAsia="Times New Roman" w:hAnsi="Times New Roman"/>
                <w:sz w:val="24"/>
                <w:szCs w:val="24"/>
                <w:lang w:val="ro-MD" w:eastAsia="ja-JP"/>
              </w:rPr>
            </w:pPr>
            <w:r w:rsidRPr="00A80935">
              <w:rPr>
                <w:rFonts w:ascii="Times New Roman" w:eastAsia="Times New Roman" w:hAnsi="Times New Roman"/>
                <w:sz w:val="24"/>
                <w:szCs w:val="24"/>
                <w:lang w:val="ro-MD" w:eastAsia="ja-JP"/>
              </w:rPr>
              <w:t>Oficiul Cadastral Teritorial</w:t>
            </w:r>
          </w:p>
        </w:tc>
      </w:tr>
    </w:tbl>
    <w:p w:rsidR="00903BFF" w:rsidRPr="00A80935" w:rsidRDefault="00903BFF" w:rsidP="00903BFF">
      <w:pPr>
        <w:spacing w:after="0" w:line="240" w:lineRule="auto"/>
        <w:rPr>
          <w:rFonts w:ascii="Times New Roman" w:eastAsia="Times New Roman" w:hAnsi="Times New Roman"/>
          <w:b/>
          <w:sz w:val="24"/>
          <w:szCs w:val="24"/>
          <w:lang w:val="ro-MD" w:eastAsia="ru-RU"/>
        </w:rPr>
      </w:pPr>
    </w:p>
    <w:p w:rsidR="00903BFF" w:rsidRPr="00A80935" w:rsidRDefault="00903BFF" w:rsidP="00903BFF">
      <w:pPr>
        <w:spacing w:after="120" w:line="240" w:lineRule="auto"/>
        <w:jc w:val="center"/>
        <w:rPr>
          <w:rFonts w:ascii="Times New Roman" w:hAnsi="Times New Roman"/>
          <w:b/>
          <w:bCs/>
          <w:sz w:val="24"/>
          <w:szCs w:val="24"/>
          <w:lang w:val="ro-MD"/>
        </w:rPr>
      </w:pPr>
    </w:p>
    <w:p w:rsidR="00903BFF" w:rsidRPr="00A80935" w:rsidRDefault="00903BFF" w:rsidP="00903BFF">
      <w:pPr>
        <w:spacing w:after="120" w:line="240" w:lineRule="auto"/>
        <w:jc w:val="center"/>
        <w:rPr>
          <w:rFonts w:ascii="Times New Roman" w:hAnsi="Times New Roman"/>
          <w:b/>
          <w:bCs/>
          <w:sz w:val="24"/>
          <w:szCs w:val="24"/>
          <w:lang w:val="ro-MD"/>
        </w:rPr>
      </w:pPr>
    </w:p>
    <w:p w:rsidR="00903BFF" w:rsidRPr="00A80935" w:rsidRDefault="00903BFF" w:rsidP="00903BFF">
      <w:pPr>
        <w:spacing w:after="120" w:line="240" w:lineRule="auto"/>
        <w:jc w:val="center"/>
        <w:rPr>
          <w:rFonts w:ascii="Times New Roman" w:hAnsi="Times New Roman"/>
          <w:b/>
          <w:bCs/>
          <w:sz w:val="24"/>
          <w:szCs w:val="24"/>
          <w:lang w:val="ro-MD"/>
        </w:rPr>
      </w:pPr>
    </w:p>
    <w:p w:rsidR="00903BFF" w:rsidRPr="00A80935" w:rsidRDefault="00903BFF" w:rsidP="00903BFF">
      <w:pPr>
        <w:spacing w:after="120" w:line="240" w:lineRule="auto"/>
        <w:rPr>
          <w:rFonts w:ascii="Times New Roman" w:hAnsi="Times New Roman"/>
          <w:b/>
          <w:bCs/>
          <w:sz w:val="24"/>
          <w:szCs w:val="24"/>
          <w:lang w:val="ro-MD"/>
        </w:rPr>
      </w:pPr>
    </w:p>
    <w:p w:rsidR="00903BFF" w:rsidRPr="00A80935" w:rsidRDefault="00903BFF" w:rsidP="00903BFF">
      <w:pPr>
        <w:spacing w:after="120" w:line="240" w:lineRule="auto"/>
        <w:jc w:val="center"/>
        <w:rPr>
          <w:rFonts w:ascii="Times New Roman" w:hAnsi="Times New Roman"/>
          <w:b/>
          <w:bCs/>
          <w:sz w:val="24"/>
          <w:szCs w:val="24"/>
          <w:lang w:val="ro-MD"/>
        </w:rPr>
      </w:pPr>
      <w:r w:rsidRPr="00A80935">
        <w:rPr>
          <w:rFonts w:ascii="Times New Roman" w:hAnsi="Times New Roman"/>
          <w:b/>
          <w:bCs/>
          <w:sz w:val="24"/>
          <w:szCs w:val="24"/>
          <w:lang w:val="ro-MD"/>
        </w:rPr>
        <w:lastRenderedPageBreak/>
        <w:t>INTRODUCERE</w:t>
      </w:r>
    </w:p>
    <w:p w:rsidR="00903BFF" w:rsidRPr="00A80935" w:rsidRDefault="00903BFF" w:rsidP="00903BFF">
      <w:pPr>
        <w:tabs>
          <w:tab w:val="left" w:pos="0"/>
        </w:tabs>
        <w:spacing w:after="0" w:line="240" w:lineRule="auto"/>
        <w:ind w:firstLine="567"/>
        <w:contextualSpacing/>
        <w:jc w:val="both"/>
        <w:rPr>
          <w:rFonts w:ascii="Times New Roman" w:eastAsia="Times New Roman" w:hAnsi="Times New Roman"/>
          <w:sz w:val="24"/>
          <w:szCs w:val="24"/>
          <w:lang w:val="ro-MD" w:eastAsia="ru-RU"/>
        </w:rPr>
      </w:pPr>
      <w:r w:rsidRPr="00A80935">
        <w:rPr>
          <w:rFonts w:ascii="Times New Roman" w:eastAsia="Times New Roman" w:hAnsi="Times New Roman"/>
          <w:sz w:val="24"/>
          <w:szCs w:val="24"/>
          <w:lang w:val="ro-MD" w:eastAsia="ru-RU"/>
        </w:rPr>
        <w:t>Prezenta misiune de audit a fost realizată în temeiul prevederilor art.28 și art.31 din Legea nr.261-XVI din 05.12.2008</w:t>
      </w:r>
      <w:r w:rsidRPr="00A80935">
        <w:rPr>
          <w:rStyle w:val="a9"/>
          <w:rFonts w:ascii="Times New Roman" w:eastAsia="Times New Roman" w:hAnsi="Times New Roman"/>
          <w:sz w:val="24"/>
          <w:szCs w:val="24"/>
          <w:lang w:val="ro-MD" w:eastAsia="ru-RU"/>
        </w:rPr>
        <w:footnoteReference w:id="1"/>
      </w:r>
      <w:r w:rsidRPr="00A80935">
        <w:rPr>
          <w:rFonts w:ascii="Times New Roman" w:eastAsia="Times New Roman" w:hAnsi="Times New Roman"/>
          <w:sz w:val="24"/>
          <w:szCs w:val="24"/>
          <w:lang w:val="ro-MD" w:eastAsia="ru-RU"/>
        </w:rPr>
        <w:t xml:space="preserve"> și</w:t>
      </w:r>
      <w:r w:rsidRPr="00A80935">
        <w:rPr>
          <w:rFonts w:ascii="Times New Roman" w:hAnsi="Times New Roman"/>
          <w:sz w:val="24"/>
          <w:szCs w:val="24"/>
          <w:lang w:val="ro-MD"/>
        </w:rPr>
        <w:t xml:space="preserve"> în conformitate cu Programul activității de audit al Curții de Conturi pe anul 2016, </w:t>
      </w:r>
      <w:r w:rsidRPr="00A80935">
        <w:rPr>
          <w:rFonts w:ascii="Times New Roman" w:eastAsia="Times New Roman" w:hAnsi="Times New Roman"/>
          <w:sz w:val="24"/>
          <w:szCs w:val="24"/>
          <w:lang w:val="ro-MD" w:eastAsia="ru-RU"/>
        </w:rPr>
        <w:t xml:space="preserve">avînd drept scop evaluarea </w:t>
      </w:r>
      <w:r w:rsidRPr="00A80935">
        <w:rPr>
          <w:rFonts w:ascii="Times New Roman" w:hAnsi="Times New Roman"/>
          <w:sz w:val="24"/>
          <w:szCs w:val="24"/>
          <w:lang w:val="ro-MD"/>
        </w:rPr>
        <w:t>conformității</w:t>
      </w:r>
      <w:r w:rsidRPr="00A80935">
        <w:rPr>
          <w:rFonts w:ascii="Times New Roman" w:eastAsia="Times New Roman" w:hAnsi="Times New Roman"/>
          <w:sz w:val="24"/>
          <w:szCs w:val="24"/>
          <w:lang w:val="ro-MD" w:eastAsia="ru-RU"/>
        </w:rPr>
        <w:t xml:space="preserve"> gestionării patrimoniului public de către APL din raionul Sîngerei.</w:t>
      </w:r>
    </w:p>
    <w:p w:rsidR="00903BFF" w:rsidRPr="00A80935" w:rsidRDefault="00903BFF" w:rsidP="00903BFF">
      <w:pPr>
        <w:tabs>
          <w:tab w:val="left" w:pos="0"/>
        </w:tabs>
        <w:spacing w:after="0" w:line="240" w:lineRule="auto"/>
        <w:ind w:firstLine="567"/>
        <w:jc w:val="both"/>
        <w:rPr>
          <w:rFonts w:ascii="Times New Roman" w:hAnsi="Times New Roman"/>
          <w:sz w:val="24"/>
          <w:szCs w:val="24"/>
          <w:lang w:val="ro-MD"/>
        </w:rPr>
      </w:pPr>
      <w:r w:rsidRPr="00A80935">
        <w:rPr>
          <w:rFonts w:ascii="Times New Roman" w:hAnsi="Times New Roman"/>
          <w:sz w:val="24"/>
          <w:szCs w:val="24"/>
          <w:lang w:val="ro-MD"/>
        </w:rPr>
        <w:t xml:space="preserve">Informația generală privind patrimoniul administrat de către entitățile publice și </w:t>
      </w:r>
      <w:r w:rsidRPr="00A80935">
        <w:rPr>
          <w:rFonts w:ascii="Times New Roman" w:eastAsia="Times New Roman" w:hAnsi="Times New Roman"/>
          <w:bCs/>
          <w:sz w:val="24"/>
          <w:szCs w:val="24"/>
          <w:lang w:val="ro-MD" w:eastAsia="ru-RU"/>
        </w:rPr>
        <w:t>cadrul normativ/legislativ relevant</w:t>
      </w:r>
      <w:r w:rsidRPr="00A80935">
        <w:rPr>
          <w:rFonts w:ascii="Times New Roman" w:eastAsia="Times New Roman" w:hAnsi="Times New Roman"/>
          <w:sz w:val="24"/>
          <w:szCs w:val="24"/>
          <w:lang w:val="ro-MD" w:eastAsia="ru-RU"/>
        </w:rPr>
        <w:t xml:space="preserve"> (care vizează competențele de evidență, gestiune și de dispoziție cu referire la patrimoniul public) sînt expuse în Anexa nr.1 </w:t>
      </w:r>
      <w:r w:rsidRPr="00A80935">
        <w:rPr>
          <w:rFonts w:ascii="Times New Roman" w:hAnsi="Times New Roman"/>
          <w:sz w:val="24"/>
          <w:szCs w:val="24"/>
          <w:lang w:val="ro-MD"/>
        </w:rPr>
        <w:t>la prezentul Raport de audit.</w:t>
      </w:r>
      <w:r w:rsidRPr="00A80935">
        <w:rPr>
          <w:rFonts w:ascii="Times New Roman" w:eastAsia="Times New Roman" w:hAnsi="Times New Roman"/>
          <w:sz w:val="24"/>
          <w:szCs w:val="24"/>
          <w:lang w:val="ro-MD" w:eastAsia="ru-RU"/>
        </w:rPr>
        <w:t xml:space="preserve"> Anexa nr.2 cuprinde informația cu privire la </w:t>
      </w:r>
      <w:r w:rsidRPr="00A80935">
        <w:rPr>
          <w:rFonts w:ascii="Times New Roman" w:hAnsi="Times New Roman"/>
          <w:sz w:val="24"/>
          <w:szCs w:val="24"/>
          <w:lang w:val="ro-MD"/>
        </w:rPr>
        <w:t>o</w:t>
      </w:r>
      <w:r w:rsidRPr="00A80935">
        <w:rPr>
          <w:rFonts w:ascii="Times New Roman" w:eastAsia="Times New Roman" w:hAnsi="Times New Roman"/>
          <w:bCs/>
          <w:sz w:val="24"/>
          <w:szCs w:val="24"/>
          <w:lang w:val="ro-MD" w:eastAsia="ru-RU"/>
        </w:rPr>
        <w:t>biectivele auditului, domeniul de aplicare și metodologia</w:t>
      </w:r>
      <w:r w:rsidRPr="00A80935">
        <w:rPr>
          <w:rFonts w:ascii="Times New Roman" w:hAnsi="Times New Roman"/>
          <w:sz w:val="24"/>
          <w:szCs w:val="24"/>
          <w:lang w:val="ro-MD"/>
        </w:rPr>
        <w:t xml:space="preserve"> de audit. Cu titlu informativ, neregulile și abaterile sintetizate pe obiectivele auditului sînt expuse în Anexele nr.3 și nr.4.</w:t>
      </w:r>
    </w:p>
    <w:p w:rsidR="00903BFF" w:rsidRPr="00A80935" w:rsidRDefault="00903BFF" w:rsidP="00903BFF">
      <w:pPr>
        <w:tabs>
          <w:tab w:val="left" w:pos="0"/>
          <w:tab w:val="left" w:pos="567"/>
        </w:tabs>
        <w:spacing w:after="0" w:line="240" w:lineRule="auto"/>
        <w:ind w:firstLine="567"/>
        <w:jc w:val="both"/>
        <w:rPr>
          <w:rStyle w:val="FontStyle56"/>
          <w:rFonts w:ascii="Times New Roman" w:hAnsi="Times New Roman" w:cs="Times New Roman"/>
          <w:sz w:val="24"/>
          <w:szCs w:val="24"/>
          <w:lang w:val="ro-MD" w:eastAsia="ro-MD"/>
        </w:rPr>
      </w:pPr>
      <w:r w:rsidRPr="00A80935">
        <w:rPr>
          <w:rStyle w:val="FontStyle56"/>
          <w:rFonts w:ascii="Times New Roman" w:hAnsi="Times New Roman" w:cs="Times New Roman"/>
          <w:sz w:val="24"/>
          <w:szCs w:val="24"/>
          <w:lang w:val="ro-MD" w:eastAsia="ro-MD"/>
        </w:rPr>
        <w:t xml:space="preserve">Obiectivul general al auditului a constat în determinarea dacă modul de administrare a patrimoniului public al UAT este în concordanță </w:t>
      </w:r>
      <w:r w:rsidRPr="00A80935">
        <w:rPr>
          <w:rFonts w:ascii="Times New Roman" w:hAnsi="Times New Roman"/>
          <w:sz w:val="24"/>
          <w:szCs w:val="24"/>
          <w:lang w:val="ro-MD"/>
        </w:rPr>
        <w:t>cu scopurile, obiectivele și atribuțiile AAPL conferite de cadrul juridic și respectă principiile legalității, regularității și eficienței</w:t>
      </w:r>
      <w:r w:rsidRPr="00A80935">
        <w:rPr>
          <w:rStyle w:val="FontStyle56"/>
          <w:rFonts w:ascii="Times New Roman" w:hAnsi="Times New Roman" w:cs="Times New Roman"/>
          <w:sz w:val="24"/>
          <w:szCs w:val="24"/>
          <w:lang w:val="ro-MD" w:eastAsia="ro-MD"/>
        </w:rPr>
        <w:t>.</w:t>
      </w:r>
    </w:p>
    <w:p w:rsidR="00903BFF" w:rsidRPr="00A80935" w:rsidRDefault="00903BFF" w:rsidP="00903BFF">
      <w:pPr>
        <w:spacing w:after="0" w:line="240" w:lineRule="auto"/>
        <w:rPr>
          <w:rFonts w:ascii="Times New Roman" w:hAnsi="Times New Roman"/>
          <w:b/>
          <w:bCs/>
          <w:sz w:val="24"/>
          <w:szCs w:val="24"/>
          <w:lang w:val="ro-MD"/>
        </w:rPr>
      </w:pPr>
    </w:p>
    <w:p w:rsidR="00903BFF" w:rsidRPr="00A80935" w:rsidRDefault="00903BFF" w:rsidP="00903BFF">
      <w:pPr>
        <w:spacing w:after="120" w:line="240" w:lineRule="auto"/>
        <w:jc w:val="center"/>
        <w:rPr>
          <w:rFonts w:ascii="Times New Roman" w:hAnsi="Times New Roman"/>
          <w:b/>
          <w:bCs/>
          <w:sz w:val="24"/>
          <w:szCs w:val="24"/>
          <w:lang w:val="ro-MD"/>
        </w:rPr>
      </w:pPr>
      <w:r w:rsidRPr="00A80935">
        <w:rPr>
          <w:rFonts w:ascii="Times New Roman" w:hAnsi="Times New Roman"/>
          <w:b/>
          <w:bCs/>
          <w:sz w:val="24"/>
          <w:szCs w:val="24"/>
          <w:lang w:val="ro-MD"/>
        </w:rPr>
        <w:t xml:space="preserve"> CONSTATĂRI, CONCLUZII ŞI RECOMANDĂRI</w:t>
      </w:r>
    </w:p>
    <w:p w:rsidR="00903BFF" w:rsidRPr="00A80935" w:rsidRDefault="00903BFF" w:rsidP="00903BFF">
      <w:pPr>
        <w:tabs>
          <w:tab w:val="left" w:pos="567"/>
        </w:tabs>
        <w:spacing w:after="120" w:line="240" w:lineRule="auto"/>
        <w:ind w:firstLine="567"/>
        <w:jc w:val="both"/>
        <w:rPr>
          <w:rFonts w:ascii="Times New Roman" w:hAnsi="Times New Roman"/>
          <w:b/>
          <w:bCs/>
          <w:i/>
          <w:sz w:val="24"/>
          <w:szCs w:val="24"/>
          <w:u w:val="single"/>
          <w:lang w:val="ro-MD"/>
        </w:rPr>
      </w:pPr>
      <w:r w:rsidRPr="00A80935">
        <w:rPr>
          <w:rFonts w:ascii="Times New Roman" w:hAnsi="Times New Roman"/>
          <w:b/>
          <w:bCs/>
          <w:sz w:val="24"/>
          <w:szCs w:val="24"/>
          <w:u w:val="single"/>
          <w:lang w:val="ro-MD"/>
        </w:rPr>
        <w:t xml:space="preserve">OBIECTIVUL I: </w:t>
      </w:r>
      <w:r w:rsidRPr="00A80935">
        <w:rPr>
          <w:rFonts w:ascii="Times New Roman" w:hAnsi="Times New Roman"/>
          <w:b/>
          <w:bCs/>
          <w:i/>
          <w:sz w:val="24"/>
          <w:szCs w:val="24"/>
          <w:u w:val="single"/>
          <w:lang w:val="ro-MD"/>
        </w:rPr>
        <w:t>AAPL și entitățile din subordine au asigurat evidența, înregistrarea și cadastrarea integrală și regulamentară a patrimoniului?</w:t>
      </w:r>
    </w:p>
    <w:p w:rsidR="00903BFF" w:rsidRPr="00A80935" w:rsidRDefault="00903BFF" w:rsidP="00903BFF">
      <w:pPr>
        <w:pStyle w:val="Style9"/>
        <w:widowControl/>
        <w:tabs>
          <w:tab w:val="left" w:pos="567"/>
        </w:tabs>
        <w:spacing w:line="240" w:lineRule="auto"/>
        <w:ind w:firstLine="567"/>
        <w:rPr>
          <w:rStyle w:val="FontStyle56"/>
          <w:rFonts w:ascii="Times New Roman" w:hAnsi="Times New Roman" w:cs="Times New Roman"/>
          <w:sz w:val="24"/>
          <w:szCs w:val="24"/>
          <w:lang w:val="ro-MD" w:eastAsia="ro-MD"/>
        </w:rPr>
      </w:pPr>
      <w:r w:rsidRPr="00A80935">
        <w:rPr>
          <w:rStyle w:val="FontStyle56"/>
          <w:rFonts w:ascii="Times New Roman" w:hAnsi="Times New Roman" w:cs="Times New Roman"/>
          <w:sz w:val="24"/>
          <w:szCs w:val="24"/>
          <w:lang w:val="ro-MD" w:eastAsia="ro-MD"/>
        </w:rPr>
        <w:t>Neconformitățile constatate la entitățile auditate au ținut de nerespectarea cadrului legal, acestea fiind determinate, în același timp, și de nivelul scăzut al controlului intern din partea executorilor primari de buget în domeniul gestiunii patrimoniului public. Prin urmare, abaterile de la evidența regulamentară a bunurilor publice afectează autenticitatea și exactitatea situațiilor patrimoniale raportate de către AAPL, respectiv, generează riscuri de dezintegrare și/sau pierdere în viitor a activelor din posesie.</w:t>
      </w:r>
    </w:p>
    <w:p w:rsidR="00903BFF" w:rsidRPr="00A80935" w:rsidRDefault="00903BFF" w:rsidP="00903BFF">
      <w:pPr>
        <w:pStyle w:val="Style9"/>
        <w:widowControl/>
        <w:tabs>
          <w:tab w:val="left" w:pos="567"/>
        </w:tabs>
        <w:spacing w:line="240" w:lineRule="auto"/>
        <w:ind w:firstLine="567"/>
        <w:rPr>
          <w:rStyle w:val="FontStyle56"/>
          <w:rFonts w:ascii="Times New Roman" w:hAnsi="Times New Roman" w:cs="Times New Roman"/>
          <w:sz w:val="24"/>
          <w:szCs w:val="24"/>
          <w:lang w:val="ro-MD" w:eastAsia="ro-MD"/>
        </w:rPr>
      </w:pPr>
      <w:r w:rsidRPr="00A80935">
        <w:rPr>
          <w:rStyle w:val="FontStyle56"/>
          <w:rFonts w:ascii="Times New Roman" w:hAnsi="Times New Roman" w:cs="Times New Roman"/>
          <w:sz w:val="24"/>
          <w:szCs w:val="24"/>
          <w:lang w:val="ro-MD" w:eastAsia="ro-MD"/>
        </w:rPr>
        <w:t>Misiunea de audit relevă că unele AAPL din raion nu au asigurat înregistrarea totală a bunurilor imobile gestionate la organul cadastral, formarea regulamentară și reflectarea corectă în evidența contabilă a capitalului social al întreprinderilor municipale și a bunurilor materiale date în gestiunea persoanelor juridice de drept public pentru realizarea obiectivelor statutare.</w:t>
      </w:r>
    </w:p>
    <w:p w:rsidR="00903BFF" w:rsidRPr="00A80935" w:rsidRDefault="00903BFF" w:rsidP="00903BFF">
      <w:pPr>
        <w:pStyle w:val="aa"/>
        <w:tabs>
          <w:tab w:val="left" w:pos="0"/>
        </w:tabs>
        <w:spacing w:after="120"/>
        <w:ind w:left="0" w:firstLine="567"/>
        <w:jc w:val="both"/>
        <w:rPr>
          <w:lang w:val="ro-MD"/>
        </w:rPr>
      </w:pPr>
      <w:r w:rsidRPr="00A80935">
        <w:rPr>
          <w:lang w:val="ro-MD"/>
        </w:rPr>
        <w:t>În acest context, se relevă următoarele.</w:t>
      </w:r>
    </w:p>
    <w:p w:rsidR="00903BFF" w:rsidRPr="00A80935" w:rsidRDefault="00903BFF" w:rsidP="00903BFF">
      <w:pPr>
        <w:pStyle w:val="a3"/>
        <w:widowControl/>
        <w:numPr>
          <w:ilvl w:val="0"/>
          <w:numId w:val="7"/>
        </w:numPr>
        <w:tabs>
          <w:tab w:val="clear" w:pos="709"/>
          <w:tab w:val="left" w:pos="0"/>
        </w:tabs>
        <w:suppressAutoHyphens w:val="0"/>
        <w:autoSpaceDN/>
        <w:spacing w:line="240" w:lineRule="auto"/>
        <w:ind w:left="0" w:firstLine="426"/>
        <w:textAlignment w:val="auto"/>
        <w:rPr>
          <w:rStyle w:val="FontStyle56"/>
          <w:rFonts w:ascii="Times New Roman" w:hAnsi="Times New Roman" w:cs="Times New Roman"/>
          <w:sz w:val="24"/>
          <w:szCs w:val="24"/>
          <w:lang w:val="ro-MD" w:eastAsia="ro-MD"/>
        </w:rPr>
      </w:pPr>
      <w:r w:rsidRPr="00A80935">
        <w:rPr>
          <w:rFonts w:ascii="Times New Roman" w:hAnsi="Times New Roman"/>
          <w:b/>
          <w:i/>
          <w:lang w:val="ro-MD"/>
        </w:rPr>
        <w:t xml:space="preserve">Unele AAPL de nivelul I </w:t>
      </w:r>
      <w:r w:rsidRPr="00A80935">
        <w:rPr>
          <w:rFonts w:ascii="Times New Roman" w:eastAsia="Times New Roman" w:hAnsi="Times New Roman"/>
          <w:b/>
          <w:i/>
          <w:lang w:val="ro-MD"/>
        </w:rPr>
        <w:t>nu au administrat judicios bunurile publice</w:t>
      </w:r>
      <w:r w:rsidRPr="00A80935">
        <w:rPr>
          <w:rFonts w:ascii="Times New Roman" w:hAnsi="Times New Roman"/>
          <w:b/>
          <w:i/>
          <w:lang w:val="ro-MD"/>
        </w:rPr>
        <w:t xml:space="preserve">, </w:t>
      </w:r>
      <w:r w:rsidRPr="00A80935">
        <w:rPr>
          <w:rFonts w:ascii="Times New Roman" w:eastAsia="Times New Roman" w:hAnsi="Times New Roman"/>
          <w:b/>
          <w:i/>
          <w:lang w:val="ro-MD"/>
        </w:rPr>
        <w:t>ceea ce a determinat nereflectarea</w:t>
      </w:r>
      <w:r w:rsidRPr="00A80935">
        <w:rPr>
          <w:rFonts w:ascii="Times New Roman" w:hAnsi="Times New Roman"/>
          <w:b/>
          <w:i/>
          <w:lang w:val="ro-MD"/>
        </w:rPr>
        <w:t xml:space="preserve"> </w:t>
      </w:r>
      <w:r w:rsidRPr="00A80935">
        <w:rPr>
          <w:rFonts w:ascii="Times New Roman" w:eastAsia="Times New Roman" w:hAnsi="Times New Roman"/>
          <w:b/>
          <w:i/>
          <w:lang w:val="ro-MD"/>
        </w:rPr>
        <w:t>în evidența contabilă</w:t>
      </w:r>
      <w:r w:rsidRPr="00A80935">
        <w:rPr>
          <w:rFonts w:ascii="Times New Roman" w:hAnsi="Times New Roman"/>
          <w:b/>
          <w:i/>
          <w:lang w:val="ro-MD"/>
        </w:rPr>
        <w:t xml:space="preserve"> a unor bunuri imobile (3 obiecte) în sumă totală de 3596,7 mii lei, precum și a 165 de obiecte, care nu au fost evaluate corespunzător, nefiind respectate în aceste cazuri prevederile legale de domeniu</w:t>
      </w:r>
      <w:r w:rsidRPr="00A80935">
        <w:rPr>
          <w:rStyle w:val="a9"/>
          <w:rFonts w:ascii="Times New Roman" w:hAnsi="Times New Roman"/>
          <w:b/>
          <w:i/>
          <w:lang w:val="ro-MD"/>
        </w:rPr>
        <w:footnoteReference w:id="2"/>
      </w:r>
      <w:r w:rsidRPr="00A80935">
        <w:rPr>
          <w:rFonts w:ascii="Times New Roman" w:hAnsi="Times New Roman"/>
          <w:b/>
          <w:i/>
          <w:lang w:val="ro-MD"/>
        </w:rPr>
        <w:t xml:space="preserve">, care reglementează interzicerea </w:t>
      </w:r>
      <w:r w:rsidRPr="00A80935">
        <w:rPr>
          <w:rFonts w:ascii="Times New Roman" w:eastAsia="Times New Roman" w:hAnsi="Times New Roman"/>
          <w:b/>
          <w:i/>
          <w:lang w:val="ro-MD"/>
        </w:rPr>
        <w:t>deținerii de către entitate a activelor cu orice titlu fără documentarea și reflectarea acestora în contabilitate.</w:t>
      </w:r>
      <w:r w:rsidRPr="00A80935">
        <w:rPr>
          <w:rStyle w:val="FontStyle56"/>
          <w:rFonts w:ascii="Times New Roman" w:hAnsi="Times New Roman" w:cs="Times New Roman"/>
          <w:sz w:val="24"/>
          <w:szCs w:val="24"/>
          <w:lang w:val="ro-MD" w:eastAsia="ro-MD"/>
        </w:rPr>
        <w:t xml:space="preserve"> Neregularitățile, în acest sens, se referă la următoarele entități:</w:t>
      </w:r>
    </w:p>
    <w:p w:rsidR="00903BFF" w:rsidRPr="00A80935" w:rsidRDefault="00903BFF" w:rsidP="00903BFF">
      <w:pPr>
        <w:pStyle w:val="aa"/>
        <w:widowControl w:val="0"/>
        <w:numPr>
          <w:ilvl w:val="0"/>
          <w:numId w:val="8"/>
        </w:numPr>
        <w:tabs>
          <w:tab w:val="left" w:pos="0"/>
        </w:tabs>
        <w:suppressAutoHyphens/>
        <w:autoSpaceDN w:val="0"/>
        <w:ind w:left="0" w:firstLine="426"/>
        <w:jc w:val="both"/>
        <w:textAlignment w:val="baseline"/>
        <w:rPr>
          <w:color w:val="000000"/>
          <w:lang w:val="ro-MD" w:eastAsia="ro-MD"/>
        </w:rPr>
      </w:pPr>
      <w:r w:rsidRPr="00A80935">
        <w:rPr>
          <w:rStyle w:val="FontStyle56"/>
          <w:rFonts w:ascii="Times New Roman" w:hAnsi="Times New Roman" w:cs="Times New Roman"/>
          <w:sz w:val="24"/>
          <w:szCs w:val="24"/>
          <w:lang w:val="ro-MD" w:eastAsia="ro-MD"/>
        </w:rPr>
        <w:t xml:space="preserve">primăria or. Sîngerei – </w:t>
      </w:r>
      <w:r w:rsidRPr="00A80935">
        <w:rPr>
          <w:lang w:val="ro-MD"/>
        </w:rPr>
        <w:t>din 2007 a radiat neîntemeiat din evidența contabilă clădirile grădinițelor nr.3 și nr.4, proprietăți publice în posesia primăriei cu valoarea totală de bilanț de 3054,7 mii lei</w:t>
      </w:r>
      <w:r w:rsidRPr="00A80935">
        <w:rPr>
          <w:rStyle w:val="a9"/>
          <w:rFonts w:eastAsia="Nimbus Sans L"/>
          <w:lang w:val="ro-MD"/>
        </w:rPr>
        <w:footnoteReference w:id="3"/>
      </w:r>
      <w:r w:rsidRPr="00A80935">
        <w:rPr>
          <w:lang w:val="ro-MD"/>
        </w:rPr>
        <w:t>, care au fost transmise în comodat DASPF, pentru folosirea lor în activitatea instituțiilor din subordine</w:t>
      </w:r>
      <w:r w:rsidRPr="00A80935">
        <w:rPr>
          <w:rStyle w:val="a9"/>
          <w:rFonts w:eastAsia="Nimbus Sans L"/>
          <w:lang w:val="ro-MD"/>
        </w:rPr>
        <w:footnoteReference w:id="4"/>
      </w:r>
      <w:r w:rsidRPr="00A80935">
        <w:rPr>
          <w:lang w:val="ro-MD"/>
        </w:rPr>
        <w:t>;</w:t>
      </w:r>
    </w:p>
    <w:p w:rsidR="00903BFF" w:rsidRPr="00A80935" w:rsidRDefault="00903BFF" w:rsidP="00903BFF">
      <w:pPr>
        <w:pStyle w:val="aa"/>
        <w:widowControl w:val="0"/>
        <w:numPr>
          <w:ilvl w:val="0"/>
          <w:numId w:val="8"/>
        </w:numPr>
        <w:tabs>
          <w:tab w:val="left" w:pos="0"/>
        </w:tabs>
        <w:suppressAutoHyphens/>
        <w:autoSpaceDN w:val="0"/>
        <w:ind w:left="0" w:firstLine="426"/>
        <w:jc w:val="both"/>
        <w:textAlignment w:val="baseline"/>
        <w:rPr>
          <w:color w:val="000000"/>
          <w:lang w:val="ro-MD" w:eastAsia="ro-MD"/>
        </w:rPr>
      </w:pPr>
      <w:r w:rsidRPr="00A80935">
        <w:rPr>
          <w:lang w:val="ro-MD"/>
        </w:rPr>
        <w:t>primăria or. Biruința – nu a asigurat reflectarea în evidența contabilă a 164 unități de bunuri imobile</w:t>
      </w:r>
      <w:r w:rsidRPr="00A80935">
        <w:rPr>
          <w:rStyle w:val="a9"/>
          <w:lang w:val="ro-MD"/>
        </w:rPr>
        <w:footnoteReference w:id="5"/>
      </w:r>
      <w:r w:rsidRPr="00A80935">
        <w:rPr>
          <w:lang w:val="ro-MD"/>
        </w:rPr>
        <w:t>, valoarea fiind stabilită doar pentru o clădire administrativă în sumă de 542,0 mii lei;</w:t>
      </w:r>
    </w:p>
    <w:p w:rsidR="00903BFF" w:rsidRPr="00A80935" w:rsidRDefault="00903BFF" w:rsidP="00903BFF">
      <w:pPr>
        <w:pStyle w:val="aa"/>
        <w:widowControl w:val="0"/>
        <w:numPr>
          <w:ilvl w:val="0"/>
          <w:numId w:val="8"/>
        </w:numPr>
        <w:tabs>
          <w:tab w:val="left" w:pos="0"/>
        </w:tabs>
        <w:suppressAutoHyphens/>
        <w:autoSpaceDN w:val="0"/>
        <w:spacing w:after="120"/>
        <w:ind w:left="0" w:firstLine="426"/>
        <w:jc w:val="both"/>
        <w:textAlignment w:val="baseline"/>
        <w:rPr>
          <w:color w:val="000000"/>
          <w:lang w:val="ro-MD" w:eastAsia="ro-MD"/>
        </w:rPr>
      </w:pPr>
      <w:r w:rsidRPr="00A80935">
        <w:rPr>
          <w:lang w:val="ro-MD"/>
        </w:rPr>
        <w:t xml:space="preserve">primăria s. Rădoaia – nu a asigurat reflectarea în evidența contabilă a unui bun imobil, acesta pînă în prezent nefiind evaluat (clădirea casei de deservire, transmisă în proprietatea UAT în cadrul procesului de privatizare). Analogic, primăria com. Sîngereii Noi nu a asigurat evaluarea </w:t>
      </w:r>
      <w:r w:rsidRPr="00A80935">
        <w:rPr>
          <w:lang w:val="ro-MD"/>
        </w:rPr>
        <w:lastRenderedPageBreak/>
        <w:t>și reflectarea în evidența contabilă a clădirii casei de deservire.</w:t>
      </w:r>
    </w:p>
    <w:p w:rsidR="00903BFF" w:rsidRPr="00A80935" w:rsidRDefault="00903BFF" w:rsidP="00903BFF">
      <w:pPr>
        <w:pStyle w:val="Style11"/>
        <w:numPr>
          <w:ilvl w:val="0"/>
          <w:numId w:val="9"/>
        </w:numPr>
        <w:tabs>
          <w:tab w:val="left" w:pos="0"/>
        </w:tabs>
        <w:suppressAutoHyphens/>
        <w:ind w:left="0" w:firstLine="426"/>
        <w:jc w:val="both"/>
        <w:textAlignment w:val="baseline"/>
        <w:rPr>
          <w:rStyle w:val="FontStyle51"/>
          <w:rFonts w:ascii="Times New Roman" w:hAnsi="Times New Roman" w:cs="Times New Roman"/>
          <w:b/>
          <w:i/>
          <w:sz w:val="24"/>
          <w:szCs w:val="24"/>
          <w:lang w:val="ro-MD" w:eastAsia="ro-MD"/>
        </w:rPr>
      </w:pPr>
      <w:r w:rsidRPr="00A80935">
        <w:rPr>
          <w:rFonts w:ascii="Times New Roman" w:hAnsi="Times New Roman" w:cs="Times New Roman"/>
          <w:b/>
          <w:i/>
          <w:lang w:val="ro-MD"/>
        </w:rPr>
        <w:t>Contrar prevederilor regulamentare</w:t>
      </w:r>
      <w:r w:rsidRPr="00A80935">
        <w:rPr>
          <w:rStyle w:val="a9"/>
          <w:rFonts w:ascii="Times New Roman" w:hAnsi="Times New Roman" w:cs="Times New Roman"/>
          <w:b/>
          <w:bCs/>
          <w:i/>
          <w:color w:val="000000"/>
          <w:lang w:val="ro-MD" w:eastAsia="ro-MD"/>
        </w:rPr>
        <w:footnoteReference w:id="6"/>
      </w:r>
      <w:r w:rsidRPr="00A80935">
        <w:rPr>
          <w:rFonts w:ascii="Times New Roman" w:hAnsi="Times New Roman" w:cs="Times New Roman"/>
          <w:b/>
          <w:i/>
          <w:lang w:val="ro-MD"/>
        </w:rPr>
        <w:t xml:space="preserve">, unele AAPL nu au asigurat </w:t>
      </w:r>
      <w:r w:rsidRPr="00A80935">
        <w:rPr>
          <w:rStyle w:val="FontStyle82"/>
          <w:rFonts w:ascii="Times New Roman" w:hAnsi="Times New Roman" w:cs="Times New Roman"/>
          <w:i/>
          <w:sz w:val="24"/>
          <w:szCs w:val="24"/>
          <w:lang w:val="ro-MD" w:eastAsia="ro-MD"/>
        </w:rPr>
        <w:t xml:space="preserve">organizarea și ținerea la zi a evidenței patrimoniului public </w:t>
      </w:r>
      <w:r w:rsidRPr="00A80935">
        <w:rPr>
          <w:rFonts w:ascii="Times New Roman" w:hAnsi="Times New Roman" w:cs="Times New Roman"/>
          <w:b/>
          <w:i/>
          <w:lang w:val="ro-MD"/>
        </w:rPr>
        <w:t xml:space="preserve">și au admis </w:t>
      </w:r>
      <w:r w:rsidRPr="00A80935">
        <w:rPr>
          <w:rStyle w:val="FontStyle56"/>
          <w:rFonts w:ascii="Times New Roman" w:hAnsi="Times New Roman" w:cs="Times New Roman"/>
          <w:b/>
          <w:i/>
          <w:sz w:val="24"/>
          <w:szCs w:val="24"/>
          <w:lang w:val="ro-MD" w:eastAsia="ro-MD"/>
        </w:rPr>
        <w:t>efectuarea unor înregistrări contabile eronate a mijloacelor fixe.</w:t>
      </w:r>
    </w:p>
    <w:p w:rsidR="00903BFF" w:rsidRPr="00A80935" w:rsidRDefault="00903BFF" w:rsidP="00903BFF">
      <w:pPr>
        <w:pStyle w:val="Style39"/>
        <w:widowControl/>
        <w:spacing w:after="120" w:line="240" w:lineRule="auto"/>
        <w:ind w:right="10"/>
        <w:rPr>
          <w:rStyle w:val="FontStyle84"/>
          <w:rFonts w:ascii="Times New Roman" w:hAnsi="Times New Roman" w:cs="Times New Roman"/>
          <w:sz w:val="24"/>
          <w:szCs w:val="24"/>
          <w:lang w:val="ro-MD" w:eastAsia="ro-MD"/>
        </w:rPr>
      </w:pPr>
      <w:r w:rsidRPr="00A80935">
        <w:rPr>
          <w:rStyle w:val="FontStyle84"/>
          <w:rFonts w:ascii="Times New Roman" w:hAnsi="Times New Roman" w:cs="Times New Roman"/>
          <w:sz w:val="24"/>
          <w:szCs w:val="24"/>
          <w:lang w:val="ro-MD" w:eastAsia="ro-MD"/>
        </w:rPr>
        <w:t>În acest sens, se exemplifică următoarele.</w:t>
      </w:r>
    </w:p>
    <w:p w:rsidR="00903BFF" w:rsidRPr="00A80935" w:rsidRDefault="00903BFF" w:rsidP="00903BFF">
      <w:pPr>
        <w:pStyle w:val="aa"/>
        <w:numPr>
          <w:ilvl w:val="0"/>
          <w:numId w:val="11"/>
        </w:numPr>
        <w:tabs>
          <w:tab w:val="left" w:pos="0"/>
        </w:tabs>
        <w:ind w:left="0" w:firstLine="426"/>
        <w:jc w:val="both"/>
        <w:rPr>
          <w:lang w:val="ro-MD"/>
        </w:rPr>
      </w:pPr>
      <w:r w:rsidRPr="00A80935">
        <w:rPr>
          <w:rStyle w:val="FontStyle56"/>
          <w:rFonts w:ascii="Times New Roman" w:hAnsi="Times New Roman" w:cs="Times New Roman"/>
          <w:i/>
          <w:sz w:val="24"/>
          <w:szCs w:val="24"/>
          <w:lang w:val="ro-MD" w:eastAsia="ro-MD"/>
        </w:rPr>
        <w:t>la AP</w:t>
      </w:r>
      <w:r w:rsidRPr="00A80935">
        <w:rPr>
          <w:rStyle w:val="FontStyle56"/>
          <w:rFonts w:ascii="Times New Roman" w:hAnsi="Times New Roman" w:cs="Times New Roman"/>
          <w:sz w:val="24"/>
          <w:szCs w:val="24"/>
          <w:lang w:val="ro-MD" w:eastAsia="ro-MD"/>
        </w:rPr>
        <w:t xml:space="preserve">: </w:t>
      </w:r>
      <w:r w:rsidRPr="00A80935">
        <w:rPr>
          <w:lang w:val="ro-MD"/>
        </w:rPr>
        <w:t>incorect a fost radiată din evidență (subcontul 012 „Instalații de transmisie”) valoarea lucrărilor de proiect în sumă de 252,4 mii lei, executate la apeductul transmis primăriei or. Sîngerei, la care s-au efectuat lucrări de reparație capitală din contul bugetului raional în sumă de 24,02 mil.lei; nu a fost radiată din evidența contabilă (subcontul 015 „Mijloace de transport”) valoarea autobuzului de 265,0 mii lei, care a fost transmis la balanța DE în anul 2011; în evidență (la subcontul 019 „Alte mijloace fixe”) a fost reflectat eronat un monument în valoare de 50,0 mii lei, acesta urmînd a fi atribuit regulamentar la subcontul 011 „Construcții speciale”;</w:t>
      </w:r>
    </w:p>
    <w:p w:rsidR="00903BFF" w:rsidRPr="00A80935" w:rsidRDefault="00903BFF" w:rsidP="00903BFF">
      <w:pPr>
        <w:pStyle w:val="aa"/>
        <w:numPr>
          <w:ilvl w:val="0"/>
          <w:numId w:val="11"/>
        </w:numPr>
        <w:tabs>
          <w:tab w:val="left" w:pos="0"/>
        </w:tabs>
        <w:ind w:left="0" w:firstLine="426"/>
        <w:jc w:val="both"/>
        <w:rPr>
          <w:lang w:val="ro-MD"/>
        </w:rPr>
      </w:pPr>
      <w:r w:rsidRPr="00A80935">
        <w:rPr>
          <w:i/>
          <w:lang w:val="ro-MD"/>
        </w:rPr>
        <w:t>la DASPF</w:t>
      </w:r>
      <w:r w:rsidRPr="00A80935">
        <w:rPr>
          <w:lang w:val="ro-MD"/>
        </w:rPr>
        <w:t xml:space="preserve">: nu a fost asigurată (conform prevederilor normative) reflectarea regulamentară a bunurilor imobile primite în comodat de la primăria or. Sîngerei cu valoarea de bilanț de 3054,7 mii lei la contul extrabilanțier </w:t>
      </w:r>
      <w:r w:rsidRPr="00A80935">
        <w:rPr>
          <w:bCs/>
          <w:lang w:val="ro-MD"/>
        </w:rPr>
        <w:t>24</w:t>
      </w:r>
      <w:r w:rsidRPr="00A80935">
        <w:rPr>
          <w:lang w:val="ro-MD"/>
        </w:rPr>
        <w:t xml:space="preserve"> „Bunuri materiale primite în folosință cu titlul gratuit în baza contractului de comodat”. Efectiv, bunurile imobile au fost contabilizate de către DASPF ca bunuri proprii la subcontul bilanțier 010 „Clădiri”; </w:t>
      </w:r>
    </w:p>
    <w:p w:rsidR="00903BFF" w:rsidRPr="00A80935" w:rsidRDefault="00903BFF" w:rsidP="00903BFF">
      <w:pPr>
        <w:pStyle w:val="Style39"/>
        <w:widowControl/>
        <w:numPr>
          <w:ilvl w:val="0"/>
          <w:numId w:val="10"/>
        </w:numPr>
        <w:tabs>
          <w:tab w:val="left" w:pos="0"/>
        </w:tabs>
        <w:spacing w:line="240" w:lineRule="auto"/>
        <w:ind w:left="0" w:right="10" w:firstLine="426"/>
        <w:rPr>
          <w:rStyle w:val="FontStyle56"/>
          <w:rFonts w:ascii="Times New Roman" w:hAnsi="Times New Roman" w:cs="Times New Roman"/>
          <w:sz w:val="24"/>
          <w:szCs w:val="24"/>
          <w:lang w:val="ro-MD" w:eastAsia="ro-MD"/>
        </w:rPr>
      </w:pPr>
      <w:r w:rsidRPr="00A80935">
        <w:rPr>
          <w:rStyle w:val="FontStyle56"/>
          <w:rFonts w:ascii="Times New Roman" w:hAnsi="Times New Roman" w:cs="Times New Roman"/>
          <w:i/>
          <w:sz w:val="24"/>
          <w:szCs w:val="24"/>
          <w:lang w:val="ro-MD" w:eastAsia="ro-MD"/>
        </w:rPr>
        <w:t>la primăria or. Sîngerei</w:t>
      </w:r>
      <w:r w:rsidRPr="00A80935">
        <w:rPr>
          <w:rStyle w:val="FontStyle56"/>
          <w:rFonts w:ascii="Times New Roman" w:hAnsi="Times New Roman" w:cs="Times New Roman"/>
          <w:sz w:val="24"/>
          <w:szCs w:val="24"/>
          <w:lang w:val="ro-MD" w:eastAsia="ro-MD"/>
        </w:rPr>
        <w:t>:</w:t>
      </w:r>
      <w:r w:rsidRPr="00A80935">
        <w:rPr>
          <w:rFonts w:ascii="Times New Roman" w:hAnsi="Times New Roman" w:cs="Times New Roman"/>
          <w:lang w:val="ro-MD"/>
        </w:rPr>
        <w:t xml:space="preserve"> în loc de a fi </w:t>
      </w:r>
      <w:r w:rsidRPr="00A80935">
        <w:rPr>
          <w:rStyle w:val="FontStyle56"/>
          <w:rFonts w:ascii="Times New Roman" w:hAnsi="Times New Roman" w:cs="Times New Roman"/>
          <w:sz w:val="24"/>
          <w:szCs w:val="24"/>
          <w:lang w:val="ro-MD" w:eastAsia="ro-MD"/>
        </w:rPr>
        <w:t>contabilizate la contul extrabilanțier corespunzător, bunurile imobile (clădirile și tribunele) de la stadion în valoare totală de 1561,0 mii lei, primite în folosință temporară (în comodat) în anul 2009 de la Uniunea Teritorială a Sindicatelor „Agroinsind”, au fost atribuite neîntemeiat la conturile bilanțiere;</w:t>
      </w:r>
    </w:p>
    <w:p w:rsidR="00903BFF" w:rsidRPr="00A80935" w:rsidRDefault="00903BFF" w:rsidP="00903BFF">
      <w:pPr>
        <w:pStyle w:val="Style39"/>
        <w:widowControl/>
        <w:numPr>
          <w:ilvl w:val="0"/>
          <w:numId w:val="10"/>
        </w:numPr>
        <w:tabs>
          <w:tab w:val="left" w:pos="0"/>
        </w:tabs>
        <w:spacing w:line="240" w:lineRule="auto"/>
        <w:ind w:left="0" w:right="10" w:firstLine="426"/>
        <w:rPr>
          <w:rStyle w:val="FontStyle56"/>
          <w:rFonts w:ascii="Times New Roman" w:hAnsi="Times New Roman" w:cs="Times New Roman"/>
          <w:sz w:val="24"/>
          <w:szCs w:val="24"/>
          <w:lang w:val="ro-MD" w:eastAsia="ro-MD"/>
        </w:rPr>
      </w:pPr>
      <w:r w:rsidRPr="00A80935">
        <w:rPr>
          <w:rStyle w:val="FontStyle56"/>
          <w:rFonts w:ascii="Times New Roman" w:hAnsi="Times New Roman" w:cs="Times New Roman"/>
          <w:i/>
          <w:sz w:val="24"/>
          <w:szCs w:val="24"/>
          <w:lang w:val="ro-MD" w:eastAsia="ro-MD"/>
        </w:rPr>
        <w:t>la primăria s. Rădoaia</w:t>
      </w:r>
      <w:r w:rsidRPr="00A80935">
        <w:rPr>
          <w:rStyle w:val="FontStyle56"/>
          <w:rFonts w:ascii="Times New Roman" w:hAnsi="Times New Roman" w:cs="Times New Roman"/>
          <w:sz w:val="24"/>
          <w:szCs w:val="24"/>
          <w:lang w:val="ro-MD" w:eastAsia="ro-MD"/>
        </w:rPr>
        <w:t>: un șir de bunuri publice (drumurile – 2047,5 mii lei; podurile – 833,1 mii lei; fîntînile arteziene – 417,0 mii lei; instalațiile de transmisie (apeducte, rețele de gazificare) – 770,1 mii lei)</w:t>
      </w:r>
      <w:r w:rsidRPr="00A80935">
        <w:rPr>
          <w:rFonts w:ascii="Times New Roman" w:hAnsi="Times New Roman" w:cs="Times New Roman"/>
          <w:lang w:val="ro-MD"/>
        </w:rPr>
        <w:t xml:space="preserve"> </w:t>
      </w:r>
      <w:r w:rsidRPr="00A80935">
        <w:rPr>
          <w:rFonts w:ascii="Times New Roman" w:hAnsi="Times New Roman" w:cs="Times New Roman"/>
          <w:color w:val="000000"/>
          <w:lang w:val="ro-MD" w:eastAsia="ro-MD"/>
        </w:rPr>
        <w:t xml:space="preserve">au fost reflectate eronat la subcontul de evidență </w:t>
      </w:r>
      <w:r w:rsidRPr="00A80935">
        <w:rPr>
          <w:rStyle w:val="FontStyle56"/>
          <w:rFonts w:ascii="Times New Roman" w:hAnsi="Times New Roman" w:cs="Times New Roman"/>
          <w:sz w:val="24"/>
          <w:szCs w:val="24"/>
          <w:lang w:val="ro-MD" w:eastAsia="ro-MD"/>
        </w:rPr>
        <w:t xml:space="preserve">019 </w:t>
      </w:r>
      <w:r w:rsidRPr="00A80935">
        <w:rPr>
          <w:rFonts w:ascii="Times New Roman" w:hAnsi="Times New Roman" w:cs="Times New Roman"/>
          <w:color w:val="000000"/>
          <w:lang w:val="ro-MD" w:eastAsia="ro-MD"/>
        </w:rPr>
        <w:t>„Alte mijloace fixe”</w:t>
      </w:r>
      <w:r w:rsidRPr="00A80935">
        <w:rPr>
          <w:rStyle w:val="FontStyle56"/>
          <w:rFonts w:ascii="Times New Roman" w:hAnsi="Times New Roman" w:cs="Times New Roman"/>
          <w:sz w:val="24"/>
          <w:szCs w:val="24"/>
          <w:lang w:val="ro-MD" w:eastAsia="ro-MD"/>
        </w:rPr>
        <w:t xml:space="preserve">, </w:t>
      </w:r>
      <w:r w:rsidRPr="00A80935">
        <w:rPr>
          <w:rFonts w:ascii="Times New Roman" w:hAnsi="Times New Roman" w:cs="Times New Roman"/>
          <w:color w:val="000000"/>
          <w:lang w:val="ro-MD" w:eastAsia="ro-MD"/>
        </w:rPr>
        <w:t xml:space="preserve">acestea urmînd a fi atribuite regulamentar la subconturile </w:t>
      </w:r>
      <w:r w:rsidRPr="00A80935">
        <w:rPr>
          <w:rStyle w:val="FontStyle56"/>
          <w:rFonts w:ascii="Times New Roman" w:hAnsi="Times New Roman" w:cs="Times New Roman"/>
          <w:sz w:val="24"/>
          <w:szCs w:val="24"/>
          <w:lang w:val="ro-MD" w:eastAsia="ro-MD"/>
        </w:rPr>
        <w:t xml:space="preserve">011 „Construcții speciale” și 012 „Instalații de transmisie”; </w:t>
      </w:r>
    </w:p>
    <w:p w:rsidR="00903BFF" w:rsidRPr="00A80935" w:rsidRDefault="00903BFF" w:rsidP="00903BFF">
      <w:pPr>
        <w:pStyle w:val="Style39"/>
        <w:widowControl/>
        <w:numPr>
          <w:ilvl w:val="0"/>
          <w:numId w:val="10"/>
        </w:numPr>
        <w:tabs>
          <w:tab w:val="left" w:pos="0"/>
        </w:tabs>
        <w:spacing w:line="240" w:lineRule="auto"/>
        <w:ind w:left="0" w:right="10" w:firstLine="426"/>
        <w:rPr>
          <w:rFonts w:ascii="Times New Roman" w:hAnsi="Times New Roman" w:cs="Times New Roman"/>
          <w:color w:val="000000"/>
          <w:lang w:val="ro-MD" w:eastAsia="ro-MD"/>
        </w:rPr>
      </w:pPr>
      <w:r w:rsidRPr="00A80935">
        <w:rPr>
          <w:rFonts w:ascii="Times New Roman" w:hAnsi="Times New Roman" w:cs="Times New Roman"/>
          <w:i/>
          <w:color w:val="000000"/>
          <w:lang w:val="ro-MD" w:eastAsia="ro-MD"/>
        </w:rPr>
        <w:t>la primăria com. Sîngereii Noi</w:t>
      </w:r>
      <w:r w:rsidRPr="00A80935">
        <w:rPr>
          <w:rFonts w:ascii="Times New Roman" w:hAnsi="Times New Roman" w:cs="Times New Roman"/>
          <w:color w:val="000000"/>
          <w:lang w:val="ro-MD" w:eastAsia="ro-MD"/>
        </w:rPr>
        <w:t xml:space="preserve">: </w:t>
      </w:r>
      <w:r w:rsidRPr="00A80935">
        <w:rPr>
          <w:rFonts w:ascii="Times New Roman" w:hAnsi="Times New Roman" w:cs="Times New Roman"/>
          <w:lang w:val="ro-MD"/>
        </w:rPr>
        <w:t>nu a fost asigurată reflectarea corectă a unor mijloace fixe la subconturile corespunzătoare de evidență contabilă 011 și 012 (5 baraje la iaz (subcontul 014 – 9,9 mii lei); pietrișul de la reparația drumului (012 – 596,7 mii lei)).</w:t>
      </w:r>
      <w:r w:rsidRPr="00A80935">
        <w:rPr>
          <w:rStyle w:val="FontStyle56"/>
          <w:rFonts w:ascii="Times New Roman" w:hAnsi="Times New Roman" w:cs="Times New Roman"/>
          <w:sz w:val="24"/>
          <w:szCs w:val="24"/>
          <w:lang w:val="ro-MD" w:eastAsia="ro-MD"/>
        </w:rPr>
        <w:t xml:space="preserve"> </w:t>
      </w:r>
      <w:r w:rsidRPr="00A80935">
        <w:rPr>
          <w:rFonts w:ascii="Times New Roman" w:hAnsi="Times New Roman" w:cs="Times New Roman"/>
          <w:lang w:val="ro-MD"/>
        </w:rPr>
        <w:t>Totodată, automobilul Gaz 3102 (52,0 mii lei), fiind transmis gratuit stației de asistență medicală urgentă (2014), nu a fost radiat din evidența contabilă a primăriei, astfel datele cu privire la activele deținute fiind denaturate;</w:t>
      </w:r>
    </w:p>
    <w:p w:rsidR="00903BFF" w:rsidRPr="00A80935" w:rsidRDefault="00903BFF" w:rsidP="00903BFF">
      <w:pPr>
        <w:pStyle w:val="Style39"/>
        <w:widowControl/>
        <w:numPr>
          <w:ilvl w:val="0"/>
          <w:numId w:val="10"/>
        </w:numPr>
        <w:tabs>
          <w:tab w:val="left" w:pos="0"/>
        </w:tabs>
        <w:spacing w:after="120" w:line="240" w:lineRule="auto"/>
        <w:ind w:left="0" w:right="10" w:firstLine="426"/>
        <w:rPr>
          <w:rFonts w:ascii="Times New Roman" w:hAnsi="Times New Roman" w:cs="Times New Roman"/>
          <w:color w:val="000000"/>
          <w:lang w:val="ro-MD" w:eastAsia="ro-MD"/>
        </w:rPr>
      </w:pPr>
      <w:r w:rsidRPr="00A80935">
        <w:rPr>
          <w:rStyle w:val="FontStyle56"/>
          <w:rFonts w:ascii="Times New Roman" w:hAnsi="Times New Roman" w:cs="Times New Roman"/>
          <w:i/>
          <w:sz w:val="24"/>
          <w:szCs w:val="24"/>
          <w:lang w:val="ro-MD" w:eastAsia="ro-MD"/>
        </w:rPr>
        <w:t>la primăria com. Coșcodeni</w:t>
      </w:r>
      <w:r w:rsidRPr="00A80935">
        <w:rPr>
          <w:rStyle w:val="FontStyle56"/>
          <w:rFonts w:ascii="Times New Roman" w:hAnsi="Times New Roman" w:cs="Times New Roman"/>
          <w:sz w:val="24"/>
          <w:szCs w:val="24"/>
          <w:lang w:val="ro-MD" w:eastAsia="ro-MD"/>
        </w:rPr>
        <w:t xml:space="preserve">: </w:t>
      </w:r>
      <w:r w:rsidRPr="00A80935">
        <w:rPr>
          <w:rFonts w:ascii="Times New Roman" w:hAnsi="Times New Roman" w:cs="Times New Roman"/>
          <w:lang w:val="ro-MD"/>
        </w:rPr>
        <w:t>nu a fost asigurată reflectarea corectă a unor mijloace fixe (în sumă totală de 786,5 mii lei) la subconturile corespunzătoare de evidență contabilă</w:t>
      </w:r>
      <w:r w:rsidRPr="00A80935">
        <w:rPr>
          <w:rStyle w:val="a9"/>
          <w:rFonts w:ascii="Times New Roman" w:hAnsi="Times New Roman" w:cs="Times New Roman"/>
          <w:lang w:val="ro-MD"/>
        </w:rPr>
        <w:footnoteReference w:id="7"/>
      </w:r>
      <w:r w:rsidRPr="00A80935">
        <w:rPr>
          <w:rFonts w:ascii="Times New Roman" w:hAnsi="Times New Roman" w:cs="Times New Roman"/>
          <w:lang w:val="ro-MD"/>
        </w:rPr>
        <w:t>; nu a fost ținută evidența analitică a mijloacelor fixe/construcțiilor pe fișe de inventar f.MF-6, conform prevederilor Instrucțiunii aprobate prin Ordinul ministrului Finanțelor nr.94 din 19.07.2010.</w:t>
      </w:r>
    </w:p>
    <w:p w:rsidR="00903BFF" w:rsidRPr="00A80935" w:rsidRDefault="00903BFF" w:rsidP="00903BFF">
      <w:pPr>
        <w:pStyle w:val="aa"/>
        <w:numPr>
          <w:ilvl w:val="0"/>
          <w:numId w:val="6"/>
        </w:numPr>
        <w:tabs>
          <w:tab w:val="left" w:pos="0"/>
        </w:tabs>
        <w:spacing w:after="120"/>
        <w:ind w:left="0" w:firstLine="426"/>
        <w:jc w:val="both"/>
        <w:rPr>
          <w:rStyle w:val="FontStyle56"/>
          <w:rFonts w:ascii="Times New Roman" w:hAnsi="Times New Roman" w:cs="Times New Roman"/>
          <w:b/>
          <w:i/>
          <w:color w:val="auto"/>
          <w:sz w:val="24"/>
          <w:szCs w:val="24"/>
          <w:lang w:val="ro-MD"/>
        </w:rPr>
      </w:pPr>
      <w:r w:rsidRPr="00A80935">
        <w:rPr>
          <w:b/>
          <w:i/>
          <w:lang w:val="ro-MD"/>
        </w:rPr>
        <w:t>Deși AAPL efectuează anual inventarierea elementelor de activ, conform prevederilor normative</w:t>
      </w:r>
      <w:r w:rsidRPr="00A80935">
        <w:rPr>
          <w:rStyle w:val="a9"/>
          <w:rFonts w:eastAsia="Nimbus Sans L"/>
          <w:b/>
          <w:i/>
          <w:lang w:val="ro-MD"/>
        </w:rPr>
        <w:footnoteReference w:id="8"/>
      </w:r>
      <w:r w:rsidRPr="00A80935">
        <w:rPr>
          <w:b/>
          <w:i/>
          <w:lang w:val="ro-MD"/>
        </w:rPr>
        <w:t>, această procedură (</w:t>
      </w:r>
      <w:r w:rsidRPr="00A80935">
        <w:rPr>
          <w:rFonts w:eastAsia="Calibri"/>
          <w:b/>
          <w:i/>
          <w:lang w:val="ro-MD" w:eastAsia="en-US"/>
        </w:rPr>
        <w:t>cu referire la unele mijloace fixe)</w:t>
      </w:r>
      <w:r w:rsidRPr="00A80935">
        <w:rPr>
          <w:b/>
          <w:i/>
          <w:lang w:val="ro-MD"/>
        </w:rPr>
        <w:t xml:space="preserve"> efectiv a fost efectuată și documentată de către unele autorități executive ale APL de nivelul I și nivelul II în mod formal, nefiind constatate lipsurile de bunuri materiale în sumă totală de 224,5 mii lei, cauzele care au stat la baza lor, precum și</w:t>
      </w:r>
      <w:r w:rsidRPr="00A80935">
        <w:rPr>
          <w:rFonts w:eastAsia="Calibri"/>
          <w:b/>
          <w:i/>
          <w:lang w:val="ro-MD" w:eastAsia="en-US"/>
        </w:rPr>
        <w:t xml:space="preserve"> nefiind</w:t>
      </w:r>
      <w:r w:rsidRPr="00A80935">
        <w:rPr>
          <w:rFonts w:eastAsia="Calibri"/>
          <w:lang w:val="ro-MD" w:eastAsia="en-US"/>
        </w:rPr>
        <w:t xml:space="preserve"> </w:t>
      </w:r>
      <w:r w:rsidRPr="00A80935">
        <w:rPr>
          <w:b/>
          <w:i/>
          <w:lang w:val="ro-MD"/>
        </w:rPr>
        <w:t>inițiată procedura de declarare a eventualelor fapte de delapidare sau de încasare a pagubelor materiale.</w:t>
      </w:r>
      <w:r w:rsidRPr="00A80935">
        <w:rPr>
          <w:lang w:val="ro-MD"/>
        </w:rPr>
        <w:t xml:space="preserve"> Astfel, </w:t>
      </w:r>
      <w:r w:rsidRPr="00A80935">
        <w:rPr>
          <w:rStyle w:val="FontStyle56"/>
          <w:rFonts w:ascii="Times New Roman" w:hAnsi="Times New Roman" w:cs="Times New Roman"/>
          <w:sz w:val="24"/>
          <w:szCs w:val="24"/>
          <w:lang w:val="ro-MD" w:eastAsia="ro-MD"/>
        </w:rPr>
        <w:t xml:space="preserve">lipsa fizică a mijloacelor fixe a fost constatată la următoarele entități: AP – un automobil UAZ 469, cu valoarea de bilanț în sumă de </w:t>
      </w:r>
      <w:r w:rsidRPr="00A80935">
        <w:rPr>
          <w:rStyle w:val="FontStyle56"/>
          <w:rFonts w:ascii="Times New Roman" w:hAnsi="Times New Roman" w:cs="Times New Roman"/>
          <w:sz w:val="24"/>
          <w:szCs w:val="24"/>
          <w:lang w:val="ro-MD" w:eastAsia="ro-MD"/>
        </w:rPr>
        <w:lastRenderedPageBreak/>
        <w:t xml:space="preserve">75,7 mii lei; </w:t>
      </w:r>
      <w:r w:rsidRPr="00A80935">
        <w:rPr>
          <w:color w:val="000000"/>
          <w:lang w:val="ro-MD" w:eastAsia="ro-MD"/>
        </w:rPr>
        <w:t>primăria com. Coșcodeni</w:t>
      </w:r>
      <w:r w:rsidRPr="00A80935">
        <w:rPr>
          <w:lang w:val="ro-MD"/>
        </w:rPr>
        <w:t xml:space="preserve"> – </w:t>
      </w:r>
      <w:r w:rsidRPr="00A80935">
        <w:rPr>
          <w:color w:val="000000"/>
          <w:lang w:val="ro-MD" w:eastAsia="ro-MD"/>
        </w:rPr>
        <w:t>4 construcții speciale (turnuri de apă), cu valoarea totală de 14,5 mii lei, și un tractor S 100, cu valoarea de 4,9 mii lei; primăria com. Cubolta – pavilionul Lazo, cu valoarea de 13,0 mii lei; primăria s. Rădoaia – 4 unități de mijloace fixe, cu valoarea de bilanț de 116,4 mii lei (pavilionul EREN, construcție modulară) – 15,0 mii lei, automobilul VAZ 2121 – 38,0 mii lei, autogreder – 60,0 mii lei, tractorul T40A – 3,4 mii lei).</w:t>
      </w:r>
    </w:p>
    <w:p w:rsidR="00903BFF" w:rsidRPr="00A80935" w:rsidRDefault="00903BFF" w:rsidP="00903BFF">
      <w:pPr>
        <w:pStyle w:val="a3"/>
        <w:widowControl/>
        <w:numPr>
          <w:ilvl w:val="0"/>
          <w:numId w:val="7"/>
        </w:numPr>
        <w:tabs>
          <w:tab w:val="clear" w:pos="709"/>
          <w:tab w:val="left" w:pos="0"/>
        </w:tabs>
        <w:suppressAutoHyphens w:val="0"/>
        <w:autoSpaceDN/>
        <w:spacing w:after="120" w:line="240" w:lineRule="auto"/>
        <w:ind w:left="0" w:firstLine="426"/>
        <w:textAlignment w:val="auto"/>
        <w:rPr>
          <w:rStyle w:val="FontStyle56"/>
          <w:rFonts w:ascii="Times New Roman" w:eastAsia="Times New Roman" w:hAnsi="Times New Roman" w:cs="Times New Roman"/>
          <w:b/>
          <w:i/>
          <w:color w:val="00000A"/>
          <w:sz w:val="24"/>
          <w:szCs w:val="24"/>
          <w:lang w:val="ro-MD"/>
        </w:rPr>
      </w:pPr>
      <w:r w:rsidRPr="00A80935">
        <w:rPr>
          <w:rStyle w:val="FontStyle56"/>
          <w:rFonts w:ascii="Times New Roman" w:hAnsi="Times New Roman" w:cs="Times New Roman"/>
          <w:b/>
          <w:i/>
          <w:sz w:val="24"/>
          <w:szCs w:val="24"/>
          <w:lang w:val="ro-MD" w:eastAsia="ro-MD"/>
        </w:rPr>
        <w:t>Contrar prevederilor legale</w:t>
      </w:r>
      <w:r w:rsidRPr="00A80935">
        <w:rPr>
          <w:rStyle w:val="a9"/>
          <w:rFonts w:ascii="Times New Roman" w:hAnsi="Times New Roman"/>
          <w:b/>
          <w:i/>
          <w:color w:val="000000"/>
          <w:lang w:val="ro-MD" w:eastAsia="ro-MD"/>
        </w:rPr>
        <w:footnoteReference w:id="9"/>
      </w:r>
      <w:r w:rsidRPr="00A80935">
        <w:rPr>
          <w:rStyle w:val="FontStyle56"/>
          <w:rFonts w:ascii="Times New Roman" w:hAnsi="Times New Roman" w:cs="Times New Roman"/>
          <w:b/>
          <w:i/>
          <w:sz w:val="24"/>
          <w:szCs w:val="24"/>
          <w:lang w:val="ro-MD" w:eastAsia="ro-MD"/>
        </w:rPr>
        <w:t xml:space="preserve">, unele AAPL nu au asigurat înregistrarea integrală la organul cadastral a bunurilor imobile proprietate publică. </w:t>
      </w:r>
      <w:r w:rsidRPr="00A80935">
        <w:rPr>
          <w:rStyle w:val="FontStyle56"/>
          <w:rFonts w:ascii="Times New Roman" w:hAnsi="Times New Roman" w:cs="Times New Roman"/>
          <w:sz w:val="24"/>
          <w:szCs w:val="24"/>
          <w:lang w:val="ro-MD" w:eastAsia="ro-MD"/>
        </w:rPr>
        <w:t>Astfel, prin procedurile de audit efectuate, s-a constatat că 9 AAPL</w:t>
      </w:r>
      <w:r w:rsidRPr="00A80935">
        <w:rPr>
          <w:rStyle w:val="a9"/>
          <w:rFonts w:ascii="Times New Roman" w:hAnsi="Times New Roman"/>
          <w:color w:val="000000"/>
          <w:lang w:val="ro-MD" w:eastAsia="ro-MD"/>
        </w:rPr>
        <w:footnoteReference w:id="10"/>
      </w:r>
      <w:r w:rsidRPr="00A80935">
        <w:rPr>
          <w:rStyle w:val="FontStyle56"/>
          <w:rFonts w:ascii="Times New Roman" w:hAnsi="Times New Roman" w:cs="Times New Roman"/>
          <w:sz w:val="24"/>
          <w:szCs w:val="24"/>
          <w:lang w:val="ro-MD" w:eastAsia="ro-MD"/>
        </w:rPr>
        <w:t xml:space="preserve"> nu au înregistrat dreptul de proprietate publică asupra 62 unități de bunuri imobile cu valoarea totală de peste 73,94 mil.lei.</w:t>
      </w:r>
    </w:p>
    <w:p w:rsidR="00903BFF" w:rsidRPr="00A80935" w:rsidRDefault="00903BFF" w:rsidP="00903BFF">
      <w:pPr>
        <w:pStyle w:val="a3"/>
        <w:widowControl/>
        <w:numPr>
          <w:ilvl w:val="0"/>
          <w:numId w:val="7"/>
        </w:numPr>
        <w:tabs>
          <w:tab w:val="clear" w:pos="709"/>
          <w:tab w:val="left" w:pos="0"/>
        </w:tabs>
        <w:suppressAutoHyphens w:val="0"/>
        <w:autoSpaceDN/>
        <w:spacing w:after="120" w:line="240" w:lineRule="auto"/>
        <w:ind w:left="0" w:firstLine="426"/>
        <w:textAlignment w:val="auto"/>
        <w:rPr>
          <w:rFonts w:ascii="Times New Roman" w:eastAsia="Times New Roman" w:hAnsi="Times New Roman"/>
          <w:b/>
          <w:i/>
          <w:lang w:val="ro-MD"/>
        </w:rPr>
      </w:pPr>
      <w:r w:rsidRPr="00A80935">
        <w:rPr>
          <w:rStyle w:val="FontStyle56"/>
          <w:rFonts w:ascii="Times New Roman" w:eastAsia="Times New Roman" w:hAnsi="Times New Roman" w:cs="Times New Roman"/>
          <w:b/>
          <w:i/>
          <w:color w:val="00000A"/>
          <w:sz w:val="24"/>
          <w:szCs w:val="24"/>
          <w:lang w:val="ro-MD"/>
        </w:rPr>
        <w:t>Unele AAPL nu au asigurat reflectarea regulamentară și univocă în evidența contabilă a</w:t>
      </w:r>
      <w:r w:rsidRPr="00A80935">
        <w:rPr>
          <w:rFonts w:ascii="Times New Roman" w:eastAsia="Times New Roman" w:hAnsi="Times New Roman"/>
          <w:b/>
          <w:i/>
          <w:lang w:val="ro-MD"/>
        </w:rPr>
        <w:t xml:space="preserve"> valorii capitalului social și mijloacelor fixe transmise ÎM și IMSP la data fondării și pe parcursul activității acestora.</w:t>
      </w:r>
      <w:r w:rsidRPr="00A80935">
        <w:rPr>
          <w:rFonts w:ascii="Times New Roman" w:eastAsia="Times New Roman" w:hAnsi="Times New Roman"/>
          <w:lang w:val="ro-MD"/>
        </w:rPr>
        <w:t xml:space="preserve"> Astfel, c</w:t>
      </w:r>
      <w:r w:rsidRPr="00A80935">
        <w:rPr>
          <w:rFonts w:ascii="Times New Roman" w:hAnsi="Times New Roman"/>
          <w:lang w:val="ro-MD"/>
        </w:rPr>
        <w:t>onform prevederilor normative</w:t>
      </w:r>
      <w:r w:rsidRPr="00A80935">
        <w:rPr>
          <w:rStyle w:val="a9"/>
          <w:rFonts w:ascii="Times New Roman" w:hAnsi="Times New Roman"/>
          <w:lang w:val="ro-MD"/>
        </w:rPr>
        <w:footnoteReference w:id="11"/>
      </w:r>
      <w:r w:rsidRPr="00A80935">
        <w:rPr>
          <w:rFonts w:ascii="Times New Roman" w:hAnsi="Times New Roman"/>
          <w:lang w:val="ro-MD"/>
        </w:rPr>
        <w:t>, serviciile contabile din cadrul AAPL urmau să reflecteze valoarea capitalului social al ÎM fondate și patrimoniului transmis în gestiune la subcontul 136 „Investiții pe termen lung în părți legate”, care este destinat generalizării informației privind existența și mișcarea investițiilor pe termen lung în părți legate. Efectiv, nu a fost reflectată în evidența contabilă a AP valoarea capitalului social depus la fondarea ÎM, în sumă de 11,0 mii lei (2 ÎM) și a primăriilor: or. Sîngerei – 104,5 mii lei (2 ÎM); or. Biruința – 61,4 mii lei; com. Coșcodeni – 5,4 mii lei; com. Drăgănești – 5,4 mii lei.</w:t>
      </w:r>
    </w:p>
    <w:p w:rsidR="00903BFF" w:rsidRPr="00A80935" w:rsidRDefault="00903BFF" w:rsidP="00903BFF">
      <w:pPr>
        <w:pStyle w:val="a3"/>
        <w:widowControl/>
        <w:numPr>
          <w:ilvl w:val="0"/>
          <w:numId w:val="12"/>
        </w:numPr>
        <w:tabs>
          <w:tab w:val="clear" w:pos="709"/>
          <w:tab w:val="left" w:pos="0"/>
        </w:tabs>
        <w:suppressAutoHyphens w:val="0"/>
        <w:autoSpaceDN/>
        <w:spacing w:line="240" w:lineRule="auto"/>
        <w:ind w:left="0" w:firstLine="426"/>
        <w:textAlignment w:val="auto"/>
        <w:rPr>
          <w:rFonts w:ascii="Times New Roman" w:hAnsi="Times New Roman"/>
          <w:i/>
          <w:lang w:val="ro-MD"/>
        </w:rPr>
      </w:pPr>
      <w:r w:rsidRPr="00A80935">
        <w:rPr>
          <w:rFonts w:ascii="Times New Roman" w:hAnsi="Times New Roman"/>
          <w:i/>
          <w:lang w:val="ro-MD"/>
        </w:rPr>
        <w:t>Prin procedurile de audit efectuate, au fost identificate un șir de deficiențe la AAPL și ÎM fondate, care au ținut de formarea și modificarea capitalului social și de majorarea valorii mijloacelor fixe transmise în gestiune sau locațiune. Astfel,</w:t>
      </w:r>
      <w:r w:rsidRPr="00A80935">
        <w:rPr>
          <w:rFonts w:ascii="Times New Roman" w:hAnsi="Times New Roman"/>
          <w:lang w:val="ro-MD"/>
        </w:rPr>
        <w:t xml:space="preserve"> </w:t>
      </w:r>
    </w:p>
    <w:p w:rsidR="00903BFF" w:rsidRPr="00A80935" w:rsidRDefault="00903BFF" w:rsidP="00903BFF">
      <w:pPr>
        <w:pStyle w:val="a3"/>
        <w:widowControl/>
        <w:numPr>
          <w:ilvl w:val="0"/>
          <w:numId w:val="38"/>
        </w:numPr>
        <w:tabs>
          <w:tab w:val="clear" w:pos="709"/>
          <w:tab w:val="left" w:pos="0"/>
        </w:tabs>
        <w:suppressAutoHyphens w:val="0"/>
        <w:autoSpaceDN/>
        <w:spacing w:line="240" w:lineRule="auto"/>
        <w:ind w:left="0" w:firstLine="426"/>
        <w:textAlignment w:val="auto"/>
        <w:rPr>
          <w:rFonts w:ascii="Times New Roman" w:eastAsia="Times New Roman" w:hAnsi="Times New Roman"/>
          <w:color w:val="auto"/>
          <w:kern w:val="0"/>
          <w:lang w:val="ro-MD" w:eastAsia="en-US" w:bidi="ar-SA"/>
        </w:rPr>
      </w:pPr>
      <w:r w:rsidRPr="00A80935">
        <w:rPr>
          <w:rFonts w:ascii="Times New Roman" w:hAnsi="Times New Roman"/>
          <w:lang w:val="ro-MD"/>
        </w:rPr>
        <w:t xml:space="preserve">DF </w:t>
      </w:r>
      <w:r w:rsidRPr="00A80935">
        <w:rPr>
          <w:rFonts w:ascii="Times New Roman" w:eastAsia="Times New Roman" w:hAnsi="Times New Roman"/>
          <w:color w:val="auto"/>
          <w:kern w:val="0"/>
          <w:lang w:val="ro-MD" w:eastAsia="en-US" w:bidi="ar-SA"/>
        </w:rPr>
        <w:t>nu a asigurat înregistrarea regulamentară</w:t>
      </w:r>
      <w:r w:rsidRPr="00A80935">
        <w:rPr>
          <w:rFonts w:ascii="Times New Roman" w:eastAsia="Times New Roman" w:hAnsi="Times New Roman"/>
          <w:color w:val="auto"/>
          <w:kern w:val="0"/>
          <w:vertAlign w:val="superscript"/>
          <w:lang w:val="ro-MD" w:eastAsia="en-US" w:bidi="ar-SA"/>
        </w:rPr>
        <w:footnoteReference w:id="12"/>
      </w:r>
      <w:r w:rsidRPr="00A80935">
        <w:rPr>
          <w:rFonts w:ascii="Times New Roman" w:eastAsia="Times New Roman" w:hAnsi="Times New Roman"/>
          <w:color w:val="auto"/>
          <w:kern w:val="0"/>
          <w:lang w:val="ro-MD" w:eastAsia="en-US" w:bidi="ar-SA"/>
        </w:rPr>
        <w:t xml:space="preserve"> în evidența contabilă majorarea valorii mijloacelor fixe, transmise în gestiunea I</w:t>
      </w:r>
      <w:r w:rsidRPr="00A80935">
        <w:rPr>
          <w:rFonts w:ascii="Times New Roman" w:eastAsia="Calibri" w:hAnsi="Times New Roman"/>
          <w:color w:val="auto"/>
          <w:kern w:val="0"/>
          <w:lang w:val="ro-MD" w:eastAsia="en-US" w:bidi="ar-SA"/>
        </w:rPr>
        <w:t xml:space="preserve">MSP </w:t>
      </w:r>
      <w:r w:rsidRPr="00A80935">
        <w:rPr>
          <w:rFonts w:ascii="Times New Roman" w:eastAsia="Times New Roman" w:hAnsi="Times New Roman"/>
          <w:color w:val="auto"/>
          <w:kern w:val="0"/>
          <w:lang w:val="ro-MD" w:eastAsia="en-US" w:bidi="ar-SA"/>
        </w:rPr>
        <w:t xml:space="preserve">la fondare, cu costul reparațiilor capitale efectuate din contul fondului asigurării obligatorii de asistență medicală, în valoare de 9613,0 mii lei. Totodată, </w:t>
      </w:r>
      <w:r w:rsidRPr="00A80935">
        <w:rPr>
          <w:rStyle w:val="FontStyle56"/>
          <w:rFonts w:ascii="Times New Roman" w:hAnsi="Times New Roman" w:cs="Times New Roman"/>
          <w:sz w:val="24"/>
          <w:szCs w:val="24"/>
          <w:lang w:val="ro-MD" w:eastAsia="ro-MD"/>
        </w:rPr>
        <w:t xml:space="preserve">DF a reflectat neargumentat la subcontul </w:t>
      </w:r>
      <w:r w:rsidRPr="00A80935">
        <w:rPr>
          <w:rFonts w:ascii="Times New Roman" w:hAnsi="Times New Roman"/>
          <w:color w:val="000000"/>
          <w:lang w:val="ro-MD" w:eastAsia="ro-MD"/>
        </w:rPr>
        <w:t>136 „Investiții pe termen lung în părți legate” transferul cu destinație specială, alocat instituției publice „Incubatorul de afaceri Sîngerei”, în sumă de 430,0 mii lei, deoarece entitatea fondată nu are statut de întreprindere municipală.</w:t>
      </w:r>
      <w:r w:rsidRPr="00A80935">
        <w:rPr>
          <w:rFonts w:ascii="Times New Roman" w:eastAsia="Times New Roman" w:hAnsi="Times New Roman"/>
          <w:color w:val="auto"/>
          <w:kern w:val="0"/>
          <w:lang w:val="ro-MD" w:eastAsia="en-US" w:bidi="ar-SA"/>
        </w:rPr>
        <w:t xml:space="preserve"> </w:t>
      </w:r>
      <w:r w:rsidRPr="00A80935">
        <w:rPr>
          <w:rFonts w:ascii="Times New Roman" w:hAnsi="Times New Roman"/>
          <w:lang w:val="ro-MD"/>
        </w:rPr>
        <w:t xml:space="preserve">Resursele în cauză au fost utilizate </w:t>
      </w:r>
      <w:r w:rsidRPr="00A80935">
        <w:rPr>
          <w:rFonts w:ascii="Times New Roman" w:hAnsi="Times New Roman"/>
          <w:color w:val="000000"/>
          <w:lang w:val="ro-MD" w:eastAsia="ro-MD"/>
        </w:rPr>
        <w:t>pentru procurarea mijloacelor fixe și obiectelor de mică valoare necesare desfășurării activității statutare a instituției publice fondate, care le-a raportat la conturile corespunzătoare de evidență contabilă.</w:t>
      </w:r>
      <w:r w:rsidRPr="00A80935">
        <w:rPr>
          <w:rFonts w:ascii="Times New Roman" w:hAnsi="Times New Roman"/>
          <w:lang w:val="ro-MD"/>
        </w:rPr>
        <w:t xml:space="preserve"> Totodată, autoritatea executivă </w:t>
      </w:r>
      <w:r w:rsidRPr="00A80935">
        <w:rPr>
          <w:rFonts w:ascii="Times New Roman" w:hAnsi="Times New Roman"/>
          <w:color w:val="000000"/>
          <w:lang w:val="ro-MD" w:eastAsia="ro-MD"/>
        </w:rPr>
        <w:t>a raionului nu a asigurat formarea și raportarea bugetului anual al Incubatorului de afaceri în calitatea acestuia de instituție publică (planul de finanțare, repartizarea lunară a alocațiilor, deținerea conturilor trezoreriale), conform prevederilor art.2 din Legea nr.397-XV din 16.10.2003</w:t>
      </w:r>
      <w:r w:rsidRPr="00A80935">
        <w:rPr>
          <w:rStyle w:val="a9"/>
          <w:rFonts w:ascii="Times New Roman" w:hAnsi="Times New Roman"/>
          <w:lang w:val="ro-MD"/>
        </w:rPr>
        <w:footnoteReference w:id="13"/>
      </w:r>
      <w:r w:rsidRPr="00A80935">
        <w:rPr>
          <w:rFonts w:ascii="Times New Roman" w:hAnsi="Times New Roman"/>
          <w:color w:val="000000"/>
          <w:lang w:val="ro-MD" w:eastAsia="ro-MD"/>
        </w:rPr>
        <w:t>, care reglementează că bugetul fiecărei UAT include bugetele instituțiilor publice finanțate, integral sau parțial, de la bugetul respectiv. Efectiv, Incubatorul de afaceri Șîngerei și-a organizat activitatea și sistemul contabil asemenea unui agent economic de drept privat, beneficiind în anul 2015 de alocații financiare din bugetul raional în sumă de 201,3 mii lei, care au fost utilizate pentru menținerea activității sale (achitarea salariilor, serviciilor comunale);</w:t>
      </w:r>
    </w:p>
    <w:p w:rsidR="00903BFF" w:rsidRPr="00A80935" w:rsidRDefault="00903BFF" w:rsidP="00903BFF">
      <w:pPr>
        <w:pStyle w:val="a3"/>
        <w:widowControl/>
        <w:numPr>
          <w:ilvl w:val="0"/>
          <w:numId w:val="39"/>
        </w:numPr>
        <w:tabs>
          <w:tab w:val="left" w:pos="0"/>
        </w:tabs>
        <w:suppressAutoHyphens w:val="0"/>
        <w:autoSpaceDN/>
        <w:ind w:left="0" w:firstLine="426"/>
        <w:textAlignment w:val="auto"/>
        <w:rPr>
          <w:rFonts w:ascii="Times New Roman" w:hAnsi="Times New Roman"/>
          <w:lang w:val="ro-MD"/>
        </w:rPr>
      </w:pPr>
      <w:r w:rsidRPr="00A80935">
        <w:rPr>
          <w:rFonts w:ascii="Times New Roman" w:hAnsi="Times New Roman"/>
          <w:lang w:val="ro-MD"/>
        </w:rPr>
        <w:t xml:space="preserve">contrar prescripțiilor pct.75 din Instrucțiunea aprobată prin </w:t>
      </w:r>
      <w:r w:rsidRPr="00A80935">
        <w:rPr>
          <w:rFonts w:ascii="Times New Roman" w:eastAsia="Times New Roman" w:hAnsi="Times New Roman"/>
          <w:lang w:val="ro-MD"/>
        </w:rPr>
        <w:t xml:space="preserve">Ordinul ministrului Finanțelor nr.94 din 19.07.2010, </w:t>
      </w:r>
      <w:r w:rsidRPr="00A80935">
        <w:rPr>
          <w:rFonts w:ascii="Times New Roman" w:hAnsi="Times New Roman"/>
          <w:lang w:val="ro-MD"/>
        </w:rPr>
        <w:t xml:space="preserve">primăria s. Rădoaia nu a asigurat </w:t>
      </w:r>
      <w:r w:rsidRPr="00A80935">
        <w:rPr>
          <w:rFonts w:ascii="Times New Roman" w:eastAsia="Times New Roman" w:hAnsi="Times New Roman"/>
          <w:lang w:val="ro-MD"/>
        </w:rPr>
        <w:t>majorarea valorii mijloacelor fixe date în locațiune cu costul lucrărilor de reparație capitală în valoare de 2460,5 mii lei, acceptate în anii precedenți în contul plății de chirie datorate de către 3 locatari</w:t>
      </w:r>
      <w:r w:rsidRPr="00A80935">
        <w:rPr>
          <w:rStyle w:val="a9"/>
          <w:rFonts w:ascii="Times New Roman" w:hAnsi="Times New Roman"/>
          <w:lang w:val="ro-MD"/>
        </w:rPr>
        <w:footnoteReference w:id="14"/>
      </w:r>
      <w:r w:rsidRPr="00A80935">
        <w:rPr>
          <w:rFonts w:ascii="Times New Roman" w:eastAsia="Times New Roman" w:hAnsi="Times New Roman"/>
          <w:lang w:val="ro-MD"/>
        </w:rPr>
        <w:t>;</w:t>
      </w:r>
    </w:p>
    <w:p w:rsidR="00903BFF" w:rsidRPr="00A80935" w:rsidRDefault="00903BFF" w:rsidP="00903BFF">
      <w:pPr>
        <w:pStyle w:val="a3"/>
        <w:widowControl/>
        <w:numPr>
          <w:ilvl w:val="0"/>
          <w:numId w:val="39"/>
        </w:numPr>
        <w:tabs>
          <w:tab w:val="clear" w:pos="709"/>
          <w:tab w:val="left" w:pos="0"/>
        </w:tabs>
        <w:suppressAutoHyphens w:val="0"/>
        <w:autoSpaceDN/>
        <w:spacing w:line="240" w:lineRule="auto"/>
        <w:ind w:left="0" w:firstLine="426"/>
        <w:textAlignment w:val="auto"/>
        <w:rPr>
          <w:rFonts w:ascii="Times New Roman" w:hAnsi="Times New Roman"/>
          <w:lang w:val="ro-MD"/>
        </w:rPr>
      </w:pPr>
      <w:r w:rsidRPr="00A80935">
        <w:rPr>
          <w:rFonts w:ascii="Times New Roman" w:hAnsi="Times New Roman"/>
          <w:lang w:val="ro-MD"/>
        </w:rPr>
        <w:lastRenderedPageBreak/>
        <w:t>CO Sîngerei nu și-a asumat atribuțiile proprii</w:t>
      </w:r>
      <w:r w:rsidRPr="00A80935">
        <w:rPr>
          <w:rStyle w:val="a9"/>
          <w:rFonts w:ascii="Times New Roman" w:hAnsi="Times New Roman"/>
          <w:lang w:val="ro-MD"/>
        </w:rPr>
        <w:footnoteReference w:id="15"/>
      </w:r>
      <w:r w:rsidRPr="00A80935">
        <w:rPr>
          <w:rFonts w:ascii="Times New Roman" w:hAnsi="Times New Roman"/>
          <w:lang w:val="ro-MD"/>
        </w:rPr>
        <w:t xml:space="preserve"> de fondator și a decis transmiterea în capitalul social al ÎM</w:t>
      </w:r>
      <w:r w:rsidRPr="00A80935">
        <w:rPr>
          <w:rStyle w:val="a9"/>
          <w:rFonts w:ascii="Times New Roman" w:hAnsi="Times New Roman"/>
          <w:lang w:val="ro-MD"/>
        </w:rPr>
        <w:footnoteReference w:id="16"/>
      </w:r>
      <w:r w:rsidRPr="00A80935">
        <w:rPr>
          <w:rFonts w:ascii="Times New Roman" w:hAnsi="Times New Roman"/>
          <w:lang w:val="ro-MD"/>
        </w:rPr>
        <w:t xml:space="preserve"> a unor bunuri materiale în valoare de 1014,4 mii lei, care nu au aparținut fondatorului cu drept de proprietate publică și care au fost dobîndite/procurate de către ÎM din contul veniturilor proprii. Drept urmare, serviciul contabil al primăriei a raportat nejustificat în evidența contabilă valoarea acestor bunuri ca investiții ale fondatorului în capitalul social al ÎM. </w:t>
      </w:r>
    </w:p>
    <w:p w:rsidR="00903BFF" w:rsidRPr="00A80935" w:rsidRDefault="00903BFF" w:rsidP="00903BFF">
      <w:pPr>
        <w:pStyle w:val="a3"/>
        <w:widowControl/>
        <w:tabs>
          <w:tab w:val="clear" w:pos="709"/>
          <w:tab w:val="left" w:pos="0"/>
        </w:tabs>
        <w:suppressAutoHyphens w:val="0"/>
        <w:autoSpaceDN/>
        <w:spacing w:line="240" w:lineRule="auto"/>
        <w:textAlignment w:val="auto"/>
        <w:rPr>
          <w:rFonts w:ascii="Times New Roman" w:hAnsi="Times New Roman"/>
          <w:lang w:val="ro-MD"/>
        </w:rPr>
      </w:pPr>
      <w:r w:rsidRPr="00A80935">
        <w:rPr>
          <w:rFonts w:ascii="Times New Roman" w:hAnsi="Times New Roman"/>
          <w:lang w:val="ro-MD"/>
        </w:rPr>
        <w:t>Deși CO Sîngerei a decis majorarea cu 5348,1 mii lei</w:t>
      </w:r>
      <w:r w:rsidRPr="00A80935">
        <w:rPr>
          <w:rStyle w:val="a9"/>
          <w:rFonts w:ascii="Times New Roman" w:hAnsi="Times New Roman"/>
          <w:lang w:val="ro-MD"/>
        </w:rPr>
        <w:footnoteReference w:id="17"/>
      </w:r>
      <w:r w:rsidRPr="00A80935">
        <w:rPr>
          <w:rFonts w:ascii="Times New Roman" w:hAnsi="Times New Roman"/>
          <w:lang w:val="ro-MD"/>
        </w:rPr>
        <w:t xml:space="preserve"> din contul bunurilor publice a capitalului social la două ÎM, atît primăria, cît și conducerea întreprinderilor respective nu au asigurat efectuarea modificărilor respective în documentele de constituire a întreprinderilor la CÎS, în termen de 30 de zile de la data aprobării deciziei fondatorului, conform prevederilor art.16 din Legea nr.220-XVI din 19.10.2007</w:t>
      </w:r>
      <w:r w:rsidRPr="00A80935">
        <w:rPr>
          <w:rStyle w:val="a9"/>
          <w:rFonts w:ascii="Times New Roman" w:hAnsi="Times New Roman"/>
          <w:lang w:val="ro-MD"/>
        </w:rPr>
        <w:footnoteReference w:id="18"/>
      </w:r>
      <w:r w:rsidRPr="00A80935">
        <w:rPr>
          <w:rFonts w:ascii="Times New Roman" w:hAnsi="Times New Roman"/>
          <w:lang w:val="ro-MD"/>
        </w:rPr>
        <w:t>. Totodată, nu a fost efectuată evaluarea bunurilor publice preconizate de a fi incluse în capitalul social al ÎM, procedură obligatorie prescrisă de art.5 alin.(4) lit.i) din Legea nr.989-XV din 18.04.2002</w:t>
      </w:r>
      <w:r w:rsidRPr="00A80935">
        <w:rPr>
          <w:rStyle w:val="a9"/>
          <w:rFonts w:ascii="Times New Roman" w:hAnsi="Times New Roman"/>
          <w:lang w:val="ro-MD"/>
        </w:rPr>
        <w:footnoteReference w:id="19"/>
      </w:r>
      <w:r w:rsidRPr="00A80935">
        <w:rPr>
          <w:rFonts w:ascii="Times New Roman" w:hAnsi="Times New Roman"/>
          <w:lang w:val="ro-MD"/>
        </w:rPr>
        <w:t>. Mai mult decît atît, fîntîna arteziană de la stadion (1,7 mii lei) a fost inclusă nejustificat în capitalul social al ÎM, deoarece bunul dat nu aparține primăriei cu drept de proprietate publică, acesta fiind deținut în folosință în baza raporturilor de comodat;</w:t>
      </w:r>
    </w:p>
    <w:p w:rsidR="00903BFF" w:rsidRPr="00A80935" w:rsidRDefault="00903BFF" w:rsidP="00903BFF">
      <w:pPr>
        <w:pStyle w:val="aa"/>
        <w:numPr>
          <w:ilvl w:val="0"/>
          <w:numId w:val="39"/>
        </w:numPr>
        <w:tabs>
          <w:tab w:val="left" w:pos="0"/>
        </w:tabs>
        <w:ind w:left="0" w:firstLine="426"/>
        <w:jc w:val="both"/>
        <w:rPr>
          <w:lang w:val="ro-MD"/>
        </w:rPr>
      </w:pPr>
      <w:r w:rsidRPr="00A80935">
        <w:rPr>
          <w:lang w:val="ro-MD"/>
        </w:rPr>
        <w:t>primăria or. Biruința, transmițînd valoarea platformelor în sumă de 189,0 mii lei, primăriilor com. Alexăndreni și com. Heciul Nou, coparticipante la proiectul investițional de salubrizare a localităților, nu a asigurat excluderea acestora din capitalul social al ÎM, datele privind evidența și raportarea la întreprindere rămînînd neautentice la momentul actual;</w:t>
      </w:r>
    </w:p>
    <w:p w:rsidR="00903BFF" w:rsidRPr="00A80935" w:rsidRDefault="00903BFF" w:rsidP="00903BFF">
      <w:pPr>
        <w:pStyle w:val="aa"/>
        <w:numPr>
          <w:ilvl w:val="0"/>
          <w:numId w:val="39"/>
        </w:numPr>
        <w:tabs>
          <w:tab w:val="left" w:pos="0"/>
        </w:tabs>
        <w:ind w:left="0" w:firstLine="426"/>
        <w:jc w:val="both"/>
        <w:rPr>
          <w:lang w:val="ro-MD" w:eastAsia="en-US"/>
        </w:rPr>
      </w:pPr>
      <w:r w:rsidRPr="00A80935">
        <w:rPr>
          <w:lang w:val="ro-MD" w:eastAsia="en-US"/>
        </w:rPr>
        <w:t xml:space="preserve">primăria com. Chișcăreni și conducerea ÎM „Servicom-Chișcăreni” nu au executat întocmai deciziile CL privind majorarea capitalului social al întreprinderii cu valoarea bunurilor materiale în sumă de 4267,6 mii lei. De asemenea, nu au asigurat, conform prevederilor Legii nr.220-XVI din 19.10.2007, operarea modificărilor corespunzătoare în Registrul de stat al întreprinderilor la </w:t>
      </w:r>
      <w:r w:rsidRPr="00A80935">
        <w:rPr>
          <w:lang w:val="ro-MD"/>
        </w:rPr>
        <w:t>CÎS</w:t>
      </w:r>
      <w:r w:rsidRPr="00A80935">
        <w:rPr>
          <w:lang w:val="ro-MD" w:eastAsia="en-US"/>
        </w:rPr>
        <w:t xml:space="preserve">, la momentul actual capitalul social al acesteia constituind doar valoarea inițială de la fondarea întreprinderii (5,4 mii lei). Astfel, urmare a neoperării modificărilor de rigoare în actele de constituire și în Registrul de stat, precum și neevaluării conforme a bunurilor materiale, ÎM raportează nejustificat în evidența contabilă (la finele anului 2015) mărimea capitalului social în valoare de 2796,1 mii lei, totodată bunurile materiale în sumă de 1471,6 mii lei fiind reflectate nejustificat la veniturile întreprinderii. </w:t>
      </w:r>
    </w:p>
    <w:p w:rsidR="00903BFF" w:rsidRPr="00A80935" w:rsidRDefault="00903BFF" w:rsidP="00903BFF">
      <w:pPr>
        <w:pStyle w:val="aa"/>
        <w:tabs>
          <w:tab w:val="left" w:pos="0"/>
        </w:tabs>
        <w:ind w:left="0" w:firstLine="567"/>
        <w:jc w:val="both"/>
        <w:rPr>
          <w:rStyle w:val="FontStyle56"/>
          <w:rFonts w:ascii="Times New Roman" w:hAnsi="Times New Roman" w:cs="Times New Roman"/>
          <w:color w:val="auto"/>
          <w:sz w:val="24"/>
          <w:szCs w:val="24"/>
          <w:lang w:val="ro-MD" w:eastAsia="en-US"/>
        </w:rPr>
      </w:pPr>
      <w:r w:rsidRPr="00A80935">
        <w:rPr>
          <w:lang w:val="ro-MD" w:eastAsia="en-US"/>
        </w:rPr>
        <w:t xml:space="preserve">Analogic, </w:t>
      </w:r>
      <w:r w:rsidRPr="00A80935">
        <w:rPr>
          <w:lang w:val="ro-MD"/>
        </w:rPr>
        <w:t xml:space="preserve">ÎM „Prim-Drăgănești”, fondată de Consiliul comunei Drăgănești, a raportat eronat (la finele anului 2015) mărimea capitalului social în valoare de 578,0 mii lei, nefiind operate în termenul legal modificările </w:t>
      </w:r>
      <w:r w:rsidRPr="00A80935">
        <w:rPr>
          <w:lang w:val="ro-MD" w:eastAsia="en-US"/>
        </w:rPr>
        <w:t xml:space="preserve">în Registrul de stat al întreprinderilor la </w:t>
      </w:r>
      <w:r w:rsidRPr="00A80935">
        <w:rPr>
          <w:lang w:val="ro-MD"/>
        </w:rPr>
        <w:t>CÎS și nefiind efectuată evaluarea bunurilor materiale.</w:t>
      </w:r>
    </w:p>
    <w:p w:rsidR="00903BFF" w:rsidRPr="00A80935" w:rsidRDefault="00903BFF" w:rsidP="00903BFF">
      <w:pPr>
        <w:widowControl w:val="0"/>
        <w:tabs>
          <w:tab w:val="left" w:pos="567"/>
        </w:tabs>
        <w:suppressAutoHyphens/>
        <w:autoSpaceDN w:val="0"/>
        <w:spacing w:after="0" w:line="240" w:lineRule="exact"/>
        <w:jc w:val="both"/>
        <w:textAlignment w:val="baseline"/>
        <w:rPr>
          <w:rStyle w:val="FontStyle56"/>
          <w:rFonts w:ascii="Times New Roman" w:hAnsi="Times New Roman" w:cs="Times New Roman"/>
          <w:color w:val="auto"/>
          <w:sz w:val="24"/>
          <w:szCs w:val="24"/>
          <w:lang w:val="ro-MD"/>
        </w:rPr>
      </w:pPr>
      <w:r w:rsidRPr="00A80935">
        <w:rPr>
          <w:rFonts w:ascii="Times New Roman" w:hAnsi="Times New Roman"/>
          <w:sz w:val="24"/>
          <w:szCs w:val="24"/>
          <w:lang w:val="ro-MD"/>
        </w:rPr>
        <w:tab/>
      </w:r>
    </w:p>
    <w:p w:rsidR="00903BFF" w:rsidRPr="00A80935" w:rsidRDefault="00903BFF" w:rsidP="00903BFF">
      <w:pPr>
        <w:widowControl w:val="0"/>
        <w:tabs>
          <w:tab w:val="left" w:pos="0"/>
        </w:tabs>
        <w:suppressAutoHyphens/>
        <w:autoSpaceDN w:val="0"/>
        <w:spacing w:after="0" w:line="240" w:lineRule="auto"/>
        <w:ind w:firstLine="567"/>
        <w:jc w:val="both"/>
        <w:textAlignment w:val="baseline"/>
        <w:rPr>
          <w:rFonts w:ascii="Times New Roman" w:eastAsia="Nimbus Sans L" w:hAnsi="Times New Roman"/>
          <w:b/>
          <w:bCs/>
          <w:kern w:val="3"/>
          <w:sz w:val="24"/>
          <w:szCs w:val="24"/>
          <w:u w:val="single"/>
          <w:lang w:val="ro-MD" w:eastAsia="zh-CN" w:bidi="hi-IN"/>
        </w:rPr>
      </w:pPr>
    </w:p>
    <w:p w:rsidR="00903BFF" w:rsidRPr="00A80935" w:rsidRDefault="00903BFF" w:rsidP="00903BFF">
      <w:pPr>
        <w:widowControl w:val="0"/>
        <w:tabs>
          <w:tab w:val="left" w:pos="0"/>
        </w:tabs>
        <w:suppressAutoHyphens/>
        <w:autoSpaceDN w:val="0"/>
        <w:spacing w:after="0" w:line="240" w:lineRule="auto"/>
        <w:ind w:firstLine="567"/>
        <w:jc w:val="both"/>
        <w:textAlignment w:val="baseline"/>
        <w:rPr>
          <w:rFonts w:ascii="Times New Roman" w:eastAsia="Nimbus Sans L" w:hAnsi="Times New Roman"/>
          <w:b/>
          <w:bCs/>
          <w:kern w:val="3"/>
          <w:sz w:val="24"/>
          <w:szCs w:val="24"/>
          <w:u w:val="single"/>
          <w:lang w:val="ro-MD" w:eastAsia="zh-CN" w:bidi="hi-IN"/>
        </w:rPr>
      </w:pPr>
    </w:p>
    <w:p w:rsidR="00903BFF" w:rsidRPr="00A80935" w:rsidRDefault="00903BFF" w:rsidP="00903BFF">
      <w:pPr>
        <w:widowControl w:val="0"/>
        <w:tabs>
          <w:tab w:val="left" w:pos="0"/>
        </w:tabs>
        <w:suppressAutoHyphens/>
        <w:autoSpaceDN w:val="0"/>
        <w:spacing w:after="0" w:line="240" w:lineRule="auto"/>
        <w:ind w:firstLine="567"/>
        <w:jc w:val="both"/>
        <w:textAlignment w:val="baseline"/>
        <w:rPr>
          <w:rFonts w:ascii="Times New Roman" w:eastAsia="Nimbus Sans L" w:hAnsi="Times New Roman"/>
          <w:b/>
          <w:bCs/>
          <w:i/>
          <w:iCs/>
          <w:kern w:val="3"/>
          <w:sz w:val="24"/>
          <w:szCs w:val="24"/>
          <w:u w:val="single"/>
          <w:lang w:val="ro-MD" w:eastAsia="zh-CN" w:bidi="hi-IN"/>
        </w:rPr>
      </w:pPr>
      <w:r w:rsidRPr="00A80935">
        <w:rPr>
          <w:rFonts w:ascii="Times New Roman" w:eastAsia="Nimbus Sans L" w:hAnsi="Times New Roman"/>
          <w:b/>
          <w:bCs/>
          <w:kern w:val="3"/>
          <w:sz w:val="24"/>
          <w:szCs w:val="24"/>
          <w:u w:val="single"/>
          <w:lang w:val="ro-MD" w:eastAsia="zh-CN" w:bidi="hi-IN"/>
        </w:rPr>
        <w:t>OBIECTIVUL II:</w:t>
      </w:r>
      <w:r w:rsidRPr="00A80935">
        <w:rPr>
          <w:rFonts w:ascii="Times New Roman" w:eastAsia="Nimbus Sans L" w:hAnsi="Times New Roman"/>
          <w:b/>
          <w:bCs/>
          <w:i/>
          <w:kern w:val="3"/>
          <w:sz w:val="24"/>
          <w:szCs w:val="24"/>
          <w:u w:val="single"/>
          <w:lang w:val="ro-MD" w:eastAsia="zh-CN" w:bidi="hi-IN"/>
        </w:rPr>
        <w:t xml:space="preserve"> </w:t>
      </w:r>
      <w:r w:rsidRPr="00A80935">
        <w:rPr>
          <w:rFonts w:ascii="Times New Roman" w:eastAsia="Nimbus Sans L" w:hAnsi="Times New Roman"/>
          <w:b/>
          <w:bCs/>
          <w:i/>
          <w:iCs/>
          <w:kern w:val="3"/>
          <w:sz w:val="24"/>
          <w:szCs w:val="24"/>
          <w:u w:val="single"/>
          <w:lang w:val="ro-MD" w:eastAsia="zh-CN" w:bidi="hi-IN"/>
        </w:rPr>
        <w:t>AAPL au asigurat integritatea și gestionarea eficientă a patrimoniului public?</w:t>
      </w:r>
    </w:p>
    <w:p w:rsidR="00903BFF" w:rsidRPr="00A80935" w:rsidRDefault="00903BFF" w:rsidP="00903BFF">
      <w:pPr>
        <w:widowControl w:val="0"/>
        <w:tabs>
          <w:tab w:val="left" w:pos="567"/>
        </w:tabs>
        <w:suppressAutoHyphens/>
        <w:autoSpaceDN w:val="0"/>
        <w:spacing w:after="0" w:line="240" w:lineRule="auto"/>
        <w:ind w:firstLine="567"/>
        <w:jc w:val="both"/>
        <w:textAlignment w:val="baseline"/>
        <w:rPr>
          <w:rFonts w:ascii="Times New Roman" w:hAnsi="Times New Roman"/>
          <w:sz w:val="24"/>
          <w:szCs w:val="24"/>
          <w:lang w:val="ro-MD"/>
        </w:rPr>
      </w:pPr>
      <w:r w:rsidRPr="00A80935">
        <w:rPr>
          <w:rStyle w:val="FontStyle56"/>
          <w:rFonts w:ascii="Times New Roman" w:hAnsi="Times New Roman" w:cs="Times New Roman"/>
          <w:sz w:val="24"/>
          <w:szCs w:val="24"/>
          <w:lang w:val="ro-MD" w:eastAsia="ro-MD"/>
        </w:rPr>
        <w:t>Urmare a activităților de audit, s-a constatat că unele AAPL nu au fost preocupate de buna gestionare a activelor materiale și de asigurarea integrității bunurilor imobile deținute, în condiții de eficiență și prudență managerială. Deficiențele de acest gen în activitatea AAPL au fost cauzate în special de deficitul de viziune strategică și management judicios, consecințele fiind amplificarea fenomenelor de degradare/dezintegrare a bunurilor</w:t>
      </w:r>
      <w:r w:rsidRPr="00A80935">
        <w:rPr>
          <w:rFonts w:ascii="Times New Roman" w:hAnsi="Times New Roman"/>
          <w:sz w:val="24"/>
          <w:szCs w:val="24"/>
          <w:lang w:val="ro-MD"/>
        </w:rPr>
        <w:t>.</w:t>
      </w:r>
    </w:p>
    <w:p w:rsidR="00903BFF" w:rsidRPr="00A80935" w:rsidRDefault="00903BFF" w:rsidP="00903BFF">
      <w:pPr>
        <w:widowControl w:val="0"/>
        <w:tabs>
          <w:tab w:val="left" w:pos="567"/>
        </w:tabs>
        <w:suppressAutoHyphens/>
        <w:autoSpaceDN w:val="0"/>
        <w:spacing w:after="120" w:line="240" w:lineRule="auto"/>
        <w:ind w:firstLine="567"/>
        <w:jc w:val="both"/>
        <w:textAlignment w:val="baseline"/>
        <w:rPr>
          <w:rFonts w:ascii="Times New Roman" w:hAnsi="Times New Roman"/>
          <w:color w:val="000000"/>
          <w:sz w:val="24"/>
          <w:szCs w:val="24"/>
          <w:lang w:val="ro-MD" w:eastAsia="ro-MD"/>
        </w:rPr>
      </w:pPr>
      <w:r w:rsidRPr="00A80935">
        <w:rPr>
          <w:rFonts w:ascii="Times New Roman" w:hAnsi="Times New Roman"/>
          <w:sz w:val="24"/>
          <w:szCs w:val="24"/>
          <w:lang w:val="ro-MD"/>
        </w:rPr>
        <w:t xml:space="preserve">Activitatea statutară a ÎM nu a fost supusă de către fondatori unor proceduri de evaluare financiară a rezultatelor economice scontate în raport cu cele obținute. Pentru întreprinderile gestionate nu au fost aprobate programe de activitate economică și de dezvoltare instituțională, ceea ce nu justifică activitatea de perspectivă a lor, pe termen mediu și lung, și nu asigură o bună guvernare, în condiții de eficiență și eficacitate, a patrimoniului public. </w:t>
      </w:r>
    </w:p>
    <w:p w:rsidR="00903BFF" w:rsidRPr="00A80935" w:rsidRDefault="00903BFF" w:rsidP="00903BFF">
      <w:pPr>
        <w:pStyle w:val="aa"/>
        <w:numPr>
          <w:ilvl w:val="0"/>
          <w:numId w:val="13"/>
        </w:numPr>
        <w:tabs>
          <w:tab w:val="left" w:pos="0"/>
        </w:tabs>
        <w:ind w:left="0" w:firstLine="426"/>
        <w:jc w:val="both"/>
        <w:rPr>
          <w:rStyle w:val="FontStyle84"/>
          <w:rFonts w:ascii="Times New Roman" w:hAnsi="Times New Roman" w:cs="Times New Roman"/>
          <w:b/>
          <w:i/>
          <w:sz w:val="24"/>
          <w:szCs w:val="24"/>
          <w:lang w:val="ro-MD"/>
        </w:rPr>
      </w:pPr>
      <w:r w:rsidRPr="00A80935">
        <w:rPr>
          <w:b/>
          <w:i/>
          <w:lang w:val="ro-MD"/>
        </w:rPr>
        <w:lastRenderedPageBreak/>
        <w:t>Unele APL, fiind responsabile în temeiul prevederilor legale</w:t>
      </w:r>
      <w:r w:rsidRPr="00A80935">
        <w:rPr>
          <w:rStyle w:val="a9"/>
          <w:rFonts w:eastAsia="Nimbus Sans L"/>
          <w:b/>
          <w:i/>
          <w:lang w:val="ro-MD"/>
        </w:rPr>
        <w:footnoteReference w:id="20"/>
      </w:r>
      <w:r w:rsidRPr="00A80935">
        <w:rPr>
          <w:b/>
          <w:i/>
          <w:lang w:val="ro-MD"/>
        </w:rPr>
        <w:t xml:space="preserve"> de exercitarea controlului asupra integrității și folosirii eficiente a patrimoniului public al UAT, nu au asigurat utilitatea lui socială și economică pentru colectivitatea locală și întreținerea constructivă corespunzătoare, ceea ce determină degradarea și epuizarea unor mijloace fixe pentru viitor.</w:t>
      </w:r>
    </w:p>
    <w:p w:rsidR="00903BFF" w:rsidRPr="00A80935" w:rsidRDefault="00903BFF" w:rsidP="00903BFF">
      <w:pPr>
        <w:pStyle w:val="Style39"/>
        <w:widowControl/>
        <w:tabs>
          <w:tab w:val="left" w:pos="567"/>
        </w:tabs>
        <w:spacing w:after="120" w:line="240" w:lineRule="auto"/>
        <w:ind w:right="10" w:firstLine="567"/>
        <w:rPr>
          <w:rStyle w:val="FontStyle84"/>
          <w:rFonts w:ascii="Times New Roman" w:hAnsi="Times New Roman" w:cs="Times New Roman"/>
          <w:sz w:val="24"/>
          <w:szCs w:val="24"/>
          <w:lang w:val="ro-MD" w:eastAsia="ro-MD"/>
        </w:rPr>
      </w:pPr>
      <w:r w:rsidRPr="00A80935">
        <w:rPr>
          <w:rStyle w:val="FontStyle84"/>
          <w:rFonts w:ascii="Times New Roman" w:hAnsi="Times New Roman" w:cs="Times New Roman"/>
          <w:sz w:val="24"/>
          <w:szCs w:val="24"/>
          <w:lang w:val="ro-MD" w:eastAsia="ro-MD"/>
        </w:rPr>
        <w:t>În susținerea observației, se relevă următoarele:</w:t>
      </w:r>
    </w:p>
    <w:p w:rsidR="00903BFF" w:rsidRPr="00A80935" w:rsidRDefault="00903BFF" w:rsidP="00903BFF">
      <w:pPr>
        <w:pStyle w:val="Style39"/>
        <w:widowControl/>
        <w:numPr>
          <w:ilvl w:val="0"/>
          <w:numId w:val="43"/>
        </w:numPr>
        <w:spacing w:after="120" w:line="240" w:lineRule="auto"/>
        <w:ind w:left="0" w:right="10" w:firstLine="426"/>
        <w:rPr>
          <w:rFonts w:ascii="Times New Roman" w:hAnsi="Times New Roman" w:cs="Times New Roman"/>
          <w:lang w:val="ro-MD"/>
        </w:rPr>
      </w:pPr>
      <w:r w:rsidRPr="00A80935">
        <w:rPr>
          <w:rStyle w:val="FontStyle84"/>
          <w:rFonts w:ascii="Times New Roman" w:hAnsi="Times New Roman" w:cs="Times New Roman"/>
          <w:sz w:val="24"/>
          <w:szCs w:val="24"/>
          <w:lang w:val="ro-MD" w:eastAsia="ro-MD"/>
        </w:rPr>
        <w:t xml:space="preserve">o parte din clădirile aflate în proprietatea UAT </w:t>
      </w:r>
      <w:r w:rsidRPr="00A80935">
        <w:rPr>
          <w:rFonts w:ascii="Times New Roman" w:hAnsi="Times New Roman" w:cs="Times New Roman"/>
          <w:color w:val="000000"/>
          <w:lang w:val="ro-MD" w:eastAsia="ro-MD"/>
        </w:rPr>
        <w:t>nu sînt folosite conform destinației, unele din ele fiind într-o stare deplorabilă (acoperișul, construcțiile interioare și exterioare, ușile și ferestrele etc.), în consecință necesitînd investiții sau reparații capitale considerabile pentru restabilire. În acest sens, se exemplifică mijloacele fixe administrate de următoarele entități:</w:t>
      </w:r>
      <w:r w:rsidRPr="00A80935">
        <w:rPr>
          <w:rFonts w:ascii="Times New Roman" w:hAnsi="Times New Roman" w:cs="Times New Roman"/>
          <w:lang w:val="ro-MD"/>
        </w:rPr>
        <w:t xml:space="preserve"> </w:t>
      </w:r>
      <w:r w:rsidRPr="00A80935">
        <w:rPr>
          <w:rFonts w:ascii="Times New Roman" w:hAnsi="Times New Roman" w:cs="Times New Roman"/>
          <w:color w:val="000000"/>
          <w:lang w:val="ro-MD" w:eastAsia="ro-MD"/>
        </w:rPr>
        <w:t xml:space="preserve">CR – clădirea cu 2 etaje (cu valoarea de 593,7 mii lei); </w:t>
      </w:r>
      <w:r w:rsidRPr="00A80935">
        <w:rPr>
          <w:rFonts w:ascii="Times New Roman" w:hAnsi="Times New Roman" w:cs="Times New Roman"/>
          <w:lang w:val="ro-MD"/>
        </w:rPr>
        <w:t>primăria com. Chișcăreni – cinci bunuri imobile (1248,7 mii lei)</w:t>
      </w:r>
      <w:r w:rsidRPr="00A80935">
        <w:rPr>
          <w:rFonts w:ascii="Times New Roman" w:hAnsi="Times New Roman" w:cs="Times New Roman"/>
          <w:vertAlign w:val="superscript"/>
          <w:lang w:val="ro-MD"/>
        </w:rPr>
        <w:footnoteReference w:id="21"/>
      </w:r>
      <w:r w:rsidRPr="00A80935">
        <w:rPr>
          <w:rFonts w:ascii="Times New Roman" w:hAnsi="Times New Roman" w:cs="Times New Roman"/>
          <w:lang w:val="ro-MD"/>
        </w:rPr>
        <w:t>; primăria com. Coșcodeni – patru bunuri imobile (502,2 mii lei)</w:t>
      </w:r>
      <w:r w:rsidRPr="00A80935">
        <w:rPr>
          <w:rFonts w:ascii="Times New Roman" w:hAnsi="Times New Roman" w:cs="Times New Roman"/>
          <w:vertAlign w:val="superscript"/>
          <w:lang w:val="ro-MD"/>
        </w:rPr>
        <w:footnoteReference w:id="22"/>
      </w:r>
      <w:r w:rsidRPr="00A80935">
        <w:rPr>
          <w:rFonts w:ascii="Times New Roman" w:hAnsi="Times New Roman" w:cs="Times New Roman"/>
          <w:lang w:val="ro-MD"/>
        </w:rPr>
        <w:t>; primăria com. Drăgănești – două bunuri imobile (77,7 mii lei)</w:t>
      </w:r>
      <w:r w:rsidRPr="00A80935">
        <w:rPr>
          <w:rStyle w:val="a9"/>
          <w:rFonts w:ascii="Times New Roman" w:hAnsi="Times New Roman" w:cs="Times New Roman"/>
          <w:lang w:val="ro-MD"/>
        </w:rPr>
        <w:footnoteReference w:id="23"/>
      </w:r>
      <w:r w:rsidRPr="00A80935">
        <w:rPr>
          <w:rFonts w:ascii="Times New Roman" w:hAnsi="Times New Roman" w:cs="Times New Roman"/>
          <w:color w:val="000000"/>
          <w:lang w:val="ro-MD" w:eastAsia="ro-MD"/>
        </w:rPr>
        <w:t>; primăria com. Sîngereii Noi – două bunuri imobile (1008,1 mii lei)</w:t>
      </w:r>
      <w:r w:rsidRPr="00A80935">
        <w:rPr>
          <w:rStyle w:val="a9"/>
          <w:rFonts w:ascii="Times New Roman" w:hAnsi="Times New Roman" w:cs="Times New Roman"/>
          <w:color w:val="000000"/>
          <w:lang w:val="ro-MD" w:eastAsia="ro-MD"/>
        </w:rPr>
        <w:footnoteReference w:id="24"/>
      </w:r>
      <w:r w:rsidRPr="00A80935">
        <w:rPr>
          <w:rFonts w:ascii="Times New Roman" w:hAnsi="Times New Roman" w:cs="Times New Roman"/>
          <w:color w:val="000000"/>
          <w:lang w:val="ro-MD" w:eastAsia="ro-MD"/>
        </w:rPr>
        <w:t>; primăria com. Cubolta – două bunuri imobile (2414,7 mii lei)</w:t>
      </w:r>
      <w:r w:rsidRPr="00A80935">
        <w:rPr>
          <w:rStyle w:val="a9"/>
          <w:rFonts w:ascii="Times New Roman" w:hAnsi="Times New Roman" w:cs="Times New Roman"/>
          <w:color w:val="000000"/>
          <w:lang w:val="ro-MD" w:eastAsia="ro-MD"/>
        </w:rPr>
        <w:footnoteReference w:id="25"/>
      </w:r>
      <w:r w:rsidRPr="00A80935">
        <w:rPr>
          <w:rFonts w:ascii="Times New Roman" w:hAnsi="Times New Roman" w:cs="Times New Roman"/>
          <w:color w:val="000000"/>
          <w:lang w:val="ro-MD" w:eastAsia="ro-MD"/>
        </w:rPr>
        <w:t xml:space="preserve">; </w:t>
      </w:r>
      <w:r w:rsidRPr="00A80935">
        <w:rPr>
          <w:rFonts w:ascii="Times New Roman" w:hAnsi="Times New Roman" w:cs="Times New Roman"/>
          <w:lang w:val="ro-MD"/>
        </w:rPr>
        <w:t>primăria or. Biruința – două bunuri imobile (1200,9 mii lei)</w:t>
      </w:r>
      <w:r w:rsidRPr="00A80935">
        <w:rPr>
          <w:rStyle w:val="a9"/>
          <w:rFonts w:ascii="Times New Roman" w:hAnsi="Times New Roman" w:cs="Times New Roman"/>
          <w:lang w:val="ro-MD"/>
        </w:rPr>
        <w:footnoteReference w:id="26"/>
      </w:r>
      <w:r w:rsidRPr="00A80935">
        <w:rPr>
          <w:rFonts w:ascii="Times New Roman" w:hAnsi="Times New Roman" w:cs="Times New Roman"/>
          <w:lang w:val="ro-MD"/>
        </w:rPr>
        <w:t>;</w:t>
      </w:r>
    </w:p>
    <w:p w:rsidR="00903BFF" w:rsidRPr="00A80935" w:rsidRDefault="00903BFF" w:rsidP="00903BFF">
      <w:pPr>
        <w:pStyle w:val="Style39"/>
        <w:widowControl/>
        <w:numPr>
          <w:ilvl w:val="0"/>
          <w:numId w:val="43"/>
        </w:numPr>
        <w:spacing w:line="240" w:lineRule="auto"/>
        <w:ind w:left="0" w:right="10" w:firstLine="426"/>
        <w:rPr>
          <w:rFonts w:ascii="Times New Roman" w:hAnsi="Times New Roman" w:cs="Times New Roman"/>
          <w:lang w:val="ro-MD"/>
        </w:rPr>
      </w:pPr>
      <w:r w:rsidRPr="00A80935">
        <w:rPr>
          <w:rFonts w:ascii="Times New Roman" w:hAnsi="Times New Roman" w:cs="Times New Roman"/>
          <w:lang w:val="ro-MD"/>
        </w:rPr>
        <w:t>unele mijloace fixe, deși sînt reflectate în evidența contabilă, deja sînt uzate total și nu pot fi utilizate conform destinației: la primăria com. Coșcodeni – instalațiile de transmisie/construcții speciale</w:t>
      </w:r>
      <w:r w:rsidRPr="00A80935">
        <w:rPr>
          <w:rFonts w:ascii="Times New Roman" w:hAnsi="Times New Roman" w:cs="Times New Roman"/>
          <w:vertAlign w:val="superscript"/>
          <w:lang w:val="ro-MD"/>
        </w:rPr>
        <w:footnoteReference w:id="27"/>
      </w:r>
      <w:r w:rsidRPr="00A80935">
        <w:rPr>
          <w:rFonts w:ascii="Times New Roman" w:hAnsi="Times New Roman" w:cs="Times New Roman"/>
          <w:lang w:val="ro-MD"/>
        </w:rPr>
        <w:t xml:space="preserve"> (cu valoarea de bilanț de 57,5 mii lei), 6 bunuri mobile</w:t>
      </w:r>
      <w:r w:rsidRPr="00A80935">
        <w:rPr>
          <w:rFonts w:ascii="Times New Roman" w:hAnsi="Times New Roman" w:cs="Times New Roman"/>
          <w:vertAlign w:val="superscript"/>
          <w:lang w:val="ro-MD"/>
        </w:rPr>
        <w:footnoteReference w:id="28"/>
      </w:r>
      <w:r w:rsidRPr="00A80935">
        <w:rPr>
          <w:rFonts w:ascii="Times New Roman" w:hAnsi="Times New Roman" w:cs="Times New Roman"/>
          <w:lang w:val="ro-MD"/>
        </w:rPr>
        <w:t xml:space="preserve"> (33,6 mii lei); la primăria com. Cubolta – fîntîna arteziană (7,0 mii lei); la primăria s. Rădoaia – 2 bunuri mobile</w:t>
      </w:r>
      <w:r w:rsidRPr="00A80935">
        <w:rPr>
          <w:rFonts w:ascii="Times New Roman" w:hAnsi="Times New Roman" w:cs="Times New Roman"/>
          <w:vertAlign w:val="superscript"/>
          <w:lang w:val="ro-MD"/>
        </w:rPr>
        <w:footnoteReference w:id="29"/>
      </w:r>
      <w:r w:rsidRPr="00A80935">
        <w:rPr>
          <w:rFonts w:ascii="Times New Roman" w:hAnsi="Times New Roman" w:cs="Times New Roman"/>
          <w:lang w:val="ro-MD"/>
        </w:rPr>
        <w:t xml:space="preserve"> (57,4 mii lei), trei fîntîni arteziene (417,0 mii lei), 2 apeducte</w:t>
      </w:r>
      <w:r w:rsidRPr="00A80935">
        <w:rPr>
          <w:rFonts w:ascii="Times New Roman" w:hAnsi="Times New Roman" w:cs="Times New Roman"/>
          <w:vertAlign w:val="superscript"/>
          <w:lang w:val="ro-MD"/>
        </w:rPr>
        <w:footnoteReference w:id="30"/>
      </w:r>
      <w:r w:rsidRPr="00A80935">
        <w:rPr>
          <w:rFonts w:ascii="Times New Roman" w:hAnsi="Times New Roman" w:cs="Times New Roman"/>
          <w:lang w:val="ro-MD"/>
        </w:rPr>
        <w:t xml:space="preserve"> (105,0 mii lei),</w:t>
      </w:r>
      <w:r w:rsidRPr="00A80935">
        <w:rPr>
          <w:rFonts w:ascii="Times New Roman" w:eastAsia="Calibri" w:hAnsi="Times New Roman" w:cs="Times New Roman"/>
          <w:lang w:val="ro-MD"/>
        </w:rPr>
        <w:t xml:space="preserve"> </w:t>
      </w:r>
      <w:r w:rsidRPr="00A80935">
        <w:rPr>
          <w:rFonts w:ascii="Times New Roman" w:hAnsi="Times New Roman" w:cs="Times New Roman"/>
          <w:lang w:val="ro-MD"/>
        </w:rPr>
        <w:t>rețelele de canalizare și instalațiile de purificare subterane de la liceu (3341,0 mii lei).</w:t>
      </w:r>
    </w:p>
    <w:p w:rsidR="00903BFF" w:rsidRPr="00A80935" w:rsidRDefault="00903BFF" w:rsidP="00903BFF">
      <w:pPr>
        <w:pStyle w:val="a3"/>
        <w:widowControl/>
        <w:numPr>
          <w:ilvl w:val="0"/>
          <w:numId w:val="34"/>
        </w:numPr>
        <w:tabs>
          <w:tab w:val="clear" w:pos="709"/>
          <w:tab w:val="left" w:pos="0"/>
        </w:tabs>
        <w:suppressAutoHyphens w:val="0"/>
        <w:autoSpaceDN/>
        <w:spacing w:after="120" w:line="240" w:lineRule="auto"/>
        <w:ind w:left="0" w:right="10" w:firstLine="426"/>
        <w:textAlignment w:val="auto"/>
        <w:rPr>
          <w:rFonts w:ascii="Times New Roman" w:hAnsi="Times New Roman"/>
          <w:lang w:val="ro-MD"/>
        </w:rPr>
      </w:pPr>
      <w:r w:rsidRPr="00A80935">
        <w:rPr>
          <w:rFonts w:ascii="Times New Roman" w:hAnsi="Times New Roman"/>
          <w:i/>
          <w:lang w:val="ro-MD"/>
        </w:rPr>
        <w:t xml:space="preserve">Unele complexe imobiliare nu au fost administrate cu prudență, astfel nefiind intactă unitatea și destinația edilitară a lor, iar o parte din construcții, instalații și utilaje tehnice la moment sînt distruse sau lipsesc, fapte nedocumentate de APL prin inventarieri anuale. </w:t>
      </w:r>
      <w:r w:rsidRPr="00A80935">
        <w:rPr>
          <w:rFonts w:ascii="Times New Roman" w:hAnsi="Times New Roman"/>
          <w:lang w:val="ro-MD"/>
        </w:rPr>
        <w:t>Astfel,</w:t>
      </w:r>
    </w:p>
    <w:p w:rsidR="00903BFF" w:rsidRPr="00A80935" w:rsidRDefault="00903BFF" w:rsidP="00903BFF">
      <w:pPr>
        <w:pStyle w:val="aa"/>
        <w:numPr>
          <w:ilvl w:val="0"/>
          <w:numId w:val="35"/>
        </w:numPr>
        <w:tabs>
          <w:tab w:val="left" w:pos="0"/>
        </w:tabs>
        <w:spacing w:after="120"/>
        <w:ind w:left="0" w:right="10" w:firstLine="426"/>
        <w:jc w:val="both"/>
        <w:rPr>
          <w:color w:val="000000"/>
          <w:lang w:val="ro-MD" w:eastAsia="ro-MD"/>
        </w:rPr>
      </w:pPr>
      <w:r w:rsidRPr="00A80935">
        <w:rPr>
          <w:i/>
          <w:color w:val="000000"/>
          <w:lang w:val="ro-MD" w:eastAsia="ro-MD"/>
        </w:rPr>
        <w:t>la primăria or. Biruința</w:t>
      </w:r>
      <w:r w:rsidRPr="00A80935">
        <w:rPr>
          <w:color w:val="000000"/>
          <w:lang w:val="ro-MD" w:eastAsia="ro-MD"/>
        </w:rPr>
        <w:t>:</w:t>
      </w:r>
      <w:r w:rsidRPr="00A80935">
        <w:rPr>
          <w:lang w:val="ro-MD"/>
        </w:rPr>
        <w:t xml:space="preserve"> </w:t>
      </w:r>
      <w:r w:rsidRPr="00A80935">
        <w:rPr>
          <w:color w:val="000000"/>
          <w:lang w:val="ro-MD" w:eastAsia="ro-MD"/>
        </w:rPr>
        <w:t>clădirile/construcțiile stației de evacuare a apelor uzate (8 clădiri/construcții)</w:t>
      </w:r>
      <w:r w:rsidRPr="00A80935">
        <w:rPr>
          <w:color w:val="000000"/>
          <w:vertAlign w:val="superscript"/>
          <w:lang w:val="ro-MD" w:eastAsia="ro-MD"/>
        </w:rPr>
        <w:footnoteReference w:id="31"/>
      </w:r>
      <w:r w:rsidRPr="00A80935">
        <w:rPr>
          <w:color w:val="000000"/>
          <w:lang w:val="ro-MD" w:eastAsia="ro-MD"/>
        </w:rPr>
        <w:t>, cu valoarea de bilanț de 1600,0 mii lei, sînt într-o stare deplorabilă și nu pot fi utilizate conform destinației. Instalațiile și utilajele tehnice cu valoarea de 954,9 mii lei</w:t>
      </w:r>
      <w:r w:rsidRPr="00A80935">
        <w:rPr>
          <w:color w:val="000000"/>
          <w:vertAlign w:val="superscript"/>
          <w:lang w:val="ro-MD" w:eastAsia="ro-MD"/>
        </w:rPr>
        <w:footnoteReference w:id="32"/>
      </w:r>
      <w:r w:rsidRPr="00A80935">
        <w:rPr>
          <w:color w:val="000000"/>
          <w:lang w:val="ro-MD" w:eastAsia="ro-MD"/>
        </w:rPr>
        <w:t xml:space="preserve">, care urmează să asigure procesul tehnologic al stației, astăzi, în marea majoritate, nu există în stoc, acest fapt, nefiind documentat pe parcursul ultimilor ani. De la procurarea stației (2009) și pînă în prezent primăria or. Biruința nu a reflectat în evidența contabilă instalațiile și utilajele tehnice și nu a efectuat inventarierea anuală a lor, astfel nefiind respectate prevederile Regulamentului aprobat prin Ordinul ministrului Finanțelor nr.60 din 29.05.2012. De menționat că primăria, prin intermediul întreprinderii municipale, exploatează doar Stația de pompare (o construcție), unde există doar o parte a utilajului (pompe), rețeaua de canalizare și un bazin de acumulare a apelor uzate. Celelalte bazine de acumulare și 7 construcții/clădiri nu se utilizează din anul procurării stației, cauza fiind volumul mic al apelor uzate pentru a asigura funcționarea stației de evacuare </w:t>
      </w:r>
      <w:r w:rsidRPr="00A80935">
        <w:rPr>
          <w:color w:val="000000"/>
          <w:lang w:val="ro-MD" w:eastAsia="ro-MD"/>
        </w:rPr>
        <w:lastRenderedPageBreak/>
        <w:t>conform capacităților de proiect</w:t>
      </w:r>
      <w:r w:rsidRPr="00A80935">
        <w:rPr>
          <w:color w:val="000000"/>
          <w:vertAlign w:val="superscript"/>
          <w:lang w:val="ro-MD" w:eastAsia="ro-MD"/>
        </w:rPr>
        <w:footnoteReference w:id="33"/>
      </w:r>
      <w:r w:rsidRPr="00A80935">
        <w:rPr>
          <w:color w:val="000000"/>
          <w:lang w:val="ro-MD" w:eastAsia="ro-MD"/>
        </w:rPr>
        <w:t>. Totodată, în prezent primăria or. Biruința și primăria com. Alexăndreni, care este proprietar al terenurilor cu suprafața de 108,1 ha aferente stației de evacuare, se află în litigiu civil, obiectul cauzei fiind încasarea plății de arendă pentru terenurile aferente stației. Litigiul în cauză nu are soluție favorabilă pentru primăria or. Biruința, în cazul în care aceasta va fi obligată să achite plata de arendă pentru terenurile aferente clădirilor și bazinelor de acumulare ale stației de evacuare, care practic astăzi nu poate fi utilizată;</w:t>
      </w:r>
    </w:p>
    <w:p w:rsidR="00903BFF" w:rsidRPr="00A80935" w:rsidRDefault="00903BFF" w:rsidP="00903BFF">
      <w:pPr>
        <w:pStyle w:val="aa"/>
        <w:numPr>
          <w:ilvl w:val="0"/>
          <w:numId w:val="35"/>
        </w:numPr>
        <w:tabs>
          <w:tab w:val="left" w:pos="0"/>
        </w:tabs>
        <w:spacing w:after="120"/>
        <w:ind w:left="0" w:right="10" w:firstLine="426"/>
        <w:jc w:val="both"/>
        <w:rPr>
          <w:lang w:val="ro-MD" w:eastAsia="ro-MD"/>
        </w:rPr>
      </w:pPr>
      <w:r w:rsidRPr="00A80935">
        <w:rPr>
          <w:i/>
          <w:lang w:val="ro-MD"/>
        </w:rPr>
        <w:t>la primăria s. Rădoaia</w:t>
      </w:r>
      <w:r w:rsidRPr="00A80935">
        <w:rPr>
          <w:lang w:val="ro-MD"/>
        </w:rPr>
        <w:t>: în temeiul HG nr.158 din 14.02.2003</w:t>
      </w:r>
      <w:r w:rsidRPr="00A80935">
        <w:rPr>
          <w:vertAlign w:val="superscript"/>
          <w:lang w:val="ro-MD" w:eastAsia="en-US"/>
        </w:rPr>
        <w:footnoteReference w:id="34"/>
      </w:r>
      <w:r w:rsidRPr="00A80935">
        <w:rPr>
          <w:lang w:val="ro-MD" w:eastAsia="en-US"/>
        </w:rPr>
        <w:t>,</w:t>
      </w:r>
      <w:r w:rsidRPr="00A80935">
        <w:rPr>
          <w:lang w:val="ro-MD"/>
        </w:rPr>
        <w:t xml:space="preserve"> primăriei i-a fost transmis la balanță cu titlu gratuit complexul imobil „Tabăra militară Rădoaia”, (38 unități de clădiri și edificii și 9 unități de rețele inginerești și amenajări). Ulterior, prin delimitarea terenurilor aferente complexului menționat, au fost formate 2 bunuri imobiliare, acestea fiind înregistrate în Registrul bunurilor imobile la OCT: 4 construcții</w:t>
      </w:r>
      <w:r w:rsidRPr="00A80935">
        <w:rPr>
          <w:rStyle w:val="a9"/>
          <w:lang w:val="ro-MD"/>
        </w:rPr>
        <w:footnoteReference w:id="35"/>
      </w:r>
      <w:r w:rsidRPr="00A80935">
        <w:rPr>
          <w:lang w:val="ro-MD"/>
        </w:rPr>
        <w:t xml:space="preserve"> și terenul aferent de 1,5 ha; 14 construcții</w:t>
      </w:r>
      <w:r w:rsidRPr="00A80935">
        <w:rPr>
          <w:rStyle w:val="a9"/>
          <w:lang w:val="ro-MD"/>
        </w:rPr>
        <w:footnoteReference w:id="36"/>
      </w:r>
      <w:r w:rsidRPr="00A80935">
        <w:rPr>
          <w:lang w:val="ro-MD"/>
        </w:rPr>
        <w:t xml:space="preserve"> și terenul aferent de 20,8 ha, în total 28 de construcții și 22,4 ha de terenuri aferente. </w:t>
      </w:r>
    </w:p>
    <w:p w:rsidR="00903BFF" w:rsidRPr="00A80935" w:rsidRDefault="00903BFF" w:rsidP="00903BFF">
      <w:pPr>
        <w:tabs>
          <w:tab w:val="left" w:pos="0"/>
          <w:tab w:val="left" w:pos="567"/>
        </w:tabs>
        <w:spacing w:after="0" w:line="240" w:lineRule="auto"/>
        <w:ind w:right="11"/>
        <w:jc w:val="both"/>
        <w:rPr>
          <w:sz w:val="24"/>
          <w:szCs w:val="24"/>
          <w:lang w:val="ro-MD" w:eastAsia="ro-MD"/>
        </w:rPr>
      </w:pPr>
      <w:r w:rsidRPr="00A80935">
        <w:rPr>
          <w:sz w:val="24"/>
          <w:szCs w:val="24"/>
          <w:lang w:val="ro-MD"/>
        </w:rPr>
        <w:tab/>
      </w:r>
      <w:r w:rsidRPr="00A80935">
        <w:rPr>
          <w:rFonts w:ascii="Times New Roman" w:hAnsi="Times New Roman"/>
          <w:sz w:val="24"/>
          <w:szCs w:val="24"/>
          <w:lang w:val="ro-MD"/>
        </w:rPr>
        <w:t>Totodată, conform datelor evidenței contabile la situația din 01.01.2016, în evidență sînt reflectate doar 23 de construcții cu valoarea de bilanț de 2939,4 mii lei.</w:t>
      </w:r>
      <w:r w:rsidRPr="00A80935">
        <w:rPr>
          <w:rFonts w:ascii="Times New Roman" w:hAnsi="Times New Roman"/>
          <w:color w:val="000000"/>
          <w:sz w:val="24"/>
          <w:szCs w:val="24"/>
          <w:lang w:val="ro-MD" w:eastAsia="ro-MD"/>
        </w:rPr>
        <w:t xml:space="preserve"> </w:t>
      </w:r>
      <w:r w:rsidRPr="00A80935">
        <w:rPr>
          <w:rFonts w:ascii="Times New Roman" w:hAnsi="Times New Roman"/>
          <w:sz w:val="24"/>
          <w:szCs w:val="24"/>
          <w:lang w:val="ro-MD"/>
        </w:rPr>
        <w:t>Prin urmare, numărul de construcții din cadrul complexului imobil „Tabăra militară Rădoaia” reflectate în evidența contabilă (23 de construcții) nu coincide datelor din Registrul bunurilor imobile (28 de construcții) și datelor din Lista bunurilor transmise prin HG nr.158 din 14.02.2003 (38 de construcții – 3796,5 mii lei). În acest context, se relevă că primăria nu a contabilizat 9 unități de rețele inginerești și amenajări</w:t>
      </w:r>
      <w:r w:rsidRPr="00A80935">
        <w:rPr>
          <w:rStyle w:val="a9"/>
          <w:rFonts w:ascii="Times New Roman" w:hAnsi="Times New Roman"/>
          <w:sz w:val="24"/>
          <w:szCs w:val="24"/>
          <w:lang w:val="ro-MD"/>
        </w:rPr>
        <w:footnoteReference w:id="37"/>
      </w:r>
      <w:r w:rsidRPr="00A80935">
        <w:rPr>
          <w:rFonts w:ascii="Times New Roman" w:hAnsi="Times New Roman"/>
          <w:sz w:val="24"/>
          <w:szCs w:val="24"/>
          <w:lang w:val="ro-MD"/>
        </w:rPr>
        <w:t xml:space="preserve"> și nici nu deține documente care ar adeveri costurile lor la data primirii de la balanța Ministerului Apărării. Efectiv, serviciul contabil al primăriei nu a ținut evidența analitică a mijloacelor fixe (construcții) pe fișe de inventar f.MF-6 și nu a calculat uzura lor conform prevederilor Instrucțiunii aprobate prin Ordinul ministrului Finanțelor nr.94 din 19.07.2010. Mai mult decît atît, prin examinarea complexului imobil „Tabăra militară Rădoaia” la fața locului și comparînd observările obținute cu lista construcțiilor transmise de Ministerul Apărării, s-a constatat că 18 construcții</w:t>
      </w:r>
      <w:r w:rsidRPr="00A80935">
        <w:rPr>
          <w:rStyle w:val="a9"/>
          <w:rFonts w:ascii="Times New Roman" w:hAnsi="Times New Roman"/>
          <w:sz w:val="24"/>
          <w:szCs w:val="24"/>
          <w:lang w:val="ro-MD"/>
        </w:rPr>
        <w:footnoteReference w:id="38"/>
      </w:r>
      <w:r w:rsidRPr="00A80935">
        <w:rPr>
          <w:rFonts w:ascii="Times New Roman" w:hAnsi="Times New Roman"/>
          <w:sz w:val="24"/>
          <w:szCs w:val="24"/>
          <w:lang w:val="ro-MD"/>
        </w:rPr>
        <w:t xml:space="preserve"> sînt practic demolate. De menționat că, contrar prescripțiilor Regulamentului aprobat prin HG nr.500 din 12.05.1998</w:t>
      </w:r>
      <w:r w:rsidRPr="00A80935">
        <w:rPr>
          <w:rFonts w:ascii="Times New Roman" w:hAnsi="Times New Roman"/>
          <w:sz w:val="24"/>
          <w:szCs w:val="24"/>
          <w:vertAlign w:val="superscript"/>
          <w:lang w:val="ro-MD"/>
        </w:rPr>
        <w:footnoteReference w:id="39"/>
      </w:r>
      <w:r w:rsidRPr="00A80935">
        <w:rPr>
          <w:rFonts w:ascii="Times New Roman" w:hAnsi="Times New Roman"/>
          <w:sz w:val="24"/>
          <w:szCs w:val="24"/>
          <w:lang w:val="ro-MD"/>
        </w:rPr>
        <w:t xml:space="preserve"> și pct.79 din Instrucțiunea aprobată prin Ordinul ministrului Finanțelor nr.94 din 19.07.2010, demolarea construcțiilor s-a efectuat neregulamentar, nefiind adoptate deciziile CL de casare a construcțiilor, nefiind documentate lucrările de demolare și întocmite actele de luare în evidență a materialelor de construcție rezultate. În același context, se relevă că </w:t>
      </w:r>
      <w:r w:rsidRPr="00A80935">
        <w:rPr>
          <w:rFonts w:ascii="Times New Roman" w:hAnsi="Times New Roman"/>
          <w:color w:val="000000"/>
          <w:sz w:val="24"/>
          <w:szCs w:val="24"/>
          <w:lang w:val="ro-MD" w:eastAsia="ro-MD"/>
        </w:rPr>
        <w:t>10 clădiri, cu valoarea de bilanț de 1914,2 mii lei, au o stare fizică deplorabilă, nu pot fi utilizate conform destinației</w:t>
      </w:r>
      <w:r w:rsidRPr="00A80935">
        <w:rPr>
          <w:rFonts w:ascii="Times New Roman" w:hAnsi="Times New Roman"/>
          <w:color w:val="000000"/>
          <w:sz w:val="24"/>
          <w:szCs w:val="24"/>
          <w:vertAlign w:val="superscript"/>
          <w:lang w:val="ro-MD" w:eastAsia="ro-MD"/>
        </w:rPr>
        <w:footnoteReference w:id="40"/>
      </w:r>
      <w:r w:rsidRPr="00A80935">
        <w:rPr>
          <w:rFonts w:ascii="Times New Roman" w:hAnsi="Times New Roman"/>
          <w:color w:val="000000"/>
          <w:sz w:val="24"/>
          <w:szCs w:val="24"/>
          <w:lang w:val="ro-MD" w:eastAsia="ro-MD"/>
        </w:rPr>
        <w:t xml:space="preserve"> și necesită investiții considerabile pentru a fi renovate (elementele constructive interioare și exterioare, ușile, ferestrele). Utilizabile sînt doar 3 clădiri</w:t>
      </w:r>
      <w:r w:rsidRPr="00A80935">
        <w:rPr>
          <w:rStyle w:val="a9"/>
          <w:rFonts w:ascii="Times New Roman" w:hAnsi="Times New Roman"/>
          <w:color w:val="000000"/>
          <w:sz w:val="24"/>
          <w:szCs w:val="24"/>
          <w:lang w:val="ro-MD" w:eastAsia="ro-MD"/>
        </w:rPr>
        <w:footnoteReference w:id="41"/>
      </w:r>
      <w:r w:rsidRPr="00A80935">
        <w:rPr>
          <w:rFonts w:ascii="Times New Roman" w:hAnsi="Times New Roman"/>
          <w:color w:val="000000"/>
          <w:sz w:val="24"/>
          <w:szCs w:val="24"/>
          <w:lang w:val="ro-MD" w:eastAsia="ro-MD"/>
        </w:rPr>
        <w:t>, care se dau în locațiune la 2 persoane juridice de drept privat, pentru organizarea odihnei copiilor în tabăra de vară.</w:t>
      </w:r>
    </w:p>
    <w:p w:rsidR="00903BFF" w:rsidRPr="00A80935" w:rsidRDefault="00903BFF" w:rsidP="00903BFF">
      <w:pPr>
        <w:pStyle w:val="aa"/>
        <w:tabs>
          <w:tab w:val="left" w:pos="0"/>
        </w:tabs>
        <w:ind w:left="0" w:right="11"/>
        <w:jc w:val="both"/>
        <w:rPr>
          <w:lang w:val="ro-MD" w:eastAsia="ro-MD"/>
        </w:rPr>
      </w:pPr>
    </w:p>
    <w:p w:rsidR="00903BFF" w:rsidRPr="00A80935" w:rsidRDefault="00903BFF" w:rsidP="00903BFF">
      <w:pPr>
        <w:pStyle w:val="aa"/>
        <w:numPr>
          <w:ilvl w:val="0"/>
          <w:numId w:val="15"/>
        </w:numPr>
        <w:tabs>
          <w:tab w:val="left" w:pos="0"/>
        </w:tabs>
        <w:ind w:left="0" w:firstLine="426"/>
        <w:jc w:val="both"/>
        <w:rPr>
          <w:lang w:val="ro-MD"/>
        </w:rPr>
      </w:pPr>
      <w:r w:rsidRPr="00A80935">
        <w:rPr>
          <w:b/>
          <w:i/>
          <w:lang w:val="ro-MD"/>
        </w:rPr>
        <w:t>AAPL nu au aplicat prevederile Regulamentelor aprobate prin HG nr.580 din 08.05.2008 și HG nr.875 din 21.10.2014</w:t>
      </w:r>
      <w:r w:rsidRPr="00A80935">
        <w:rPr>
          <w:rStyle w:val="a9"/>
          <w:rFonts w:eastAsia="Nimbus Sans L"/>
          <w:b/>
          <w:i/>
          <w:lang w:val="ro-MD"/>
        </w:rPr>
        <w:footnoteReference w:id="42"/>
      </w:r>
      <w:r w:rsidRPr="00A80935">
        <w:rPr>
          <w:b/>
          <w:i/>
          <w:lang w:val="ro-MD"/>
        </w:rPr>
        <w:t xml:space="preserve"> și pe parcursul anilor trecuți nu au efectuat activitatea </w:t>
      </w:r>
      <w:r w:rsidRPr="00A80935">
        <w:rPr>
          <w:b/>
          <w:i/>
          <w:lang w:val="ro-MD"/>
        </w:rPr>
        <w:lastRenderedPageBreak/>
        <w:t xml:space="preserve">de monitoring financiar al ÎM prin aplicarea și evaluarea indicatorilor de performanță și de rezultat (analiza evoluției indicatorilor economico-financiari: veniturile, activele și capitalul propriu, datoriile (obligațiile) întreprinderilor, riscul fiscal și solvabilitatea acestora), ceea ce condiționează neconstatarea și nesoluționarea la timp a unor riscuri operaționale în activitatea ÎM și înrăutățirea situației financiare. </w:t>
      </w:r>
      <w:r w:rsidRPr="00A80935">
        <w:rPr>
          <w:lang w:val="ro-MD"/>
        </w:rPr>
        <w:t xml:space="preserve">Astfel, evaluarea activității financiare, implicit, a rentabilității întreprinderilor vizate și elaborarea unor planuri manageriale de remediere a rezultatelor operaționale negative nu sînt efectuate de către fondatori în cazul în care balanța de plăți dintre datoriile debitoare și creanțele înregistrate este negativă, iar ÎM anual obțin pierderi nete din activitatea economică desfășurată. </w:t>
      </w:r>
    </w:p>
    <w:p w:rsidR="00903BFF" w:rsidRPr="00A80935" w:rsidRDefault="00903BFF" w:rsidP="00903BFF">
      <w:pPr>
        <w:pStyle w:val="aa"/>
        <w:widowControl w:val="0"/>
        <w:tabs>
          <w:tab w:val="left" w:pos="0"/>
        </w:tabs>
        <w:suppressAutoHyphens/>
        <w:autoSpaceDN w:val="0"/>
        <w:ind w:left="0" w:firstLine="567"/>
        <w:jc w:val="both"/>
        <w:textAlignment w:val="baseline"/>
        <w:rPr>
          <w:rStyle w:val="FontStyle56"/>
          <w:rFonts w:ascii="Times New Roman" w:hAnsi="Times New Roman" w:cs="Times New Roman"/>
          <w:sz w:val="24"/>
          <w:szCs w:val="24"/>
          <w:lang w:val="ro-MD" w:eastAsia="ro-MD"/>
        </w:rPr>
      </w:pPr>
      <w:r w:rsidRPr="00A80935">
        <w:rPr>
          <w:rStyle w:val="FontStyle56"/>
          <w:rFonts w:ascii="Times New Roman" w:hAnsi="Times New Roman" w:cs="Times New Roman"/>
          <w:sz w:val="24"/>
          <w:szCs w:val="24"/>
          <w:lang w:val="ro-MD" w:eastAsia="ro-MD"/>
        </w:rPr>
        <w:t>În această ordine de idei, se exemplifică rezultatele financiare înregistrate pentru anul 2015 și condițiile de desfășurare a activității economice ale unor ÎM:</w:t>
      </w:r>
    </w:p>
    <w:p w:rsidR="00903BFF" w:rsidRPr="00A80935" w:rsidRDefault="00903BFF" w:rsidP="00903BFF">
      <w:pPr>
        <w:pStyle w:val="aa"/>
        <w:numPr>
          <w:ilvl w:val="0"/>
          <w:numId w:val="16"/>
        </w:numPr>
        <w:tabs>
          <w:tab w:val="left" w:pos="0"/>
        </w:tabs>
        <w:ind w:left="0" w:firstLine="426"/>
        <w:jc w:val="both"/>
        <w:rPr>
          <w:lang w:val="ro-MD"/>
        </w:rPr>
      </w:pPr>
      <w:r w:rsidRPr="00A80935">
        <w:rPr>
          <w:lang w:val="ro-MD"/>
        </w:rPr>
        <w:t>ÎM „Indmetalcongaz” (fondator CR) a finalizat anul bugetar precedent cu pierderi nete în sumă de 172,6 mii lei, balanța de plăți fiind negativă (constituind 138,5 mii lei). Ca urmare a situației financiare nesigure, întreprinderii i-au fost alocate în anul respectiv mijloace financiare din bugetul raional în sumă de 16,0 mii lei, cu titlu de suport financiar. La fel, ÎM „BPSRS” și ÎM „Centrul Stomatologic Raional Sîngerei”, fondate de CR, au obținut pierderi nete din activitatea operațională în sumă de 17,8 mii lei și, respectiv, de 17,4 mii lei, ultima avînd balanța de plăți negativă (4,4 mii lei);</w:t>
      </w:r>
    </w:p>
    <w:p w:rsidR="00903BFF" w:rsidRPr="00A80935" w:rsidRDefault="00903BFF" w:rsidP="00903BFF">
      <w:pPr>
        <w:pStyle w:val="aa"/>
        <w:numPr>
          <w:ilvl w:val="0"/>
          <w:numId w:val="16"/>
        </w:numPr>
        <w:tabs>
          <w:tab w:val="left" w:pos="0"/>
        </w:tabs>
        <w:ind w:left="0" w:firstLine="426"/>
        <w:jc w:val="both"/>
        <w:rPr>
          <w:lang w:val="ro-MD"/>
        </w:rPr>
      </w:pPr>
      <w:r w:rsidRPr="00A80935">
        <w:rPr>
          <w:lang w:val="ro-MD"/>
        </w:rPr>
        <w:t>ÎM „DPGCL Sîngerei”, ÎM „Piața Comercială” și ÎM „Apă-Canal Sîngerei” (fondator CO Sîngerei) au obținut pierderi nete în sumă, respectiv, de 29,2 mii lei, 34,3 mii lei și 163,8 mii lei. Balanțele de plăți la 2 întreprinderi au fost negative, constituind: la ÎM „Piața Comercială” – 98,3 mii lei, și la ÎM „Apă-Canal Sîngerei” – 142,6 mii lei. Totodată, la ÎM „DPGCL Sîngerei” balanța de plăți a fost pozitivă (61,7 mii lei), aceasta fiind determinată, în special, de datoriile bugetului local pentru plata serviciilor prestate;</w:t>
      </w:r>
    </w:p>
    <w:p w:rsidR="00903BFF" w:rsidRPr="00A80935" w:rsidRDefault="00903BFF" w:rsidP="00903BFF">
      <w:pPr>
        <w:pStyle w:val="aa"/>
        <w:numPr>
          <w:ilvl w:val="0"/>
          <w:numId w:val="16"/>
        </w:numPr>
        <w:tabs>
          <w:tab w:val="left" w:pos="0"/>
        </w:tabs>
        <w:ind w:left="0" w:firstLine="426"/>
        <w:jc w:val="both"/>
        <w:rPr>
          <w:lang w:val="ro-MD"/>
        </w:rPr>
      </w:pPr>
      <w:r w:rsidRPr="00A80935">
        <w:rPr>
          <w:lang w:val="ro-MD"/>
        </w:rPr>
        <w:t xml:space="preserve">ÎM „DPGCL Biruința” (fondator CO Biruința) a finalizat anul 2015 cu pierderi nete în sumă de 339,1 mii lei, balanța de plăți fiind negativă (constituind 337,0 mii lei); </w:t>
      </w:r>
    </w:p>
    <w:p w:rsidR="00903BFF" w:rsidRPr="00A80935" w:rsidRDefault="00903BFF" w:rsidP="00903BFF">
      <w:pPr>
        <w:pStyle w:val="aa"/>
        <w:numPr>
          <w:ilvl w:val="0"/>
          <w:numId w:val="16"/>
        </w:numPr>
        <w:tabs>
          <w:tab w:val="left" w:pos="0"/>
        </w:tabs>
        <w:ind w:left="0" w:firstLine="426"/>
        <w:jc w:val="both"/>
        <w:rPr>
          <w:lang w:val="ro-MD"/>
        </w:rPr>
      </w:pPr>
      <w:r w:rsidRPr="00A80935">
        <w:rPr>
          <w:lang w:val="ro-MD"/>
        </w:rPr>
        <w:t xml:space="preserve">rezultatul financiar din activitatea operațională a ÎM „Servcom-Chișcăreni” (fondator CC Chișcăreni) a înregistrat pierderi în sumă de 56,3 mii lei, balanța de plăți fiind negativă (26,0 mii lei); </w:t>
      </w:r>
    </w:p>
    <w:p w:rsidR="00903BFF" w:rsidRPr="00A80935" w:rsidRDefault="00903BFF" w:rsidP="00903BFF">
      <w:pPr>
        <w:pStyle w:val="aa"/>
        <w:numPr>
          <w:ilvl w:val="0"/>
          <w:numId w:val="16"/>
        </w:numPr>
        <w:tabs>
          <w:tab w:val="left" w:pos="0"/>
        </w:tabs>
        <w:spacing w:after="120"/>
        <w:ind w:left="0" w:firstLine="426"/>
        <w:jc w:val="both"/>
        <w:rPr>
          <w:lang w:val="ro-MD"/>
        </w:rPr>
      </w:pPr>
      <w:r w:rsidRPr="00A80935">
        <w:rPr>
          <w:lang w:val="ro-MD"/>
        </w:rPr>
        <w:t xml:space="preserve">ÎM „Prim-Drăgănești” (fondator CC Drăgănești) a obținut pierderi nete în sumă de 12,2 mii lei, balanța de plăți fiind negativă (9,8 mii lei). </w:t>
      </w:r>
    </w:p>
    <w:p w:rsidR="00903BFF" w:rsidRPr="00A80935" w:rsidRDefault="00903BFF" w:rsidP="00903BFF">
      <w:pPr>
        <w:pStyle w:val="aa"/>
        <w:tabs>
          <w:tab w:val="left" w:pos="0"/>
        </w:tabs>
        <w:ind w:left="0"/>
        <w:jc w:val="both"/>
        <w:rPr>
          <w:lang w:val="ro-MD"/>
        </w:rPr>
      </w:pPr>
    </w:p>
    <w:p w:rsidR="00903BFF" w:rsidRPr="00A80935" w:rsidRDefault="00903BFF" w:rsidP="00903BFF">
      <w:pPr>
        <w:pStyle w:val="aa"/>
        <w:numPr>
          <w:ilvl w:val="0"/>
          <w:numId w:val="12"/>
        </w:numPr>
        <w:tabs>
          <w:tab w:val="left" w:pos="0"/>
        </w:tabs>
        <w:ind w:left="0" w:firstLine="426"/>
        <w:jc w:val="both"/>
        <w:rPr>
          <w:bCs/>
          <w:i/>
          <w:iCs/>
          <w:lang w:val="ro-MD"/>
        </w:rPr>
      </w:pPr>
      <w:r w:rsidRPr="00A80935">
        <w:rPr>
          <w:i/>
          <w:lang w:val="ro-MD"/>
        </w:rPr>
        <w:t xml:space="preserve"> Probele de audit acumulate denotă că activitatea ÎM nu are la bază fundamentări economice clare </w:t>
      </w:r>
      <w:r w:rsidRPr="00A80935">
        <w:rPr>
          <w:bCs/>
          <w:i/>
          <w:iCs/>
          <w:lang w:val="ro-MD"/>
        </w:rPr>
        <w:t xml:space="preserve">privind necesitatea constituirii, agentul economic nedispunînd de resurse financiare și materiale necesare pentru asigurarea realizării activității de antreprenoriat public. </w:t>
      </w:r>
      <w:r w:rsidRPr="00A80935">
        <w:rPr>
          <w:bCs/>
          <w:iCs/>
          <w:lang w:val="ro-MD"/>
        </w:rPr>
        <w:t>Astfel,</w:t>
      </w:r>
      <w:r w:rsidRPr="00A80935">
        <w:rPr>
          <w:rFonts w:eastAsia="Nimbus Sans L"/>
          <w:bCs/>
          <w:iCs/>
          <w:kern w:val="3"/>
          <w:lang w:val="ro-MD" w:eastAsia="zh-CN" w:bidi="hi-IN"/>
        </w:rPr>
        <w:t xml:space="preserve"> ÎM „Indmetalcongaz”, fondată de CR în 2004, activează asemenea unui agent economic privat în domeniul construcțiilor și, conform Statutului său, nu este obligată să execute lucrări în numele și în folosul autorităților publice locale. Totodată, faptul că pe piața de servicii similare activează un agent economic de profilul în cauză și că fondatorul nu a înzestrat întreprinderea cu active materiale necesare pentru asigurarea activității operaționale în construcții</w:t>
      </w:r>
      <w:r w:rsidRPr="00A80935">
        <w:rPr>
          <w:rFonts w:eastAsia="Nimbus Sans L"/>
          <w:vertAlign w:val="superscript"/>
          <w:lang w:val="ro-MD" w:bidi="hi-IN"/>
        </w:rPr>
        <w:footnoteReference w:id="43"/>
      </w:r>
      <w:r w:rsidRPr="00A80935">
        <w:rPr>
          <w:rFonts w:eastAsia="Nimbus Sans L"/>
          <w:bCs/>
          <w:iCs/>
          <w:kern w:val="3"/>
          <w:lang w:val="ro-MD" w:eastAsia="zh-CN" w:bidi="hi-IN"/>
        </w:rPr>
        <w:t xml:space="preserve">, nu justifică crearea acestei ÎM. </w:t>
      </w:r>
    </w:p>
    <w:p w:rsidR="00903BFF" w:rsidRPr="00A80935" w:rsidRDefault="00903BFF" w:rsidP="00903BFF">
      <w:pPr>
        <w:tabs>
          <w:tab w:val="left" w:pos="0"/>
          <w:tab w:val="left" w:pos="567"/>
        </w:tabs>
        <w:spacing w:after="120" w:line="240" w:lineRule="auto"/>
        <w:jc w:val="both"/>
        <w:rPr>
          <w:bCs/>
          <w:i/>
          <w:iCs/>
          <w:sz w:val="24"/>
          <w:szCs w:val="24"/>
          <w:lang w:val="ro-MD"/>
        </w:rPr>
      </w:pPr>
      <w:r w:rsidRPr="00A80935">
        <w:rPr>
          <w:rFonts w:eastAsia="Nimbus Sans L"/>
          <w:bCs/>
          <w:iCs/>
          <w:kern w:val="3"/>
          <w:sz w:val="24"/>
          <w:szCs w:val="24"/>
          <w:lang w:val="ro-MD" w:eastAsia="zh-CN" w:bidi="hi-IN"/>
        </w:rPr>
        <w:tab/>
      </w:r>
      <w:r w:rsidRPr="00A80935">
        <w:rPr>
          <w:rFonts w:ascii="Times New Roman" w:eastAsia="Nimbus Sans L" w:hAnsi="Times New Roman"/>
          <w:bCs/>
          <w:iCs/>
          <w:kern w:val="3"/>
          <w:sz w:val="24"/>
          <w:szCs w:val="24"/>
          <w:lang w:val="ro-MD" w:eastAsia="zh-CN" w:bidi="hi-IN"/>
        </w:rPr>
        <w:t xml:space="preserve">De asemenea, se atestă că întreprinderea nu dispune de personal de profil angajat permanent și este nevoită să atragă forță de muncă (ne)calificată prin contracte individuale de muncă pentru o perioadă determinată. Ca urmare, pe parcursul anului 2015 întreprinderea nu a contractat lucrări de reparații sau construcții. Mai mult decît atît, deși ÎM „Indmetalcongaz” are în dotare o autospecială de evacuare a deșeurilor menajere și tomberoane, rentabilitatea activității operaționale din utilizarea acestora nu este una sigură și constantă întrucît este influențată negativ de lipsa accesului autorizat la un poligon de stocare a deșeurilor menajere, de raza mare de deservire a localităților din raion și de lipsa gestiunii delegate la prestarea serviciilor publice de gospodărie comunală din partea APL de nivelul I din raion (contract de parteneriat public-privat), </w:t>
      </w:r>
      <w:r w:rsidRPr="00A80935">
        <w:rPr>
          <w:rFonts w:ascii="Times New Roman" w:eastAsia="Nimbus Sans L" w:hAnsi="Times New Roman"/>
          <w:bCs/>
          <w:iCs/>
          <w:kern w:val="3"/>
          <w:sz w:val="24"/>
          <w:szCs w:val="24"/>
          <w:lang w:val="ro-MD" w:eastAsia="zh-CN" w:bidi="hi-IN"/>
        </w:rPr>
        <w:lastRenderedPageBreak/>
        <w:t>după cum este stabilit de prevederile Legii nr.1402-XV din 24.10.2002</w:t>
      </w:r>
      <w:r w:rsidRPr="00A80935">
        <w:rPr>
          <w:rStyle w:val="a9"/>
          <w:rFonts w:ascii="Times New Roman" w:hAnsi="Times New Roman"/>
          <w:sz w:val="24"/>
          <w:szCs w:val="24"/>
          <w:lang w:val="ro-MD"/>
        </w:rPr>
        <w:footnoteReference w:id="44"/>
      </w:r>
      <w:r w:rsidRPr="00A80935">
        <w:rPr>
          <w:rFonts w:ascii="Times New Roman" w:hAnsi="Times New Roman"/>
          <w:sz w:val="24"/>
          <w:szCs w:val="24"/>
          <w:lang w:val="ro-MD"/>
        </w:rPr>
        <w:t xml:space="preserve">. În acest context, se relevă că </w:t>
      </w:r>
      <w:r w:rsidRPr="00A80935">
        <w:rPr>
          <w:rFonts w:ascii="Times New Roman" w:eastAsia="Nimbus Sans L" w:hAnsi="Times New Roman"/>
          <w:bCs/>
          <w:iCs/>
          <w:kern w:val="3"/>
          <w:sz w:val="24"/>
          <w:szCs w:val="24"/>
          <w:lang w:val="ro-MD" w:eastAsia="zh-CN" w:bidi="hi-IN"/>
        </w:rPr>
        <w:t>tariful pentru evacuarea deșeurilor menajere a fost calculat doar pentru o localitate deservită (com. Pepeni) și nu este aplicabil pentru serviciile acordate de întreprindere în alte localități (com. Bălășești, com. Copăceni, com. Sîngereii Noi, or. Sîngerei), fapt ce influențează negativ asupra rezultatelor financiare obținute din activitatea economică.</w:t>
      </w:r>
    </w:p>
    <w:p w:rsidR="00903BFF" w:rsidRPr="00A80935" w:rsidRDefault="00903BFF" w:rsidP="00903BFF">
      <w:pPr>
        <w:pStyle w:val="aa"/>
        <w:widowControl w:val="0"/>
        <w:numPr>
          <w:ilvl w:val="0"/>
          <w:numId w:val="12"/>
        </w:numPr>
        <w:tabs>
          <w:tab w:val="left" w:pos="0"/>
        </w:tabs>
        <w:suppressAutoHyphens/>
        <w:autoSpaceDN w:val="0"/>
        <w:spacing w:after="120"/>
        <w:ind w:left="0" w:firstLine="426"/>
        <w:jc w:val="both"/>
        <w:textAlignment w:val="baseline"/>
        <w:rPr>
          <w:i/>
          <w:lang w:val="ro-MD"/>
        </w:rPr>
      </w:pPr>
      <w:r w:rsidRPr="00A80935">
        <w:rPr>
          <w:rFonts w:eastAsia="Nimbus Sans L"/>
          <w:bCs/>
          <w:i/>
          <w:iCs/>
          <w:kern w:val="3"/>
          <w:lang w:val="ro-MD" w:eastAsia="zh-CN" w:bidi="hi-IN"/>
        </w:rPr>
        <w:t>Contrar prevederilor regulamentare</w:t>
      </w:r>
      <w:r w:rsidRPr="00A80935">
        <w:rPr>
          <w:rStyle w:val="a9"/>
          <w:rFonts w:eastAsia="Nimbus Sans L"/>
          <w:lang w:val="ro-MD"/>
        </w:rPr>
        <w:footnoteReference w:id="45"/>
      </w:r>
      <w:r w:rsidRPr="00A80935">
        <w:rPr>
          <w:rFonts w:eastAsia="Nimbus Sans L"/>
          <w:bCs/>
          <w:i/>
          <w:iCs/>
          <w:kern w:val="3"/>
          <w:lang w:val="ro-MD" w:eastAsia="zh-CN" w:bidi="hi-IN"/>
        </w:rPr>
        <w:t xml:space="preserve">, CR nu a asigurat aprobarea tarifelor pentru serviciile medico-sanitare prestate de ÎM „Centrul Stomatologic Raional Sîngerei” în afara sistemului medicinei asigurate, fapt ce poate periclita rentabilitatea și stabilitatea financiară a întreprinderii. </w:t>
      </w:r>
      <w:r w:rsidRPr="00A80935">
        <w:rPr>
          <w:rFonts w:eastAsia="Nimbus Sans L"/>
          <w:bCs/>
          <w:iCs/>
          <w:kern w:val="3"/>
          <w:lang w:val="ro-MD" w:eastAsia="zh-CN" w:bidi="hi-IN"/>
        </w:rPr>
        <w:t>Astfel,</w:t>
      </w:r>
      <w:r w:rsidRPr="00A80935">
        <w:rPr>
          <w:rFonts w:eastAsia="Nimbus Sans L"/>
          <w:bCs/>
          <w:i/>
          <w:iCs/>
          <w:kern w:val="3"/>
          <w:lang w:val="ro-MD" w:eastAsia="zh-CN" w:bidi="hi-IN"/>
        </w:rPr>
        <w:t xml:space="preserve"> </w:t>
      </w:r>
      <w:r w:rsidRPr="00A80935">
        <w:rPr>
          <w:lang w:val="ro-MD"/>
        </w:rPr>
        <w:t>mecanismul aplicabil la determinarea și reglementarea tarifelor are menirea de a asigura acoperirea consumurilor/cheltuielilor necesare pentru desfășurarea normală a activității și formarea tarifelor în baza cheltuielilor efectiv suportate de unitatea medico-sanitară. Metodologia de stabilire a tarifelor se aplică la formarea tarifelor aferente serviciilor medicale pentru contractare în condițiile asigurărilor medicale, la estimarea alocațiilor bugetare și la prestarea serviciilor cu plată de către instituțiile medico-sanitare publice, însă această procedură nu a fost respectată de CR.</w:t>
      </w:r>
    </w:p>
    <w:p w:rsidR="00903BFF" w:rsidRPr="00A80935" w:rsidRDefault="00903BFF" w:rsidP="00903BFF">
      <w:pPr>
        <w:spacing w:after="0" w:line="240" w:lineRule="exact"/>
        <w:jc w:val="both"/>
        <w:rPr>
          <w:rFonts w:ascii="Times New Roman" w:eastAsia="Times New Roman" w:hAnsi="Times New Roman"/>
          <w:b/>
          <w:bCs/>
          <w:sz w:val="24"/>
          <w:szCs w:val="24"/>
          <w:u w:val="single"/>
          <w:lang w:val="ro-MD"/>
        </w:rPr>
      </w:pPr>
    </w:p>
    <w:p w:rsidR="00903BFF" w:rsidRPr="00A80935" w:rsidRDefault="00903BFF" w:rsidP="00903BFF">
      <w:pPr>
        <w:spacing w:after="120" w:line="240" w:lineRule="auto"/>
        <w:ind w:firstLine="567"/>
        <w:jc w:val="both"/>
        <w:rPr>
          <w:rFonts w:ascii="Times New Roman" w:eastAsia="Times New Roman" w:hAnsi="Times New Roman"/>
          <w:b/>
          <w:bCs/>
          <w:i/>
          <w:iCs/>
          <w:sz w:val="24"/>
          <w:szCs w:val="24"/>
          <w:u w:val="single"/>
          <w:lang w:val="ro-MD"/>
        </w:rPr>
      </w:pPr>
      <w:r w:rsidRPr="00A80935">
        <w:rPr>
          <w:rFonts w:ascii="Times New Roman" w:eastAsia="Times New Roman" w:hAnsi="Times New Roman"/>
          <w:b/>
          <w:bCs/>
          <w:sz w:val="24"/>
          <w:szCs w:val="24"/>
          <w:u w:val="single"/>
          <w:lang w:val="ro-MD"/>
        </w:rPr>
        <w:t xml:space="preserve">OBIECTIVUL III: </w:t>
      </w:r>
      <w:r w:rsidRPr="00A80935">
        <w:rPr>
          <w:rFonts w:ascii="Times New Roman" w:eastAsia="Times New Roman" w:hAnsi="Times New Roman"/>
          <w:b/>
          <w:bCs/>
          <w:i/>
          <w:iCs/>
          <w:sz w:val="24"/>
          <w:szCs w:val="24"/>
          <w:u w:val="single"/>
          <w:lang w:val="ro-MD"/>
        </w:rPr>
        <w:t>AAPL au dispus utilizarea relevantă a patrimoniului public în cadrul relațiilor de folosință și înstrăinare?</w:t>
      </w:r>
    </w:p>
    <w:p w:rsidR="00903BFF" w:rsidRPr="00A80935" w:rsidRDefault="00903BFF" w:rsidP="00903BFF">
      <w:pPr>
        <w:tabs>
          <w:tab w:val="left" w:pos="0"/>
        </w:tabs>
        <w:spacing w:after="0" w:line="240" w:lineRule="auto"/>
        <w:ind w:firstLine="567"/>
        <w:jc w:val="both"/>
        <w:rPr>
          <w:rStyle w:val="FontStyle56"/>
          <w:rFonts w:ascii="Times New Roman" w:hAnsi="Times New Roman" w:cs="Times New Roman"/>
          <w:sz w:val="24"/>
          <w:szCs w:val="24"/>
          <w:lang w:val="ro-MD" w:eastAsia="ro-MD"/>
        </w:rPr>
      </w:pPr>
      <w:r w:rsidRPr="00A80935">
        <w:rPr>
          <w:rStyle w:val="FontStyle56"/>
          <w:rFonts w:ascii="Times New Roman" w:hAnsi="Times New Roman" w:cs="Times New Roman"/>
          <w:sz w:val="24"/>
          <w:szCs w:val="24"/>
          <w:lang w:val="ro-MD" w:eastAsia="ro-MD"/>
        </w:rPr>
        <w:t xml:space="preserve">Nerespectarea prevederilor legale privind administrarea și gestionarea patrimoniului public al UAT a fost influențată de ineficiența controlului intern și de managementul neadecvat din partea APL responsabile. Iregularitățile depistate se referă la modul de dare în locațiune/arendă a bunurilor </w:t>
      </w:r>
      <w:r w:rsidRPr="00A80935">
        <w:rPr>
          <w:rFonts w:ascii="Times New Roman" w:hAnsi="Times New Roman"/>
          <w:color w:val="000000"/>
          <w:sz w:val="24"/>
          <w:szCs w:val="24"/>
          <w:lang w:val="ro-MD" w:eastAsia="ro-MD"/>
        </w:rPr>
        <w:t>imobile</w:t>
      </w:r>
      <w:r w:rsidRPr="00A80935">
        <w:rPr>
          <w:rStyle w:val="FontStyle56"/>
          <w:rFonts w:ascii="Times New Roman" w:hAnsi="Times New Roman" w:cs="Times New Roman"/>
          <w:sz w:val="24"/>
          <w:szCs w:val="24"/>
          <w:lang w:val="ro-MD" w:eastAsia="ro-MD"/>
        </w:rPr>
        <w:t xml:space="preserve">, vînzarea-cumpărarea bunurilor proprietate publică și cedarea cu titlul gratuit a dreptului de folosință asupra unor bunuri </w:t>
      </w:r>
      <w:r w:rsidRPr="00A80935">
        <w:rPr>
          <w:rFonts w:ascii="Times New Roman" w:hAnsi="Times New Roman"/>
          <w:color w:val="000000"/>
          <w:sz w:val="24"/>
          <w:szCs w:val="24"/>
          <w:lang w:val="ro-MD" w:eastAsia="ro-MD"/>
        </w:rPr>
        <w:t>imobile</w:t>
      </w:r>
      <w:r w:rsidRPr="00A80935">
        <w:rPr>
          <w:rStyle w:val="FontStyle56"/>
          <w:rFonts w:ascii="Times New Roman" w:hAnsi="Times New Roman" w:cs="Times New Roman"/>
          <w:sz w:val="24"/>
          <w:szCs w:val="24"/>
          <w:lang w:val="ro-MD" w:eastAsia="ro-MD"/>
        </w:rPr>
        <w:t>, exprimată prin neperfectarea contractelor de locațiune/arendă sau prin transmiterea neconformă în comodat.</w:t>
      </w:r>
    </w:p>
    <w:p w:rsidR="00903BFF" w:rsidRPr="00A80935" w:rsidRDefault="00903BFF" w:rsidP="00903BFF">
      <w:pPr>
        <w:pStyle w:val="aa"/>
        <w:tabs>
          <w:tab w:val="left" w:pos="0"/>
        </w:tabs>
        <w:spacing w:after="120"/>
        <w:ind w:left="0" w:firstLine="567"/>
        <w:jc w:val="both"/>
        <w:rPr>
          <w:lang w:val="ro-MD"/>
        </w:rPr>
      </w:pPr>
      <w:r w:rsidRPr="00A80935">
        <w:rPr>
          <w:lang w:val="ro-MD"/>
        </w:rPr>
        <w:t>Astfel, se denotă următoarele.</w:t>
      </w:r>
    </w:p>
    <w:p w:rsidR="00903BFF" w:rsidRPr="00A80935" w:rsidRDefault="00903BFF" w:rsidP="00903BFF">
      <w:pPr>
        <w:pStyle w:val="aa"/>
        <w:tabs>
          <w:tab w:val="left" w:pos="0"/>
        </w:tabs>
        <w:spacing w:after="120"/>
        <w:ind w:left="0" w:firstLine="567"/>
        <w:jc w:val="both"/>
        <w:rPr>
          <w:lang w:val="ro-MD"/>
        </w:rPr>
      </w:pPr>
    </w:p>
    <w:p w:rsidR="00903BFF" w:rsidRPr="00A80935" w:rsidRDefault="00903BFF" w:rsidP="00903BFF">
      <w:pPr>
        <w:pStyle w:val="aa"/>
        <w:numPr>
          <w:ilvl w:val="0"/>
          <w:numId w:val="17"/>
        </w:numPr>
        <w:tabs>
          <w:tab w:val="left" w:pos="0"/>
        </w:tabs>
        <w:ind w:left="0" w:firstLine="426"/>
        <w:jc w:val="both"/>
        <w:rPr>
          <w:rStyle w:val="FontStyle56"/>
          <w:rFonts w:ascii="Times New Roman" w:hAnsi="Times New Roman" w:cs="Times New Roman"/>
          <w:b/>
          <w:i/>
          <w:sz w:val="24"/>
          <w:szCs w:val="24"/>
          <w:lang w:val="ro-MD" w:eastAsia="ro-MD"/>
        </w:rPr>
      </w:pPr>
      <w:r w:rsidRPr="00A80935">
        <w:rPr>
          <w:b/>
          <w:i/>
          <w:lang w:val="ro-MD"/>
        </w:rPr>
        <w:t xml:space="preserve">În procesul de adjudecare și semnare a contractelor de locațiune, </w:t>
      </w:r>
      <w:r w:rsidRPr="00A80935">
        <w:rPr>
          <w:rStyle w:val="FontStyle56"/>
          <w:rFonts w:ascii="Times New Roman" w:hAnsi="Times New Roman" w:cs="Times New Roman"/>
          <w:b/>
          <w:i/>
          <w:sz w:val="24"/>
          <w:szCs w:val="24"/>
          <w:lang w:val="ro-MD" w:eastAsia="ro-MD"/>
        </w:rPr>
        <w:t xml:space="preserve">AAPL din raion nu au aplicat în toate cazurile </w:t>
      </w:r>
      <w:r w:rsidRPr="00A80935">
        <w:rPr>
          <w:b/>
          <w:i/>
          <w:lang w:val="ro-MD"/>
        </w:rPr>
        <w:t>art.77 din Legea nr.436-XVI din 28.12.2006</w:t>
      </w:r>
      <w:r w:rsidRPr="00A80935">
        <w:rPr>
          <w:rStyle w:val="a9"/>
          <w:rFonts w:eastAsia="Nimbus Sans L"/>
          <w:b/>
          <w:i/>
          <w:lang w:val="ro-MD"/>
        </w:rPr>
        <w:footnoteReference w:id="46"/>
      </w:r>
      <w:r w:rsidRPr="00A80935">
        <w:rPr>
          <w:b/>
          <w:i/>
          <w:lang w:val="ro-MD"/>
        </w:rPr>
        <w:t>, astfel evitînd procedura de licitație publică și ulterior neasigurînd oportunitatea de încasare a veniturilor mai mari pentru bugetele locale, în comparație cu costul chiriei minime reglementate de legislație.</w:t>
      </w:r>
    </w:p>
    <w:p w:rsidR="00903BFF" w:rsidRPr="00A80935" w:rsidRDefault="00903BFF" w:rsidP="00903BFF">
      <w:pPr>
        <w:tabs>
          <w:tab w:val="left" w:pos="0"/>
        </w:tabs>
        <w:spacing w:after="0" w:line="240" w:lineRule="auto"/>
        <w:ind w:firstLine="567"/>
        <w:jc w:val="both"/>
        <w:rPr>
          <w:rFonts w:ascii="Times New Roman" w:eastAsia="Times New Roman" w:hAnsi="Times New Roman"/>
          <w:bCs/>
          <w:iCs/>
          <w:sz w:val="24"/>
          <w:szCs w:val="24"/>
          <w:lang w:val="ro-MD"/>
        </w:rPr>
      </w:pPr>
      <w:r w:rsidRPr="00A80935">
        <w:rPr>
          <w:rFonts w:ascii="Times New Roman" w:eastAsia="Times New Roman" w:hAnsi="Times New Roman"/>
          <w:bCs/>
          <w:iCs/>
          <w:sz w:val="24"/>
          <w:szCs w:val="24"/>
          <w:lang w:val="ro-MD"/>
        </w:rPr>
        <w:t>În acest sens, se relevă că (în 2015) la AP și 4 primării</w:t>
      </w:r>
      <w:r w:rsidRPr="00A80935">
        <w:rPr>
          <w:rStyle w:val="a9"/>
          <w:rFonts w:ascii="Times New Roman" w:eastAsia="Times New Roman" w:hAnsi="Times New Roman"/>
          <w:bCs/>
          <w:iCs/>
          <w:sz w:val="24"/>
          <w:szCs w:val="24"/>
          <w:lang w:val="ro-MD"/>
        </w:rPr>
        <w:footnoteReference w:id="47"/>
      </w:r>
      <w:r w:rsidRPr="00A80935">
        <w:rPr>
          <w:rFonts w:ascii="Times New Roman" w:eastAsia="Times New Roman" w:hAnsi="Times New Roman"/>
          <w:bCs/>
          <w:iCs/>
          <w:sz w:val="24"/>
          <w:szCs w:val="24"/>
          <w:lang w:val="ro-MD"/>
        </w:rPr>
        <w:t xml:space="preserve"> au fost valabile 22 contracte de locațiune a bunurilor imobile, în sumă totală de 117,9 mii lei, semnate de autoritățile executive în mod direct, pentru care a fost calculată chiria minimă anuală conform prevederilor Legii bugetului de stat pentru anul respectiv. Drept urmare, numai de la pasul licitării</w:t>
      </w:r>
      <w:r w:rsidRPr="00A80935">
        <w:rPr>
          <w:rFonts w:ascii="Times New Roman" w:eastAsia="Times New Roman" w:hAnsi="Times New Roman"/>
          <w:bCs/>
          <w:iCs/>
          <w:sz w:val="24"/>
          <w:szCs w:val="24"/>
          <w:vertAlign w:val="superscript"/>
          <w:lang w:val="ro-MD"/>
        </w:rPr>
        <w:footnoteReference w:id="48"/>
      </w:r>
      <w:r w:rsidRPr="00A80935">
        <w:rPr>
          <w:rFonts w:ascii="Times New Roman" w:eastAsia="Times New Roman" w:hAnsi="Times New Roman"/>
          <w:bCs/>
          <w:iCs/>
          <w:sz w:val="24"/>
          <w:szCs w:val="24"/>
          <w:lang w:val="ro-MD"/>
        </w:rPr>
        <w:t xml:space="preserve"> în cadrul procedurii de licitație publică organizate conform prevederilor legale</w:t>
      </w:r>
      <w:r w:rsidRPr="00A80935">
        <w:rPr>
          <w:rFonts w:ascii="Times New Roman" w:eastAsia="Times New Roman" w:hAnsi="Times New Roman"/>
          <w:bCs/>
          <w:iCs/>
          <w:sz w:val="24"/>
          <w:szCs w:val="24"/>
          <w:vertAlign w:val="superscript"/>
          <w:lang w:val="ro-MD"/>
        </w:rPr>
        <w:footnoteReference w:id="49"/>
      </w:r>
      <w:r w:rsidRPr="00A80935">
        <w:rPr>
          <w:rFonts w:ascii="Times New Roman" w:eastAsia="Times New Roman" w:hAnsi="Times New Roman"/>
          <w:bCs/>
          <w:iCs/>
          <w:sz w:val="24"/>
          <w:szCs w:val="24"/>
          <w:lang w:val="ro-MD"/>
        </w:rPr>
        <w:t>, 5 AAPL ar fi încasat venituri pasibile la bugetele locale de minimum 11,8 mii lei, sau maximum 58,8 mii lei.</w:t>
      </w:r>
    </w:p>
    <w:p w:rsidR="00903BFF" w:rsidRPr="00A80935" w:rsidRDefault="00903BFF" w:rsidP="00903BFF">
      <w:pPr>
        <w:tabs>
          <w:tab w:val="left" w:pos="0"/>
        </w:tabs>
        <w:spacing w:after="0" w:line="240" w:lineRule="auto"/>
        <w:ind w:firstLine="567"/>
        <w:jc w:val="both"/>
        <w:rPr>
          <w:rFonts w:ascii="Times New Roman" w:eastAsia="Times New Roman" w:hAnsi="Times New Roman"/>
          <w:bCs/>
          <w:iCs/>
          <w:sz w:val="24"/>
          <w:szCs w:val="24"/>
          <w:lang w:val="ro-MD"/>
        </w:rPr>
      </w:pPr>
      <w:r w:rsidRPr="00A80935">
        <w:rPr>
          <w:rFonts w:ascii="Times New Roman" w:eastAsia="Times New Roman" w:hAnsi="Times New Roman"/>
          <w:bCs/>
          <w:iCs/>
          <w:sz w:val="24"/>
          <w:szCs w:val="24"/>
          <w:lang w:val="ro-MD"/>
        </w:rPr>
        <w:t>La expirarea perioadei de acțiune a contractelor, unele autorități deliberative ale UAT, la cererea locatarilor, au autorizat prelungirea termenului de locațiune fără expunerea dreptului de folosință la licitația publică, precum și fără înaintarea modificărilor în contracte, ceea ce, în consecință, a condiționat diminuarea veniturilor din sursa în cauză. Spre exemplu: primăria or. Sîngerei a prelungit termenul locațiunii la 11 contrate, cu chiria anuală de 89,7 mii lei, iar primăria s. Rădoaia – la 3 contracte, cu chiria anuală de 6,3 mii lei.</w:t>
      </w:r>
    </w:p>
    <w:p w:rsidR="00903BFF" w:rsidRPr="00A80935" w:rsidRDefault="00903BFF" w:rsidP="00903BFF">
      <w:pPr>
        <w:tabs>
          <w:tab w:val="left" w:pos="0"/>
        </w:tabs>
        <w:spacing w:after="120" w:line="240" w:lineRule="auto"/>
        <w:ind w:firstLine="567"/>
        <w:jc w:val="both"/>
        <w:rPr>
          <w:rFonts w:ascii="Times New Roman" w:eastAsia="Times New Roman" w:hAnsi="Times New Roman"/>
          <w:bCs/>
          <w:iCs/>
          <w:sz w:val="24"/>
          <w:szCs w:val="24"/>
          <w:lang w:val="ro-MD"/>
        </w:rPr>
      </w:pPr>
      <w:r w:rsidRPr="00A80935">
        <w:rPr>
          <w:rFonts w:ascii="Times New Roman" w:hAnsi="Times New Roman"/>
          <w:bCs/>
          <w:iCs/>
          <w:sz w:val="24"/>
          <w:szCs w:val="24"/>
          <w:lang w:val="ro-MD"/>
        </w:rPr>
        <w:t>Misiunea de audit relevă că, CL și primăria s. Rădoaia nu au asigurat eficiența scontată la perfectarea relațiilor de locațiune cu termenul de acțiune de lungă durată.</w:t>
      </w:r>
      <w:r w:rsidRPr="00A80935">
        <w:rPr>
          <w:rFonts w:ascii="Times New Roman" w:hAnsi="Times New Roman"/>
          <w:bCs/>
          <w:i/>
          <w:iCs/>
          <w:sz w:val="24"/>
          <w:szCs w:val="24"/>
          <w:lang w:val="ro-MD"/>
        </w:rPr>
        <w:t xml:space="preserve"> </w:t>
      </w:r>
      <w:r w:rsidRPr="00A80935">
        <w:rPr>
          <w:rFonts w:ascii="Times New Roman" w:eastAsia="Times New Roman" w:hAnsi="Times New Roman"/>
          <w:bCs/>
          <w:iCs/>
          <w:sz w:val="24"/>
          <w:szCs w:val="24"/>
          <w:lang w:val="ro-MD"/>
        </w:rPr>
        <w:t xml:space="preserve">Din cele 12 contracte de locațiune în sumă de 213,2 mii lei, semnate în baza procedurilor de licitație publică, plățile de </w:t>
      </w:r>
      <w:r w:rsidRPr="00A80935">
        <w:rPr>
          <w:rFonts w:ascii="Times New Roman" w:eastAsia="Times New Roman" w:hAnsi="Times New Roman"/>
          <w:bCs/>
          <w:iCs/>
          <w:sz w:val="24"/>
          <w:szCs w:val="24"/>
          <w:lang w:val="ro-MD"/>
        </w:rPr>
        <w:lastRenderedPageBreak/>
        <w:t>chirie anuale cîștigătoare sînt constante pentru întreaga durată de acțiune a contractelor, care, după caz, variază de la 3 pînă la 30 de ani. În aceste condiții, persistă riscul că într-o perioadă de timp pe unele contracte de locațiune mărimea chiriei stabilită prin licitație va fi mai mică decît mărimea chiriei minime reglementată prin lege, iar autoritatea publică locală, în lipsa clauzei contractuale de reglementare a aceste situații, nu va putea interveni unilateral pentru modificarea condițiilor contractate. Spre exemplu, pentru chiria a 466,2 m</w:t>
      </w:r>
      <w:r w:rsidRPr="00A80935">
        <w:rPr>
          <w:rFonts w:ascii="Times New Roman" w:eastAsia="Times New Roman" w:hAnsi="Times New Roman"/>
          <w:bCs/>
          <w:iCs/>
          <w:sz w:val="24"/>
          <w:szCs w:val="24"/>
          <w:vertAlign w:val="superscript"/>
          <w:lang w:val="ro-MD"/>
        </w:rPr>
        <w:t>2</w:t>
      </w:r>
      <w:r w:rsidRPr="00A80935">
        <w:rPr>
          <w:rFonts w:ascii="Times New Roman" w:eastAsia="Times New Roman" w:hAnsi="Times New Roman"/>
          <w:bCs/>
          <w:iCs/>
          <w:sz w:val="24"/>
          <w:szCs w:val="24"/>
          <w:lang w:val="ro-MD"/>
        </w:rPr>
        <w:t>, adjudecată la licitația publică în anul 2006 pe un termen de 15 ani, cu suma de 21,0 mii lei, costul locațiunii minime în baza Legii bugetului de stat pentru anul 2015 a constituit 41,8 mii lei, sau cu 20,8 mii lei mai mult, impactul fiind diminuarea veniturilor la bugetul local.</w:t>
      </w:r>
    </w:p>
    <w:p w:rsidR="00903BFF" w:rsidRPr="00A80935" w:rsidRDefault="00903BFF" w:rsidP="00903BFF">
      <w:pPr>
        <w:pStyle w:val="aa"/>
        <w:numPr>
          <w:ilvl w:val="0"/>
          <w:numId w:val="44"/>
        </w:numPr>
        <w:tabs>
          <w:tab w:val="left" w:pos="0"/>
        </w:tabs>
        <w:spacing w:after="120"/>
        <w:ind w:left="0" w:firstLine="426"/>
        <w:jc w:val="both"/>
        <w:rPr>
          <w:bCs/>
          <w:iCs/>
          <w:lang w:val="ro-MD"/>
        </w:rPr>
      </w:pPr>
      <w:r w:rsidRPr="00A80935">
        <w:rPr>
          <w:bCs/>
          <w:i/>
          <w:iCs/>
          <w:lang w:val="ro-MD"/>
        </w:rPr>
        <w:t>DE, folosind încăperea din incinta clădirii Incubatorului de afaceri Sîngerei, a admis achitarea nejustificată a chiriei anuale în sumă de 20,1 mii lei</w:t>
      </w:r>
      <w:r w:rsidRPr="00A80935">
        <w:rPr>
          <w:vertAlign w:val="superscript"/>
          <w:lang w:val="ro-MD"/>
        </w:rPr>
        <w:footnoteReference w:id="50"/>
      </w:r>
      <w:r w:rsidRPr="00A80935">
        <w:rPr>
          <w:bCs/>
          <w:i/>
          <w:iCs/>
          <w:lang w:val="ro-MD"/>
        </w:rPr>
        <w:t xml:space="preserve"> unei instituții publice care de asemenea este subordonată CR Sîngerei și este finanțată din bugetul local de același nivel. </w:t>
      </w:r>
      <w:r w:rsidRPr="00A80935">
        <w:rPr>
          <w:bCs/>
          <w:iCs/>
          <w:lang w:val="ro-MD"/>
        </w:rPr>
        <w:t xml:space="preserve">Perfectarea relațiilor de locațiune între două entități care se finanțează de la bugetul local de același nivel nu este o procedură regulamentară, deoarece, conform prevederilor art.77 din Legea nr.436-XVI din 28.12.2006, bunurile domeniului public folosite de către instituțiile publice pot fi date doar în administrare. </w:t>
      </w:r>
    </w:p>
    <w:p w:rsidR="00903BFF" w:rsidRPr="00A80935" w:rsidRDefault="00903BFF" w:rsidP="00903BFF">
      <w:pPr>
        <w:pStyle w:val="aa"/>
        <w:numPr>
          <w:ilvl w:val="0"/>
          <w:numId w:val="44"/>
        </w:numPr>
        <w:tabs>
          <w:tab w:val="left" w:pos="0"/>
        </w:tabs>
        <w:ind w:left="0" w:firstLine="426"/>
        <w:jc w:val="both"/>
        <w:rPr>
          <w:bCs/>
          <w:i/>
          <w:iCs/>
          <w:lang w:val="ro-MD"/>
        </w:rPr>
      </w:pPr>
      <w:r w:rsidRPr="00A80935">
        <w:rPr>
          <w:bCs/>
          <w:i/>
          <w:iCs/>
          <w:lang w:val="ro-MD"/>
        </w:rPr>
        <w:t>Nerespectarea prevederilor legale</w:t>
      </w:r>
      <w:r w:rsidRPr="00A80935">
        <w:rPr>
          <w:vertAlign w:val="superscript"/>
          <w:lang w:val="ro-MD"/>
        </w:rPr>
        <w:footnoteReference w:id="51"/>
      </w:r>
      <w:r w:rsidRPr="00A80935">
        <w:rPr>
          <w:bCs/>
          <w:i/>
          <w:iCs/>
          <w:lang w:val="ro-MD"/>
        </w:rPr>
        <w:t xml:space="preserve"> de către 6 APL a determinat neîncasarea veniturilor în bugetele UAT de nivelul I, în sumă totală de 525,4 mii lei, ca urmare a stabilirii incorecte a plății de chirie pe 2 contracte de locațiune (7,4 mii lei) și ca urmare a cedării neconforme a dreptului de folosință cu titlu gratuit asupra unor bunuri imobile (518,0 mii lei).</w:t>
      </w:r>
      <w:r w:rsidRPr="00A80935">
        <w:rPr>
          <w:bCs/>
          <w:iCs/>
          <w:lang w:val="ro-MD"/>
        </w:rPr>
        <w:t xml:space="preserve"> Astfel, se constată că prin determinarea eronată a plății de chirie nu s-au încasat venituri în bugetele primăriei or. Sîngerei – 5,8 mii lei, și primăriei com. Chișcăreni – 1,6 mii lei. Totodată, urmare a neperfectării relațiilor de locațiune sau acordării gratuite în folosință (comodat) a bunurilor imobile, nu s-au încasat venituri în bugetele primăriilor or. Biruința – 496,9 mii lei (163 de garaje, încăpere separată); com. Chișcăreni – 1,2 mii lei (încăpere separată); com. Cubolta – 0,8 mii lei (încăpere separată); com. Drăgănești – 17,5 mii lei (clădire separată); com. Sîngereii Noi – 1,6 mii lei</w:t>
      </w:r>
      <w:r w:rsidRPr="00A80935">
        <w:rPr>
          <w:rFonts w:eastAsia="Calibri"/>
          <w:bCs/>
          <w:iCs/>
          <w:lang w:val="ro-MD" w:eastAsia="en-US"/>
        </w:rPr>
        <w:t xml:space="preserve"> </w:t>
      </w:r>
      <w:r w:rsidRPr="00A80935">
        <w:rPr>
          <w:bCs/>
          <w:iCs/>
          <w:lang w:val="ro-MD"/>
        </w:rPr>
        <w:t>(încăpere separată).</w:t>
      </w:r>
    </w:p>
    <w:p w:rsidR="00903BFF" w:rsidRPr="00A80935" w:rsidRDefault="00903BFF" w:rsidP="00903BFF">
      <w:pPr>
        <w:spacing w:after="0" w:line="240" w:lineRule="exact"/>
        <w:jc w:val="both"/>
        <w:rPr>
          <w:rFonts w:ascii="Times New Roman" w:hAnsi="Times New Roman"/>
          <w:sz w:val="24"/>
          <w:szCs w:val="24"/>
          <w:lang w:val="ro-MD"/>
        </w:rPr>
      </w:pPr>
    </w:p>
    <w:p w:rsidR="00903BFF" w:rsidRPr="00A80935" w:rsidRDefault="00903BFF" w:rsidP="00903BFF">
      <w:pPr>
        <w:pStyle w:val="aa"/>
        <w:numPr>
          <w:ilvl w:val="0"/>
          <w:numId w:val="18"/>
        </w:numPr>
        <w:tabs>
          <w:tab w:val="left" w:pos="0"/>
        </w:tabs>
        <w:ind w:left="0" w:firstLine="426"/>
        <w:jc w:val="both"/>
        <w:rPr>
          <w:b/>
          <w:bCs/>
          <w:i/>
          <w:iCs/>
          <w:lang w:val="ro-MD"/>
        </w:rPr>
      </w:pPr>
      <w:r w:rsidRPr="00A80935">
        <w:rPr>
          <w:b/>
          <w:bCs/>
          <w:i/>
          <w:iCs/>
          <w:lang w:val="ro-MD"/>
        </w:rPr>
        <w:t>8 APL nu au asigurat perfectarea relațiilor de arendă pentru terenurile pe care sînt situate corpurile de apă (599,7 ha), utilizate de persoana juridică în scopuri piscicole, și, drept urmare, nu au încasat venituri la bugetele locale (în 2015) în sumă totală de minim 478,5 mii lei</w:t>
      </w:r>
      <w:r w:rsidRPr="00A80935">
        <w:rPr>
          <w:rStyle w:val="a9"/>
          <w:b/>
          <w:bCs/>
          <w:i/>
          <w:iCs/>
          <w:lang w:val="ro-MD"/>
        </w:rPr>
        <w:footnoteReference w:id="52"/>
      </w:r>
      <w:r w:rsidRPr="00A80935">
        <w:rPr>
          <w:b/>
          <w:bCs/>
          <w:i/>
          <w:iCs/>
          <w:lang w:val="ro-MD"/>
        </w:rPr>
        <w:t>, ceea ce contravine cadrului legal</w:t>
      </w:r>
      <w:r w:rsidRPr="00A80935">
        <w:rPr>
          <w:rStyle w:val="a9"/>
          <w:b/>
          <w:bCs/>
          <w:i/>
          <w:iCs/>
          <w:lang w:val="ro-MD"/>
        </w:rPr>
        <w:footnoteReference w:id="53"/>
      </w:r>
      <w:r w:rsidRPr="00A80935">
        <w:rPr>
          <w:b/>
          <w:bCs/>
          <w:i/>
          <w:iCs/>
          <w:lang w:val="ro-MD"/>
        </w:rPr>
        <w:t>.</w:t>
      </w:r>
    </w:p>
    <w:p w:rsidR="00903BFF" w:rsidRPr="00A80935" w:rsidRDefault="00903BFF" w:rsidP="00903BFF">
      <w:pPr>
        <w:pStyle w:val="aa"/>
        <w:tabs>
          <w:tab w:val="left" w:pos="567"/>
          <w:tab w:val="left" w:pos="851"/>
        </w:tabs>
        <w:ind w:left="0" w:firstLine="567"/>
        <w:jc w:val="both"/>
        <w:rPr>
          <w:bCs/>
          <w:iCs/>
          <w:lang w:val="ro-MD"/>
        </w:rPr>
      </w:pPr>
      <w:r w:rsidRPr="00A80935">
        <w:rPr>
          <w:bCs/>
          <w:iCs/>
          <w:lang w:val="ro-MD"/>
        </w:rPr>
        <w:t>Actualmente, corpurile de apă cu suprafața totală de 599,7 ha, situate în hotarele administrative ale 8 primării, sînt folosite în activitatea piscicolă de SA „Pește”, care deține dreptul de proprietate doar asupra construcțiilor hidrotehnice. Inițial, în baza unei HG, terenurile fondului apelor au fost înregistrate la OCT ca proprietate publică de stat, ulterior hotărîrea în cauză fiind anulată în baza Hotărîrii Curții Constituționale nr.12 din 21.04.2005</w:t>
      </w:r>
      <w:r w:rsidRPr="00A80935">
        <w:rPr>
          <w:rStyle w:val="a9"/>
          <w:bCs/>
          <w:iCs/>
          <w:lang w:val="ro-MD"/>
        </w:rPr>
        <w:footnoteReference w:id="54"/>
      </w:r>
      <w:r w:rsidRPr="00A80935">
        <w:rPr>
          <w:bCs/>
          <w:iCs/>
          <w:lang w:val="ro-MD"/>
        </w:rPr>
        <w:t xml:space="preserve">, prin care s-au declarat neconstituționale actele legislative în baza cărora s-au efectuat înregistrările cu privire la dreptul de proprietate. Totodată, potrivit art.5 alin.(1) lit.f) din Legea nr.91-XVI din 05.04.2007, terenurile ocupate de obiectivele acvatice artificiale constituie proprietate publică a UAT. Ca rezultat, APL urmau să identifice, să delimiteze și să cadastreze terenurile pe care sînt situate corpurile de apă și să asigure perfectarea relațiilor de arendă cu agentul economic care le utilizează în activitatea de </w:t>
      </w:r>
      <w:r w:rsidRPr="00A80935">
        <w:rPr>
          <w:bCs/>
          <w:iCs/>
          <w:lang w:val="ro-MD"/>
        </w:rPr>
        <w:lastRenderedPageBreak/>
        <w:t xml:space="preserve">producție, ceea ce nu a fost efectuat, impactul fiind neacumularea în bugetele UAT a unor venituri pasibile. </w:t>
      </w:r>
    </w:p>
    <w:p w:rsidR="00903BFF" w:rsidRPr="00A80935" w:rsidRDefault="00903BFF" w:rsidP="00903BFF">
      <w:pPr>
        <w:tabs>
          <w:tab w:val="left" w:pos="567"/>
        </w:tabs>
        <w:spacing w:after="0" w:line="240" w:lineRule="exact"/>
        <w:jc w:val="both"/>
        <w:rPr>
          <w:rFonts w:ascii="Times New Roman" w:hAnsi="Times New Roman"/>
          <w:sz w:val="24"/>
          <w:szCs w:val="24"/>
          <w:lang w:val="ro-MD"/>
        </w:rPr>
      </w:pPr>
    </w:p>
    <w:p w:rsidR="00903BFF" w:rsidRPr="00A80935" w:rsidRDefault="00903BFF" w:rsidP="00903BFF">
      <w:pPr>
        <w:pStyle w:val="aa"/>
        <w:numPr>
          <w:ilvl w:val="0"/>
          <w:numId w:val="31"/>
        </w:numPr>
        <w:tabs>
          <w:tab w:val="left" w:pos="0"/>
        </w:tabs>
        <w:ind w:left="0" w:firstLine="426"/>
        <w:jc w:val="both"/>
        <w:rPr>
          <w:b/>
          <w:i/>
          <w:lang w:val="ro-MD"/>
        </w:rPr>
      </w:pPr>
      <w:r w:rsidRPr="00A80935">
        <w:rPr>
          <w:b/>
          <w:i/>
          <w:lang w:val="ro-MD"/>
        </w:rPr>
        <w:t xml:space="preserve">În cadrul relațiilor de înstrăinare a bunurilor imobile, unele AAPL nu au asigurat administrarea regulamentară sau eficientă a patrimoniului public, fapt ce a generat neobținerea unor performanțe economico-financiare și neîncasarea potențialelor venituri în bugetele locale. </w:t>
      </w:r>
    </w:p>
    <w:p w:rsidR="00903BFF" w:rsidRPr="00A80935" w:rsidRDefault="00903BFF" w:rsidP="00903BFF">
      <w:pPr>
        <w:pStyle w:val="aa"/>
        <w:tabs>
          <w:tab w:val="left" w:pos="0"/>
        </w:tabs>
        <w:spacing w:after="120"/>
        <w:ind w:left="0" w:firstLine="567"/>
        <w:jc w:val="both"/>
        <w:rPr>
          <w:b/>
          <w:i/>
          <w:lang w:val="ro-MD"/>
        </w:rPr>
      </w:pPr>
      <w:r w:rsidRPr="00A80935">
        <w:rPr>
          <w:lang w:val="ro-MD"/>
        </w:rPr>
        <w:t xml:space="preserve">Drept exemplu pot servi următoarele. </w:t>
      </w:r>
    </w:p>
    <w:p w:rsidR="00903BFF" w:rsidRPr="00A80935" w:rsidRDefault="00903BFF" w:rsidP="00903BFF">
      <w:pPr>
        <w:pStyle w:val="aa"/>
        <w:numPr>
          <w:ilvl w:val="0"/>
          <w:numId w:val="12"/>
        </w:numPr>
        <w:tabs>
          <w:tab w:val="left" w:pos="0"/>
        </w:tabs>
        <w:spacing w:after="120"/>
        <w:ind w:left="0" w:firstLine="426"/>
        <w:jc w:val="both"/>
        <w:rPr>
          <w:lang w:val="ro-MD"/>
        </w:rPr>
      </w:pPr>
      <w:r w:rsidRPr="00A80935">
        <w:rPr>
          <w:rFonts w:eastAsia="Calibri"/>
          <w:lang w:val="ro-MD"/>
        </w:rPr>
        <w:t>AAPL din or. Sîngerei nu au aplicat regulamentar prevederile legale</w:t>
      </w:r>
      <w:r w:rsidRPr="00A80935">
        <w:rPr>
          <w:rStyle w:val="a9"/>
          <w:rFonts w:eastAsia="Calibri"/>
          <w:lang w:val="ro-MD"/>
        </w:rPr>
        <w:footnoteReference w:id="55"/>
      </w:r>
      <w:r w:rsidRPr="00A80935">
        <w:rPr>
          <w:rFonts w:eastAsia="Calibri"/>
          <w:lang w:val="ro-MD"/>
        </w:rPr>
        <w:t xml:space="preserve"> la vînzarea-cumpărarea prin licitație publică a 2 terenuri din intravilanul localității, cu suprafața totală de 1,2521 ha. Ca urmare, în bugetul local nu au fost încasate venituri din înstrăinarea bunurilor imobile, de circa 1575,7 mii lei. Astfel, probele de audit denotă</w:t>
      </w:r>
      <w:r w:rsidRPr="00A80935">
        <w:rPr>
          <w:lang w:val="ro-MD"/>
        </w:rPr>
        <w:t xml:space="preserve"> că primăria or. Sîngerei nu a calculat regulamentar</w:t>
      </w:r>
      <w:r w:rsidRPr="00A80935">
        <w:rPr>
          <w:rStyle w:val="a9"/>
          <w:lang w:val="ro-MD"/>
        </w:rPr>
        <w:footnoteReference w:id="56"/>
      </w:r>
      <w:r w:rsidRPr="00A80935">
        <w:rPr>
          <w:lang w:val="ro-MD"/>
        </w:rPr>
        <w:t xml:space="preserve"> prețul normativ al terenurilor agricole din intravilanul localității expuse la licitație, aplicînd incorect tariful pentru o unitate grad-hectar (621,05 lei). Ca rezultat, urmare a licitațiilor desfășurate, terenurile au fost vîndute cu 41,7 mii lei, ceea ce este cu circa 1575,7 mii lei mai puțin în raport cu prețul minim regulamentar de 1617,4 mii lei. De menționat că (în 2015), proprietarul unui teren a obținut deja autorizația de construire și a început lucrările de edificare a construcțiilor private.</w:t>
      </w:r>
    </w:p>
    <w:p w:rsidR="00903BFF" w:rsidRPr="00A80935" w:rsidRDefault="00903BFF" w:rsidP="00903BFF">
      <w:pPr>
        <w:pStyle w:val="aa"/>
        <w:tabs>
          <w:tab w:val="left" w:pos="0"/>
        </w:tabs>
        <w:spacing w:after="120"/>
        <w:ind w:left="0" w:firstLine="567"/>
        <w:jc w:val="both"/>
        <w:rPr>
          <w:rFonts w:eastAsia="Calibri"/>
          <w:lang w:val="ro-MD"/>
        </w:rPr>
      </w:pPr>
      <w:r w:rsidRPr="00A80935">
        <w:rPr>
          <w:rFonts w:eastAsia="Calibri"/>
          <w:lang w:val="ro-MD"/>
        </w:rPr>
        <w:t>În același timp,</w:t>
      </w:r>
      <w:r w:rsidRPr="00A80935">
        <w:rPr>
          <w:lang w:val="ro-MD"/>
        </w:rPr>
        <w:t xml:space="preserve"> AAPL din or. Sîngerei au admis darea în arendă a terenurilor din intravilanul localității concomitent cu autorizarea dreptului de construire pe acestea de către locatar a unor bunuri imobile. Ca rezultat, autoritățile respective și-au limitat dreptul de obținere a unor venituri mai mari din vînzarea ulterioară a terenurilor, deoarece, în condițiile menționate, terenurile se înstrăinează ca aferente construcțiilor private la prețuri mai joase decît cele care puteau fi aplicate la vînzarea liberă pe piață a bunurilor publice. Spre exemplu, la arendarea cu dreptul de construire a 2 terenuri cu suprafața de 0,4485 ha, autoritățile vizate nu s-au asigurat de încasarea în viitor a potențialelor venituri de minimum 557,8 mii lei. Prin urmare,</w:t>
      </w:r>
      <w:r w:rsidRPr="00A80935">
        <w:rPr>
          <w:rFonts w:eastAsia="Calibri"/>
          <w:lang w:val="ro-MD"/>
        </w:rPr>
        <w:t xml:space="preserve"> procedura oportună de înstrăinare a dreptului de proprietate publică asupra unui teren, pe care se edifică construcții private, ar fi vînzarea-cumpărarea acestuia la licitația publică. Deși darea în arendă a terenurilor cu dreptul de construire și comercializarea ulterioară a acestora ca terenuri aferente la prețuri mai joase nu reprezintă o derogare directă de la normele legale, această procedură nu justifică scopurile private ale beneficiarilor de terenuri și principiul bunei administrări a patrimoniului public.</w:t>
      </w:r>
    </w:p>
    <w:p w:rsidR="00903BFF" w:rsidRPr="00A80935" w:rsidRDefault="00903BFF" w:rsidP="00903BFF">
      <w:pPr>
        <w:pStyle w:val="aa"/>
        <w:tabs>
          <w:tab w:val="left" w:pos="0"/>
        </w:tabs>
        <w:spacing w:after="120"/>
        <w:ind w:left="0" w:firstLine="567"/>
        <w:jc w:val="both"/>
        <w:rPr>
          <w:lang w:val="ro-MD"/>
        </w:rPr>
      </w:pPr>
    </w:p>
    <w:p w:rsidR="00903BFF" w:rsidRPr="00A80935" w:rsidRDefault="00903BFF" w:rsidP="00903BFF">
      <w:pPr>
        <w:pStyle w:val="aa"/>
        <w:numPr>
          <w:ilvl w:val="0"/>
          <w:numId w:val="12"/>
        </w:numPr>
        <w:ind w:left="0" w:firstLine="426"/>
        <w:jc w:val="both"/>
        <w:rPr>
          <w:lang w:val="ro-MD" w:eastAsia="ro-MD"/>
        </w:rPr>
      </w:pPr>
      <w:r w:rsidRPr="00A80935">
        <w:rPr>
          <w:rFonts w:eastAsia="Nimbus Sans L"/>
          <w:bCs/>
          <w:i/>
          <w:iCs/>
          <w:color w:val="00000A"/>
          <w:kern w:val="3"/>
          <w:lang w:val="ro-MD" w:eastAsia="zh-CN" w:bidi="hi-IN"/>
        </w:rPr>
        <w:t xml:space="preserve"> </w:t>
      </w:r>
      <w:r w:rsidRPr="00A80935">
        <w:rPr>
          <w:rFonts w:eastAsia="Nimbus Sans L"/>
          <w:bCs/>
          <w:iCs/>
          <w:color w:val="00000A"/>
          <w:kern w:val="3"/>
          <w:lang w:val="ro-MD" w:eastAsia="zh-CN" w:bidi="hi-IN"/>
        </w:rPr>
        <w:t>Contrar prevederilor regulamentare, AAPL ale com. Cubolta au efectuat vînzarea unei clădiri (baia publică, 35,0 mii lei) prin licitație publică, nefiind format concomitent un bun imobiliar unic cu terenul adiacent (0,143 ha). Ca urmare, nu a fost asigurată încasarea veniturilor pasibile la bugetul local în sumă de 197,9 mii lei.</w:t>
      </w:r>
    </w:p>
    <w:p w:rsidR="00903BFF" w:rsidRPr="00A80935" w:rsidRDefault="00903BFF" w:rsidP="00903BFF">
      <w:pPr>
        <w:pStyle w:val="aa"/>
        <w:tabs>
          <w:tab w:val="left" w:pos="0"/>
        </w:tabs>
        <w:ind w:left="0" w:firstLine="567"/>
        <w:jc w:val="both"/>
        <w:rPr>
          <w:rFonts w:eastAsia="Nimbus Sans L"/>
          <w:bCs/>
          <w:iCs/>
          <w:color w:val="00000A"/>
          <w:kern w:val="3"/>
          <w:lang w:val="ro-MD" w:eastAsia="zh-CN" w:bidi="hi-IN"/>
        </w:rPr>
      </w:pPr>
      <w:r w:rsidRPr="00A80935">
        <w:rPr>
          <w:rFonts w:eastAsia="Nimbus Sans L"/>
          <w:bCs/>
          <w:iCs/>
          <w:color w:val="00000A"/>
          <w:kern w:val="3"/>
          <w:lang w:val="ro-MD" w:eastAsia="zh-CN" w:bidi="hi-IN"/>
        </w:rPr>
        <w:t xml:space="preserve">Odată cu înregistrarea dreptului de proprietate asupra clădirii, noul proprietar, în temeiul Legii nr.1308-XIII din 25.07.1997, a procurat pămîntul adiacent ca teren aferent construcției private cu prețul de 3,9 mii lei. Astfel, în cazul formării unui bun imobiliar unic, compus din teren și construcție, AAPL putea să vîndă terenul din intravilanul localității la preț normativ de minim 201,8 mii lei. </w:t>
      </w:r>
    </w:p>
    <w:p w:rsidR="00903BFF" w:rsidRPr="00A80935" w:rsidRDefault="00903BFF" w:rsidP="00903BFF">
      <w:pPr>
        <w:pStyle w:val="aa"/>
        <w:tabs>
          <w:tab w:val="left" w:pos="0"/>
        </w:tabs>
        <w:ind w:left="0"/>
        <w:jc w:val="both"/>
        <w:rPr>
          <w:rFonts w:eastAsia="Nimbus Sans L"/>
          <w:bCs/>
          <w:iCs/>
          <w:color w:val="00000A"/>
          <w:kern w:val="3"/>
          <w:lang w:val="ro-MD" w:eastAsia="zh-CN" w:bidi="hi-IN"/>
        </w:rPr>
      </w:pPr>
    </w:p>
    <w:p w:rsidR="00903BFF" w:rsidRPr="00A80935" w:rsidRDefault="00903BFF" w:rsidP="00903BFF">
      <w:pPr>
        <w:tabs>
          <w:tab w:val="left" w:pos="567"/>
        </w:tabs>
        <w:spacing w:after="0" w:line="240" w:lineRule="auto"/>
        <w:ind w:firstLine="567"/>
        <w:rPr>
          <w:rFonts w:ascii="Times New Roman" w:eastAsia="Times New Roman" w:hAnsi="Times New Roman"/>
          <w:b/>
          <w:i/>
          <w:sz w:val="24"/>
          <w:szCs w:val="24"/>
          <w:u w:val="single"/>
          <w:lang w:val="ro-MD" w:eastAsia="ru-RU"/>
        </w:rPr>
      </w:pPr>
      <w:r w:rsidRPr="00A80935">
        <w:rPr>
          <w:rFonts w:ascii="Times New Roman" w:eastAsia="Times New Roman" w:hAnsi="Times New Roman"/>
          <w:b/>
          <w:i/>
          <w:sz w:val="24"/>
          <w:szCs w:val="24"/>
          <w:u w:val="single"/>
          <w:lang w:val="ro-MD" w:eastAsia="ru-RU"/>
        </w:rPr>
        <w:t>Recomandări de audit:</w:t>
      </w:r>
    </w:p>
    <w:p w:rsidR="00903BFF" w:rsidRPr="00A80935" w:rsidRDefault="00903BFF" w:rsidP="00903BFF">
      <w:pPr>
        <w:pStyle w:val="aa"/>
        <w:widowControl w:val="0"/>
        <w:numPr>
          <w:ilvl w:val="0"/>
          <w:numId w:val="41"/>
        </w:numPr>
        <w:tabs>
          <w:tab w:val="left" w:pos="0"/>
        </w:tabs>
        <w:suppressAutoHyphens/>
        <w:autoSpaceDN w:val="0"/>
        <w:ind w:left="0" w:firstLine="426"/>
        <w:jc w:val="both"/>
        <w:textAlignment w:val="baseline"/>
        <w:rPr>
          <w:lang w:val="ro-MD"/>
        </w:rPr>
      </w:pPr>
      <w:r w:rsidRPr="00A80935">
        <w:rPr>
          <w:b/>
          <w:lang w:val="ro-MD"/>
        </w:rPr>
        <w:t>Președintele raionului, primarii</w:t>
      </w:r>
      <w:r w:rsidRPr="00A80935">
        <w:rPr>
          <w:rFonts w:eastAsia="Calibri"/>
          <w:b/>
          <w:lang w:val="ro-MD" w:eastAsia="en-US"/>
        </w:rPr>
        <w:t xml:space="preserve"> </w:t>
      </w:r>
      <w:r w:rsidRPr="00A80935">
        <w:rPr>
          <w:b/>
          <w:lang w:val="ro-MD"/>
        </w:rPr>
        <w:t>or. Sîngerei, Biruința și</w:t>
      </w:r>
      <w:r w:rsidRPr="00A80935">
        <w:rPr>
          <w:b/>
          <w:color w:val="000000"/>
          <w:lang w:val="ro-MD" w:eastAsia="ro-MD"/>
        </w:rPr>
        <w:t xml:space="preserve"> satelor/</w:t>
      </w:r>
      <w:r w:rsidRPr="00A80935">
        <w:rPr>
          <w:b/>
          <w:lang w:val="ro-MD"/>
        </w:rPr>
        <w:t>comunelor Chișcăreni, Coșcodeni,</w:t>
      </w:r>
      <w:r w:rsidRPr="00A80935">
        <w:rPr>
          <w:b/>
          <w:color w:val="000000"/>
          <w:lang w:val="ro-MD" w:eastAsia="ro-MD"/>
        </w:rPr>
        <w:t xml:space="preserve"> </w:t>
      </w:r>
      <w:r w:rsidRPr="00A80935">
        <w:rPr>
          <w:b/>
          <w:lang w:val="ro-MD"/>
        </w:rPr>
        <w:t xml:space="preserve">Cubolta, Drăgănești, Rădoaia și Sîngereii Noi </w:t>
      </w:r>
      <w:r w:rsidRPr="00A80935">
        <w:rPr>
          <w:bCs/>
          <w:iCs/>
          <w:lang w:val="ro-MD"/>
        </w:rPr>
        <w:t>să determine gradul de responsabilitate al persoanelor implicate în procesul de raportare financiară și administrare/gestionare a patrimoniului public, cu stabilirea unor măsuri concrete în scopul remedierii deficiențelor constatate de audit</w:t>
      </w:r>
      <w:r w:rsidRPr="00A80935">
        <w:rPr>
          <w:lang w:val="ro-MD"/>
        </w:rPr>
        <w:t>.</w:t>
      </w:r>
    </w:p>
    <w:p w:rsidR="00903BFF" w:rsidRPr="00A80935" w:rsidRDefault="00903BFF" w:rsidP="00903BFF">
      <w:pPr>
        <w:pStyle w:val="aa"/>
        <w:widowControl w:val="0"/>
        <w:numPr>
          <w:ilvl w:val="0"/>
          <w:numId w:val="41"/>
        </w:numPr>
        <w:tabs>
          <w:tab w:val="left" w:pos="0"/>
        </w:tabs>
        <w:suppressAutoHyphens/>
        <w:autoSpaceDN w:val="0"/>
        <w:ind w:left="0" w:firstLine="426"/>
        <w:jc w:val="both"/>
        <w:textAlignment w:val="baseline"/>
        <w:rPr>
          <w:color w:val="000000"/>
          <w:lang w:val="ro-MD" w:eastAsia="ro-MD"/>
        </w:rPr>
      </w:pPr>
      <w:r w:rsidRPr="00A80935">
        <w:rPr>
          <w:b/>
          <w:lang w:val="ro-MD"/>
        </w:rPr>
        <w:t xml:space="preserve">Președintele raionului și primarii orașelor Sîngerei, Biruința și satelor/comunelor Chișcăreni, Coșcodeni, Drăgănești, Sîngereii Noi, Cubolta și Rădoaia </w:t>
      </w:r>
      <w:r w:rsidRPr="00A80935">
        <w:rPr>
          <w:lang w:val="ro-MD"/>
        </w:rPr>
        <w:t xml:space="preserve">să asigure </w:t>
      </w:r>
      <w:r w:rsidRPr="00A80935">
        <w:rPr>
          <w:lang w:val="ro-MD"/>
        </w:rPr>
        <w:lastRenderedPageBreak/>
        <w:t>identificarea/constatarea/inventarierea și evaluarea exhaustivă a bunurilor (mobile și imobile) proprietate publică locală, în scopul asigurării autenticității evidenței contabile a acestora, cu luarea măsurilor de rigoare, după caz, privind</w:t>
      </w:r>
      <w:r w:rsidRPr="00A80935">
        <w:rPr>
          <w:rFonts w:eastAsia="Calibri"/>
          <w:lang w:val="ro-MD" w:eastAsia="en-US"/>
        </w:rPr>
        <w:t xml:space="preserve"> </w:t>
      </w:r>
      <w:r w:rsidRPr="00A80935">
        <w:rPr>
          <w:lang w:val="ro-MD"/>
        </w:rPr>
        <w:t>neajunsurile de bunuri materiale; determinării stării tehnico-constructive a mijloacelor fixe și utilității lor; stabilirii necesității de casare a unor bunuri materiale uzate integral.</w:t>
      </w:r>
    </w:p>
    <w:p w:rsidR="00903BFF" w:rsidRPr="00A80935" w:rsidRDefault="00903BFF" w:rsidP="00903BFF">
      <w:pPr>
        <w:pStyle w:val="a3"/>
        <w:widowControl/>
        <w:numPr>
          <w:ilvl w:val="0"/>
          <w:numId w:val="41"/>
        </w:numPr>
        <w:tabs>
          <w:tab w:val="clear" w:pos="709"/>
          <w:tab w:val="left" w:pos="0"/>
        </w:tabs>
        <w:suppressAutoHyphens w:val="0"/>
        <w:autoSpaceDN/>
        <w:spacing w:line="240" w:lineRule="auto"/>
        <w:ind w:left="0" w:firstLine="426"/>
        <w:textAlignment w:val="auto"/>
        <w:rPr>
          <w:rStyle w:val="FontStyle56"/>
          <w:rFonts w:ascii="Times New Roman" w:eastAsia="Times New Roman" w:hAnsi="Times New Roman" w:cs="Times New Roman"/>
          <w:color w:val="00000A"/>
          <w:sz w:val="24"/>
          <w:szCs w:val="24"/>
          <w:lang w:val="ro-MD"/>
        </w:rPr>
      </w:pPr>
      <w:r w:rsidRPr="00A80935">
        <w:rPr>
          <w:rFonts w:ascii="Times New Roman" w:hAnsi="Times New Roman"/>
          <w:b/>
          <w:lang w:val="ro-MD"/>
        </w:rPr>
        <w:t xml:space="preserve">Președintele raionului, primarii or. Sîngerei, Biruința și satelor/comunelor Chișcăreni, Coșcodeni, Cubolta, Drăgănești, Sîngereii Noi și Rădoaia </w:t>
      </w:r>
      <w:r w:rsidRPr="00A80935">
        <w:rPr>
          <w:rFonts w:ascii="Times New Roman" w:hAnsi="Times New Roman"/>
          <w:bCs/>
          <w:iCs/>
          <w:lang w:val="ro-MD"/>
        </w:rPr>
        <w:t>să asigure înregistrarea conformă la organele cadastrale a drepturilor asupra patrimoniului public local, cu implementarea unui sistem de control intern eficient în domeniul administrării și gestionării fondului imobiliar</w:t>
      </w:r>
      <w:r w:rsidRPr="00A80935">
        <w:rPr>
          <w:rFonts w:ascii="Times New Roman" w:hAnsi="Times New Roman"/>
          <w:lang w:val="ro-MD"/>
        </w:rPr>
        <w:t>.</w:t>
      </w:r>
    </w:p>
    <w:p w:rsidR="00903BFF" w:rsidRPr="00A80935" w:rsidRDefault="00903BFF" w:rsidP="00903BFF">
      <w:pPr>
        <w:pStyle w:val="aa"/>
        <w:numPr>
          <w:ilvl w:val="0"/>
          <w:numId w:val="41"/>
        </w:numPr>
        <w:tabs>
          <w:tab w:val="left" w:pos="0"/>
        </w:tabs>
        <w:ind w:left="0" w:firstLine="426"/>
        <w:jc w:val="both"/>
        <w:rPr>
          <w:color w:val="000000"/>
          <w:lang w:val="ro-MD" w:eastAsia="ro-MD"/>
        </w:rPr>
      </w:pPr>
      <w:r w:rsidRPr="00A80935">
        <w:rPr>
          <w:b/>
          <w:color w:val="000000"/>
          <w:lang w:val="ro-MD" w:eastAsia="ro-MD"/>
        </w:rPr>
        <w:t xml:space="preserve">Președintele raionului și </w:t>
      </w:r>
      <w:r w:rsidRPr="00A80935">
        <w:rPr>
          <w:rStyle w:val="FontStyle56"/>
          <w:rFonts w:ascii="Times New Roman" w:hAnsi="Times New Roman" w:cs="Times New Roman"/>
          <w:b/>
          <w:sz w:val="24"/>
          <w:szCs w:val="24"/>
          <w:lang w:val="ro-MD" w:eastAsia="ro-MD"/>
        </w:rPr>
        <w:t xml:space="preserve">primarul </w:t>
      </w:r>
      <w:r w:rsidRPr="00A80935">
        <w:rPr>
          <w:b/>
          <w:color w:val="000000"/>
          <w:lang w:val="ro-MD" w:eastAsia="ro-MD"/>
        </w:rPr>
        <w:t xml:space="preserve">satului Rădoaia </w:t>
      </w:r>
      <w:r w:rsidRPr="00A80935">
        <w:rPr>
          <w:rStyle w:val="FontStyle56"/>
          <w:rFonts w:ascii="Times New Roman" w:hAnsi="Times New Roman" w:cs="Times New Roman"/>
          <w:sz w:val="24"/>
          <w:szCs w:val="24"/>
          <w:lang w:val="ro-MD" w:eastAsia="ro-MD"/>
        </w:rPr>
        <w:t xml:space="preserve">să asigure </w:t>
      </w:r>
      <w:r w:rsidRPr="00A80935">
        <w:rPr>
          <w:color w:val="000000"/>
          <w:lang w:val="ro-MD" w:eastAsia="ro-MD"/>
        </w:rPr>
        <w:t>majorarea regulamentară a valorii mijloacelor fixe în evidența contabilă, luînd în considerare costul reparațiilor capitale efectuate de locatarii bunurilor publice.</w:t>
      </w:r>
    </w:p>
    <w:p w:rsidR="00903BFF" w:rsidRPr="00A80935" w:rsidRDefault="00903BFF" w:rsidP="00903BFF">
      <w:pPr>
        <w:pStyle w:val="aa"/>
        <w:numPr>
          <w:ilvl w:val="0"/>
          <w:numId w:val="41"/>
        </w:numPr>
        <w:tabs>
          <w:tab w:val="left" w:pos="0"/>
        </w:tabs>
        <w:ind w:left="0" w:firstLine="426"/>
        <w:jc w:val="both"/>
        <w:rPr>
          <w:rStyle w:val="FontStyle56"/>
          <w:rFonts w:ascii="Times New Roman" w:hAnsi="Times New Roman" w:cs="Times New Roman"/>
          <w:sz w:val="24"/>
          <w:szCs w:val="24"/>
          <w:lang w:val="ro-MD" w:eastAsia="ro-MD"/>
        </w:rPr>
      </w:pPr>
      <w:r w:rsidRPr="00A80935">
        <w:rPr>
          <w:rStyle w:val="FontStyle56"/>
          <w:rFonts w:ascii="Times New Roman" w:hAnsi="Times New Roman" w:cs="Times New Roman"/>
          <w:b/>
          <w:sz w:val="24"/>
          <w:szCs w:val="24"/>
          <w:lang w:val="ro-MD" w:eastAsia="ro-MD"/>
        </w:rPr>
        <w:t xml:space="preserve">Președintele raionului, primarii </w:t>
      </w:r>
      <w:r w:rsidRPr="00A80935">
        <w:rPr>
          <w:b/>
          <w:color w:val="000000"/>
          <w:lang w:val="ro-MD" w:eastAsia="ro-MD"/>
        </w:rPr>
        <w:t xml:space="preserve">or. Sîngerei, Biruința, comunelor Chișcăreni, Coșcodeni și Drăgănești </w:t>
      </w:r>
      <w:r w:rsidRPr="00A80935">
        <w:rPr>
          <w:iCs/>
          <w:color w:val="000000"/>
          <w:lang w:val="ro-MD" w:eastAsia="ro-MD"/>
        </w:rPr>
        <w:t>să asigure inventarierea exhaustivă a patrimoniului public transmis în administrarea întreprinderilor fondate, precum și înregistrarea conformă a acestuia în evidența contabilă, inclusiv a drepturilor asupra lui,</w:t>
      </w:r>
      <w:r w:rsidRPr="00A80935">
        <w:rPr>
          <w:b/>
          <w:iCs/>
          <w:color w:val="000000"/>
          <w:lang w:val="ro-MD" w:eastAsia="ro-MD"/>
        </w:rPr>
        <w:t xml:space="preserve"> </w:t>
      </w:r>
      <w:r w:rsidRPr="00A80935">
        <w:rPr>
          <w:rStyle w:val="FontStyle56"/>
          <w:rFonts w:ascii="Times New Roman" w:hAnsi="Times New Roman" w:cs="Times New Roman"/>
          <w:sz w:val="24"/>
          <w:szCs w:val="24"/>
          <w:lang w:val="ro-MD" w:eastAsia="ro-MD"/>
        </w:rPr>
        <w:t>cu ajustarea corespunzătoare a mărimii capitalului social al ÎM.</w:t>
      </w:r>
    </w:p>
    <w:p w:rsidR="00903BFF" w:rsidRPr="00A80935" w:rsidRDefault="00903BFF" w:rsidP="00903BFF">
      <w:pPr>
        <w:pStyle w:val="aa"/>
        <w:numPr>
          <w:ilvl w:val="0"/>
          <w:numId w:val="41"/>
        </w:numPr>
        <w:tabs>
          <w:tab w:val="left" w:pos="0"/>
        </w:tabs>
        <w:ind w:left="0" w:firstLine="426"/>
        <w:jc w:val="both"/>
        <w:rPr>
          <w:lang w:val="ro-MD"/>
        </w:rPr>
      </w:pPr>
      <w:r w:rsidRPr="00A80935">
        <w:rPr>
          <w:b/>
          <w:lang w:val="ro-MD"/>
        </w:rPr>
        <w:t xml:space="preserve">Președintele raionului, primarii or. Sîngerei, Biruința, comunelor Chișcăreni și Drăgănești </w:t>
      </w:r>
      <w:r w:rsidRPr="00A80935">
        <w:rPr>
          <w:lang w:val="ro-MD"/>
        </w:rPr>
        <w:t>să întreprindă măsuri pentru organizarea activității de monitoring financiar al ÎM și elaborarea, de comun acord cu administratorii întreprinderilor fondate, a unor planuri manageriale de remediere a rezultatelor operaționale negative.</w:t>
      </w:r>
    </w:p>
    <w:p w:rsidR="00903BFF" w:rsidRPr="00A80935" w:rsidRDefault="00903BFF" w:rsidP="00903BFF">
      <w:pPr>
        <w:pStyle w:val="aa"/>
        <w:numPr>
          <w:ilvl w:val="0"/>
          <w:numId w:val="41"/>
        </w:numPr>
        <w:tabs>
          <w:tab w:val="left" w:pos="0"/>
        </w:tabs>
        <w:ind w:left="0" w:firstLine="426"/>
        <w:jc w:val="both"/>
        <w:rPr>
          <w:lang w:val="ro-MD"/>
        </w:rPr>
      </w:pPr>
      <w:r w:rsidRPr="00A80935">
        <w:rPr>
          <w:b/>
          <w:lang w:val="ro-MD"/>
        </w:rPr>
        <w:t xml:space="preserve">Primarii or. Biruința, comunelor Chișcăreni, Cubolta, Drăgănești și Sîngereii Noi </w:t>
      </w:r>
      <w:r w:rsidRPr="00A80935">
        <w:rPr>
          <w:lang w:val="ro-MD"/>
        </w:rPr>
        <w:t>să întreprindă acțiuni de perfectare a relațiilor de locațiune a bunurilor imobile utilizate de terți.</w:t>
      </w:r>
    </w:p>
    <w:p w:rsidR="00903BFF" w:rsidRPr="00A80935" w:rsidRDefault="00903BFF" w:rsidP="00903BFF">
      <w:pPr>
        <w:pStyle w:val="aa"/>
        <w:numPr>
          <w:ilvl w:val="0"/>
          <w:numId w:val="41"/>
        </w:numPr>
        <w:tabs>
          <w:tab w:val="left" w:pos="0"/>
        </w:tabs>
        <w:ind w:left="0" w:firstLine="426"/>
        <w:jc w:val="both"/>
        <w:rPr>
          <w:lang w:val="ro-MD"/>
        </w:rPr>
      </w:pPr>
      <w:r w:rsidRPr="00A80935">
        <w:rPr>
          <w:b/>
          <w:lang w:val="ro-MD"/>
        </w:rPr>
        <w:t>Primarii or. Sîngerei, satelor/comunelor Rădoaia,</w:t>
      </w:r>
      <w:r w:rsidRPr="00A80935">
        <w:rPr>
          <w:rFonts w:eastAsia="Calibri"/>
          <w:lang w:val="ro-MD" w:eastAsia="en-US"/>
        </w:rPr>
        <w:t xml:space="preserve"> </w:t>
      </w:r>
      <w:r w:rsidRPr="00A80935">
        <w:rPr>
          <w:b/>
          <w:lang w:val="ro-MD"/>
        </w:rPr>
        <w:t>Iezărenii Vechi, Sîngereii Noi,</w:t>
      </w:r>
      <w:r w:rsidRPr="00A80935">
        <w:rPr>
          <w:lang w:val="ro-MD"/>
        </w:rPr>
        <w:t xml:space="preserve"> </w:t>
      </w:r>
      <w:r w:rsidRPr="00A80935">
        <w:rPr>
          <w:b/>
          <w:lang w:val="ro-MD"/>
        </w:rPr>
        <w:t>Cotiujenii Mici, Drăgănești,</w:t>
      </w:r>
      <w:r w:rsidRPr="00A80935">
        <w:rPr>
          <w:lang w:val="ro-MD"/>
        </w:rPr>
        <w:t xml:space="preserve"> </w:t>
      </w:r>
      <w:r w:rsidRPr="00A80935">
        <w:rPr>
          <w:b/>
          <w:lang w:val="ro-MD"/>
        </w:rPr>
        <w:t>Bilicenii Vechi și Chișcăreni</w:t>
      </w:r>
      <w:r w:rsidRPr="00A80935">
        <w:rPr>
          <w:b/>
          <w:i/>
          <w:lang w:val="ro-MD"/>
        </w:rPr>
        <w:t xml:space="preserve"> </w:t>
      </w:r>
      <w:r w:rsidRPr="00A80935">
        <w:rPr>
          <w:lang w:val="ro-MD"/>
        </w:rPr>
        <w:t>să întreprindă măsurile de rigoare pentru delimitarea și cadastrarea terenurilor fondului apelor, cu legalizarea relațiilor de arendă a terenurilor cu utilizatorii corpurilor de apă (iazuri).</w:t>
      </w:r>
    </w:p>
    <w:p w:rsidR="00903BFF" w:rsidRPr="00A80935" w:rsidRDefault="00903BFF" w:rsidP="00903BFF">
      <w:pPr>
        <w:pStyle w:val="aa"/>
        <w:numPr>
          <w:ilvl w:val="0"/>
          <w:numId w:val="41"/>
        </w:numPr>
        <w:tabs>
          <w:tab w:val="left" w:pos="0"/>
        </w:tabs>
        <w:ind w:left="0" w:firstLine="426"/>
        <w:jc w:val="both"/>
        <w:rPr>
          <w:lang w:val="ro-MD"/>
        </w:rPr>
      </w:pPr>
      <w:r w:rsidRPr="00A80935">
        <w:rPr>
          <w:b/>
          <w:bCs/>
          <w:lang w:val="ro-MD"/>
        </w:rPr>
        <w:t>DF</w:t>
      </w:r>
      <w:r w:rsidRPr="00A80935">
        <w:rPr>
          <w:b/>
          <w:i/>
          <w:lang w:val="ro-MD"/>
        </w:rPr>
        <w:t xml:space="preserve"> </w:t>
      </w:r>
      <w:r w:rsidRPr="00A80935">
        <w:rPr>
          <w:lang w:val="ro-MD"/>
        </w:rPr>
        <w:t>să asigure monitorizarea metodologică și activitatea de control asupra conformității ținerii evidenței contabile și veridicității rapoartelor financiare și patrimoniale ale AAPL de nivelul I și nivelul II din raion.</w:t>
      </w:r>
    </w:p>
    <w:p w:rsidR="00903BFF" w:rsidRPr="00A80935" w:rsidRDefault="00903BFF" w:rsidP="00903BFF">
      <w:pPr>
        <w:pStyle w:val="aa"/>
        <w:tabs>
          <w:tab w:val="left" w:pos="0"/>
        </w:tabs>
        <w:ind w:left="0"/>
        <w:jc w:val="both"/>
        <w:rPr>
          <w:rFonts w:eastAsia="Nimbus Sans L"/>
          <w:bCs/>
          <w:iCs/>
          <w:color w:val="00000A"/>
          <w:kern w:val="3"/>
          <w:lang w:val="ro-MD" w:eastAsia="zh-CN" w:bidi="hi-IN"/>
        </w:rPr>
      </w:pPr>
    </w:p>
    <w:p w:rsidR="00903BFF" w:rsidRPr="00A80935" w:rsidRDefault="00903BFF" w:rsidP="00903BFF">
      <w:pPr>
        <w:spacing w:after="120" w:line="240" w:lineRule="auto"/>
        <w:jc w:val="center"/>
        <w:rPr>
          <w:rFonts w:ascii="Times New Roman" w:eastAsia="Times New Roman" w:hAnsi="Times New Roman"/>
          <w:b/>
          <w:iCs/>
          <w:sz w:val="24"/>
          <w:szCs w:val="24"/>
          <w:lang w:val="ro-MD" w:eastAsia="ja-JP"/>
        </w:rPr>
      </w:pPr>
      <w:r w:rsidRPr="00A80935">
        <w:rPr>
          <w:rFonts w:ascii="Times New Roman" w:eastAsia="Times New Roman" w:hAnsi="Times New Roman"/>
          <w:b/>
          <w:sz w:val="24"/>
          <w:szCs w:val="24"/>
          <w:lang w:val="ro-MD"/>
        </w:rPr>
        <w:t>CONCLUZII GENERALE DE AUDIT</w:t>
      </w:r>
    </w:p>
    <w:p w:rsidR="00903BFF" w:rsidRPr="00A80935" w:rsidRDefault="00903BFF" w:rsidP="00903BFF">
      <w:pPr>
        <w:tabs>
          <w:tab w:val="left" w:pos="567"/>
        </w:tabs>
        <w:spacing w:after="0" w:line="240" w:lineRule="auto"/>
        <w:ind w:firstLine="567"/>
        <w:jc w:val="both"/>
        <w:rPr>
          <w:rFonts w:ascii="Times New Roman" w:eastAsia="Times New Roman" w:hAnsi="Times New Roman"/>
          <w:sz w:val="24"/>
          <w:szCs w:val="24"/>
          <w:lang w:val="ro-MD"/>
        </w:rPr>
      </w:pPr>
      <w:r w:rsidRPr="00A80935">
        <w:rPr>
          <w:rFonts w:ascii="Times New Roman" w:eastAsia="Times New Roman" w:hAnsi="Times New Roman"/>
          <w:sz w:val="24"/>
          <w:szCs w:val="24"/>
          <w:lang w:val="ro-MD"/>
        </w:rPr>
        <w:t>Modul de evidență a patrimoniului UAT de către unele AAPL din raion nu oferă o informație exhaustivă și veridică privind clasificarea pe grupe în contabilitate, valoarea și integritatea activelor materiale deținute, iar iregularitatea gestionării acestora și neacuratețea evidenței contabile generează un risc de pierdere a bunurilor materiale prin degradare, dezasamblare sau delapidare. Mijloacele fixe ale UAT nu sînt identificate corespunzător, ca urmare a efectuării unor inventarieri anuale necalitative ale elementelor patrimoniale, prin care nu se determină și nu se documentează cert existența, integritatea, calitatea și utilitatea lor.</w:t>
      </w:r>
    </w:p>
    <w:p w:rsidR="00903BFF" w:rsidRPr="00A80935" w:rsidRDefault="00903BFF" w:rsidP="00903BFF">
      <w:pPr>
        <w:tabs>
          <w:tab w:val="left" w:pos="567"/>
        </w:tabs>
        <w:spacing w:after="0" w:line="240" w:lineRule="auto"/>
        <w:ind w:firstLine="567"/>
        <w:jc w:val="both"/>
        <w:rPr>
          <w:rFonts w:ascii="Times New Roman" w:eastAsia="Times New Roman" w:hAnsi="Times New Roman"/>
          <w:sz w:val="24"/>
          <w:szCs w:val="24"/>
          <w:lang w:val="ro-MD"/>
        </w:rPr>
      </w:pPr>
      <w:r w:rsidRPr="00A80935">
        <w:rPr>
          <w:rFonts w:ascii="Times New Roman" w:eastAsia="Times New Roman" w:hAnsi="Times New Roman"/>
          <w:sz w:val="24"/>
          <w:szCs w:val="24"/>
          <w:lang w:val="ro-MD"/>
        </w:rPr>
        <w:t>Misiunea de audit relevă că sistemul de management financiar și control al gestionării patrimoniului UAT (de nivelul I și nivelul II) nu s-a conformat total prevederilor cadrului legal-normativ și are rezerve la capitolul buna guvernare, fiind afectat de unele deficiențe, exprimate prin: lipsa evidenței conforme a patrimoniului public și raportării veridice a situațiilor patrimoniale; neasigurarea înregistrării integrale la organul cadastral a drepturilor de proprietate asupra bunurilor imobile; formarea și evidența neconformă a activelor incluse în capitalul social al ÎM sau date în gestiune operativă persoanelor juridice de drept public; neefectuarea activității de monitoring financiar al ÎM prin aplicarea și evaluarea indicatorilor de performanță și de rezultat; nerespectarea modului de dare în folosință și de vînzare a bunurilor publice; neperfectarea contractelor de locațiune/arendă pentru bunurile imobile folosite de terți.</w:t>
      </w:r>
    </w:p>
    <w:p w:rsidR="00903BFF" w:rsidRPr="00A80935" w:rsidRDefault="00903BFF" w:rsidP="00903BFF">
      <w:pPr>
        <w:tabs>
          <w:tab w:val="left" w:pos="567"/>
        </w:tabs>
        <w:spacing w:after="0" w:line="240" w:lineRule="auto"/>
        <w:ind w:firstLine="567"/>
        <w:jc w:val="both"/>
        <w:rPr>
          <w:rFonts w:ascii="Times New Roman" w:eastAsia="Times New Roman" w:hAnsi="Times New Roman"/>
          <w:bCs/>
          <w:sz w:val="24"/>
          <w:szCs w:val="24"/>
          <w:lang w:val="ro-MD" w:eastAsia="ru-RU"/>
        </w:rPr>
      </w:pPr>
      <w:r w:rsidRPr="00A80935">
        <w:rPr>
          <w:rFonts w:ascii="Times New Roman" w:eastAsia="Times New Roman" w:hAnsi="Times New Roman"/>
          <w:bCs/>
          <w:sz w:val="24"/>
          <w:szCs w:val="24"/>
          <w:lang w:val="ro-MD" w:eastAsia="ru-RU"/>
        </w:rPr>
        <w:t>Prin administrarea neconformă și ineficientă a patrimoniului public de către AAPL, au fost generate situații cînd în bugetele locale nu au fost încasate potențiale venituri din vînzarea și folosința efectivă a bunurilor imobile.</w:t>
      </w:r>
    </w:p>
    <w:p w:rsidR="00903BFF" w:rsidRPr="00A80935" w:rsidRDefault="00903BFF" w:rsidP="00903BFF">
      <w:pPr>
        <w:spacing w:after="0" w:line="240" w:lineRule="auto"/>
        <w:contextualSpacing/>
        <w:jc w:val="both"/>
        <w:rPr>
          <w:rFonts w:ascii="Times New Roman" w:eastAsia="Times New Roman" w:hAnsi="Times New Roman"/>
          <w:bCs/>
          <w:sz w:val="24"/>
          <w:szCs w:val="24"/>
          <w:lang w:val="ro-MD" w:eastAsia="ru-RU"/>
        </w:rPr>
      </w:pPr>
    </w:p>
    <w:p w:rsidR="00903BFF" w:rsidRDefault="00903BFF" w:rsidP="00903BFF">
      <w:pPr>
        <w:spacing w:after="0" w:line="240" w:lineRule="auto"/>
        <w:contextualSpacing/>
        <w:jc w:val="both"/>
        <w:rPr>
          <w:rFonts w:ascii="Times New Roman" w:eastAsia="Times New Roman" w:hAnsi="Times New Roman"/>
          <w:bCs/>
          <w:sz w:val="28"/>
          <w:szCs w:val="28"/>
          <w:lang w:val="ro-MD" w:eastAsia="ru-RU"/>
        </w:rPr>
      </w:pPr>
    </w:p>
    <w:p w:rsidR="00903BFF" w:rsidRPr="0060569A" w:rsidRDefault="00903BFF" w:rsidP="00903BFF">
      <w:pPr>
        <w:spacing w:after="0" w:line="240" w:lineRule="auto"/>
        <w:contextualSpacing/>
        <w:jc w:val="both"/>
        <w:rPr>
          <w:rFonts w:ascii="Times New Roman" w:eastAsia="Times New Roman" w:hAnsi="Times New Roman"/>
          <w:bCs/>
          <w:sz w:val="28"/>
          <w:szCs w:val="28"/>
          <w:lang w:val="ro-MD" w:eastAsia="ru-RU"/>
        </w:rPr>
      </w:pPr>
    </w:p>
    <w:p w:rsidR="00903BFF" w:rsidRPr="005F652A" w:rsidRDefault="00903BFF" w:rsidP="00903BFF">
      <w:pPr>
        <w:spacing w:after="0" w:line="240" w:lineRule="auto"/>
        <w:ind w:left="567"/>
        <w:contextualSpacing/>
        <w:jc w:val="both"/>
        <w:rPr>
          <w:rFonts w:ascii="Times New Roman" w:eastAsia="Times New Roman" w:hAnsi="Times New Roman"/>
          <w:b/>
          <w:bCs/>
          <w:i/>
          <w:sz w:val="24"/>
          <w:szCs w:val="24"/>
          <w:lang w:val="ro-MD" w:eastAsia="ru-RU"/>
        </w:rPr>
      </w:pPr>
      <w:r w:rsidRPr="005F652A">
        <w:rPr>
          <w:rFonts w:ascii="Times New Roman" w:eastAsia="Times New Roman" w:hAnsi="Times New Roman"/>
          <w:b/>
          <w:bCs/>
          <w:i/>
          <w:sz w:val="24"/>
          <w:szCs w:val="24"/>
          <w:lang w:val="ro-MD" w:eastAsia="ru-RU"/>
        </w:rPr>
        <w:t xml:space="preserve">Echipa de audit: </w:t>
      </w:r>
    </w:p>
    <w:p w:rsidR="00903BFF" w:rsidRPr="005F652A" w:rsidRDefault="00903BFF" w:rsidP="00903BFF">
      <w:pPr>
        <w:tabs>
          <w:tab w:val="left" w:pos="5670"/>
        </w:tabs>
        <w:spacing w:after="0" w:line="240" w:lineRule="auto"/>
        <w:ind w:left="567"/>
        <w:rPr>
          <w:rFonts w:ascii="Times New Roman" w:eastAsia="Times New Roman" w:hAnsi="Times New Roman"/>
          <w:bCs/>
          <w:sz w:val="24"/>
          <w:szCs w:val="24"/>
          <w:lang w:val="ro-MD" w:eastAsia="ru-RU"/>
        </w:rPr>
      </w:pPr>
      <w:r w:rsidRPr="005F652A">
        <w:rPr>
          <w:rFonts w:ascii="Times New Roman" w:eastAsia="Times New Roman" w:hAnsi="Times New Roman"/>
          <w:sz w:val="24"/>
          <w:szCs w:val="24"/>
          <w:lang w:val="ro-MD" w:eastAsia="ru-RU"/>
        </w:rPr>
        <w:t>Controlor</w:t>
      </w:r>
      <w:r w:rsidRPr="005F652A">
        <w:rPr>
          <w:rFonts w:ascii="Times New Roman" w:eastAsia="Times New Roman" w:hAnsi="Times New Roman"/>
          <w:bCs/>
          <w:sz w:val="24"/>
          <w:szCs w:val="24"/>
          <w:lang w:val="ro-MD" w:eastAsia="ru-RU"/>
        </w:rPr>
        <w:t xml:space="preserve"> de stat /auditor public </w:t>
      </w:r>
    </w:p>
    <w:p w:rsidR="00903BFF" w:rsidRPr="005F652A" w:rsidRDefault="00903BFF" w:rsidP="00903BFF">
      <w:pPr>
        <w:tabs>
          <w:tab w:val="left" w:pos="5670"/>
        </w:tabs>
        <w:spacing w:after="0" w:line="240" w:lineRule="auto"/>
        <w:ind w:left="567"/>
        <w:rPr>
          <w:rFonts w:ascii="Times New Roman" w:eastAsia="Times New Roman" w:hAnsi="Times New Roman"/>
          <w:bCs/>
          <w:sz w:val="24"/>
          <w:szCs w:val="24"/>
          <w:lang w:val="ro-MD" w:eastAsia="ru-RU"/>
        </w:rPr>
      </w:pPr>
      <w:r w:rsidRPr="005F652A">
        <w:rPr>
          <w:rFonts w:ascii="Times New Roman" w:eastAsia="Times New Roman" w:hAnsi="Times New Roman"/>
          <w:bCs/>
          <w:sz w:val="24"/>
          <w:szCs w:val="24"/>
          <w:lang w:val="ro-MD" w:eastAsia="ru-RU"/>
        </w:rPr>
        <w:t>(șeful echipei)</w:t>
      </w:r>
      <w:r>
        <w:rPr>
          <w:rFonts w:ascii="Times New Roman" w:eastAsia="Times New Roman" w:hAnsi="Times New Roman"/>
          <w:bCs/>
          <w:sz w:val="24"/>
          <w:szCs w:val="24"/>
          <w:lang w:val="ro-MD" w:eastAsia="ru-RU"/>
        </w:rPr>
        <w:t xml:space="preserve">                           </w:t>
      </w:r>
      <w:r>
        <w:rPr>
          <w:rFonts w:ascii="Times New Roman" w:eastAsia="Times New Roman" w:hAnsi="Times New Roman"/>
          <w:bCs/>
          <w:sz w:val="24"/>
          <w:szCs w:val="24"/>
          <w:lang w:val="ro-MD" w:eastAsia="ru-RU"/>
        </w:rPr>
        <w:tab/>
        <w:t xml:space="preserve">      </w:t>
      </w:r>
      <w:r w:rsidRPr="005F652A">
        <w:rPr>
          <w:rFonts w:ascii="Times New Roman" w:eastAsia="Times New Roman" w:hAnsi="Times New Roman"/>
          <w:bCs/>
          <w:sz w:val="24"/>
          <w:szCs w:val="24"/>
          <w:lang w:val="ro-MD" w:eastAsia="ru-RU"/>
        </w:rPr>
        <w:t>Igor Lungu</w:t>
      </w:r>
    </w:p>
    <w:p w:rsidR="00903BFF" w:rsidRPr="005F652A" w:rsidRDefault="00903BFF" w:rsidP="00903BFF">
      <w:pPr>
        <w:tabs>
          <w:tab w:val="left" w:pos="0"/>
          <w:tab w:val="left" w:pos="5670"/>
        </w:tabs>
        <w:spacing w:after="0" w:line="240" w:lineRule="auto"/>
        <w:ind w:left="567"/>
        <w:rPr>
          <w:rFonts w:ascii="Times New Roman" w:hAnsi="Times New Roman"/>
          <w:sz w:val="24"/>
          <w:szCs w:val="24"/>
          <w:lang w:val="ro-MD" w:eastAsia="ru-RU"/>
        </w:rPr>
      </w:pPr>
      <w:r w:rsidRPr="005F652A">
        <w:rPr>
          <w:rFonts w:ascii="Times New Roman" w:hAnsi="Times New Roman"/>
          <w:sz w:val="24"/>
          <w:szCs w:val="24"/>
          <w:lang w:val="ro-MD" w:eastAsia="ru-RU"/>
        </w:rPr>
        <w:t>Controlor de stat superior /auditor public</w:t>
      </w:r>
      <w:r>
        <w:rPr>
          <w:rFonts w:ascii="Times New Roman" w:hAnsi="Times New Roman"/>
          <w:sz w:val="24"/>
          <w:szCs w:val="24"/>
          <w:lang w:val="ro-MD" w:eastAsia="ru-RU"/>
        </w:rPr>
        <w:t xml:space="preserve">      </w:t>
      </w:r>
      <w:r>
        <w:rPr>
          <w:rFonts w:ascii="Times New Roman" w:hAnsi="Times New Roman"/>
          <w:sz w:val="24"/>
          <w:szCs w:val="24"/>
          <w:lang w:val="ro-MD" w:eastAsia="ru-RU"/>
        </w:rPr>
        <w:tab/>
        <w:t xml:space="preserve">      </w:t>
      </w:r>
      <w:r w:rsidRPr="005F652A">
        <w:rPr>
          <w:rFonts w:ascii="Times New Roman" w:hAnsi="Times New Roman"/>
          <w:sz w:val="24"/>
          <w:szCs w:val="24"/>
          <w:lang w:val="ro-MD" w:eastAsia="ru-RU"/>
        </w:rPr>
        <w:t>Dorin Ciubotar</w:t>
      </w:r>
      <w:r>
        <w:rPr>
          <w:rFonts w:ascii="Times New Roman" w:hAnsi="Times New Roman"/>
          <w:sz w:val="24"/>
          <w:szCs w:val="24"/>
          <w:lang w:val="ro-MD" w:eastAsia="ru-RU"/>
        </w:rPr>
        <w:t>u</w:t>
      </w:r>
    </w:p>
    <w:p w:rsidR="00903BFF" w:rsidRPr="005F652A" w:rsidRDefault="00903BFF" w:rsidP="00903BFF">
      <w:pPr>
        <w:tabs>
          <w:tab w:val="left" w:pos="0"/>
        </w:tabs>
        <w:spacing w:after="0" w:line="240" w:lineRule="auto"/>
        <w:ind w:left="567"/>
        <w:rPr>
          <w:rFonts w:ascii="Times New Roman" w:hAnsi="Times New Roman"/>
          <w:sz w:val="24"/>
          <w:szCs w:val="24"/>
          <w:lang w:val="ro-MD" w:eastAsia="ru-RU"/>
        </w:rPr>
      </w:pPr>
      <w:r w:rsidRPr="005F652A">
        <w:rPr>
          <w:rFonts w:ascii="Times New Roman" w:hAnsi="Times New Roman"/>
          <w:sz w:val="24"/>
          <w:szCs w:val="24"/>
          <w:lang w:val="ro-MD" w:eastAsia="ru-RU"/>
        </w:rPr>
        <w:t>Controlor de stat /auditor public</w:t>
      </w:r>
      <w:r>
        <w:rPr>
          <w:rFonts w:ascii="Times New Roman" w:hAnsi="Times New Roman"/>
          <w:sz w:val="24"/>
          <w:szCs w:val="24"/>
          <w:lang w:val="ro-MD" w:eastAsia="ru-RU"/>
        </w:rPr>
        <w:t xml:space="preserve">             </w:t>
      </w:r>
      <w:r>
        <w:rPr>
          <w:rFonts w:ascii="Times New Roman" w:hAnsi="Times New Roman"/>
          <w:sz w:val="24"/>
          <w:szCs w:val="24"/>
          <w:lang w:val="ro-MD" w:eastAsia="ru-RU"/>
        </w:rPr>
        <w:tab/>
      </w:r>
      <w:r>
        <w:rPr>
          <w:rFonts w:ascii="Times New Roman" w:hAnsi="Times New Roman"/>
          <w:sz w:val="24"/>
          <w:szCs w:val="24"/>
          <w:lang w:val="ro-MD" w:eastAsia="ru-RU"/>
        </w:rPr>
        <w:tab/>
        <w:t xml:space="preserve">      </w:t>
      </w:r>
      <w:r w:rsidRPr="005F652A">
        <w:rPr>
          <w:rFonts w:ascii="Times New Roman" w:hAnsi="Times New Roman"/>
          <w:sz w:val="24"/>
          <w:szCs w:val="24"/>
          <w:lang w:val="ro-MD" w:eastAsia="ru-RU"/>
        </w:rPr>
        <w:t>Alexandru Răileanu</w:t>
      </w:r>
    </w:p>
    <w:p w:rsidR="00903BFF" w:rsidRPr="005F652A" w:rsidRDefault="00903BFF" w:rsidP="00903BFF">
      <w:pPr>
        <w:spacing w:after="0" w:line="240" w:lineRule="auto"/>
        <w:ind w:left="567"/>
        <w:contextualSpacing/>
        <w:jc w:val="both"/>
        <w:rPr>
          <w:rFonts w:ascii="Times New Roman" w:eastAsia="Times New Roman" w:hAnsi="Times New Roman"/>
          <w:sz w:val="24"/>
          <w:szCs w:val="24"/>
          <w:lang w:val="ro-MD" w:eastAsia="ru-RU"/>
        </w:rPr>
      </w:pPr>
    </w:p>
    <w:p w:rsidR="00903BFF" w:rsidRPr="005F652A" w:rsidRDefault="00903BFF" w:rsidP="00903BFF">
      <w:pPr>
        <w:spacing w:after="0" w:line="240" w:lineRule="auto"/>
        <w:jc w:val="right"/>
        <w:rPr>
          <w:rFonts w:ascii="Times New Roman" w:eastAsia="Times New Roman" w:hAnsi="Times New Roman"/>
          <w:b/>
          <w:sz w:val="24"/>
          <w:szCs w:val="24"/>
          <w:lang w:val="ro-MD" w:eastAsia="ru-RU"/>
        </w:rPr>
      </w:pPr>
      <w:r w:rsidRPr="005F652A">
        <w:rPr>
          <w:rFonts w:ascii="Times New Roman" w:eastAsia="Times New Roman" w:hAnsi="Times New Roman"/>
          <w:b/>
          <w:sz w:val="24"/>
          <w:szCs w:val="24"/>
          <w:lang w:val="ro-MD" w:eastAsia="ru-RU"/>
        </w:rPr>
        <w:t>Anexa nr.1</w:t>
      </w:r>
    </w:p>
    <w:p w:rsidR="00903BFF" w:rsidRPr="005F652A" w:rsidRDefault="00903BFF" w:rsidP="00903BFF">
      <w:pPr>
        <w:spacing w:after="0" w:line="240" w:lineRule="auto"/>
        <w:ind w:firstLine="567"/>
        <w:jc w:val="right"/>
        <w:rPr>
          <w:rFonts w:ascii="Times New Roman" w:eastAsia="Times New Roman" w:hAnsi="Times New Roman"/>
          <w:b/>
          <w:sz w:val="24"/>
          <w:szCs w:val="24"/>
          <w:lang w:val="ro-MD" w:eastAsia="ru-RU"/>
        </w:rPr>
      </w:pPr>
    </w:p>
    <w:p w:rsidR="00903BFF" w:rsidRPr="005F652A" w:rsidRDefault="00903BFF" w:rsidP="00903BFF">
      <w:pPr>
        <w:spacing w:after="0" w:line="240" w:lineRule="auto"/>
        <w:jc w:val="center"/>
        <w:rPr>
          <w:rFonts w:ascii="Times New Roman" w:eastAsia="Times New Roman" w:hAnsi="Times New Roman"/>
          <w:b/>
          <w:sz w:val="24"/>
          <w:szCs w:val="24"/>
          <w:lang w:val="ro-MD" w:eastAsia="ru-RU"/>
        </w:rPr>
      </w:pPr>
      <w:r w:rsidRPr="005F652A">
        <w:rPr>
          <w:rFonts w:ascii="Times New Roman" w:eastAsia="Times New Roman" w:hAnsi="Times New Roman"/>
          <w:b/>
          <w:sz w:val="24"/>
          <w:szCs w:val="24"/>
          <w:lang w:val="ro-MD" w:eastAsia="ru-RU"/>
        </w:rPr>
        <w:t>Informații succinte privind patrimoniul administrat de AAPL,</w:t>
      </w:r>
      <w:r w:rsidRPr="005F652A">
        <w:rPr>
          <w:rFonts w:ascii="Times New Roman" w:eastAsia="Times New Roman" w:hAnsi="Times New Roman"/>
          <w:b/>
          <w:bCs/>
          <w:sz w:val="24"/>
          <w:szCs w:val="24"/>
          <w:lang w:val="ro-MD" w:eastAsia="ru-RU"/>
        </w:rPr>
        <w:t xml:space="preserve"> cadrul normativ-legislativ relevant</w:t>
      </w:r>
      <w:r w:rsidRPr="005F652A">
        <w:rPr>
          <w:rFonts w:ascii="Times New Roman" w:eastAsia="Times New Roman" w:hAnsi="Times New Roman"/>
          <w:b/>
          <w:sz w:val="24"/>
          <w:szCs w:val="24"/>
          <w:lang w:val="ro-MD" w:eastAsia="ru-RU"/>
        </w:rPr>
        <w:t xml:space="preserve"> (bazele juridice și organizatorice de administrare a patrimoniului public, evidența contabilă în autoritățile publice supuse auditării) </w:t>
      </w:r>
    </w:p>
    <w:p w:rsidR="00903BFF" w:rsidRPr="005F652A" w:rsidRDefault="00903BFF" w:rsidP="00903BFF">
      <w:pPr>
        <w:spacing w:after="0" w:line="240" w:lineRule="auto"/>
        <w:jc w:val="center"/>
        <w:rPr>
          <w:rFonts w:ascii="Times New Roman" w:eastAsia="Times New Roman" w:hAnsi="Times New Roman"/>
          <w:b/>
          <w:sz w:val="24"/>
          <w:szCs w:val="24"/>
          <w:lang w:val="ro-MD" w:eastAsia="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2"/>
      </w:tblGrid>
      <w:tr w:rsidR="00903BFF" w:rsidRPr="0077542A" w:rsidTr="001B4D6B">
        <w:trPr>
          <w:trHeight w:val="3676"/>
        </w:trPr>
        <w:tc>
          <w:tcPr>
            <w:tcW w:w="1560" w:type="dxa"/>
          </w:tcPr>
          <w:p w:rsidR="00903BFF" w:rsidRPr="005F652A" w:rsidRDefault="00903BFF" w:rsidP="001B4D6B">
            <w:pPr>
              <w:spacing w:after="0" w:line="240" w:lineRule="auto"/>
              <w:rPr>
                <w:rFonts w:ascii="Times New Roman" w:eastAsia="Times New Roman" w:hAnsi="Times New Roman"/>
                <w:i/>
                <w:lang w:val="ro-MD" w:eastAsia="ru-RU"/>
              </w:rPr>
            </w:pPr>
            <w:r w:rsidRPr="005F652A">
              <w:rPr>
                <w:rFonts w:ascii="Times New Roman" w:eastAsia="Times New Roman" w:hAnsi="Times New Roman"/>
                <w:i/>
                <w:lang w:val="ro-MD" w:eastAsia="ru-RU"/>
              </w:rPr>
              <w:t>Informații generale privind patrimoniul administrat</w:t>
            </w:r>
          </w:p>
        </w:tc>
        <w:tc>
          <w:tcPr>
            <w:tcW w:w="8222" w:type="dxa"/>
          </w:tcPr>
          <w:p w:rsidR="00903BFF" w:rsidRPr="0077542A" w:rsidRDefault="00903BFF" w:rsidP="001B4D6B">
            <w:pPr>
              <w:spacing w:after="0" w:line="240" w:lineRule="auto"/>
              <w:jc w:val="center"/>
              <w:rPr>
                <w:rFonts w:ascii="Times New Roman" w:hAnsi="Times New Roman"/>
                <w:b/>
                <w:lang w:val="ro-MD"/>
              </w:rPr>
            </w:pPr>
            <w:r w:rsidRPr="0077542A">
              <w:rPr>
                <w:rFonts w:ascii="Times New Roman" w:hAnsi="Times New Roman"/>
                <w:b/>
                <w:lang w:val="ro-MD"/>
              </w:rPr>
              <w:t>Structura executorilor primari și secundari de buget care țin evidența contabilă și administrează patrimoniul public</w:t>
            </w:r>
          </w:p>
          <w:p w:rsidR="00903BFF" w:rsidRPr="0077542A" w:rsidRDefault="00903BFF" w:rsidP="001B4D6B">
            <w:pPr>
              <w:spacing w:after="0" w:line="240" w:lineRule="auto"/>
              <w:jc w:val="both"/>
              <w:rPr>
                <w:rFonts w:ascii="Times New Roman" w:hAnsi="Times New Roman"/>
                <w:b/>
                <w:i/>
                <w:u w:val="single"/>
                <w:lang w:val="ro-MD"/>
              </w:rPr>
            </w:pPr>
            <w:r w:rsidRPr="0077542A">
              <w:rPr>
                <w:rFonts w:ascii="Times New Roman" w:hAnsi="Times New Roman"/>
                <w:b/>
                <w:i/>
                <w:u w:val="single"/>
                <w:lang w:val="ro-MD"/>
              </w:rPr>
              <w:t>Bugetul unității administrativ-teritoriale de nivelul II</w:t>
            </w:r>
          </w:p>
          <w:p w:rsidR="00903BFF" w:rsidRPr="0077542A" w:rsidRDefault="00903BFF" w:rsidP="001B4D6B">
            <w:pPr>
              <w:numPr>
                <w:ilvl w:val="0"/>
                <w:numId w:val="21"/>
              </w:numPr>
              <w:spacing w:after="0" w:line="240" w:lineRule="auto"/>
              <w:ind w:left="0" w:firstLine="442"/>
              <w:jc w:val="both"/>
              <w:rPr>
                <w:rFonts w:ascii="Times New Roman" w:hAnsi="Times New Roman"/>
                <w:lang w:val="ro-MD"/>
              </w:rPr>
            </w:pPr>
            <w:r w:rsidRPr="0077542A">
              <w:rPr>
                <w:rFonts w:ascii="Times New Roman" w:hAnsi="Times New Roman"/>
                <w:b/>
                <w:lang w:val="ro-MD"/>
              </w:rPr>
              <w:t xml:space="preserve">Aparatul președintelui raionului: </w:t>
            </w:r>
            <w:r w:rsidRPr="0077542A">
              <w:rPr>
                <w:rFonts w:ascii="Times New Roman" w:hAnsi="Times New Roman"/>
                <w:lang w:val="ro-MD"/>
              </w:rPr>
              <w:t>componenta de bază (010-019) – 36928,2 mii lei; mijloace speciale (010-019) – 3511,1 mii lei; subcontul 136 – 1198,7 mii lei.</w:t>
            </w:r>
          </w:p>
          <w:p w:rsidR="00903BFF" w:rsidRPr="0077542A" w:rsidRDefault="00903BFF" w:rsidP="001B4D6B">
            <w:pPr>
              <w:spacing w:after="0" w:line="240" w:lineRule="auto"/>
              <w:jc w:val="both"/>
              <w:rPr>
                <w:rFonts w:ascii="Times New Roman" w:hAnsi="Times New Roman"/>
                <w:bCs/>
                <w:lang w:val="ro-MD"/>
              </w:rPr>
            </w:pPr>
            <w:r w:rsidRPr="0077542A">
              <w:rPr>
                <w:rFonts w:ascii="Times New Roman" w:hAnsi="Times New Roman"/>
                <w:u w:val="single"/>
                <w:lang w:val="ro-MD"/>
              </w:rPr>
              <w:t>Unități subordonate:</w:t>
            </w:r>
            <w:r w:rsidRPr="0077542A">
              <w:rPr>
                <w:rFonts w:ascii="Times New Roman" w:hAnsi="Times New Roman"/>
                <w:lang w:val="ro-MD"/>
              </w:rPr>
              <w:t xml:space="preserve"> </w:t>
            </w:r>
            <w:r w:rsidRPr="0077542A">
              <w:rPr>
                <w:rFonts w:ascii="Times New Roman" w:hAnsi="Times New Roman"/>
                <w:bCs/>
                <w:lang w:val="ro-MD"/>
              </w:rPr>
              <w:t>Direcția Agricultură și Alimentație; Secția construcții, gospodărie comunală și drumuri; Secția economie</w:t>
            </w:r>
            <w:r w:rsidRPr="0077542A">
              <w:rPr>
                <w:rFonts w:ascii="Times New Roman" w:hAnsi="Times New Roman"/>
                <w:lang w:val="ro-MD"/>
              </w:rPr>
              <w:t xml:space="preserve">; </w:t>
            </w:r>
            <w:r w:rsidRPr="0077542A">
              <w:rPr>
                <w:rFonts w:ascii="Times New Roman" w:hAnsi="Times New Roman"/>
                <w:bCs/>
                <w:lang w:val="ro-MD"/>
              </w:rPr>
              <w:t>Serviciul relații funciare și cadastru;</w:t>
            </w:r>
          </w:p>
          <w:p w:rsidR="00903BFF" w:rsidRPr="0077542A" w:rsidRDefault="00903BFF" w:rsidP="001B4D6B">
            <w:pPr>
              <w:numPr>
                <w:ilvl w:val="0"/>
                <w:numId w:val="21"/>
              </w:numPr>
              <w:spacing w:after="0" w:line="240" w:lineRule="auto"/>
              <w:ind w:left="0" w:firstLine="442"/>
              <w:jc w:val="both"/>
              <w:rPr>
                <w:rFonts w:ascii="Times New Roman" w:hAnsi="Times New Roman"/>
                <w:lang w:val="ro-MD"/>
              </w:rPr>
            </w:pPr>
            <w:r w:rsidRPr="0077542A">
              <w:rPr>
                <w:rFonts w:ascii="Times New Roman" w:hAnsi="Times New Roman"/>
                <w:b/>
                <w:lang w:val="ro-MD"/>
              </w:rPr>
              <w:t xml:space="preserve">Consiliul raional </w:t>
            </w:r>
            <w:r w:rsidRPr="0077542A">
              <w:rPr>
                <w:rFonts w:ascii="Times New Roman" w:hAnsi="Times New Roman"/>
                <w:lang w:val="ro-MD"/>
              </w:rPr>
              <w:t>(evidența contabilă este executată de către Direcția Finanțe): componenta de bază (010-019) – 12011,7</w:t>
            </w:r>
            <w:r>
              <w:rPr>
                <w:rFonts w:ascii="Times New Roman" w:hAnsi="Times New Roman"/>
                <w:lang w:val="ro-MD"/>
              </w:rPr>
              <w:t xml:space="preserve"> mii lei</w:t>
            </w:r>
            <w:r w:rsidRPr="0077542A">
              <w:rPr>
                <w:rFonts w:ascii="Times New Roman" w:hAnsi="Times New Roman"/>
                <w:lang w:val="ro-MD"/>
              </w:rPr>
              <w:t>; mijloace speciale (010-019) – 454,6 mii lei; subcontul 136 – 72451,2 mii lei.</w:t>
            </w:r>
          </w:p>
          <w:p w:rsidR="00903BFF" w:rsidRPr="0077542A" w:rsidRDefault="00903BFF" w:rsidP="001B4D6B">
            <w:pPr>
              <w:spacing w:after="0" w:line="240" w:lineRule="auto"/>
              <w:jc w:val="both"/>
              <w:rPr>
                <w:rFonts w:ascii="Times New Roman" w:hAnsi="Times New Roman"/>
                <w:lang w:val="ro-MD"/>
              </w:rPr>
            </w:pPr>
            <w:r w:rsidRPr="0077542A">
              <w:rPr>
                <w:rFonts w:ascii="Times New Roman" w:hAnsi="Times New Roman"/>
                <w:u w:val="single"/>
                <w:lang w:val="ro-MD"/>
              </w:rPr>
              <w:t>Unități subordonate (executori secundari de buget):</w:t>
            </w:r>
            <w:r w:rsidRPr="0077542A">
              <w:rPr>
                <w:rFonts w:ascii="Times New Roman" w:hAnsi="Times New Roman"/>
                <w:lang w:val="ro-MD"/>
              </w:rPr>
              <w:t xml:space="preserve"> Direcția Asistență Socială și Protecție a Familiei; Direcția Educație; Direcția Finanțe; Secția Cultură;</w:t>
            </w:r>
          </w:p>
          <w:p w:rsidR="00903BFF" w:rsidRPr="0077542A" w:rsidRDefault="00903BFF" w:rsidP="001B4D6B">
            <w:pPr>
              <w:numPr>
                <w:ilvl w:val="0"/>
                <w:numId w:val="21"/>
              </w:numPr>
              <w:spacing w:after="0" w:line="240" w:lineRule="auto"/>
              <w:ind w:left="0" w:firstLine="442"/>
              <w:jc w:val="both"/>
              <w:rPr>
                <w:rFonts w:ascii="Times New Roman" w:hAnsi="Times New Roman"/>
                <w:lang w:val="ro-MD"/>
              </w:rPr>
            </w:pPr>
            <w:r w:rsidRPr="0077542A">
              <w:rPr>
                <w:rFonts w:ascii="Times New Roman" w:hAnsi="Times New Roman"/>
                <w:b/>
                <w:lang w:val="ro-MD"/>
              </w:rPr>
              <w:t>Direcția Educație:</w:t>
            </w:r>
            <w:r w:rsidRPr="0077542A">
              <w:rPr>
                <w:rFonts w:ascii="Times New Roman" w:hAnsi="Times New Roman"/>
                <w:lang w:val="ro-MD"/>
              </w:rPr>
              <w:t xml:space="preserve"> componenta de bază (010-019) – 34047,2 mii lei; mijloace speciale (010-019) – 987,3 mii lei.</w:t>
            </w:r>
          </w:p>
          <w:p w:rsidR="00903BFF" w:rsidRPr="0077542A" w:rsidRDefault="00903BFF" w:rsidP="001B4D6B">
            <w:pPr>
              <w:spacing w:after="0" w:line="240" w:lineRule="auto"/>
              <w:jc w:val="both"/>
              <w:rPr>
                <w:rFonts w:ascii="Times New Roman" w:hAnsi="Times New Roman"/>
                <w:lang w:val="ro-MD"/>
              </w:rPr>
            </w:pPr>
            <w:r w:rsidRPr="0077542A">
              <w:rPr>
                <w:rFonts w:ascii="Times New Roman" w:hAnsi="Times New Roman"/>
                <w:u w:val="single"/>
                <w:lang w:val="ro-MD"/>
              </w:rPr>
              <w:t>Unități subordonate:</w:t>
            </w:r>
            <w:r w:rsidRPr="0077542A">
              <w:rPr>
                <w:rFonts w:ascii="Times New Roman" w:hAnsi="Times New Roman"/>
                <w:lang w:val="ro-MD"/>
              </w:rPr>
              <w:t xml:space="preserve"> Centrul metodic; Contabilitatea centralizată; Serviciul de asistență psihopedagogică; Școala sportivă Sîngerei; Centrul de creație Sîngerei; Centrul de creație Chișcăreni; Centrul de formare profesională Grigorăuca; 12 Gimnazii; Școala auxiliară Răzălăi; 7 instituții preșcolare (grădinițe);</w:t>
            </w:r>
          </w:p>
          <w:p w:rsidR="00903BFF" w:rsidRPr="0077542A" w:rsidRDefault="00903BFF" w:rsidP="001B4D6B">
            <w:pPr>
              <w:numPr>
                <w:ilvl w:val="0"/>
                <w:numId w:val="21"/>
              </w:numPr>
              <w:spacing w:after="0" w:line="240" w:lineRule="auto"/>
              <w:ind w:left="17" w:firstLine="425"/>
              <w:jc w:val="both"/>
              <w:rPr>
                <w:rFonts w:ascii="Times New Roman" w:hAnsi="Times New Roman"/>
                <w:lang w:val="ro-MD"/>
              </w:rPr>
            </w:pPr>
            <w:r w:rsidRPr="0077542A">
              <w:rPr>
                <w:rFonts w:ascii="Times New Roman" w:hAnsi="Times New Roman"/>
                <w:b/>
                <w:lang w:val="ro-MD"/>
              </w:rPr>
              <w:t>Direcția Asistență Socială și Protecție a Familiei:</w:t>
            </w:r>
            <w:r w:rsidRPr="0077542A">
              <w:rPr>
                <w:rFonts w:ascii="Times New Roman" w:hAnsi="Times New Roman"/>
                <w:lang w:val="ro-MD"/>
              </w:rPr>
              <w:t xml:space="preserve"> componenta de bază (010-019) – 7436,1 mii lei; mijloace speciale (010-019) – 93,4 mii lei.</w:t>
            </w:r>
          </w:p>
          <w:p w:rsidR="00903BFF" w:rsidRPr="0077542A" w:rsidRDefault="00903BFF" w:rsidP="001B4D6B">
            <w:pPr>
              <w:spacing w:after="0" w:line="240" w:lineRule="auto"/>
              <w:jc w:val="both"/>
              <w:rPr>
                <w:rFonts w:ascii="Times New Roman" w:hAnsi="Times New Roman"/>
                <w:u w:val="single"/>
                <w:lang w:val="ro-MD"/>
              </w:rPr>
            </w:pPr>
            <w:r w:rsidRPr="0077542A">
              <w:rPr>
                <w:rFonts w:ascii="Times New Roman" w:hAnsi="Times New Roman"/>
                <w:u w:val="single"/>
                <w:lang w:val="ro-MD"/>
              </w:rPr>
              <w:t>Unități subordonate:</w:t>
            </w:r>
            <w:r w:rsidRPr="0077542A">
              <w:rPr>
                <w:rFonts w:ascii="Times New Roman" w:hAnsi="Times New Roman"/>
                <w:lang w:val="ro-MD"/>
              </w:rPr>
              <w:t xml:space="preserve"> Contabilitatea centralizată; Serviciul asistență parentală profesionistă; Serviciul asistență socială la domiciliu; Serviciul asistenți personali; Serviciul social „Echipa Mobilă”; Serviciul protezare și ortopedie; Serviciul asistenți sociali; Azilul pentru bătrîni din com. Drăgănești; Centrul de zi pentru copiii cu dizabilități „Lumina”; Centrul de reabilitare pentru invalizi și pensionari „Agape”; Centrul de plasament pentru copii „Raza Soarelui”; Fondul local de susținere socială a populației;</w:t>
            </w:r>
          </w:p>
          <w:p w:rsidR="00903BFF" w:rsidRPr="0077542A" w:rsidRDefault="00903BFF" w:rsidP="001B4D6B">
            <w:pPr>
              <w:numPr>
                <w:ilvl w:val="0"/>
                <w:numId w:val="21"/>
              </w:numPr>
              <w:spacing w:after="0" w:line="240" w:lineRule="auto"/>
              <w:ind w:left="0" w:firstLine="442"/>
              <w:jc w:val="both"/>
              <w:rPr>
                <w:rFonts w:ascii="Times New Roman" w:hAnsi="Times New Roman"/>
                <w:lang w:val="ro-MD"/>
              </w:rPr>
            </w:pPr>
            <w:r w:rsidRPr="0077542A">
              <w:rPr>
                <w:rFonts w:ascii="Times New Roman" w:hAnsi="Times New Roman"/>
                <w:b/>
                <w:lang w:val="ro-MD"/>
              </w:rPr>
              <w:t>Secția cultură:</w:t>
            </w:r>
            <w:r w:rsidRPr="0077542A">
              <w:rPr>
                <w:rFonts w:ascii="Times New Roman" w:hAnsi="Times New Roman"/>
                <w:lang w:val="ro-MD"/>
              </w:rPr>
              <w:t xml:space="preserve"> componenta de bază (010-019) – 8817,8 mii lei; mijloace speciale (010-019) – 416,3 mii lei.</w:t>
            </w:r>
          </w:p>
          <w:p w:rsidR="00903BFF" w:rsidRPr="0077542A" w:rsidRDefault="00903BFF" w:rsidP="001B4D6B">
            <w:pPr>
              <w:spacing w:after="0" w:line="240" w:lineRule="auto"/>
              <w:jc w:val="both"/>
              <w:rPr>
                <w:rFonts w:ascii="Times New Roman" w:hAnsi="Times New Roman"/>
                <w:lang w:val="ro-MD"/>
              </w:rPr>
            </w:pPr>
            <w:r w:rsidRPr="0077542A">
              <w:rPr>
                <w:rFonts w:ascii="Times New Roman" w:hAnsi="Times New Roman"/>
                <w:u w:val="single"/>
                <w:lang w:val="ro-MD"/>
              </w:rPr>
              <w:t>Unități subordonate:</w:t>
            </w:r>
            <w:r w:rsidRPr="0077542A">
              <w:rPr>
                <w:rFonts w:ascii="Times New Roman" w:hAnsi="Times New Roman"/>
                <w:lang w:val="ro-MD"/>
              </w:rPr>
              <w:t xml:space="preserve"> Școala de arte „M. Dolgan”; Școala de muzică din com. Chișcăreni; Școala de arte din or. Biruința; Contabilitatea centralizată; Biblioteca publică din or. Sîngerei; Casa de Cultură din or. </w:t>
            </w:r>
            <w:r>
              <w:rPr>
                <w:rFonts w:ascii="Times New Roman" w:hAnsi="Times New Roman"/>
                <w:lang w:val="ro-RO"/>
              </w:rPr>
              <w:t>S</w:t>
            </w:r>
            <w:r w:rsidRPr="0077542A">
              <w:rPr>
                <w:rFonts w:ascii="Times New Roman" w:hAnsi="Times New Roman"/>
                <w:lang w:val="ro-MD"/>
              </w:rPr>
              <w:t>îngerei;</w:t>
            </w:r>
          </w:p>
          <w:p w:rsidR="00903BFF" w:rsidRPr="0077542A" w:rsidRDefault="00903BFF" w:rsidP="001B4D6B">
            <w:pPr>
              <w:numPr>
                <w:ilvl w:val="0"/>
                <w:numId w:val="21"/>
              </w:numPr>
              <w:spacing w:after="0" w:line="240" w:lineRule="auto"/>
              <w:ind w:left="0" w:firstLine="442"/>
              <w:jc w:val="both"/>
              <w:rPr>
                <w:rFonts w:ascii="Times New Roman" w:hAnsi="Times New Roman"/>
                <w:lang w:val="ro-MD"/>
              </w:rPr>
            </w:pPr>
            <w:r w:rsidRPr="0077542A">
              <w:rPr>
                <w:rFonts w:ascii="Times New Roman" w:hAnsi="Times New Roman"/>
                <w:b/>
                <w:lang w:val="ro-MD"/>
              </w:rPr>
              <w:t>Direcția Finanțe:</w:t>
            </w:r>
            <w:r w:rsidRPr="0077542A">
              <w:rPr>
                <w:rFonts w:ascii="Times New Roman" w:hAnsi="Times New Roman"/>
                <w:lang w:val="ro-MD"/>
              </w:rPr>
              <w:t xml:space="preserve"> componenta de bază (010-019) – 449,8 mii lei. </w:t>
            </w:r>
          </w:p>
          <w:p w:rsidR="00903BFF" w:rsidRPr="0077542A" w:rsidRDefault="00903BFF" w:rsidP="001B4D6B">
            <w:pPr>
              <w:spacing w:after="0" w:line="240" w:lineRule="auto"/>
              <w:jc w:val="both"/>
              <w:rPr>
                <w:rFonts w:ascii="Times New Roman" w:hAnsi="Times New Roman"/>
                <w:lang w:val="ro-MD"/>
              </w:rPr>
            </w:pPr>
          </w:p>
          <w:p w:rsidR="00903BFF" w:rsidRPr="0077542A" w:rsidRDefault="00903BFF" w:rsidP="001B4D6B">
            <w:pPr>
              <w:spacing w:after="0" w:line="240" w:lineRule="auto"/>
              <w:jc w:val="both"/>
              <w:rPr>
                <w:rFonts w:ascii="Times New Roman" w:hAnsi="Times New Roman"/>
                <w:b/>
                <w:i/>
                <w:u w:val="single"/>
                <w:lang w:val="ro-MD"/>
              </w:rPr>
            </w:pPr>
            <w:r w:rsidRPr="0077542A">
              <w:rPr>
                <w:rFonts w:ascii="Times New Roman" w:hAnsi="Times New Roman"/>
                <w:b/>
                <w:i/>
                <w:u w:val="single"/>
                <w:lang w:val="ro-MD"/>
              </w:rPr>
              <w:t>Bugetul unității administrativ-teritoriale de nivelul I</w:t>
            </w:r>
          </w:p>
          <w:p w:rsidR="00903BFF" w:rsidRPr="0077542A" w:rsidRDefault="00903BFF" w:rsidP="001B4D6B">
            <w:pPr>
              <w:spacing w:after="0" w:line="240" w:lineRule="auto"/>
              <w:jc w:val="both"/>
              <w:rPr>
                <w:rFonts w:ascii="Times New Roman" w:hAnsi="Times New Roman"/>
                <w:lang w:val="ro-MD"/>
              </w:rPr>
            </w:pPr>
            <w:r>
              <w:rPr>
                <w:rFonts w:ascii="Times New Roman" w:hAnsi="Times New Roman"/>
                <w:b/>
                <w:lang w:val="ro-MD"/>
              </w:rPr>
              <w:t xml:space="preserve">     </w:t>
            </w:r>
            <w:r w:rsidRPr="0077542A">
              <w:rPr>
                <w:rFonts w:ascii="Times New Roman" w:hAnsi="Times New Roman"/>
                <w:b/>
                <w:lang w:val="ro-MD"/>
              </w:rPr>
              <w:t>26 de primării</w:t>
            </w:r>
            <w:r w:rsidRPr="0077542A">
              <w:rPr>
                <w:rFonts w:ascii="Times New Roman" w:hAnsi="Times New Roman"/>
                <w:lang w:val="ro-MD"/>
              </w:rPr>
              <w:t>: componenta de bază (010-019) – 467572,3 mii lei; mijloace speciale (010-019) – 3870,9 mii lei; subcontul 136 – 18090,2 mii lei (primăriile: or. Sîngerei; or. Biruința; com. Dumbrăvița; com. Drăgănești; com. Grigorăuca; com. Chișcăreni). În medie pe primărie: componenta de bază – 17983,5 mii lei; mijloace speciale – 148,9 mii lei; subcontul 136 – 3015,0 mii lei.</w:t>
            </w:r>
          </w:p>
          <w:p w:rsidR="00903BFF" w:rsidRPr="0077542A" w:rsidRDefault="00903BFF" w:rsidP="001B4D6B">
            <w:pPr>
              <w:spacing w:after="0" w:line="240" w:lineRule="auto"/>
              <w:jc w:val="both"/>
              <w:rPr>
                <w:rFonts w:ascii="Times New Roman" w:hAnsi="Times New Roman"/>
                <w:lang w:val="ro-MD"/>
              </w:rPr>
            </w:pPr>
            <w:r w:rsidRPr="0077542A">
              <w:rPr>
                <w:rFonts w:ascii="Times New Roman" w:hAnsi="Times New Roman"/>
                <w:u w:val="single"/>
                <w:lang w:val="ro-MD"/>
              </w:rPr>
              <w:lastRenderedPageBreak/>
              <w:t>Unități subordonate:</w:t>
            </w:r>
            <w:r w:rsidRPr="0077542A">
              <w:rPr>
                <w:rFonts w:ascii="Times New Roman" w:hAnsi="Times New Roman"/>
                <w:lang w:val="ro-MD"/>
              </w:rPr>
              <w:t xml:space="preserve"> case de cultură; biblioteci; grădinițe; instituții extrașcolare (unele primării); centre de asistență socială (unele primării).</w:t>
            </w:r>
          </w:p>
          <w:p w:rsidR="00903BFF" w:rsidRPr="0077542A" w:rsidRDefault="00903BFF" w:rsidP="001B4D6B">
            <w:pPr>
              <w:spacing w:after="0" w:line="240" w:lineRule="auto"/>
              <w:jc w:val="both"/>
              <w:rPr>
                <w:rFonts w:ascii="Times New Roman" w:hAnsi="Times New Roman"/>
                <w:lang w:val="ro-MD"/>
              </w:rPr>
            </w:pPr>
          </w:p>
          <w:p w:rsidR="00903BFF" w:rsidRPr="0077542A" w:rsidRDefault="00903BFF" w:rsidP="001B4D6B">
            <w:pPr>
              <w:spacing w:after="0" w:line="240" w:lineRule="auto"/>
              <w:jc w:val="both"/>
              <w:rPr>
                <w:rFonts w:ascii="Times New Roman" w:hAnsi="Times New Roman"/>
                <w:b/>
                <w:i/>
                <w:u w:val="single"/>
                <w:lang w:val="ro-MD"/>
              </w:rPr>
            </w:pPr>
            <w:r w:rsidRPr="0077542A">
              <w:rPr>
                <w:rFonts w:ascii="Times New Roman" w:hAnsi="Times New Roman"/>
                <w:b/>
                <w:i/>
                <w:u w:val="single"/>
                <w:lang w:val="ro-MD"/>
              </w:rPr>
              <w:t>Instituții de învățămînt cu autonomie financiară (finanțate în baza formulei prin transferuri de la bugetul de stat)</w:t>
            </w:r>
          </w:p>
          <w:p w:rsidR="00903BFF" w:rsidRPr="0077542A" w:rsidRDefault="00903BFF" w:rsidP="001B4D6B">
            <w:pPr>
              <w:numPr>
                <w:ilvl w:val="0"/>
                <w:numId w:val="23"/>
              </w:numPr>
              <w:spacing w:after="0" w:line="240" w:lineRule="auto"/>
              <w:ind w:left="0" w:firstLine="442"/>
              <w:jc w:val="both"/>
              <w:rPr>
                <w:rFonts w:ascii="Times New Roman" w:hAnsi="Times New Roman"/>
                <w:lang w:val="ro-MD"/>
              </w:rPr>
            </w:pPr>
            <w:r w:rsidRPr="0077542A">
              <w:rPr>
                <w:rFonts w:ascii="Times New Roman" w:hAnsi="Times New Roman"/>
                <w:b/>
                <w:lang w:val="ro-MD"/>
              </w:rPr>
              <w:t>17 gimnazii:</w:t>
            </w:r>
            <w:r w:rsidRPr="0077542A">
              <w:rPr>
                <w:rFonts w:ascii="Times New Roman" w:hAnsi="Times New Roman"/>
                <w:lang w:val="ro-MD"/>
              </w:rPr>
              <w:t xml:space="preserve"> componenta de bază (010-019) – 11833,4 mii lei; mijloace speciale (010-019) – 117,6 mii lei. În medie pe gimnaziu: componenta de bază – 696,1 mii lei; mijloace speciale – 6,9 mii lei</w:t>
            </w:r>
          </w:p>
          <w:p w:rsidR="00903BFF" w:rsidRPr="0077542A" w:rsidRDefault="00903BFF" w:rsidP="001B4D6B">
            <w:pPr>
              <w:numPr>
                <w:ilvl w:val="0"/>
                <w:numId w:val="23"/>
              </w:numPr>
              <w:spacing w:after="0" w:line="240" w:lineRule="auto"/>
              <w:ind w:left="0" w:firstLine="442"/>
              <w:jc w:val="both"/>
              <w:rPr>
                <w:rFonts w:ascii="Times New Roman" w:hAnsi="Times New Roman"/>
                <w:lang w:val="ro-MD"/>
              </w:rPr>
            </w:pPr>
            <w:r w:rsidRPr="0077542A">
              <w:rPr>
                <w:rFonts w:ascii="Times New Roman" w:hAnsi="Times New Roman"/>
                <w:b/>
                <w:lang w:val="ro-MD"/>
              </w:rPr>
              <w:t>9 licee:</w:t>
            </w:r>
            <w:r w:rsidRPr="0077542A">
              <w:rPr>
                <w:rFonts w:ascii="Times New Roman" w:hAnsi="Times New Roman"/>
                <w:lang w:val="ro-MD"/>
              </w:rPr>
              <w:t xml:space="preserve"> componenta de bază (010-019) – 13824,7 mii lei; mijloace speciale (010-019) – 198,2 mii lei. În medie pe liceu: componenta de bază – 1536,1 mii lei; mijloace speciale – 22,0 mii lei.</w:t>
            </w:r>
          </w:p>
          <w:p w:rsidR="00903BFF" w:rsidRPr="0077542A" w:rsidRDefault="00903BFF" w:rsidP="001B4D6B">
            <w:pPr>
              <w:tabs>
                <w:tab w:val="left" w:pos="199"/>
              </w:tabs>
              <w:spacing w:after="0" w:line="240" w:lineRule="auto"/>
              <w:jc w:val="both"/>
              <w:rPr>
                <w:rFonts w:ascii="Times New Roman" w:hAnsi="Times New Roman"/>
                <w:b/>
                <w:i/>
                <w:u w:val="single"/>
                <w:lang w:val="ro-MD"/>
              </w:rPr>
            </w:pPr>
            <w:r w:rsidRPr="0077542A">
              <w:rPr>
                <w:rFonts w:ascii="Times New Roman" w:hAnsi="Times New Roman"/>
                <w:b/>
                <w:i/>
                <w:u w:val="single"/>
                <w:lang w:val="ro-MD"/>
              </w:rPr>
              <w:t xml:space="preserve">Întreprinderile municipale, persoane juridice de drept public: </w:t>
            </w:r>
          </w:p>
          <w:p w:rsidR="00903BFF" w:rsidRPr="005F652A" w:rsidRDefault="00903BFF" w:rsidP="001B4D6B">
            <w:pPr>
              <w:pStyle w:val="aa"/>
              <w:numPr>
                <w:ilvl w:val="0"/>
                <w:numId w:val="20"/>
              </w:numPr>
              <w:tabs>
                <w:tab w:val="left" w:pos="199"/>
                <w:tab w:val="left" w:pos="442"/>
              </w:tabs>
              <w:ind w:left="0" w:firstLine="301"/>
              <w:jc w:val="both"/>
              <w:rPr>
                <w:sz w:val="22"/>
                <w:szCs w:val="22"/>
                <w:lang w:val="ro-MD"/>
              </w:rPr>
            </w:pPr>
            <w:r>
              <w:rPr>
                <w:b/>
                <w:sz w:val="22"/>
                <w:szCs w:val="22"/>
                <w:lang w:val="ro-MD"/>
              </w:rPr>
              <w:t>f</w:t>
            </w:r>
            <w:r w:rsidRPr="005F652A">
              <w:rPr>
                <w:b/>
                <w:sz w:val="22"/>
                <w:szCs w:val="22"/>
                <w:lang w:val="ro-MD"/>
              </w:rPr>
              <w:t>ondate de Consiliul raional:</w:t>
            </w:r>
            <w:r w:rsidRPr="005F652A">
              <w:rPr>
                <w:sz w:val="22"/>
                <w:szCs w:val="22"/>
                <w:lang w:val="ro-MD"/>
              </w:rPr>
              <w:t xml:space="preserve"> „Biroul de proiectare și sistematizare” (capit</w:t>
            </w:r>
            <w:r>
              <w:rPr>
                <w:sz w:val="22"/>
                <w:szCs w:val="22"/>
                <w:lang w:val="ro-MD"/>
              </w:rPr>
              <w:t xml:space="preserve">al </w:t>
            </w:r>
            <w:r w:rsidRPr="005F652A">
              <w:rPr>
                <w:sz w:val="22"/>
                <w:szCs w:val="22"/>
                <w:lang w:val="ro-MD"/>
              </w:rPr>
              <w:t xml:space="preserve">social </w:t>
            </w:r>
            <w:r w:rsidRPr="00C2206E">
              <w:rPr>
                <w:lang w:val="ro-MD"/>
              </w:rPr>
              <w:t>–</w:t>
            </w:r>
            <w:r>
              <w:rPr>
                <w:lang w:val="ro-MD"/>
              </w:rPr>
              <w:t xml:space="preserve"> </w:t>
            </w:r>
            <w:r w:rsidRPr="005F652A">
              <w:rPr>
                <w:sz w:val="22"/>
                <w:szCs w:val="22"/>
                <w:lang w:val="ro-MD"/>
              </w:rPr>
              <w:t>5,4 mii lei); „Indematcongaz” (capit</w:t>
            </w:r>
            <w:r>
              <w:rPr>
                <w:sz w:val="22"/>
                <w:szCs w:val="22"/>
                <w:lang w:val="ro-MD"/>
              </w:rPr>
              <w:t xml:space="preserve">al </w:t>
            </w:r>
            <w:r w:rsidRPr="005F652A">
              <w:rPr>
                <w:sz w:val="22"/>
                <w:szCs w:val="22"/>
                <w:lang w:val="ro-MD"/>
              </w:rPr>
              <w:t xml:space="preserve">social </w:t>
            </w:r>
            <w:r w:rsidRPr="00C2206E">
              <w:rPr>
                <w:lang w:val="ro-MD"/>
              </w:rPr>
              <w:t>–</w:t>
            </w:r>
            <w:r>
              <w:rPr>
                <w:lang w:val="ro-MD"/>
              </w:rPr>
              <w:t xml:space="preserve"> </w:t>
            </w:r>
            <w:r w:rsidRPr="005F652A">
              <w:rPr>
                <w:sz w:val="22"/>
                <w:szCs w:val="22"/>
                <w:lang w:val="ro-MD"/>
              </w:rPr>
              <w:t>5,4 mii lei); „Centrul stomatologic raional Sîngerei” (capit</w:t>
            </w:r>
            <w:r>
              <w:rPr>
                <w:sz w:val="22"/>
                <w:szCs w:val="22"/>
                <w:lang w:val="ro-MD"/>
              </w:rPr>
              <w:t xml:space="preserve">al </w:t>
            </w:r>
            <w:r w:rsidRPr="005F652A">
              <w:rPr>
                <w:sz w:val="22"/>
                <w:szCs w:val="22"/>
                <w:lang w:val="ro-MD"/>
              </w:rPr>
              <w:t xml:space="preserve">social </w:t>
            </w:r>
            <w:r w:rsidRPr="00C2206E">
              <w:rPr>
                <w:lang w:val="ro-MD"/>
              </w:rPr>
              <w:t>–</w:t>
            </w:r>
            <w:r>
              <w:rPr>
                <w:lang w:val="ro-MD"/>
              </w:rPr>
              <w:t xml:space="preserve"> </w:t>
            </w:r>
            <w:r w:rsidRPr="005F652A">
              <w:rPr>
                <w:sz w:val="22"/>
                <w:szCs w:val="22"/>
                <w:lang w:val="ro-MD"/>
              </w:rPr>
              <w:t>0,0 mii lei)</w:t>
            </w:r>
            <w:r>
              <w:rPr>
                <w:sz w:val="22"/>
                <w:szCs w:val="22"/>
                <w:lang w:val="ro-MD"/>
              </w:rPr>
              <w:t>;</w:t>
            </w:r>
          </w:p>
          <w:p w:rsidR="00903BFF" w:rsidRPr="005F652A" w:rsidRDefault="00903BFF" w:rsidP="001B4D6B">
            <w:pPr>
              <w:pStyle w:val="aa"/>
              <w:numPr>
                <w:ilvl w:val="0"/>
                <w:numId w:val="20"/>
              </w:numPr>
              <w:tabs>
                <w:tab w:val="left" w:pos="199"/>
                <w:tab w:val="left" w:pos="466"/>
              </w:tabs>
              <w:ind w:left="0" w:firstLine="301"/>
              <w:jc w:val="both"/>
              <w:rPr>
                <w:sz w:val="22"/>
                <w:szCs w:val="22"/>
                <w:lang w:val="ro-MD"/>
              </w:rPr>
            </w:pPr>
            <w:r>
              <w:rPr>
                <w:b/>
                <w:sz w:val="22"/>
                <w:szCs w:val="22"/>
                <w:lang w:val="ro-MD"/>
              </w:rPr>
              <w:t>f</w:t>
            </w:r>
            <w:r w:rsidRPr="005F652A">
              <w:rPr>
                <w:b/>
                <w:sz w:val="22"/>
                <w:szCs w:val="22"/>
                <w:lang w:val="ro-MD"/>
              </w:rPr>
              <w:t>ondate de consiliile locale:</w:t>
            </w:r>
            <w:r w:rsidRPr="005F652A">
              <w:rPr>
                <w:b/>
                <w:i/>
                <w:sz w:val="22"/>
                <w:szCs w:val="22"/>
                <w:lang w:val="ro-MD"/>
              </w:rPr>
              <w:t xml:space="preserve"> </w:t>
            </w:r>
            <w:r w:rsidRPr="005F652A">
              <w:rPr>
                <w:sz w:val="22"/>
                <w:szCs w:val="22"/>
                <w:lang w:val="ro-MD"/>
              </w:rPr>
              <w:t>„Direcția de producție Apă-Canal Sîngerei” (88,4 mii lei, pr</w:t>
            </w:r>
            <w:r>
              <w:rPr>
                <w:sz w:val="22"/>
                <w:szCs w:val="22"/>
                <w:lang w:val="ro-MD"/>
              </w:rPr>
              <w:t>imăria or.Sî</w:t>
            </w:r>
            <w:r w:rsidRPr="005F652A">
              <w:rPr>
                <w:sz w:val="22"/>
                <w:szCs w:val="22"/>
                <w:lang w:val="ro-MD"/>
              </w:rPr>
              <w:t>ngerei); „Piața comercială Sîngerei” (capit</w:t>
            </w:r>
            <w:r>
              <w:rPr>
                <w:sz w:val="22"/>
                <w:szCs w:val="22"/>
                <w:lang w:val="ro-MD"/>
              </w:rPr>
              <w:t xml:space="preserve">al </w:t>
            </w:r>
            <w:r w:rsidRPr="005F652A">
              <w:rPr>
                <w:sz w:val="22"/>
                <w:szCs w:val="22"/>
                <w:lang w:val="ro-MD"/>
              </w:rPr>
              <w:t xml:space="preserve">social </w:t>
            </w:r>
            <w:r w:rsidRPr="00C2206E">
              <w:rPr>
                <w:lang w:val="ro-MD"/>
              </w:rPr>
              <w:t>–</w:t>
            </w:r>
            <w:r>
              <w:rPr>
                <w:lang w:val="ro-MD"/>
              </w:rPr>
              <w:t xml:space="preserve"> </w:t>
            </w:r>
            <w:r w:rsidRPr="005F652A">
              <w:rPr>
                <w:sz w:val="22"/>
                <w:szCs w:val="22"/>
                <w:lang w:val="ro-MD"/>
              </w:rPr>
              <w:t>347,1 mii lei, pr</w:t>
            </w:r>
            <w:r>
              <w:rPr>
                <w:sz w:val="22"/>
                <w:szCs w:val="22"/>
                <w:lang w:val="ro-MD"/>
              </w:rPr>
              <w:t>imăria or.Sî</w:t>
            </w:r>
            <w:r w:rsidRPr="005F652A">
              <w:rPr>
                <w:sz w:val="22"/>
                <w:szCs w:val="22"/>
                <w:lang w:val="ro-MD"/>
              </w:rPr>
              <w:t>ngerei); „Gospodăria locativ</w:t>
            </w:r>
            <w:r>
              <w:rPr>
                <w:sz w:val="22"/>
                <w:szCs w:val="22"/>
                <w:lang w:val="ro-MD"/>
              </w:rPr>
              <w:t>-</w:t>
            </w:r>
            <w:r w:rsidRPr="005F652A">
              <w:rPr>
                <w:sz w:val="22"/>
                <w:szCs w:val="22"/>
                <w:lang w:val="ro-MD"/>
              </w:rPr>
              <w:t>comunală” (capit</w:t>
            </w:r>
            <w:r>
              <w:rPr>
                <w:sz w:val="22"/>
                <w:szCs w:val="22"/>
                <w:lang w:val="ro-MD"/>
              </w:rPr>
              <w:t xml:space="preserve">al </w:t>
            </w:r>
            <w:r w:rsidRPr="005F652A">
              <w:rPr>
                <w:sz w:val="22"/>
                <w:szCs w:val="22"/>
                <w:lang w:val="ro-MD"/>
              </w:rPr>
              <w:t xml:space="preserve">social </w:t>
            </w:r>
            <w:r w:rsidRPr="00C2206E">
              <w:rPr>
                <w:lang w:val="ro-MD"/>
              </w:rPr>
              <w:t>–</w:t>
            </w:r>
            <w:r>
              <w:rPr>
                <w:lang w:val="ro-MD"/>
              </w:rPr>
              <w:t xml:space="preserve"> </w:t>
            </w:r>
            <w:r w:rsidRPr="005F652A">
              <w:rPr>
                <w:sz w:val="22"/>
                <w:szCs w:val="22"/>
                <w:lang w:val="ro-MD"/>
              </w:rPr>
              <w:t>15,7 mii lei, pr</w:t>
            </w:r>
            <w:r>
              <w:rPr>
                <w:sz w:val="22"/>
                <w:szCs w:val="22"/>
                <w:lang w:val="ro-MD"/>
              </w:rPr>
              <w:t>imăria or.Sî</w:t>
            </w:r>
            <w:r w:rsidRPr="005F652A">
              <w:rPr>
                <w:sz w:val="22"/>
                <w:szCs w:val="22"/>
                <w:lang w:val="ro-MD"/>
              </w:rPr>
              <w:t>ngerei; „Termogrup Servicii” (capit</w:t>
            </w:r>
            <w:r>
              <w:rPr>
                <w:sz w:val="22"/>
                <w:szCs w:val="22"/>
                <w:lang w:val="ro-MD"/>
              </w:rPr>
              <w:t xml:space="preserve">al </w:t>
            </w:r>
            <w:r w:rsidRPr="005F652A">
              <w:rPr>
                <w:sz w:val="22"/>
                <w:szCs w:val="22"/>
                <w:lang w:val="ro-MD"/>
              </w:rPr>
              <w:t xml:space="preserve">social </w:t>
            </w:r>
            <w:r w:rsidRPr="00C2206E">
              <w:rPr>
                <w:lang w:val="ro-MD"/>
              </w:rPr>
              <w:t>–</w:t>
            </w:r>
            <w:r>
              <w:rPr>
                <w:lang w:val="ro-MD"/>
              </w:rPr>
              <w:t xml:space="preserve"> </w:t>
            </w:r>
            <w:r w:rsidRPr="005F652A">
              <w:rPr>
                <w:sz w:val="22"/>
                <w:szCs w:val="22"/>
                <w:lang w:val="ro-MD"/>
              </w:rPr>
              <w:t>5,4 mii lei, pr</w:t>
            </w:r>
            <w:r>
              <w:rPr>
                <w:sz w:val="22"/>
                <w:szCs w:val="22"/>
                <w:lang w:val="ro-MD"/>
              </w:rPr>
              <w:t>imăria or.Sî</w:t>
            </w:r>
            <w:r w:rsidRPr="005F652A">
              <w:rPr>
                <w:sz w:val="22"/>
                <w:szCs w:val="22"/>
                <w:lang w:val="ro-MD"/>
              </w:rPr>
              <w:t>ngerei); „Gospodăria locativ</w:t>
            </w:r>
            <w:r>
              <w:rPr>
                <w:sz w:val="22"/>
                <w:szCs w:val="22"/>
                <w:lang w:val="ro-MD"/>
              </w:rPr>
              <w:t>-</w:t>
            </w:r>
            <w:r w:rsidRPr="005F652A">
              <w:rPr>
                <w:sz w:val="22"/>
                <w:szCs w:val="22"/>
                <w:lang w:val="ro-MD"/>
              </w:rPr>
              <w:t xml:space="preserve"> comunală Biruința” (capit</w:t>
            </w:r>
            <w:r>
              <w:rPr>
                <w:sz w:val="22"/>
                <w:szCs w:val="22"/>
                <w:lang w:val="ro-MD"/>
              </w:rPr>
              <w:t xml:space="preserve">al </w:t>
            </w:r>
            <w:r w:rsidRPr="005F652A">
              <w:rPr>
                <w:sz w:val="22"/>
                <w:szCs w:val="22"/>
                <w:lang w:val="ro-MD"/>
              </w:rPr>
              <w:t xml:space="preserve">social </w:t>
            </w:r>
            <w:r w:rsidRPr="00C2206E">
              <w:rPr>
                <w:lang w:val="ro-MD"/>
              </w:rPr>
              <w:t>–</w:t>
            </w:r>
            <w:r>
              <w:rPr>
                <w:lang w:val="ro-MD"/>
              </w:rPr>
              <w:t xml:space="preserve"> </w:t>
            </w:r>
            <w:r w:rsidRPr="005F652A">
              <w:rPr>
                <w:sz w:val="22"/>
                <w:szCs w:val="22"/>
                <w:lang w:val="ro-MD"/>
              </w:rPr>
              <w:t>6012,4 mii lei, pr</w:t>
            </w:r>
            <w:r>
              <w:rPr>
                <w:sz w:val="22"/>
                <w:szCs w:val="22"/>
                <w:lang w:val="ro-MD"/>
              </w:rPr>
              <w:t xml:space="preserve">imăria </w:t>
            </w:r>
            <w:r w:rsidRPr="005F652A">
              <w:rPr>
                <w:sz w:val="22"/>
                <w:szCs w:val="22"/>
                <w:lang w:val="ro-MD"/>
              </w:rPr>
              <w:t>Biruința); „Apă Vlad-Dumbrăvița” (capit</w:t>
            </w:r>
            <w:r>
              <w:rPr>
                <w:sz w:val="22"/>
                <w:szCs w:val="22"/>
                <w:lang w:val="ro-MD"/>
              </w:rPr>
              <w:t xml:space="preserve">al </w:t>
            </w:r>
            <w:r w:rsidRPr="005F652A">
              <w:rPr>
                <w:sz w:val="22"/>
                <w:szCs w:val="22"/>
                <w:lang w:val="ro-MD"/>
              </w:rPr>
              <w:t xml:space="preserve">social </w:t>
            </w:r>
            <w:r w:rsidRPr="00C2206E">
              <w:rPr>
                <w:lang w:val="ro-MD"/>
              </w:rPr>
              <w:t>–</w:t>
            </w:r>
            <w:r>
              <w:rPr>
                <w:lang w:val="ro-MD"/>
              </w:rPr>
              <w:t xml:space="preserve"> </w:t>
            </w:r>
            <w:r w:rsidRPr="005F652A">
              <w:rPr>
                <w:sz w:val="22"/>
                <w:szCs w:val="22"/>
                <w:lang w:val="ro-MD"/>
              </w:rPr>
              <w:t>5,4 mii lei, pr</w:t>
            </w:r>
            <w:r>
              <w:rPr>
                <w:sz w:val="22"/>
                <w:szCs w:val="22"/>
                <w:lang w:val="ro-MD"/>
              </w:rPr>
              <w:t xml:space="preserve">imăria </w:t>
            </w:r>
            <w:r w:rsidRPr="005F652A">
              <w:rPr>
                <w:sz w:val="22"/>
                <w:szCs w:val="22"/>
                <w:lang w:val="ro-MD"/>
              </w:rPr>
              <w:t>Dumbrăvița); „Apă Flămînzeni-Coșcodeni” (capit</w:t>
            </w:r>
            <w:r>
              <w:rPr>
                <w:sz w:val="22"/>
                <w:szCs w:val="22"/>
                <w:lang w:val="ro-MD"/>
              </w:rPr>
              <w:t xml:space="preserve">al </w:t>
            </w:r>
            <w:r w:rsidRPr="005F652A">
              <w:rPr>
                <w:sz w:val="22"/>
                <w:szCs w:val="22"/>
                <w:lang w:val="ro-MD"/>
              </w:rPr>
              <w:t xml:space="preserve">social </w:t>
            </w:r>
            <w:r w:rsidRPr="00C2206E">
              <w:rPr>
                <w:lang w:val="ro-MD"/>
              </w:rPr>
              <w:t>–</w:t>
            </w:r>
            <w:r>
              <w:rPr>
                <w:lang w:val="ro-MD"/>
              </w:rPr>
              <w:t xml:space="preserve"> </w:t>
            </w:r>
            <w:r w:rsidRPr="005F652A">
              <w:rPr>
                <w:sz w:val="22"/>
                <w:szCs w:val="22"/>
                <w:lang w:val="ro-MD"/>
              </w:rPr>
              <w:t>0,0 mii lei, pr</w:t>
            </w:r>
            <w:r>
              <w:rPr>
                <w:sz w:val="22"/>
                <w:szCs w:val="22"/>
                <w:lang w:val="ro-MD"/>
              </w:rPr>
              <w:t xml:space="preserve">imăria </w:t>
            </w:r>
            <w:r w:rsidRPr="005F652A">
              <w:rPr>
                <w:sz w:val="22"/>
                <w:szCs w:val="22"/>
                <w:lang w:val="ro-MD"/>
              </w:rPr>
              <w:t>Coșcodeni); „Grigorăuca-Licurici” (capit</w:t>
            </w:r>
            <w:r>
              <w:rPr>
                <w:sz w:val="22"/>
                <w:szCs w:val="22"/>
                <w:lang w:val="ro-MD"/>
              </w:rPr>
              <w:t xml:space="preserve">al </w:t>
            </w:r>
            <w:r w:rsidRPr="005F652A">
              <w:rPr>
                <w:sz w:val="22"/>
                <w:szCs w:val="22"/>
                <w:lang w:val="ro-MD"/>
              </w:rPr>
              <w:t xml:space="preserve">social </w:t>
            </w:r>
            <w:r w:rsidRPr="00C2206E">
              <w:rPr>
                <w:lang w:val="ro-MD"/>
              </w:rPr>
              <w:t>–</w:t>
            </w:r>
            <w:r>
              <w:rPr>
                <w:lang w:val="ro-MD"/>
              </w:rPr>
              <w:t xml:space="preserve"> </w:t>
            </w:r>
            <w:r w:rsidRPr="005F652A">
              <w:rPr>
                <w:sz w:val="22"/>
                <w:szCs w:val="22"/>
                <w:lang w:val="ro-MD"/>
              </w:rPr>
              <w:t>5,4 mii lei, pr</w:t>
            </w:r>
            <w:r>
              <w:rPr>
                <w:sz w:val="22"/>
                <w:szCs w:val="22"/>
                <w:lang w:val="ro-MD"/>
              </w:rPr>
              <w:t xml:space="preserve">imăria </w:t>
            </w:r>
            <w:r w:rsidRPr="005F652A">
              <w:rPr>
                <w:sz w:val="22"/>
                <w:szCs w:val="22"/>
                <w:lang w:val="ro-MD"/>
              </w:rPr>
              <w:t>Grigorăuca); „Servcom Chișcăreni” (capit</w:t>
            </w:r>
            <w:r>
              <w:rPr>
                <w:sz w:val="22"/>
                <w:szCs w:val="22"/>
                <w:lang w:val="ro-MD"/>
              </w:rPr>
              <w:t xml:space="preserve">al </w:t>
            </w:r>
            <w:r w:rsidRPr="005F652A">
              <w:rPr>
                <w:sz w:val="22"/>
                <w:szCs w:val="22"/>
                <w:lang w:val="ro-MD"/>
              </w:rPr>
              <w:t xml:space="preserve">social </w:t>
            </w:r>
            <w:r w:rsidRPr="00C2206E">
              <w:rPr>
                <w:lang w:val="ro-MD"/>
              </w:rPr>
              <w:t>–</w:t>
            </w:r>
            <w:r>
              <w:rPr>
                <w:lang w:val="ro-MD"/>
              </w:rPr>
              <w:t xml:space="preserve"> </w:t>
            </w:r>
            <w:r w:rsidRPr="005F652A">
              <w:rPr>
                <w:sz w:val="22"/>
                <w:szCs w:val="22"/>
                <w:lang w:val="ro-MD"/>
              </w:rPr>
              <w:t>2754,2 mii lei, pr</w:t>
            </w:r>
            <w:r>
              <w:rPr>
                <w:sz w:val="22"/>
                <w:szCs w:val="22"/>
                <w:lang w:val="ro-MD"/>
              </w:rPr>
              <w:t xml:space="preserve">imăria </w:t>
            </w:r>
            <w:r w:rsidRPr="005F652A">
              <w:rPr>
                <w:sz w:val="22"/>
                <w:szCs w:val="22"/>
                <w:lang w:val="ro-MD"/>
              </w:rPr>
              <w:t>Chișcăreni)</w:t>
            </w:r>
            <w:r>
              <w:rPr>
                <w:sz w:val="22"/>
                <w:szCs w:val="22"/>
                <w:lang w:val="ro-MD"/>
              </w:rPr>
              <w:t>;</w:t>
            </w:r>
          </w:p>
          <w:p w:rsidR="00903BFF" w:rsidRPr="00CC56EA" w:rsidRDefault="00903BFF" w:rsidP="001B4D6B">
            <w:pPr>
              <w:pStyle w:val="aa"/>
              <w:numPr>
                <w:ilvl w:val="0"/>
                <w:numId w:val="20"/>
              </w:numPr>
              <w:tabs>
                <w:tab w:val="left" w:pos="199"/>
                <w:tab w:val="left" w:pos="436"/>
              </w:tabs>
              <w:ind w:left="0" w:firstLine="301"/>
              <w:jc w:val="both"/>
              <w:rPr>
                <w:sz w:val="22"/>
                <w:szCs w:val="22"/>
                <w:lang w:val="ro-MD"/>
              </w:rPr>
            </w:pPr>
            <w:r w:rsidRPr="005F652A">
              <w:rPr>
                <w:b/>
                <w:sz w:val="22"/>
                <w:szCs w:val="22"/>
                <w:lang w:val="ro-MD"/>
              </w:rPr>
              <w:t xml:space="preserve"> </w:t>
            </w:r>
            <w:r>
              <w:rPr>
                <w:b/>
                <w:sz w:val="22"/>
                <w:szCs w:val="22"/>
                <w:lang w:val="ro-MD"/>
              </w:rPr>
              <w:t>i</w:t>
            </w:r>
            <w:r w:rsidRPr="005F652A">
              <w:rPr>
                <w:b/>
                <w:sz w:val="22"/>
                <w:szCs w:val="22"/>
                <w:lang w:val="ro-MD"/>
              </w:rPr>
              <w:t xml:space="preserve">nstituții medicale publice </w:t>
            </w:r>
            <w:r>
              <w:rPr>
                <w:b/>
                <w:sz w:val="22"/>
                <w:szCs w:val="22"/>
                <w:lang w:val="ro-MD"/>
              </w:rPr>
              <w:t>al</w:t>
            </w:r>
            <w:r w:rsidRPr="005F652A">
              <w:rPr>
                <w:b/>
                <w:sz w:val="22"/>
                <w:szCs w:val="22"/>
                <w:lang w:val="ro-MD"/>
              </w:rPr>
              <w:t xml:space="preserve"> c</w:t>
            </w:r>
            <w:r>
              <w:rPr>
                <w:b/>
                <w:sz w:val="22"/>
                <w:szCs w:val="22"/>
                <w:lang w:val="ro-MD"/>
              </w:rPr>
              <w:t>ăror</w:t>
            </w:r>
            <w:r w:rsidRPr="005F652A">
              <w:rPr>
                <w:b/>
                <w:sz w:val="22"/>
                <w:szCs w:val="22"/>
                <w:lang w:val="ro-MD"/>
              </w:rPr>
              <w:t xml:space="preserve"> fondator este </w:t>
            </w:r>
            <w:r>
              <w:rPr>
                <w:b/>
                <w:sz w:val="22"/>
                <w:szCs w:val="22"/>
                <w:lang w:val="ro-MD"/>
              </w:rPr>
              <w:t>C</w:t>
            </w:r>
            <w:r w:rsidRPr="005F652A">
              <w:rPr>
                <w:b/>
                <w:sz w:val="22"/>
                <w:szCs w:val="22"/>
                <w:lang w:val="ro-MD"/>
              </w:rPr>
              <w:t>onsiliul raional:</w:t>
            </w:r>
            <w:r w:rsidRPr="005F652A">
              <w:rPr>
                <w:sz w:val="22"/>
                <w:szCs w:val="22"/>
                <w:lang w:val="ro-MD"/>
              </w:rPr>
              <w:t xml:space="preserve"> „Spitalul raional Sîngerei”; 12 centre de sănătate amplasate în primării </w:t>
            </w:r>
            <w:r w:rsidRPr="00CC56EA">
              <w:rPr>
                <w:sz w:val="22"/>
                <w:szCs w:val="22"/>
                <w:lang w:val="ro-MD"/>
              </w:rPr>
              <w:t>71466,7 mii lei</w:t>
            </w:r>
            <w:r>
              <w:rPr>
                <w:sz w:val="22"/>
                <w:szCs w:val="22"/>
                <w:lang w:val="ro-MD"/>
              </w:rPr>
              <w:t>.</w:t>
            </w:r>
          </w:p>
        </w:tc>
      </w:tr>
      <w:tr w:rsidR="00903BFF" w:rsidRPr="0077542A" w:rsidTr="001B4D6B">
        <w:tc>
          <w:tcPr>
            <w:tcW w:w="1560" w:type="dxa"/>
          </w:tcPr>
          <w:p w:rsidR="00903BFF" w:rsidRPr="005F652A" w:rsidRDefault="00903BFF" w:rsidP="001B4D6B">
            <w:pPr>
              <w:spacing w:after="0" w:line="240" w:lineRule="auto"/>
              <w:rPr>
                <w:rFonts w:ascii="Times New Roman" w:eastAsia="Times New Roman" w:hAnsi="Times New Roman"/>
                <w:i/>
                <w:lang w:val="ro-MD" w:eastAsia="ru-RU"/>
              </w:rPr>
            </w:pPr>
            <w:r w:rsidRPr="005F652A">
              <w:rPr>
                <w:rFonts w:ascii="Times New Roman" w:eastAsia="Times New Roman" w:hAnsi="Times New Roman"/>
                <w:bCs/>
                <w:i/>
                <w:lang w:val="ro-MD" w:eastAsia="ru-RU"/>
              </w:rPr>
              <w:lastRenderedPageBreak/>
              <w:t>Cadrul normativ și legislativ relevant</w:t>
            </w:r>
            <w:r w:rsidRPr="005F652A">
              <w:rPr>
                <w:rFonts w:ascii="Times New Roman" w:eastAsia="Times New Roman" w:hAnsi="Times New Roman"/>
                <w:i/>
                <w:lang w:val="ro-MD" w:eastAsia="ru-RU"/>
              </w:rPr>
              <w:t xml:space="preserve"> </w:t>
            </w:r>
          </w:p>
          <w:p w:rsidR="00903BFF" w:rsidRPr="005F652A" w:rsidRDefault="00903BFF" w:rsidP="001B4D6B">
            <w:pPr>
              <w:spacing w:after="0" w:line="240" w:lineRule="auto"/>
              <w:jc w:val="both"/>
              <w:rPr>
                <w:rFonts w:ascii="Times New Roman" w:eastAsia="Times New Roman" w:hAnsi="Times New Roman"/>
                <w:lang w:val="ro-MD" w:eastAsia="ru-RU"/>
              </w:rPr>
            </w:pPr>
          </w:p>
        </w:tc>
        <w:tc>
          <w:tcPr>
            <w:tcW w:w="8222" w:type="dxa"/>
          </w:tcPr>
          <w:p w:rsidR="00903BFF" w:rsidRPr="005F652A" w:rsidRDefault="00903BFF" w:rsidP="001B4D6B">
            <w:pPr>
              <w:tabs>
                <w:tab w:val="left" w:pos="0"/>
                <w:tab w:val="left" w:pos="436"/>
              </w:tabs>
              <w:spacing w:after="0" w:line="240" w:lineRule="auto"/>
              <w:ind w:firstLine="442"/>
              <w:jc w:val="both"/>
              <w:rPr>
                <w:rFonts w:ascii="Times New Roman" w:eastAsia="Times New Roman" w:hAnsi="Times New Roman"/>
                <w:u w:val="single"/>
                <w:lang w:val="ro-MD" w:eastAsia="ru-RU"/>
              </w:rPr>
            </w:pPr>
            <w:r w:rsidRPr="005F652A">
              <w:rPr>
                <w:rFonts w:ascii="Times New Roman" w:eastAsia="Times New Roman" w:hAnsi="Times New Roman"/>
                <w:u w:val="single"/>
                <w:lang w:val="ro-MD" w:eastAsia="ru-RU"/>
              </w:rPr>
              <w:t xml:space="preserve">Bazele juridice și organizatorice de administrare a patrimoniului public sînt reglementate prin: </w:t>
            </w:r>
          </w:p>
          <w:p w:rsidR="00903BFF" w:rsidRPr="005F652A" w:rsidRDefault="00903BFF" w:rsidP="001B4D6B">
            <w:pPr>
              <w:numPr>
                <w:ilvl w:val="0"/>
                <w:numId w:val="1"/>
              </w:numPr>
              <w:tabs>
                <w:tab w:val="left" w:pos="0"/>
              </w:tabs>
              <w:spacing w:after="0" w:line="240" w:lineRule="auto"/>
              <w:ind w:left="34" w:firstLine="283"/>
              <w:jc w:val="both"/>
              <w:rPr>
                <w:rFonts w:ascii="Times New Roman" w:eastAsia="Times New Roman" w:hAnsi="Times New Roman"/>
                <w:lang w:val="ro-MD" w:eastAsia="ru-RU"/>
              </w:rPr>
            </w:pPr>
            <w:r w:rsidRPr="005F652A">
              <w:rPr>
                <w:rFonts w:ascii="Times New Roman" w:eastAsia="Times New Roman" w:hAnsi="Times New Roman"/>
                <w:lang w:val="ro-MD" w:eastAsia="ru-RU"/>
              </w:rPr>
              <w:t>Legea nr.436-XVI din 28.12.2006</w:t>
            </w:r>
            <w:r>
              <w:rPr>
                <w:rFonts w:ascii="Times New Roman" w:eastAsia="Times New Roman" w:hAnsi="Times New Roman"/>
                <w:lang w:val="ro-MD" w:eastAsia="ru-RU"/>
              </w:rPr>
              <w:t xml:space="preserve"> </w:t>
            </w:r>
            <w:r w:rsidRPr="005F652A">
              <w:rPr>
                <w:rFonts w:ascii="Times New Roman" w:eastAsia="Times New Roman" w:hAnsi="Times New Roman"/>
                <w:lang w:val="ro-MD" w:eastAsia="ru-RU"/>
              </w:rPr>
              <w:t>privind administrația publică locală</w:t>
            </w:r>
            <w:r>
              <w:rPr>
                <w:rFonts w:ascii="Times New Roman" w:eastAsia="Times New Roman" w:hAnsi="Times New Roman"/>
                <w:lang w:val="ro-MD" w:eastAsia="ru-RU"/>
              </w:rPr>
              <w:t>;</w:t>
            </w:r>
          </w:p>
          <w:p w:rsidR="00903BFF" w:rsidRPr="005F652A" w:rsidRDefault="00903BFF" w:rsidP="001B4D6B">
            <w:pPr>
              <w:numPr>
                <w:ilvl w:val="0"/>
                <w:numId w:val="1"/>
              </w:numPr>
              <w:tabs>
                <w:tab w:val="left" w:pos="0"/>
              </w:tabs>
              <w:spacing w:after="0" w:line="240" w:lineRule="auto"/>
              <w:ind w:left="34" w:firstLine="283"/>
              <w:jc w:val="both"/>
              <w:rPr>
                <w:rFonts w:ascii="Times New Roman" w:eastAsia="Times New Roman" w:hAnsi="Times New Roman"/>
                <w:lang w:val="ro-MD" w:eastAsia="ru-RU"/>
              </w:rPr>
            </w:pPr>
            <w:r w:rsidRPr="005F652A">
              <w:rPr>
                <w:rFonts w:ascii="Times New Roman" w:eastAsia="Times New Roman" w:hAnsi="Times New Roman"/>
                <w:lang w:val="ro-MD" w:eastAsia="ru-RU"/>
              </w:rPr>
              <w:t>Leg</w:t>
            </w:r>
            <w:r>
              <w:rPr>
                <w:rFonts w:ascii="Times New Roman" w:eastAsia="Times New Roman" w:hAnsi="Times New Roman"/>
                <w:lang w:val="ro-MD" w:eastAsia="ru-RU"/>
              </w:rPr>
              <w:t>ea</w:t>
            </w:r>
            <w:r w:rsidRPr="005F652A">
              <w:rPr>
                <w:rFonts w:ascii="Times New Roman" w:eastAsia="Times New Roman" w:hAnsi="Times New Roman"/>
                <w:lang w:val="ro-MD" w:eastAsia="ru-RU"/>
              </w:rPr>
              <w:t xml:space="preserve"> nr.1308-XIII din 25.07.1997 </w:t>
            </w:r>
            <w:r>
              <w:rPr>
                <w:rFonts w:ascii="Times New Roman" w:eastAsia="Times New Roman" w:hAnsi="Times New Roman"/>
                <w:lang w:val="ro-MD" w:eastAsia="ru-RU"/>
              </w:rPr>
              <w:t>pr</w:t>
            </w:r>
            <w:r w:rsidRPr="005F652A">
              <w:rPr>
                <w:rFonts w:ascii="Times New Roman" w:eastAsia="Times New Roman" w:hAnsi="Times New Roman"/>
                <w:lang w:val="ro-MD" w:eastAsia="ru-RU"/>
              </w:rPr>
              <w:t>ivind prețul normativ și modul de vînzare-cumpărare a pămîntului;</w:t>
            </w:r>
          </w:p>
          <w:p w:rsidR="00903BFF" w:rsidRPr="005F652A" w:rsidRDefault="00903BFF" w:rsidP="001B4D6B">
            <w:pPr>
              <w:numPr>
                <w:ilvl w:val="0"/>
                <w:numId w:val="1"/>
              </w:numPr>
              <w:tabs>
                <w:tab w:val="left" w:pos="0"/>
              </w:tabs>
              <w:spacing w:after="0" w:line="240" w:lineRule="auto"/>
              <w:ind w:left="34" w:firstLine="283"/>
              <w:jc w:val="both"/>
              <w:rPr>
                <w:rFonts w:ascii="Times New Roman" w:eastAsia="Times New Roman" w:hAnsi="Times New Roman"/>
                <w:lang w:val="ro-MD" w:eastAsia="ru-RU"/>
              </w:rPr>
            </w:pPr>
            <w:r w:rsidRPr="005F652A">
              <w:rPr>
                <w:rFonts w:ascii="Times New Roman" w:eastAsia="Times New Roman" w:hAnsi="Times New Roman"/>
                <w:lang w:val="ro-MD" w:eastAsia="ru-RU"/>
              </w:rPr>
              <w:t xml:space="preserve">Legea nr.523-XIV din 16.07.1999 </w:t>
            </w:r>
            <w:r>
              <w:rPr>
                <w:rFonts w:ascii="Times New Roman" w:eastAsia="Times New Roman" w:hAnsi="Times New Roman"/>
                <w:lang w:val="ro-MD" w:eastAsia="ru-RU"/>
              </w:rPr>
              <w:t>c</w:t>
            </w:r>
            <w:r w:rsidRPr="005F652A">
              <w:rPr>
                <w:rFonts w:ascii="Times New Roman" w:eastAsia="Times New Roman" w:hAnsi="Times New Roman"/>
                <w:lang w:val="ro-MD" w:eastAsia="ru-RU"/>
              </w:rPr>
              <w:t>u privire la proprietatea publică a unităților administrativ-teritoriale;</w:t>
            </w:r>
          </w:p>
          <w:p w:rsidR="00903BFF" w:rsidRPr="005F652A" w:rsidRDefault="00903BFF" w:rsidP="001B4D6B">
            <w:pPr>
              <w:numPr>
                <w:ilvl w:val="0"/>
                <w:numId w:val="1"/>
              </w:numPr>
              <w:tabs>
                <w:tab w:val="left" w:pos="0"/>
              </w:tabs>
              <w:spacing w:after="0" w:line="240" w:lineRule="auto"/>
              <w:ind w:left="34" w:firstLine="283"/>
              <w:jc w:val="both"/>
              <w:rPr>
                <w:rFonts w:ascii="Times New Roman" w:eastAsia="Times New Roman" w:hAnsi="Times New Roman"/>
                <w:lang w:val="ro-MD" w:eastAsia="ru-RU"/>
              </w:rPr>
            </w:pPr>
            <w:r w:rsidRPr="005F652A">
              <w:rPr>
                <w:rFonts w:ascii="Times New Roman" w:eastAsia="Times New Roman" w:hAnsi="Times New Roman"/>
                <w:lang w:val="ro-MD" w:eastAsia="ru-RU"/>
              </w:rPr>
              <w:t xml:space="preserve">Legea nr.435-XVI din 28.12.2006 </w:t>
            </w:r>
            <w:r>
              <w:rPr>
                <w:rFonts w:ascii="Times New Roman" w:eastAsia="Times New Roman" w:hAnsi="Times New Roman"/>
                <w:lang w:val="ro-MD" w:eastAsia="ru-RU"/>
              </w:rPr>
              <w:t>pr</w:t>
            </w:r>
            <w:r w:rsidRPr="005F652A">
              <w:rPr>
                <w:rFonts w:ascii="Times New Roman" w:eastAsia="Times New Roman" w:hAnsi="Times New Roman"/>
                <w:lang w:val="ro-MD" w:eastAsia="ru-RU"/>
              </w:rPr>
              <w:t>ivind descentralizarea administrativă;</w:t>
            </w:r>
          </w:p>
          <w:p w:rsidR="00903BFF" w:rsidRPr="005F652A" w:rsidRDefault="00903BFF" w:rsidP="001B4D6B">
            <w:pPr>
              <w:numPr>
                <w:ilvl w:val="0"/>
                <w:numId w:val="1"/>
              </w:numPr>
              <w:tabs>
                <w:tab w:val="left" w:pos="0"/>
              </w:tabs>
              <w:spacing w:after="0" w:line="240" w:lineRule="auto"/>
              <w:ind w:left="34" w:firstLine="283"/>
              <w:jc w:val="both"/>
              <w:rPr>
                <w:rFonts w:ascii="Times New Roman" w:eastAsia="Times New Roman" w:hAnsi="Times New Roman"/>
                <w:lang w:val="ro-MD" w:eastAsia="ru-RU"/>
              </w:rPr>
            </w:pPr>
            <w:r w:rsidRPr="005F652A">
              <w:rPr>
                <w:rFonts w:ascii="Times New Roman" w:eastAsia="Times New Roman" w:hAnsi="Times New Roman"/>
                <w:lang w:val="ro-MD" w:eastAsia="ru-RU"/>
              </w:rPr>
              <w:t xml:space="preserve">Legea nr.91-XVI din 05.04.2007 </w:t>
            </w:r>
            <w:r>
              <w:rPr>
                <w:rFonts w:ascii="Times New Roman" w:eastAsia="Times New Roman" w:hAnsi="Times New Roman"/>
                <w:lang w:val="ro-MD" w:eastAsia="ru-RU"/>
              </w:rPr>
              <w:t>p</w:t>
            </w:r>
            <w:r w:rsidRPr="005F652A">
              <w:rPr>
                <w:rFonts w:ascii="Times New Roman" w:eastAsia="Times New Roman" w:hAnsi="Times New Roman"/>
                <w:lang w:val="ro-MD" w:eastAsia="ru-RU"/>
              </w:rPr>
              <w:t>rivind terenurile proprietate publică și delimitarea lor;</w:t>
            </w:r>
          </w:p>
          <w:p w:rsidR="00903BFF" w:rsidRPr="005F652A" w:rsidRDefault="00903BFF" w:rsidP="001B4D6B">
            <w:pPr>
              <w:numPr>
                <w:ilvl w:val="0"/>
                <w:numId w:val="1"/>
              </w:numPr>
              <w:tabs>
                <w:tab w:val="left" w:pos="0"/>
              </w:tabs>
              <w:spacing w:after="0" w:line="240" w:lineRule="auto"/>
              <w:ind w:left="34" w:firstLine="283"/>
              <w:jc w:val="both"/>
              <w:rPr>
                <w:rFonts w:ascii="Times New Roman" w:eastAsia="Times New Roman" w:hAnsi="Times New Roman"/>
                <w:lang w:val="ro-MD" w:eastAsia="ru-RU"/>
              </w:rPr>
            </w:pPr>
            <w:r w:rsidRPr="005F652A">
              <w:rPr>
                <w:rFonts w:ascii="Times New Roman" w:eastAsia="Times New Roman" w:hAnsi="Times New Roman"/>
                <w:lang w:val="ro-MD" w:eastAsia="ru-RU"/>
              </w:rPr>
              <w:t xml:space="preserve">Legea nr.121-XVI din 04.05.2007 </w:t>
            </w:r>
            <w:r>
              <w:rPr>
                <w:rFonts w:ascii="Times New Roman" w:eastAsia="Times New Roman" w:hAnsi="Times New Roman"/>
                <w:lang w:val="ro-MD" w:eastAsia="ru-RU"/>
              </w:rPr>
              <w:t>p</w:t>
            </w:r>
            <w:r w:rsidRPr="005F652A">
              <w:rPr>
                <w:rFonts w:ascii="Times New Roman" w:eastAsia="Times New Roman" w:hAnsi="Times New Roman"/>
                <w:lang w:val="ro-MD" w:eastAsia="ru-RU"/>
              </w:rPr>
              <w:t>rivind administrarea și deetatizarea</w:t>
            </w:r>
            <w:r>
              <w:rPr>
                <w:rFonts w:ascii="Times New Roman" w:eastAsia="Times New Roman" w:hAnsi="Times New Roman"/>
                <w:lang w:val="ro-MD" w:eastAsia="ru-RU"/>
              </w:rPr>
              <w:t xml:space="preserve"> </w:t>
            </w:r>
            <w:r w:rsidRPr="005F652A">
              <w:rPr>
                <w:rFonts w:ascii="Times New Roman" w:eastAsia="Times New Roman" w:hAnsi="Times New Roman"/>
                <w:lang w:val="ro-MD" w:eastAsia="ru-RU"/>
              </w:rPr>
              <w:t>proprietății publice;</w:t>
            </w:r>
          </w:p>
          <w:p w:rsidR="00903BFF" w:rsidRPr="005F652A" w:rsidRDefault="00903BFF" w:rsidP="001B4D6B">
            <w:pPr>
              <w:numPr>
                <w:ilvl w:val="0"/>
                <w:numId w:val="1"/>
              </w:numPr>
              <w:tabs>
                <w:tab w:val="left" w:pos="0"/>
              </w:tabs>
              <w:spacing w:after="0" w:line="240" w:lineRule="auto"/>
              <w:ind w:left="34" w:firstLine="283"/>
              <w:jc w:val="both"/>
              <w:rPr>
                <w:rFonts w:ascii="Times New Roman" w:eastAsia="Times New Roman" w:hAnsi="Times New Roman"/>
                <w:lang w:val="ro-MD" w:eastAsia="ru-RU"/>
              </w:rPr>
            </w:pPr>
            <w:r w:rsidRPr="005F652A">
              <w:rPr>
                <w:rFonts w:ascii="Times New Roman" w:eastAsia="Times New Roman" w:hAnsi="Times New Roman"/>
                <w:lang w:val="ro-MD" w:eastAsia="ru-RU"/>
              </w:rPr>
              <w:t>Hotărîrea Guvernului nr.875 din 21.10.2014 „</w:t>
            </w:r>
            <w:r w:rsidRPr="005F652A">
              <w:rPr>
                <w:rFonts w:ascii="Times New Roman" w:eastAsia="Times New Roman" w:hAnsi="Times New Roman"/>
                <w:bCs/>
                <w:lang w:val="ro-MD" w:eastAsia="ru-RU"/>
              </w:rPr>
              <w:t>Pentru aprobarea Regulamentului privind monitoringul financiar al întreprinderilor de stat/municipale și al societăților comerciale cu capital integral sau majoritar public”;</w:t>
            </w:r>
          </w:p>
          <w:p w:rsidR="00903BFF" w:rsidRPr="005F652A" w:rsidRDefault="00903BFF" w:rsidP="001B4D6B">
            <w:pPr>
              <w:numPr>
                <w:ilvl w:val="0"/>
                <w:numId w:val="1"/>
              </w:numPr>
              <w:tabs>
                <w:tab w:val="left" w:pos="0"/>
              </w:tabs>
              <w:spacing w:after="0" w:line="240" w:lineRule="auto"/>
              <w:ind w:left="34" w:firstLine="283"/>
              <w:jc w:val="both"/>
              <w:rPr>
                <w:rFonts w:ascii="Times New Roman" w:eastAsia="Times New Roman" w:hAnsi="Times New Roman"/>
                <w:lang w:val="ro-MD" w:eastAsia="ru-RU"/>
              </w:rPr>
            </w:pPr>
            <w:r w:rsidRPr="005F652A">
              <w:rPr>
                <w:rFonts w:ascii="Times New Roman" w:eastAsia="Times New Roman" w:hAnsi="Times New Roman"/>
                <w:bCs/>
                <w:lang w:val="ro-MD" w:eastAsia="ru-RU"/>
              </w:rPr>
              <w:t xml:space="preserve">Ordinul ministrului </w:t>
            </w:r>
            <w:r>
              <w:rPr>
                <w:rFonts w:ascii="Times New Roman" w:eastAsia="Times New Roman" w:hAnsi="Times New Roman"/>
                <w:bCs/>
                <w:lang w:val="ro-MD" w:eastAsia="ru-RU"/>
              </w:rPr>
              <w:t>F</w:t>
            </w:r>
            <w:r w:rsidRPr="005F652A">
              <w:rPr>
                <w:rFonts w:ascii="Times New Roman" w:eastAsia="Times New Roman" w:hAnsi="Times New Roman"/>
                <w:bCs/>
                <w:lang w:val="ro-MD" w:eastAsia="ru-RU"/>
              </w:rPr>
              <w:t>inanțelor nr.60 din 29.05.2012 „Cu privire la aprobarea Regulamentului privind inventarierea”;</w:t>
            </w:r>
          </w:p>
          <w:p w:rsidR="00903BFF" w:rsidRPr="005F652A" w:rsidRDefault="00903BFF" w:rsidP="001B4D6B">
            <w:pPr>
              <w:tabs>
                <w:tab w:val="left" w:pos="0"/>
              </w:tabs>
              <w:spacing w:after="0" w:line="240" w:lineRule="auto"/>
              <w:ind w:left="317"/>
              <w:jc w:val="both"/>
              <w:rPr>
                <w:rFonts w:ascii="Times New Roman" w:eastAsia="Times New Roman" w:hAnsi="Times New Roman"/>
                <w:u w:val="single"/>
                <w:lang w:val="ro-MD" w:eastAsia="ru-RU"/>
              </w:rPr>
            </w:pPr>
            <w:r w:rsidRPr="005F652A">
              <w:rPr>
                <w:rFonts w:ascii="Times New Roman" w:eastAsia="Times New Roman" w:hAnsi="Times New Roman"/>
                <w:u w:val="single"/>
                <w:lang w:val="ro-MD" w:eastAsia="ru-RU"/>
              </w:rPr>
              <w:t>Evidența contabilă în autoritățile publice supuse auditării a fost reglementată prin:</w:t>
            </w:r>
          </w:p>
          <w:p w:rsidR="00903BFF" w:rsidRPr="005F652A" w:rsidRDefault="00903BFF" w:rsidP="001B4D6B">
            <w:pPr>
              <w:numPr>
                <w:ilvl w:val="0"/>
                <w:numId w:val="2"/>
              </w:numPr>
              <w:tabs>
                <w:tab w:val="left" w:pos="0"/>
              </w:tabs>
              <w:spacing w:after="0" w:line="240" w:lineRule="auto"/>
              <w:ind w:left="34" w:firstLine="283"/>
              <w:jc w:val="both"/>
              <w:rPr>
                <w:rFonts w:ascii="Times New Roman" w:eastAsia="Times New Roman" w:hAnsi="Times New Roman"/>
                <w:i/>
                <w:lang w:val="ro-MD" w:eastAsia="ru-RU"/>
              </w:rPr>
            </w:pPr>
            <w:r w:rsidRPr="005F652A">
              <w:rPr>
                <w:rFonts w:ascii="Times New Roman" w:eastAsia="Times New Roman" w:hAnsi="Times New Roman"/>
                <w:lang w:val="ro-MD" w:eastAsia="ru-RU"/>
              </w:rPr>
              <w:t>Legea contabilității nr.113-XVI din 27.04.2007;</w:t>
            </w:r>
          </w:p>
          <w:p w:rsidR="00903BFF" w:rsidRPr="005F652A" w:rsidRDefault="00903BFF" w:rsidP="001B4D6B">
            <w:pPr>
              <w:numPr>
                <w:ilvl w:val="0"/>
                <w:numId w:val="2"/>
              </w:numPr>
              <w:tabs>
                <w:tab w:val="left" w:pos="0"/>
              </w:tabs>
              <w:spacing w:after="0" w:line="240" w:lineRule="auto"/>
              <w:ind w:left="34" w:firstLine="283"/>
              <w:jc w:val="both"/>
              <w:rPr>
                <w:rFonts w:ascii="Times New Roman" w:eastAsia="Times New Roman" w:hAnsi="Times New Roman"/>
                <w:i/>
                <w:lang w:val="ro-MD" w:eastAsia="ru-RU"/>
              </w:rPr>
            </w:pPr>
            <w:r w:rsidRPr="005F652A">
              <w:rPr>
                <w:rFonts w:ascii="Times New Roman" w:eastAsia="Times New Roman" w:hAnsi="Times New Roman"/>
                <w:lang w:val="ro-MD" w:eastAsia="ru-RU"/>
              </w:rPr>
              <w:t xml:space="preserve">Ordinul </w:t>
            </w:r>
            <w:r>
              <w:rPr>
                <w:rFonts w:ascii="Times New Roman" w:eastAsia="Times New Roman" w:hAnsi="Times New Roman"/>
                <w:lang w:val="ro-MD" w:eastAsia="ru-RU"/>
              </w:rPr>
              <w:t xml:space="preserve">ministrului </w:t>
            </w:r>
            <w:r w:rsidRPr="005F652A">
              <w:rPr>
                <w:rFonts w:ascii="Times New Roman" w:eastAsia="Times New Roman" w:hAnsi="Times New Roman"/>
                <w:lang w:val="ro-MD" w:eastAsia="ru-RU"/>
              </w:rPr>
              <w:t>F</w:t>
            </w:r>
            <w:r>
              <w:rPr>
                <w:rFonts w:ascii="Times New Roman" w:eastAsia="Times New Roman" w:hAnsi="Times New Roman"/>
                <w:lang w:val="ro-MD" w:eastAsia="ru-RU"/>
              </w:rPr>
              <w:t>inanțelor</w:t>
            </w:r>
            <w:r w:rsidRPr="005F652A">
              <w:rPr>
                <w:rFonts w:ascii="Times New Roman" w:eastAsia="Times New Roman" w:hAnsi="Times New Roman"/>
                <w:lang w:val="ro-MD" w:eastAsia="ru-RU"/>
              </w:rPr>
              <w:t xml:space="preserve"> nr.93 din 19.07.2010 „Cu privire la aprobarea Instrucțiunii cu privire la evidența contabilă în instituțiile publice”;</w:t>
            </w:r>
          </w:p>
          <w:p w:rsidR="00903BFF" w:rsidRPr="005F652A" w:rsidRDefault="00903BFF" w:rsidP="001B4D6B">
            <w:pPr>
              <w:numPr>
                <w:ilvl w:val="0"/>
                <w:numId w:val="2"/>
              </w:numPr>
              <w:tabs>
                <w:tab w:val="left" w:pos="0"/>
              </w:tabs>
              <w:spacing w:after="0" w:line="240" w:lineRule="auto"/>
              <w:ind w:left="34" w:firstLine="283"/>
              <w:jc w:val="both"/>
              <w:rPr>
                <w:rFonts w:ascii="Times New Roman" w:eastAsia="Times New Roman" w:hAnsi="Times New Roman"/>
                <w:i/>
                <w:lang w:val="ro-MD" w:eastAsia="ru-RU"/>
              </w:rPr>
            </w:pPr>
            <w:r w:rsidRPr="005F652A">
              <w:rPr>
                <w:rFonts w:ascii="Times New Roman" w:eastAsia="Times New Roman" w:hAnsi="Times New Roman"/>
                <w:lang w:val="ro-MD" w:eastAsia="ru-RU"/>
              </w:rPr>
              <w:t xml:space="preserve">Ordinul </w:t>
            </w:r>
            <w:r>
              <w:rPr>
                <w:rFonts w:ascii="Times New Roman" w:eastAsia="Times New Roman" w:hAnsi="Times New Roman"/>
                <w:lang w:val="ro-MD" w:eastAsia="ru-RU"/>
              </w:rPr>
              <w:t xml:space="preserve">ministrului </w:t>
            </w:r>
            <w:r w:rsidRPr="005F652A">
              <w:rPr>
                <w:rFonts w:ascii="Times New Roman" w:eastAsia="Times New Roman" w:hAnsi="Times New Roman"/>
                <w:lang w:val="ro-MD" w:eastAsia="ru-RU"/>
              </w:rPr>
              <w:t>F</w:t>
            </w:r>
            <w:r>
              <w:rPr>
                <w:rFonts w:ascii="Times New Roman" w:eastAsia="Times New Roman" w:hAnsi="Times New Roman"/>
                <w:lang w:val="ro-MD" w:eastAsia="ru-RU"/>
              </w:rPr>
              <w:t>inanțelor</w:t>
            </w:r>
            <w:r w:rsidRPr="005F652A">
              <w:rPr>
                <w:rFonts w:ascii="Times New Roman" w:eastAsia="Times New Roman" w:hAnsi="Times New Roman"/>
                <w:lang w:val="ro-MD" w:eastAsia="ru-RU"/>
              </w:rPr>
              <w:t xml:space="preserve"> nr.94 din 19.07.2010 „Cu privire la aprobarea Instrucțiunii cu privire la evidența contabilă în contabilitățile centralizate din cadrul primăriilor satelor (comunelor), orașelor”</w:t>
            </w:r>
          </w:p>
        </w:tc>
      </w:tr>
      <w:tr w:rsidR="00903BFF" w:rsidRPr="0077542A" w:rsidTr="001B4D6B">
        <w:tc>
          <w:tcPr>
            <w:tcW w:w="1560" w:type="dxa"/>
          </w:tcPr>
          <w:p w:rsidR="00903BFF" w:rsidRPr="005F652A" w:rsidRDefault="00903BFF" w:rsidP="001B4D6B">
            <w:pPr>
              <w:spacing w:after="0" w:line="240" w:lineRule="auto"/>
              <w:rPr>
                <w:rFonts w:ascii="Times New Roman" w:eastAsia="Times New Roman" w:hAnsi="Times New Roman"/>
                <w:i/>
                <w:lang w:val="ro-MD" w:eastAsia="ru-RU"/>
              </w:rPr>
            </w:pPr>
            <w:r w:rsidRPr="005F652A">
              <w:rPr>
                <w:rFonts w:ascii="Times New Roman" w:eastAsia="Times New Roman" w:hAnsi="Times New Roman"/>
                <w:i/>
                <w:lang w:val="ro-MD" w:eastAsia="ru-RU"/>
              </w:rPr>
              <w:t>Competențele de bază în domeniul administrării patrimoniului public</w:t>
            </w:r>
          </w:p>
        </w:tc>
        <w:tc>
          <w:tcPr>
            <w:tcW w:w="8222" w:type="dxa"/>
          </w:tcPr>
          <w:p w:rsidR="00903BFF" w:rsidRPr="005F652A" w:rsidRDefault="00903BFF" w:rsidP="001B4D6B">
            <w:pPr>
              <w:pStyle w:val="aa"/>
              <w:numPr>
                <w:ilvl w:val="0"/>
                <w:numId w:val="24"/>
              </w:numPr>
              <w:tabs>
                <w:tab w:val="left" w:pos="586"/>
              </w:tabs>
              <w:ind w:left="0" w:firstLine="277"/>
              <w:jc w:val="both"/>
              <w:rPr>
                <w:sz w:val="22"/>
                <w:szCs w:val="22"/>
                <w:lang w:val="ro-MD"/>
              </w:rPr>
            </w:pPr>
            <w:r w:rsidRPr="005F652A">
              <w:rPr>
                <w:sz w:val="22"/>
                <w:szCs w:val="22"/>
                <w:lang w:val="ro-MD"/>
              </w:rPr>
              <w:t>Legea nr.397-XV din 16.10.2003 (art.31) și Legea nr.121-XVI din 04.05.2007 (art.9)</w:t>
            </w:r>
            <w:r>
              <w:rPr>
                <w:sz w:val="22"/>
                <w:szCs w:val="22"/>
                <w:lang w:val="ro-MD"/>
              </w:rPr>
              <w:t xml:space="preserve"> </w:t>
            </w:r>
            <w:r w:rsidRPr="005F652A">
              <w:rPr>
                <w:sz w:val="22"/>
                <w:szCs w:val="22"/>
                <w:lang w:val="ro-MD"/>
              </w:rPr>
              <w:t>prevăd că ordonatorul principal de buget este responsabil de integritatea bunurilor aflate în administrare și folosirea eficientă a lor</w:t>
            </w:r>
            <w:r>
              <w:rPr>
                <w:sz w:val="22"/>
                <w:szCs w:val="22"/>
                <w:lang w:val="ro-MD"/>
              </w:rPr>
              <w:t>;</w:t>
            </w:r>
          </w:p>
          <w:p w:rsidR="00903BFF" w:rsidRPr="005F652A" w:rsidRDefault="00903BFF" w:rsidP="001B4D6B">
            <w:pPr>
              <w:pStyle w:val="aa"/>
              <w:numPr>
                <w:ilvl w:val="0"/>
                <w:numId w:val="24"/>
              </w:numPr>
              <w:tabs>
                <w:tab w:val="left" w:pos="586"/>
              </w:tabs>
              <w:ind w:left="0" w:firstLine="277"/>
              <w:jc w:val="both"/>
              <w:rPr>
                <w:sz w:val="22"/>
                <w:szCs w:val="22"/>
                <w:lang w:val="ro-MD"/>
              </w:rPr>
            </w:pPr>
            <w:r w:rsidRPr="005F652A">
              <w:rPr>
                <w:sz w:val="22"/>
                <w:szCs w:val="22"/>
                <w:lang w:val="ro-MD"/>
              </w:rPr>
              <w:t>Legea nr.436-XVI din 28.12.2006 (art.14 alin.(2) lit.b),</w:t>
            </w:r>
            <w:r>
              <w:rPr>
                <w:sz w:val="22"/>
                <w:szCs w:val="22"/>
                <w:lang w:val="ro-MD"/>
              </w:rPr>
              <w:t xml:space="preserve"> </w:t>
            </w:r>
            <w:r w:rsidRPr="005F652A">
              <w:rPr>
                <w:sz w:val="22"/>
                <w:szCs w:val="22"/>
                <w:lang w:val="ro-MD"/>
              </w:rPr>
              <w:t>c),</w:t>
            </w:r>
            <w:r>
              <w:rPr>
                <w:sz w:val="22"/>
                <w:szCs w:val="22"/>
                <w:lang w:val="ro-MD"/>
              </w:rPr>
              <w:t xml:space="preserve"> </w:t>
            </w:r>
            <w:r w:rsidRPr="005F652A">
              <w:rPr>
                <w:sz w:val="22"/>
                <w:szCs w:val="22"/>
                <w:lang w:val="ro-MD"/>
              </w:rPr>
              <w:t>d),</w:t>
            </w:r>
            <w:r>
              <w:rPr>
                <w:sz w:val="22"/>
                <w:szCs w:val="22"/>
                <w:lang w:val="ro-MD"/>
              </w:rPr>
              <w:t xml:space="preserve"> </w:t>
            </w:r>
            <w:r w:rsidRPr="005F652A">
              <w:rPr>
                <w:sz w:val="22"/>
                <w:szCs w:val="22"/>
                <w:lang w:val="ro-MD"/>
              </w:rPr>
              <w:t>f</w:t>
            </w:r>
            <w:r w:rsidRPr="005F652A">
              <w:rPr>
                <w:sz w:val="22"/>
                <w:szCs w:val="22"/>
                <w:vertAlign w:val="superscript"/>
                <w:lang w:val="ro-MD"/>
              </w:rPr>
              <w:t>1</w:t>
            </w:r>
            <w:r w:rsidRPr="005F652A">
              <w:rPr>
                <w:sz w:val="22"/>
                <w:szCs w:val="22"/>
                <w:lang w:val="ro-MD"/>
              </w:rPr>
              <w:t>); art.29 alin.(1) lit.g),</w:t>
            </w:r>
            <w:r>
              <w:rPr>
                <w:sz w:val="22"/>
                <w:szCs w:val="22"/>
                <w:lang w:val="ro-MD"/>
              </w:rPr>
              <w:t xml:space="preserve"> </w:t>
            </w:r>
            <w:r w:rsidRPr="005F652A">
              <w:rPr>
                <w:sz w:val="22"/>
                <w:szCs w:val="22"/>
                <w:lang w:val="ro-MD"/>
              </w:rPr>
              <w:t>l</w:t>
            </w:r>
            <w:r w:rsidRPr="005F652A">
              <w:rPr>
                <w:sz w:val="22"/>
                <w:szCs w:val="22"/>
                <w:vertAlign w:val="superscript"/>
                <w:lang w:val="ro-MD"/>
              </w:rPr>
              <w:t>1</w:t>
            </w:r>
            <w:r w:rsidRPr="005F652A">
              <w:rPr>
                <w:sz w:val="22"/>
                <w:szCs w:val="22"/>
                <w:lang w:val="ro-MD"/>
              </w:rPr>
              <w:t>); art.43 alin.(1) lit.c),</w:t>
            </w:r>
            <w:r>
              <w:rPr>
                <w:sz w:val="22"/>
                <w:szCs w:val="22"/>
                <w:lang w:val="ro-MD"/>
              </w:rPr>
              <w:t xml:space="preserve"> </w:t>
            </w:r>
            <w:r w:rsidRPr="005F652A">
              <w:rPr>
                <w:sz w:val="22"/>
                <w:szCs w:val="22"/>
                <w:lang w:val="ro-MD"/>
              </w:rPr>
              <w:t>d),</w:t>
            </w:r>
            <w:r>
              <w:rPr>
                <w:sz w:val="22"/>
                <w:szCs w:val="22"/>
                <w:lang w:val="ro-MD"/>
              </w:rPr>
              <w:t xml:space="preserve"> </w:t>
            </w:r>
            <w:r w:rsidRPr="005F652A">
              <w:rPr>
                <w:sz w:val="22"/>
                <w:szCs w:val="22"/>
                <w:lang w:val="ro-MD"/>
              </w:rPr>
              <w:t xml:space="preserve">e); art.53; art.74-77) reglementează competența APL cu privire </w:t>
            </w:r>
            <w:r w:rsidRPr="005F652A">
              <w:rPr>
                <w:sz w:val="22"/>
                <w:szCs w:val="22"/>
                <w:lang w:val="ro-MD"/>
              </w:rPr>
              <w:lastRenderedPageBreak/>
              <w:t>la: administrarea bunurilor publice; darea în gestiune, folosință cu titlu gratuit și oneros și vînzarea</w:t>
            </w:r>
            <w:r>
              <w:rPr>
                <w:sz w:val="22"/>
                <w:szCs w:val="22"/>
                <w:lang w:val="ro-MD"/>
              </w:rPr>
              <w:t xml:space="preserve"> </w:t>
            </w:r>
            <w:r w:rsidRPr="005F652A">
              <w:rPr>
                <w:sz w:val="22"/>
                <w:szCs w:val="22"/>
                <w:lang w:val="ro-MD"/>
              </w:rPr>
              <w:t>bunurilor publice; inventarierea elementelor de activ</w:t>
            </w:r>
            <w:r>
              <w:rPr>
                <w:sz w:val="22"/>
                <w:szCs w:val="22"/>
                <w:lang w:val="ro-MD"/>
              </w:rPr>
              <w:t>;</w:t>
            </w:r>
          </w:p>
          <w:p w:rsidR="00903BFF" w:rsidRPr="005F652A" w:rsidRDefault="00903BFF" w:rsidP="001B4D6B">
            <w:pPr>
              <w:pStyle w:val="aa"/>
              <w:numPr>
                <w:ilvl w:val="0"/>
                <w:numId w:val="24"/>
              </w:numPr>
              <w:tabs>
                <w:tab w:val="left" w:pos="586"/>
              </w:tabs>
              <w:ind w:left="0" w:firstLine="277"/>
              <w:jc w:val="both"/>
              <w:rPr>
                <w:sz w:val="22"/>
                <w:szCs w:val="22"/>
                <w:lang w:val="ro-MD"/>
              </w:rPr>
            </w:pPr>
            <w:r w:rsidRPr="005F652A">
              <w:rPr>
                <w:sz w:val="22"/>
                <w:szCs w:val="22"/>
                <w:lang w:val="ro-MD"/>
              </w:rPr>
              <w:t>Legea nr.121-XVI din 04.05.2007 (art.21) prevede că activitatea întreprinderilor municipale este supusă monitoringului financiar din parte</w:t>
            </w:r>
            <w:r>
              <w:rPr>
                <w:sz w:val="22"/>
                <w:szCs w:val="22"/>
                <w:lang w:val="ro-MD"/>
              </w:rPr>
              <w:t>a</w:t>
            </w:r>
            <w:r w:rsidRPr="005F652A">
              <w:rPr>
                <w:sz w:val="22"/>
                <w:szCs w:val="22"/>
                <w:lang w:val="ro-MD"/>
              </w:rPr>
              <w:t xml:space="preserve"> APL în scopul consolidării disciplinei financiare și al sporirii eficienței utilizării patrimoniului public. Hotărîrea Guvernului nr.875 din 21.10.2014 prevede condițiile de efectuare a monitoringului financiar și întocmirea notelor analitice privind rezultatele monitoringului financiar</w:t>
            </w:r>
            <w:r>
              <w:rPr>
                <w:sz w:val="22"/>
                <w:szCs w:val="22"/>
                <w:lang w:val="ro-MD"/>
              </w:rPr>
              <w:t>;</w:t>
            </w:r>
          </w:p>
          <w:p w:rsidR="00903BFF" w:rsidRPr="005F652A" w:rsidRDefault="00903BFF" w:rsidP="001B4D6B">
            <w:pPr>
              <w:pStyle w:val="aa"/>
              <w:numPr>
                <w:ilvl w:val="0"/>
                <w:numId w:val="24"/>
              </w:numPr>
              <w:tabs>
                <w:tab w:val="left" w:pos="586"/>
              </w:tabs>
              <w:ind w:left="0" w:firstLine="277"/>
              <w:jc w:val="both"/>
              <w:rPr>
                <w:sz w:val="22"/>
                <w:szCs w:val="22"/>
                <w:lang w:val="ro-MD"/>
              </w:rPr>
            </w:pPr>
            <w:r w:rsidRPr="005F652A">
              <w:rPr>
                <w:sz w:val="22"/>
                <w:szCs w:val="22"/>
                <w:lang w:val="ro-MD"/>
              </w:rPr>
              <w:t>Legea contabilității nr.113-XVI din 27.04.2007 (art.7) prevede obligația executorului de buget de a asigura ținerea contabilității și întocmirea situațiilor financiare în conformitate cu legea și actele normative în vigoare</w:t>
            </w:r>
            <w:r>
              <w:rPr>
                <w:sz w:val="22"/>
                <w:szCs w:val="22"/>
                <w:lang w:val="ro-MD"/>
              </w:rPr>
              <w:t>.</w:t>
            </w:r>
          </w:p>
        </w:tc>
      </w:tr>
    </w:tbl>
    <w:p w:rsidR="00903BFF" w:rsidRPr="005F652A" w:rsidRDefault="00903BFF" w:rsidP="00903BFF">
      <w:pPr>
        <w:spacing w:after="0" w:line="240" w:lineRule="auto"/>
        <w:jc w:val="right"/>
        <w:rPr>
          <w:rFonts w:ascii="Times New Roman" w:eastAsia="Times New Roman" w:hAnsi="Times New Roman"/>
          <w:b/>
          <w:sz w:val="24"/>
          <w:szCs w:val="24"/>
          <w:lang w:val="ro-MD" w:eastAsia="ru-RU"/>
        </w:rPr>
      </w:pPr>
    </w:p>
    <w:p w:rsidR="00903BFF" w:rsidRPr="005F652A" w:rsidRDefault="00903BFF" w:rsidP="00903BFF">
      <w:pPr>
        <w:spacing w:after="0" w:line="240" w:lineRule="auto"/>
        <w:jc w:val="right"/>
        <w:rPr>
          <w:rFonts w:ascii="Times New Roman" w:eastAsia="Times New Roman" w:hAnsi="Times New Roman"/>
          <w:b/>
          <w:sz w:val="24"/>
          <w:szCs w:val="24"/>
          <w:lang w:val="ro-MD" w:eastAsia="ru-RU"/>
        </w:rPr>
      </w:pPr>
    </w:p>
    <w:p w:rsidR="00903BFF" w:rsidRPr="005F652A" w:rsidRDefault="00903BFF" w:rsidP="00903BFF">
      <w:pPr>
        <w:spacing w:after="0" w:line="240" w:lineRule="auto"/>
        <w:jc w:val="right"/>
        <w:rPr>
          <w:rFonts w:ascii="Times New Roman" w:eastAsia="Times New Roman" w:hAnsi="Times New Roman"/>
          <w:b/>
          <w:sz w:val="24"/>
          <w:szCs w:val="24"/>
          <w:lang w:val="ro-MD" w:eastAsia="ru-RU"/>
        </w:rPr>
      </w:pPr>
    </w:p>
    <w:p w:rsidR="00903BFF" w:rsidRPr="005F652A" w:rsidRDefault="00903BFF" w:rsidP="00903BFF">
      <w:pPr>
        <w:spacing w:after="0" w:line="240" w:lineRule="auto"/>
        <w:jc w:val="right"/>
        <w:rPr>
          <w:rFonts w:ascii="Times New Roman" w:eastAsia="Times New Roman" w:hAnsi="Times New Roman"/>
          <w:b/>
          <w:sz w:val="24"/>
          <w:szCs w:val="24"/>
          <w:lang w:val="ro-MD" w:eastAsia="ru-RU"/>
        </w:rPr>
      </w:pPr>
      <w:r w:rsidRPr="005F652A">
        <w:rPr>
          <w:rFonts w:ascii="Times New Roman" w:eastAsia="Times New Roman" w:hAnsi="Times New Roman"/>
          <w:b/>
          <w:sz w:val="24"/>
          <w:szCs w:val="24"/>
          <w:lang w:val="ro-MD" w:eastAsia="ru-RU"/>
        </w:rPr>
        <w:t>Anexa nr.2</w:t>
      </w:r>
    </w:p>
    <w:p w:rsidR="00903BFF" w:rsidRPr="005F652A" w:rsidRDefault="00903BFF" w:rsidP="00903BFF">
      <w:pPr>
        <w:spacing w:after="0" w:line="240" w:lineRule="auto"/>
        <w:jc w:val="center"/>
        <w:rPr>
          <w:rFonts w:ascii="Times New Roman" w:eastAsia="Times New Roman" w:hAnsi="Times New Roman"/>
          <w:b/>
          <w:sz w:val="24"/>
          <w:szCs w:val="24"/>
          <w:lang w:val="ro-MD" w:eastAsia="ru-RU"/>
        </w:rPr>
      </w:pPr>
    </w:p>
    <w:p w:rsidR="00903BFF" w:rsidRPr="005F652A" w:rsidRDefault="00903BFF" w:rsidP="00903BFF">
      <w:pPr>
        <w:widowControl w:val="0"/>
        <w:tabs>
          <w:tab w:val="left" w:pos="0"/>
        </w:tabs>
        <w:suppressAutoHyphens/>
        <w:autoSpaceDN w:val="0"/>
        <w:spacing w:after="0" w:line="240" w:lineRule="auto"/>
        <w:ind w:firstLine="709"/>
        <w:jc w:val="center"/>
        <w:textAlignment w:val="baseline"/>
        <w:rPr>
          <w:rFonts w:ascii="Times New Roman" w:eastAsia="Nimbus Sans L" w:hAnsi="Times New Roman"/>
          <w:b/>
          <w:color w:val="00000A"/>
          <w:kern w:val="3"/>
          <w:sz w:val="24"/>
          <w:szCs w:val="24"/>
          <w:lang w:val="ro-MD" w:eastAsia="zh-CN" w:bidi="hi-IN"/>
        </w:rPr>
      </w:pPr>
      <w:r w:rsidRPr="005F652A">
        <w:rPr>
          <w:rFonts w:ascii="Times New Roman" w:eastAsia="Nimbus Sans L" w:hAnsi="Times New Roman"/>
          <w:b/>
          <w:color w:val="00000A"/>
          <w:kern w:val="3"/>
          <w:sz w:val="24"/>
          <w:szCs w:val="24"/>
          <w:lang w:val="ro-MD" w:eastAsia="zh-CN" w:bidi="hi-IN"/>
        </w:rPr>
        <w:t>Metodologia și domeniul de aplicare a auditului</w:t>
      </w:r>
    </w:p>
    <w:p w:rsidR="00903BFF" w:rsidRPr="005F652A" w:rsidRDefault="00903BFF" w:rsidP="00903BFF">
      <w:pPr>
        <w:spacing w:after="0" w:line="240" w:lineRule="auto"/>
        <w:ind w:firstLine="567"/>
        <w:jc w:val="both"/>
        <w:rPr>
          <w:rFonts w:ascii="Times New Roman" w:eastAsia="Times New Roman" w:hAnsi="Times New Roman"/>
          <w:sz w:val="23"/>
          <w:szCs w:val="23"/>
          <w:lang w:val="ro-MD"/>
        </w:rPr>
      </w:pPr>
      <w:r w:rsidRPr="005F652A">
        <w:rPr>
          <w:rFonts w:ascii="Times New Roman" w:eastAsia="Times New Roman" w:hAnsi="Times New Roman"/>
          <w:sz w:val="23"/>
          <w:szCs w:val="23"/>
          <w:lang w:val="ro-MD"/>
        </w:rPr>
        <w:t> </w:t>
      </w:r>
    </w:p>
    <w:p w:rsidR="00903BFF" w:rsidRPr="005F652A" w:rsidRDefault="00903BFF" w:rsidP="00903BFF">
      <w:pPr>
        <w:spacing w:after="0" w:line="240" w:lineRule="auto"/>
        <w:ind w:firstLine="567"/>
        <w:jc w:val="both"/>
        <w:rPr>
          <w:rFonts w:ascii="Times New Roman" w:eastAsia="Times New Roman" w:hAnsi="Times New Roman"/>
          <w:bCs/>
          <w:sz w:val="24"/>
          <w:szCs w:val="24"/>
          <w:lang w:val="ro-MD" w:eastAsia="ru-RU"/>
        </w:rPr>
      </w:pPr>
      <w:r w:rsidRPr="005F652A">
        <w:rPr>
          <w:rFonts w:ascii="Times New Roman" w:eastAsia="Times New Roman" w:hAnsi="Times New Roman"/>
          <w:sz w:val="24"/>
          <w:szCs w:val="24"/>
          <w:lang w:val="ro-MD"/>
        </w:rPr>
        <w:t xml:space="preserve">Auditul </w:t>
      </w:r>
      <w:r w:rsidRPr="005F652A">
        <w:rPr>
          <w:rFonts w:ascii="Times New Roman" w:eastAsia="Times New Roman" w:hAnsi="Times New Roman"/>
          <w:bCs/>
          <w:sz w:val="24"/>
          <w:szCs w:val="24"/>
          <w:lang w:val="ro-MD"/>
        </w:rPr>
        <w:t xml:space="preserve">conformității gestionării patrimoniului public </w:t>
      </w:r>
      <w:r w:rsidRPr="00E16364">
        <w:rPr>
          <w:rFonts w:ascii="Times New Roman" w:hAnsi="Times New Roman"/>
          <w:bCs/>
          <w:sz w:val="24"/>
          <w:szCs w:val="24"/>
          <w:lang w:val="ro-MD"/>
        </w:rPr>
        <w:t>în cadrul entităților publice din raionul Sîngerei pe anul 2015</w:t>
      </w:r>
      <w:r>
        <w:rPr>
          <w:rFonts w:ascii="Times New Roman" w:hAnsi="Times New Roman"/>
          <w:bCs/>
          <w:sz w:val="24"/>
          <w:szCs w:val="24"/>
          <w:lang w:val="ro-MD"/>
        </w:rPr>
        <w:t xml:space="preserve"> </w:t>
      </w:r>
      <w:r w:rsidRPr="00084423">
        <w:rPr>
          <w:rFonts w:ascii="Times New Roman" w:eastAsia="Times New Roman" w:hAnsi="Times New Roman"/>
          <w:sz w:val="24"/>
          <w:szCs w:val="24"/>
          <w:lang w:val="ro-MD"/>
        </w:rPr>
        <w:t>a</w:t>
      </w:r>
      <w:r w:rsidRPr="005F652A">
        <w:rPr>
          <w:rFonts w:ascii="Times New Roman" w:eastAsia="Times New Roman" w:hAnsi="Times New Roman"/>
          <w:sz w:val="24"/>
          <w:szCs w:val="24"/>
          <w:lang w:val="ro-MD"/>
        </w:rPr>
        <w:t xml:space="preserve"> fost efectuat în conformitate cu Standardele de audit aplica</w:t>
      </w:r>
      <w:r>
        <w:rPr>
          <w:rFonts w:ascii="Times New Roman" w:eastAsia="Times New Roman" w:hAnsi="Times New Roman"/>
          <w:sz w:val="24"/>
          <w:szCs w:val="24"/>
          <w:lang w:val="ro-MD"/>
        </w:rPr>
        <w:t>t</w:t>
      </w:r>
      <w:r w:rsidRPr="005F652A">
        <w:rPr>
          <w:rFonts w:ascii="Times New Roman" w:eastAsia="Times New Roman" w:hAnsi="Times New Roman"/>
          <w:sz w:val="24"/>
          <w:szCs w:val="24"/>
          <w:lang w:val="ro-MD"/>
        </w:rPr>
        <w:t>e de Curtea de Conturi, bazîndu-se pe o abordare orientată spre evaluarea regular</w:t>
      </w:r>
      <w:r>
        <w:rPr>
          <w:rFonts w:ascii="Times New Roman" w:eastAsia="Times New Roman" w:hAnsi="Times New Roman"/>
          <w:sz w:val="24"/>
          <w:szCs w:val="24"/>
          <w:lang w:val="ro-MD"/>
        </w:rPr>
        <w:t>i</w:t>
      </w:r>
      <w:r w:rsidRPr="005F652A">
        <w:rPr>
          <w:rFonts w:ascii="Times New Roman" w:eastAsia="Times New Roman" w:hAnsi="Times New Roman"/>
          <w:sz w:val="24"/>
          <w:szCs w:val="24"/>
          <w:lang w:val="ro-MD"/>
        </w:rPr>
        <w:t xml:space="preserve">tății modului de administrare a patrimoniului public al UAT, cu aplicarea unor proceduri caracteristice atît auditului de conformitate, cît și </w:t>
      </w:r>
      <w:r>
        <w:rPr>
          <w:rFonts w:ascii="Times New Roman" w:eastAsia="Times New Roman" w:hAnsi="Times New Roman"/>
          <w:sz w:val="24"/>
          <w:szCs w:val="24"/>
          <w:lang w:val="ro-MD"/>
        </w:rPr>
        <w:t xml:space="preserve">celui de </w:t>
      </w:r>
      <w:r w:rsidRPr="005F652A">
        <w:rPr>
          <w:rFonts w:ascii="Times New Roman" w:eastAsia="Times New Roman" w:hAnsi="Times New Roman"/>
          <w:sz w:val="24"/>
          <w:szCs w:val="24"/>
          <w:lang w:val="ro-MD"/>
        </w:rPr>
        <w:t>performanț</w:t>
      </w:r>
      <w:r>
        <w:rPr>
          <w:rFonts w:ascii="Times New Roman" w:eastAsia="Times New Roman" w:hAnsi="Times New Roman"/>
          <w:sz w:val="24"/>
          <w:szCs w:val="24"/>
          <w:lang w:val="ro-MD"/>
        </w:rPr>
        <w:t>ă</w:t>
      </w:r>
      <w:r w:rsidRPr="005F652A">
        <w:rPr>
          <w:rFonts w:ascii="Times New Roman" w:eastAsia="Times New Roman" w:hAnsi="Times New Roman"/>
          <w:sz w:val="24"/>
          <w:szCs w:val="24"/>
          <w:lang w:val="ro-MD"/>
        </w:rPr>
        <w:t>.</w:t>
      </w:r>
      <w:r w:rsidRPr="005F652A">
        <w:rPr>
          <w:rFonts w:ascii="Times New Roman" w:eastAsia="Times New Roman" w:hAnsi="Times New Roman"/>
          <w:bCs/>
          <w:sz w:val="24"/>
          <w:szCs w:val="24"/>
          <w:lang w:val="ro-MD" w:eastAsia="ru-RU"/>
        </w:rPr>
        <w:t xml:space="preserve"> </w:t>
      </w:r>
    </w:p>
    <w:p w:rsidR="00903BFF" w:rsidRPr="005F652A" w:rsidRDefault="00903BFF" w:rsidP="00903BFF">
      <w:pPr>
        <w:spacing w:after="0" w:line="240" w:lineRule="auto"/>
        <w:ind w:firstLine="567"/>
        <w:jc w:val="both"/>
        <w:rPr>
          <w:rFonts w:ascii="Times New Roman" w:eastAsia="Times New Roman" w:hAnsi="Times New Roman"/>
          <w:sz w:val="24"/>
          <w:szCs w:val="24"/>
          <w:lang w:val="ro-MD"/>
        </w:rPr>
      </w:pPr>
      <w:r w:rsidRPr="005F652A">
        <w:rPr>
          <w:rFonts w:ascii="Times New Roman" w:eastAsia="Times New Roman" w:hAnsi="Times New Roman"/>
          <w:bCs/>
          <w:sz w:val="24"/>
          <w:szCs w:val="24"/>
          <w:lang w:val="ro-MD"/>
        </w:rPr>
        <w:t xml:space="preserve">Scopul auditului a constat în determinarea faptului dacă APL din raion au </w:t>
      </w:r>
      <w:r w:rsidRPr="005F652A">
        <w:rPr>
          <w:rFonts w:ascii="Times New Roman" w:eastAsia="Times New Roman" w:hAnsi="Times New Roman"/>
          <w:sz w:val="24"/>
          <w:szCs w:val="24"/>
          <w:lang w:val="ro-MD"/>
        </w:rPr>
        <w:t>asigurat administrarea patrimoniului public al UAT în concordanță cu obiectivele și atribuțiile prevăzute în actele normative și cu respectarea principiilor legalității, regularității și eficienței.</w:t>
      </w:r>
    </w:p>
    <w:p w:rsidR="00903BFF" w:rsidRPr="005F652A" w:rsidRDefault="00903BFF" w:rsidP="00903BFF">
      <w:pPr>
        <w:spacing w:after="0" w:line="240" w:lineRule="auto"/>
        <w:ind w:firstLine="567"/>
        <w:jc w:val="both"/>
        <w:rPr>
          <w:rFonts w:ascii="Times New Roman" w:eastAsia="Times New Roman" w:hAnsi="Times New Roman"/>
          <w:sz w:val="24"/>
          <w:szCs w:val="24"/>
          <w:lang w:val="ro-MD"/>
        </w:rPr>
      </w:pPr>
      <w:r w:rsidRPr="005F652A">
        <w:rPr>
          <w:rFonts w:ascii="Times New Roman" w:eastAsia="Times New Roman" w:hAnsi="Times New Roman"/>
          <w:sz w:val="24"/>
          <w:szCs w:val="24"/>
          <w:lang w:val="ro-MD"/>
        </w:rPr>
        <w:t xml:space="preserve">Pentru a ghida activitatea de audit, au fost elaborate trei obiective de audit, care cuprind aspectele principale ale procesului de administrare a patrimoniului public, precum și </w:t>
      </w:r>
      <w:r>
        <w:rPr>
          <w:rFonts w:ascii="Times New Roman" w:eastAsia="Times New Roman" w:hAnsi="Times New Roman"/>
          <w:sz w:val="24"/>
          <w:szCs w:val="24"/>
          <w:lang w:val="ro-MD"/>
        </w:rPr>
        <w:t xml:space="preserve">cele </w:t>
      </w:r>
      <w:r w:rsidRPr="005F652A">
        <w:rPr>
          <w:rFonts w:ascii="Times New Roman" w:eastAsia="Times New Roman" w:hAnsi="Times New Roman"/>
          <w:sz w:val="24"/>
          <w:szCs w:val="24"/>
          <w:lang w:val="ro-MD"/>
        </w:rPr>
        <w:t>ce țin de evidența și raportarea situațiilor patrimoniale. Astfel, activitatea de audit a fost orientată spre obținerea probelor suficiente și adecvate în scopul furnizării unei baze rezonabile pentru constatările și concluziile auditului.</w:t>
      </w:r>
    </w:p>
    <w:p w:rsidR="00903BFF" w:rsidRPr="005F652A" w:rsidRDefault="00903BFF" w:rsidP="00903BFF">
      <w:pPr>
        <w:spacing w:after="0" w:line="240" w:lineRule="auto"/>
        <w:ind w:firstLine="567"/>
        <w:jc w:val="both"/>
        <w:rPr>
          <w:rFonts w:ascii="Times New Roman" w:hAnsi="Times New Roman"/>
          <w:bCs/>
          <w:i/>
          <w:sz w:val="24"/>
          <w:szCs w:val="24"/>
          <w:lang w:val="ro-MD"/>
        </w:rPr>
      </w:pPr>
      <w:r w:rsidRPr="005F652A">
        <w:rPr>
          <w:rFonts w:ascii="Times New Roman" w:eastAsia="Times New Roman" w:hAnsi="Times New Roman"/>
          <w:bCs/>
          <w:i/>
          <w:sz w:val="24"/>
          <w:szCs w:val="24"/>
          <w:u w:val="single"/>
          <w:lang w:val="ro-MD"/>
        </w:rPr>
        <w:t>Obiectivul I:</w:t>
      </w:r>
      <w:r w:rsidRPr="005F652A">
        <w:rPr>
          <w:rFonts w:ascii="Times New Roman" w:hAnsi="Times New Roman"/>
          <w:bCs/>
          <w:i/>
          <w:sz w:val="24"/>
          <w:szCs w:val="24"/>
          <w:lang w:val="ro-MD"/>
        </w:rPr>
        <w:t xml:space="preserve"> AAPL și entitățile din subordine au asigurat evidența, înregistrarea și cadastrarea integrală și regulamentară a patrimoniul</w:t>
      </w:r>
      <w:r>
        <w:rPr>
          <w:rFonts w:ascii="Times New Roman" w:hAnsi="Times New Roman"/>
          <w:bCs/>
          <w:i/>
          <w:sz w:val="24"/>
          <w:szCs w:val="24"/>
          <w:lang w:val="ro-MD"/>
        </w:rPr>
        <w:t>ui</w:t>
      </w:r>
      <w:r w:rsidRPr="005F652A">
        <w:rPr>
          <w:rFonts w:ascii="Times New Roman" w:hAnsi="Times New Roman"/>
          <w:bCs/>
          <w:i/>
          <w:sz w:val="24"/>
          <w:szCs w:val="24"/>
          <w:lang w:val="ro-MD"/>
        </w:rPr>
        <w:t>?</w:t>
      </w:r>
    </w:p>
    <w:p w:rsidR="00903BFF" w:rsidRPr="005F652A" w:rsidRDefault="00903BFF" w:rsidP="00903BFF">
      <w:pPr>
        <w:spacing w:after="0" w:line="240" w:lineRule="auto"/>
        <w:ind w:firstLine="567"/>
        <w:jc w:val="both"/>
        <w:rPr>
          <w:rFonts w:ascii="Times New Roman" w:eastAsia="Times New Roman" w:hAnsi="Times New Roman"/>
          <w:i/>
          <w:sz w:val="24"/>
          <w:szCs w:val="24"/>
          <w:lang w:val="ro-MD"/>
        </w:rPr>
      </w:pPr>
      <w:r w:rsidRPr="005F652A">
        <w:rPr>
          <w:rFonts w:ascii="Times New Roman" w:eastAsia="Times New Roman" w:hAnsi="Times New Roman"/>
          <w:bCs/>
          <w:i/>
          <w:sz w:val="24"/>
          <w:szCs w:val="24"/>
          <w:u w:val="single"/>
          <w:lang w:val="ro-MD"/>
        </w:rPr>
        <w:t>Obiectivul II:</w:t>
      </w:r>
      <w:r w:rsidRPr="005F652A">
        <w:rPr>
          <w:rFonts w:ascii="Times New Roman" w:eastAsia="Nimbus Sans L" w:hAnsi="Times New Roman"/>
          <w:bCs/>
          <w:i/>
          <w:iCs/>
          <w:kern w:val="3"/>
          <w:sz w:val="24"/>
          <w:szCs w:val="24"/>
          <w:lang w:val="ro-MD" w:eastAsia="zh-CN" w:bidi="hi-IN"/>
        </w:rPr>
        <w:t xml:space="preserve"> A</w:t>
      </w:r>
      <w:r>
        <w:rPr>
          <w:rFonts w:ascii="Times New Roman" w:eastAsia="Nimbus Sans L" w:hAnsi="Times New Roman"/>
          <w:bCs/>
          <w:i/>
          <w:iCs/>
          <w:kern w:val="3"/>
          <w:sz w:val="24"/>
          <w:szCs w:val="24"/>
          <w:lang w:val="ro-MD" w:eastAsia="zh-CN" w:bidi="hi-IN"/>
        </w:rPr>
        <w:t>APL a</w:t>
      </w:r>
      <w:r w:rsidRPr="005F652A">
        <w:rPr>
          <w:rFonts w:ascii="Times New Roman" w:eastAsia="Nimbus Sans L" w:hAnsi="Times New Roman"/>
          <w:bCs/>
          <w:i/>
          <w:iCs/>
          <w:kern w:val="3"/>
          <w:sz w:val="24"/>
          <w:szCs w:val="24"/>
          <w:lang w:val="ro-MD" w:eastAsia="zh-CN" w:bidi="hi-IN"/>
        </w:rPr>
        <w:t>u asigurat integritatea și gestionarea eficientă a patrimoniului public?</w:t>
      </w:r>
    </w:p>
    <w:p w:rsidR="00903BFF" w:rsidRPr="005F652A" w:rsidRDefault="00903BFF" w:rsidP="00903BFF">
      <w:pPr>
        <w:spacing w:after="0" w:line="240" w:lineRule="auto"/>
        <w:ind w:firstLine="567"/>
        <w:jc w:val="both"/>
        <w:rPr>
          <w:rFonts w:ascii="Times New Roman" w:eastAsia="Times New Roman" w:hAnsi="Times New Roman"/>
          <w:b/>
          <w:sz w:val="24"/>
          <w:szCs w:val="24"/>
          <w:lang w:val="ro-MD"/>
        </w:rPr>
      </w:pPr>
      <w:r w:rsidRPr="005F652A">
        <w:rPr>
          <w:rFonts w:ascii="Times New Roman" w:eastAsia="Times New Roman" w:hAnsi="Times New Roman"/>
          <w:bCs/>
          <w:i/>
          <w:sz w:val="24"/>
          <w:szCs w:val="24"/>
          <w:u w:val="single"/>
          <w:lang w:val="ro-MD"/>
        </w:rPr>
        <w:t xml:space="preserve">Obiectivul </w:t>
      </w:r>
      <w:r w:rsidRPr="005F652A">
        <w:rPr>
          <w:rFonts w:ascii="Times New Roman" w:eastAsia="Times New Roman" w:hAnsi="Times New Roman"/>
          <w:bCs/>
          <w:i/>
          <w:sz w:val="24"/>
          <w:szCs w:val="24"/>
          <w:lang w:val="ro-MD"/>
        </w:rPr>
        <w:t>III</w:t>
      </w:r>
      <w:r w:rsidRPr="005F652A">
        <w:rPr>
          <w:rFonts w:ascii="Times New Roman" w:eastAsia="Times New Roman" w:hAnsi="Times New Roman"/>
          <w:i/>
          <w:sz w:val="24"/>
          <w:szCs w:val="24"/>
          <w:lang w:val="ro-MD"/>
        </w:rPr>
        <w:t xml:space="preserve">: </w:t>
      </w:r>
      <w:r w:rsidRPr="005F652A">
        <w:rPr>
          <w:rFonts w:ascii="Times New Roman" w:eastAsia="Times New Roman" w:hAnsi="Times New Roman"/>
          <w:bCs/>
          <w:i/>
          <w:iCs/>
          <w:sz w:val="24"/>
          <w:szCs w:val="24"/>
          <w:lang w:val="ro-MD"/>
        </w:rPr>
        <w:t>A</w:t>
      </w:r>
      <w:r>
        <w:rPr>
          <w:rFonts w:ascii="Times New Roman" w:eastAsia="Times New Roman" w:hAnsi="Times New Roman"/>
          <w:bCs/>
          <w:i/>
          <w:iCs/>
          <w:sz w:val="24"/>
          <w:szCs w:val="24"/>
          <w:lang w:val="ro-MD"/>
        </w:rPr>
        <w:t>APL a</w:t>
      </w:r>
      <w:r w:rsidRPr="005F652A">
        <w:rPr>
          <w:rFonts w:ascii="Times New Roman" w:eastAsia="Times New Roman" w:hAnsi="Times New Roman"/>
          <w:bCs/>
          <w:i/>
          <w:iCs/>
          <w:sz w:val="24"/>
          <w:szCs w:val="24"/>
          <w:lang w:val="ro-MD"/>
        </w:rPr>
        <w:t>u dispus utilizarea relevantă a patrimoniului public în cadrul relațiilor de folosință și înstrăinare</w:t>
      </w:r>
      <w:r w:rsidRPr="005F652A">
        <w:rPr>
          <w:rFonts w:ascii="Times New Roman" w:eastAsia="Times New Roman" w:hAnsi="Times New Roman"/>
          <w:i/>
          <w:iCs/>
          <w:sz w:val="24"/>
          <w:szCs w:val="24"/>
          <w:lang w:val="ro-MD"/>
        </w:rPr>
        <w:t>?</w:t>
      </w:r>
    </w:p>
    <w:p w:rsidR="00903BFF" w:rsidRPr="005F652A" w:rsidRDefault="00903BFF" w:rsidP="00903BFF">
      <w:pPr>
        <w:spacing w:after="0" w:line="240" w:lineRule="auto"/>
        <w:ind w:firstLine="567"/>
        <w:jc w:val="both"/>
        <w:rPr>
          <w:rFonts w:ascii="Times New Roman" w:eastAsia="Times New Roman" w:hAnsi="Times New Roman"/>
          <w:sz w:val="24"/>
          <w:szCs w:val="24"/>
          <w:lang w:val="ro-MD"/>
        </w:rPr>
      </w:pPr>
      <w:r w:rsidRPr="005F652A">
        <w:rPr>
          <w:rFonts w:ascii="Times New Roman" w:eastAsia="Times New Roman" w:hAnsi="Times New Roman"/>
          <w:sz w:val="24"/>
          <w:szCs w:val="24"/>
          <w:lang w:val="ro-MD"/>
        </w:rPr>
        <w:t>Reieșind din semnificația problemelor identificate și din riscurile determinate la etapa de planificare, au fost selectate pentru auditare următoarele entități: AP; DF; DE; SC; DASPF; primăriile or.</w:t>
      </w:r>
      <w:r>
        <w:rPr>
          <w:rFonts w:ascii="Times New Roman" w:eastAsia="Times New Roman" w:hAnsi="Times New Roman"/>
          <w:sz w:val="24"/>
          <w:szCs w:val="24"/>
          <w:lang w:val="ro-MD"/>
        </w:rPr>
        <w:t xml:space="preserve"> </w:t>
      </w:r>
      <w:r w:rsidRPr="005F652A">
        <w:rPr>
          <w:rFonts w:ascii="Times New Roman" w:eastAsia="Times New Roman" w:hAnsi="Times New Roman"/>
          <w:sz w:val="24"/>
          <w:szCs w:val="24"/>
          <w:lang w:val="ro-MD"/>
        </w:rPr>
        <w:t>Sîngerei și or.</w:t>
      </w:r>
      <w:r>
        <w:rPr>
          <w:rFonts w:ascii="Times New Roman" w:eastAsia="Times New Roman" w:hAnsi="Times New Roman"/>
          <w:sz w:val="24"/>
          <w:szCs w:val="24"/>
          <w:lang w:val="ro-MD"/>
        </w:rPr>
        <w:t xml:space="preserve"> </w:t>
      </w:r>
      <w:r w:rsidRPr="005F652A">
        <w:rPr>
          <w:rFonts w:ascii="Times New Roman" w:eastAsia="Times New Roman" w:hAnsi="Times New Roman"/>
          <w:sz w:val="24"/>
          <w:szCs w:val="24"/>
          <w:lang w:val="ro-MD"/>
        </w:rPr>
        <w:t>Biruința, primăriile comunelor Chișcăreni, Coșcodeni, Cubolta, Drăgănești, Rădoaia, Sîngereii Noi, Iezărenii Vechi</w:t>
      </w:r>
      <w:r>
        <w:rPr>
          <w:rFonts w:ascii="Times New Roman" w:eastAsia="Times New Roman" w:hAnsi="Times New Roman"/>
          <w:sz w:val="24"/>
          <w:szCs w:val="24"/>
          <w:lang w:val="ro-MD"/>
        </w:rPr>
        <w:t>,</w:t>
      </w:r>
      <w:r w:rsidRPr="005F652A">
        <w:rPr>
          <w:rFonts w:ascii="Times New Roman" w:eastAsia="Times New Roman" w:hAnsi="Times New Roman"/>
          <w:sz w:val="24"/>
          <w:szCs w:val="24"/>
          <w:lang w:val="ro-MD"/>
        </w:rPr>
        <w:t xml:space="preserve"> Cotiujenii Mici</w:t>
      </w:r>
      <w:r>
        <w:rPr>
          <w:rFonts w:ascii="Times New Roman" w:eastAsia="Times New Roman" w:hAnsi="Times New Roman"/>
          <w:sz w:val="24"/>
          <w:szCs w:val="24"/>
          <w:lang w:val="ro-MD"/>
        </w:rPr>
        <w:t xml:space="preserve"> și</w:t>
      </w:r>
      <w:r w:rsidRPr="005F652A">
        <w:rPr>
          <w:rFonts w:ascii="Times New Roman" w:eastAsia="Times New Roman" w:hAnsi="Times New Roman"/>
          <w:sz w:val="24"/>
          <w:szCs w:val="24"/>
          <w:lang w:val="ro-MD"/>
        </w:rPr>
        <w:t xml:space="preserve"> Bilicenii Vechi. Unele probe de audit au fost acumulate din baza de date </w:t>
      </w:r>
      <w:r>
        <w:rPr>
          <w:rFonts w:ascii="Times New Roman" w:eastAsia="Times New Roman" w:hAnsi="Times New Roman"/>
          <w:sz w:val="24"/>
          <w:szCs w:val="24"/>
          <w:lang w:val="ro-MD"/>
        </w:rPr>
        <w:t>„C</w:t>
      </w:r>
      <w:r w:rsidRPr="005F652A">
        <w:rPr>
          <w:rFonts w:ascii="Times New Roman" w:eastAsia="Times New Roman" w:hAnsi="Times New Roman"/>
          <w:sz w:val="24"/>
          <w:szCs w:val="24"/>
          <w:lang w:val="ro-MD"/>
        </w:rPr>
        <w:t>adastru</w:t>
      </w:r>
      <w:r>
        <w:rPr>
          <w:rFonts w:ascii="Times New Roman" w:eastAsia="Times New Roman" w:hAnsi="Times New Roman"/>
          <w:sz w:val="24"/>
          <w:szCs w:val="24"/>
          <w:lang w:val="ro-MD"/>
        </w:rPr>
        <w:t>”</w:t>
      </w:r>
      <w:r w:rsidRPr="005F652A">
        <w:rPr>
          <w:rFonts w:ascii="Times New Roman" w:eastAsia="Times New Roman" w:hAnsi="Times New Roman"/>
          <w:sz w:val="24"/>
          <w:szCs w:val="24"/>
          <w:lang w:val="ro-MD"/>
        </w:rPr>
        <w:t xml:space="preserve"> și de la Trezoreria Teritorială Sîngerei.</w:t>
      </w:r>
    </w:p>
    <w:p w:rsidR="00903BFF" w:rsidRPr="005F652A" w:rsidRDefault="00903BFF" w:rsidP="00903BFF">
      <w:pPr>
        <w:pStyle w:val="Style9"/>
        <w:widowControl/>
        <w:spacing w:line="240" w:lineRule="auto"/>
        <w:ind w:firstLine="567"/>
        <w:rPr>
          <w:rFonts w:ascii="Times New Roman" w:hAnsi="Times New Roman" w:cs="Times New Roman"/>
          <w:color w:val="000000"/>
          <w:lang w:val="ro-MD" w:eastAsia="ro-MD"/>
        </w:rPr>
      </w:pPr>
      <w:r w:rsidRPr="005F652A">
        <w:rPr>
          <w:rStyle w:val="FontStyle56"/>
          <w:rFonts w:ascii="Times New Roman" w:hAnsi="Times New Roman" w:cs="Times New Roman"/>
          <w:sz w:val="24"/>
          <w:szCs w:val="24"/>
          <w:lang w:val="ro-MD" w:eastAsia="ro-MD"/>
        </w:rPr>
        <w:t xml:space="preserve">Determinarea acțiunilor de audit a avut drept scop selectarea domeniilor </w:t>
      </w:r>
      <w:r>
        <w:rPr>
          <w:rStyle w:val="FontStyle56"/>
          <w:rFonts w:ascii="Times New Roman" w:hAnsi="Times New Roman" w:cs="Times New Roman"/>
          <w:sz w:val="24"/>
          <w:szCs w:val="24"/>
          <w:lang w:val="ro-MD" w:eastAsia="ro-MD"/>
        </w:rPr>
        <w:t>cu</w:t>
      </w:r>
      <w:r w:rsidRPr="005F652A">
        <w:rPr>
          <w:rStyle w:val="FontStyle56"/>
          <w:rFonts w:ascii="Times New Roman" w:hAnsi="Times New Roman" w:cs="Times New Roman"/>
          <w:sz w:val="24"/>
          <w:szCs w:val="24"/>
          <w:lang w:val="ro-MD" w:eastAsia="ro-MD"/>
        </w:rPr>
        <w:t xml:space="preserve"> grad </w:t>
      </w:r>
      <w:r>
        <w:rPr>
          <w:rStyle w:val="FontStyle56"/>
          <w:rFonts w:ascii="Times New Roman" w:hAnsi="Times New Roman" w:cs="Times New Roman"/>
          <w:sz w:val="24"/>
          <w:szCs w:val="24"/>
          <w:lang w:val="ro-MD" w:eastAsia="ro-MD"/>
        </w:rPr>
        <w:t>sporit</w:t>
      </w:r>
      <w:r w:rsidRPr="005F652A">
        <w:rPr>
          <w:rStyle w:val="FontStyle56"/>
          <w:rFonts w:ascii="Times New Roman" w:hAnsi="Times New Roman" w:cs="Times New Roman"/>
          <w:sz w:val="24"/>
          <w:szCs w:val="24"/>
          <w:lang w:val="ro-MD" w:eastAsia="ro-MD"/>
        </w:rPr>
        <w:t xml:space="preserve"> de risc pentru activitatea entităților publice și pentru evidența elementelor patrimoniale.</w:t>
      </w:r>
    </w:p>
    <w:p w:rsidR="00903BFF" w:rsidRPr="005F652A" w:rsidRDefault="00903BFF" w:rsidP="00903BFF">
      <w:pPr>
        <w:spacing w:after="0" w:line="240" w:lineRule="auto"/>
        <w:ind w:firstLine="567"/>
        <w:jc w:val="both"/>
        <w:rPr>
          <w:rFonts w:ascii="Times New Roman" w:eastAsia="Times New Roman" w:hAnsi="Times New Roman"/>
          <w:sz w:val="24"/>
          <w:szCs w:val="24"/>
          <w:lang w:val="ro-MD"/>
        </w:rPr>
      </w:pPr>
      <w:r w:rsidRPr="005F652A">
        <w:rPr>
          <w:rFonts w:ascii="Times New Roman" w:eastAsia="Times New Roman" w:hAnsi="Times New Roman"/>
          <w:sz w:val="24"/>
          <w:szCs w:val="24"/>
          <w:lang w:val="ro-MD"/>
        </w:rPr>
        <w:t xml:space="preserve">Pentru realizarea obiectivelor stabilite și colectarea probelor, au fost efectuate următoarele proceduri de audit: </w:t>
      </w:r>
    </w:p>
    <w:p w:rsidR="00903BFF" w:rsidRPr="005F652A" w:rsidRDefault="00903BFF" w:rsidP="00903BFF">
      <w:pPr>
        <w:spacing w:after="0" w:line="240" w:lineRule="auto"/>
        <w:ind w:firstLine="567"/>
        <w:jc w:val="both"/>
        <w:rPr>
          <w:rFonts w:ascii="Times New Roman" w:eastAsia="Times New Roman" w:hAnsi="Times New Roman"/>
          <w:sz w:val="24"/>
          <w:szCs w:val="24"/>
          <w:lang w:val="ro-MD"/>
        </w:rPr>
      </w:pPr>
      <w:r w:rsidRPr="005F652A">
        <w:rPr>
          <w:rFonts w:ascii="Times New Roman" w:eastAsia="Times New Roman" w:hAnsi="Times New Roman"/>
          <w:sz w:val="24"/>
          <w:szCs w:val="24"/>
          <w:lang w:val="ro-MD"/>
        </w:rPr>
        <w:t>▪ au fost analizate actele administrative ale APL deliberative și reprezentative de nivelu</w:t>
      </w:r>
      <w:r>
        <w:rPr>
          <w:rFonts w:ascii="Times New Roman" w:eastAsia="Times New Roman" w:hAnsi="Times New Roman"/>
          <w:sz w:val="24"/>
          <w:szCs w:val="24"/>
          <w:lang w:val="ro-MD"/>
        </w:rPr>
        <w:t>ri</w:t>
      </w:r>
      <w:r w:rsidRPr="005F652A">
        <w:rPr>
          <w:rFonts w:ascii="Times New Roman" w:eastAsia="Times New Roman" w:hAnsi="Times New Roman"/>
          <w:sz w:val="24"/>
          <w:szCs w:val="24"/>
          <w:lang w:val="ro-MD"/>
        </w:rPr>
        <w:t>l</w:t>
      </w:r>
      <w:r>
        <w:rPr>
          <w:rFonts w:ascii="Times New Roman" w:eastAsia="Times New Roman" w:hAnsi="Times New Roman"/>
          <w:sz w:val="24"/>
          <w:szCs w:val="24"/>
          <w:lang w:val="ro-MD"/>
        </w:rPr>
        <w:t>e</w:t>
      </w:r>
      <w:r w:rsidRPr="005F652A">
        <w:rPr>
          <w:rFonts w:ascii="Times New Roman" w:eastAsia="Times New Roman" w:hAnsi="Times New Roman"/>
          <w:sz w:val="24"/>
          <w:szCs w:val="24"/>
          <w:lang w:val="ro-MD"/>
        </w:rPr>
        <w:t xml:space="preserve"> I și II (CR; președintele raionului; UAT de nivelul I), în vederea evaluării conformității și gradului de executare al acestora; </w:t>
      </w:r>
    </w:p>
    <w:p w:rsidR="00903BFF" w:rsidRPr="005F652A" w:rsidRDefault="00903BFF" w:rsidP="00903BFF">
      <w:pPr>
        <w:spacing w:after="0" w:line="240" w:lineRule="auto"/>
        <w:ind w:firstLine="567"/>
        <w:jc w:val="both"/>
        <w:rPr>
          <w:rFonts w:ascii="Times New Roman" w:eastAsia="Times New Roman" w:hAnsi="Times New Roman"/>
          <w:sz w:val="24"/>
          <w:szCs w:val="24"/>
          <w:lang w:val="ro-MD"/>
        </w:rPr>
      </w:pPr>
      <w:r w:rsidRPr="005F652A">
        <w:rPr>
          <w:rFonts w:ascii="Times New Roman" w:eastAsia="Times New Roman" w:hAnsi="Times New Roman"/>
          <w:sz w:val="24"/>
          <w:szCs w:val="24"/>
          <w:lang w:val="ro-MD"/>
        </w:rPr>
        <w:t xml:space="preserve">▪ au fost examinate și analizate situațiile patrimoniale raportate de către APL pentru anul 2015, </w:t>
      </w:r>
      <w:r>
        <w:rPr>
          <w:rFonts w:ascii="Times New Roman" w:eastAsia="Times New Roman" w:hAnsi="Times New Roman"/>
          <w:sz w:val="24"/>
          <w:szCs w:val="24"/>
          <w:lang w:val="ro-MD"/>
        </w:rPr>
        <w:t>acestea</w:t>
      </w:r>
      <w:r w:rsidRPr="005F652A">
        <w:rPr>
          <w:rFonts w:ascii="Times New Roman" w:eastAsia="Times New Roman" w:hAnsi="Times New Roman"/>
          <w:sz w:val="24"/>
          <w:szCs w:val="24"/>
          <w:lang w:val="ro-MD"/>
        </w:rPr>
        <w:t xml:space="preserve"> fiind confruntate cu documentele contabile și înregistrările financiare pe care se bazează, în vederea confirmării veridicității lor;</w:t>
      </w:r>
    </w:p>
    <w:p w:rsidR="00903BFF" w:rsidRPr="005F652A" w:rsidRDefault="00903BFF" w:rsidP="00903BFF">
      <w:pPr>
        <w:spacing w:after="0" w:line="240" w:lineRule="auto"/>
        <w:ind w:firstLine="567"/>
        <w:jc w:val="both"/>
        <w:rPr>
          <w:rFonts w:ascii="Times New Roman" w:eastAsia="Times New Roman" w:hAnsi="Times New Roman"/>
          <w:sz w:val="24"/>
          <w:szCs w:val="24"/>
          <w:lang w:val="ro-MD"/>
        </w:rPr>
      </w:pPr>
      <w:r w:rsidRPr="005F652A">
        <w:rPr>
          <w:rFonts w:ascii="Times New Roman" w:eastAsia="Times New Roman" w:hAnsi="Times New Roman"/>
          <w:sz w:val="24"/>
          <w:szCs w:val="24"/>
          <w:lang w:val="ro-MD"/>
        </w:rPr>
        <w:t xml:space="preserve">▪ a </w:t>
      </w:r>
      <w:r>
        <w:rPr>
          <w:rFonts w:ascii="Times New Roman" w:eastAsia="Times New Roman" w:hAnsi="Times New Roman"/>
          <w:sz w:val="24"/>
          <w:szCs w:val="24"/>
          <w:lang w:val="ro-MD"/>
        </w:rPr>
        <w:t xml:space="preserve">fost </w:t>
      </w:r>
      <w:r w:rsidRPr="005F652A">
        <w:rPr>
          <w:rFonts w:ascii="Times New Roman" w:eastAsia="Times New Roman" w:hAnsi="Times New Roman"/>
          <w:sz w:val="24"/>
          <w:szCs w:val="24"/>
          <w:lang w:val="ro-MD"/>
        </w:rPr>
        <w:t>efectuat</w:t>
      </w:r>
      <w:r>
        <w:rPr>
          <w:rFonts w:ascii="Times New Roman" w:eastAsia="Times New Roman" w:hAnsi="Times New Roman"/>
          <w:sz w:val="24"/>
          <w:szCs w:val="24"/>
          <w:lang w:val="ro-MD"/>
        </w:rPr>
        <w:t>ă</w:t>
      </w:r>
      <w:r w:rsidRPr="005F652A">
        <w:rPr>
          <w:rFonts w:ascii="Times New Roman" w:eastAsia="Times New Roman" w:hAnsi="Times New Roman"/>
          <w:sz w:val="24"/>
          <w:szCs w:val="24"/>
          <w:lang w:val="ro-MD"/>
        </w:rPr>
        <w:t xml:space="preserve"> examinarea fizică a bunurilor materiale care fac parte din patrimoniul public și calculări de sume aferente drepturilor patrimoniale nevalorificate de către entitățile publice;</w:t>
      </w:r>
    </w:p>
    <w:p w:rsidR="00903BFF" w:rsidRPr="005F652A" w:rsidRDefault="00903BFF" w:rsidP="00903BFF">
      <w:pPr>
        <w:spacing w:after="0" w:line="240" w:lineRule="auto"/>
        <w:ind w:firstLine="567"/>
        <w:jc w:val="both"/>
        <w:rPr>
          <w:rFonts w:ascii="Times New Roman" w:eastAsia="Times New Roman" w:hAnsi="Times New Roman"/>
          <w:sz w:val="24"/>
          <w:szCs w:val="24"/>
          <w:lang w:val="ro-MD"/>
        </w:rPr>
      </w:pPr>
      <w:r w:rsidRPr="005F652A">
        <w:rPr>
          <w:rFonts w:ascii="Times New Roman" w:eastAsia="Times New Roman" w:hAnsi="Times New Roman"/>
          <w:sz w:val="24"/>
          <w:szCs w:val="24"/>
          <w:lang w:val="ro-MD"/>
        </w:rPr>
        <w:lastRenderedPageBreak/>
        <w:t xml:space="preserve">▪ au fost aplicate diferite proceduri analitice și întocmite teste de fond; </w:t>
      </w:r>
    </w:p>
    <w:p w:rsidR="00903BFF" w:rsidRPr="005F652A" w:rsidRDefault="00903BFF" w:rsidP="00903BFF">
      <w:pPr>
        <w:spacing w:after="0" w:line="240" w:lineRule="auto"/>
        <w:ind w:firstLine="567"/>
        <w:jc w:val="both"/>
        <w:rPr>
          <w:rFonts w:ascii="Times New Roman" w:eastAsia="Times New Roman" w:hAnsi="Times New Roman"/>
          <w:sz w:val="24"/>
          <w:szCs w:val="24"/>
          <w:lang w:val="ro-MD"/>
        </w:rPr>
      </w:pPr>
      <w:r w:rsidRPr="005F652A">
        <w:rPr>
          <w:rFonts w:ascii="Times New Roman" w:eastAsia="Times New Roman" w:hAnsi="Times New Roman"/>
          <w:sz w:val="24"/>
          <w:szCs w:val="24"/>
          <w:lang w:val="ro-MD"/>
        </w:rPr>
        <w:t xml:space="preserve">▪ au </w:t>
      </w:r>
      <w:r>
        <w:rPr>
          <w:rFonts w:ascii="Times New Roman" w:eastAsia="Times New Roman" w:hAnsi="Times New Roman"/>
          <w:sz w:val="24"/>
          <w:szCs w:val="24"/>
          <w:lang w:val="ro-MD"/>
        </w:rPr>
        <w:t xml:space="preserve">fost </w:t>
      </w:r>
      <w:r w:rsidRPr="005F652A">
        <w:rPr>
          <w:rFonts w:ascii="Times New Roman" w:eastAsia="Times New Roman" w:hAnsi="Times New Roman"/>
          <w:sz w:val="24"/>
          <w:szCs w:val="24"/>
          <w:lang w:val="ro-MD"/>
        </w:rPr>
        <w:t>analizat</w:t>
      </w:r>
      <w:r>
        <w:rPr>
          <w:rFonts w:ascii="Times New Roman" w:eastAsia="Times New Roman" w:hAnsi="Times New Roman"/>
          <w:sz w:val="24"/>
          <w:szCs w:val="24"/>
          <w:lang w:val="ro-MD"/>
        </w:rPr>
        <w:t>e</w:t>
      </w:r>
      <w:r w:rsidRPr="005F652A">
        <w:rPr>
          <w:rFonts w:ascii="Times New Roman" w:eastAsia="Times New Roman" w:hAnsi="Times New Roman"/>
          <w:sz w:val="24"/>
          <w:szCs w:val="24"/>
          <w:lang w:val="ro-MD"/>
        </w:rPr>
        <w:t xml:space="preserve"> rezultatele financiare ale ÎM și acțiunile fondatorului întreprinse cu privire la monitorizarea activității statutare și financiare a acestora.</w:t>
      </w:r>
    </w:p>
    <w:p w:rsidR="00903BFF" w:rsidRPr="005F652A" w:rsidRDefault="00903BFF" w:rsidP="00903BFF">
      <w:pPr>
        <w:spacing w:after="0" w:line="240" w:lineRule="auto"/>
        <w:ind w:firstLine="567"/>
        <w:jc w:val="both"/>
        <w:rPr>
          <w:rFonts w:ascii="Times New Roman" w:eastAsia="Times New Roman" w:hAnsi="Times New Roman"/>
          <w:sz w:val="24"/>
          <w:szCs w:val="24"/>
          <w:lang w:val="ro-MD"/>
        </w:rPr>
      </w:pPr>
    </w:p>
    <w:p w:rsidR="00903BFF" w:rsidRPr="005F652A" w:rsidRDefault="00903BFF" w:rsidP="00903BFF">
      <w:pPr>
        <w:pageBreakBefore/>
        <w:spacing w:after="0" w:line="240" w:lineRule="auto"/>
        <w:rPr>
          <w:rFonts w:ascii="Times New Roman" w:hAnsi="Times New Roman"/>
          <w:b/>
          <w:sz w:val="24"/>
          <w:szCs w:val="24"/>
          <w:lang w:val="ro-MD"/>
        </w:rPr>
        <w:sectPr w:rsidR="00903BFF" w:rsidRPr="005F652A" w:rsidSect="0060569A">
          <w:footerReference w:type="default" r:id="rId7"/>
          <w:pgSz w:w="11906" w:h="16838"/>
          <w:pgMar w:top="1021" w:right="851" w:bottom="907" w:left="1701" w:header="709" w:footer="981" w:gutter="0"/>
          <w:cols w:space="708"/>
          <w:docGrid w:linePitch="360"/>
        </w:sectPr>
      </w:pPr>
    </w:p>
    <w:p w:rsidR="00903BFF" w:rsidRPr="005F652A" w:rsidRDefault="00903BFF" w:rsidP="00903BFF">
      <w:pPr>
        <w:pageBreakBefore/>
        <w:spacing w:after="0" w:line="240" w:lineRule="auto"/>
        <w:jc w:val="right"/>
        <w:rPr>
          <w:rFonts w:ascii="Times New Roman" w:hAnsi="Times New Roman"/>
          <w:b/>
          <w:sz w:val="24"/>
          <w:szCs w:val="24"/>
          <w:lang w:val="ro-MD"/>
        </w:rPr>
      </w:pPr>
      <w:r w:rsidRPr="005F652A">
        <w:rPr>
          <w:rFonts w:ascii="Times New Roman" w:hAnsi="Times New Roman"/>
          <w:b/>
          <w:sz w:val="24"/>
          <w:szCs w:val="24"/>
          <w:lang w:val="ro-MD"/>
        </w:rPr>
        <w:lastRenderedPageBreak/>
        <w:t>Anexa nr.3</w:t>
      </w:r>
    </w:p>
    <w:p w:rsidR="00903BFF" w:rsidRPr="005F652A" w:rsidRDefault="00903BFF" w:rsidP="00903BFF">
      <w:pPr>
        <w:tabs>
          <w:tab w:val="left" w:pos="567"/>
        </w:tabs>
        <w:spacing w:after="0" w:line="240" w:lineRule="auto"/>
        <w:jc w:val="center"/>
        <w:rPr>
          <w:rFonts w:ascii="Times New Roman" w:hAnsi="Times New Roman"/>
          <w:b/>
          <w:sz w:val="24"/>
          <w:szCs w:val="24"/>
          <w:lang w:val="ro-MD"/>
        </w:rPr>
      </w:pPr>
    </w:p>
    <w:p w:rsidR="00903BFF" w:rsidRPr="005F652A" w:rsidRDefault="00903BFF" w:rsidP="00903BFF">
      <w:pPr>
        <w:tabs>
          <w:tab w:val="left" w:pos="567"/>
        </w:tabs>
        <w:spacing w:after="0" w:line="240" w:lineRule="auto"/>
        <w:jc w:val="center"/>
        <w:rPr>
          <w:rFonts w:ascii="Times New Roman" w:hAnsi="Times New Roman"/>
          <w:b/>
          <w:sz w:val="24"/>
          <w:szCs w:val="24"/>
          <w:lang w:val="ro-MD"/>
        </w:rPr>
      </w:pPr>
      <w:r w:rsidRPr="005F652A">
        <w:rPr>
          <w:rFonts w:ascii="Times New Roman" w:hAnsi="Times New Roman"/>
          <w:b/>
          <w:sz w:val="24"/>
          <w:szCs w:val="24"/>
          <w:lang w:val="ro-MD"/>
        </w:rPr>
        <w:t xml:space="preserve">Generalizarea neregulilor constatate la Obiectivul I din Raportul de audit </w:t>
      </w:r>
    </w:p>
    <w:p w:rsidR="00903BFF" w:rsidRPr="005F652A" w:rsidRDefault="00903BFF" w:rsidP="00903BFF">
      <w:pPr>
        <w:tabs>
          <w:tab w:val="left" w:pos="567"/>
        </w:tabs>
        <w:spacing w:after="0" w:line="240" w:lineRule="auto"/>
        <w:jc w:val="center"/>
        <w:rPr>
          <w:rFonts w:ascii="Times New Roman" w:hAnsi="Times New Roman"/>
          <w:b/>
          <w:sz w:val="24"/>
          <w:szCs w:val="24"/>
          <w:lang w:val="ro-MD"/>
        </w:rPr>
      </w:pPr>
    </w:p>
    <w:p w:rsidR="00903BFF" w:rsidRPr="005F652A" w:rsidRDefault="00903BFF" w:rsidP="00903BFF">
      <w:pPr>
        <w:spacing w:after="0" w:line="240" w:lineRule="auto"/>
        <w:ind w:left="10635" w:firstLine="709"/>
        <w:jc w:val="center"/>
        <w:rPr>
          <w:rFonts w:ascii="Times New Roman" w:hAnsi="Times New Roman"/>
          <w:sz w:val="20"/>
          <w:szCs w:val="20"/>
          <w:lang w:val="ro-MD"/>
        </w:rPr>
      </w:pPr>
      <w:r w:rsidRPr="005F652A">
        <w:rPr>
          <w:rFonts w:ascii="Times New Roman" w:hAnsi="Times New Roman"/>
          <w:sz w:val="20"/>
          <w:szCs w:val="20"/>
          <w:lang w:val="ro-MD"/>
        </w:rPr>
        <w:t>(mii lei)</w:t>
      </w:r>
    </w:p>
    <w:tbl>
      <w:tblPr>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849"/>
        <w:gridCol w:w="851"/>
        <w:gridCol w:w="850"/>
        <w:gridCol w:w="992"/>
        <w:gridCol w:w="853"/>
        <w:gridCol w:w="990"/>
        <w:gridCol w:w="910"/>
        <w:gridCol w:w="851"/>
        <w:gridCol w:w="1079"/>
        <w:gridCol w:w="1079"/>
        <w:gridCol w:w="1079"/>
      </w:tblGrid>
      <w:tr w:rsidR="00903BFF" w:rsidRPr="0077542A" w:rsidTr="001B4D6B">
        <w:trPr>
          <w:trHeight w:val="20"/>
        </w:trPr>
        <w:tc>
          <w:tcPr>
            <w:tcW w:w="3682" w:type="dxa"/>
            <w:vMerge w:val="restart"/>
            <w:shd w:val="clear" w:color="auto" w:fill="auto"/>
            <w:hideMark/>
          </w:tcPr>
          <w:p w:rsidR="00903BFF" w:rsidRPr="0077542A" w:rsidRDefault="00903BFF" w:rsidP="001B4D6B">
            <w:pPr>
              <w:spacing w:after="0" w:line="240" w:lineRule="auto"/>
              <w:jc w:val="center"/>
              <w:rPr>
                <w:rFonts w:ascii="Times New Roman" w:eastAsia="Times New Roman" w:hAnsi="Times New Roman"/>
                <w:b/>
                <w:bCs/>
                <w:sz w:val="20"/>
                <w:szCs w:val="20"/>
                <w:lang w:val="ro-MD" w:eastAsia="ru-RU"/>
              </w:rPr>
            </w:pPr>
          </w:p>
          <w:p w:rsidR="00903BFF" w:rsidRPr="0077542A" w:rsidRDefault="00903BFF" w:rsidP="001B4D6B">
            <w:pPr>
              <w:spacing w:after="0" w:line="240" w:lineRule="auto"/>
              <w:jc w:val="center"/>
              <w:rPr>
                <w:rFonts w:ascii="Times New Roman" w:eastAsia="Times New Roman" w:hAnsi="Times New Roman"/>
                <w:b/>
                <w:bCs/>
                <w:sz w:val="20"/>
                <w:szCs w:val="20"/>
                <w:lang w:val="ro-MD" w:eastAsia="ru-RU"/>
              </w:rPr>
            </w:pPr>
          </w:p>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bCs/>
                <w:sz w:val="20"/>
                <w:szCs w:val="20"/>
                <w:lang w:val="ro-MD" w:eastAsia="ru-RU"/>
              </w:rPr>
              <w:t>AAPL, entitățile publice subordonate</w:t>
            </w:r>
          </w:p>
        </w:tc>
        <w:tc>
          <w:tcPr>
            <w:tcW w:w="1700" w:type="dxa"/>
            <w:gridSpan w:val="2"/>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Mijloacele fixe reflectate în evidența contabilă, dar care fizic lipsesc</w:t>
            </w:r>
          </w:p>
        </w:tc>
        <w:tc>
          <w:tcPr>
            <w:tcW w:w="2695" w:type="dxa"/>
            <w:gridSpan w:val="3"/>
            <w:shd w:val="clear" w:color="auto" w:fill="auto"/>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Bunuri imobile nereflectate în evidența contabilă</w:t>
            </w:r>
          </w:p>
        </w:tc>
        <w:tc>
          <w:tcPr>
            <w:tcW w:w="1900" w:type="dxa"/>
            <w:gridSpan w:val="2"/>
            <w:shd w:val="clear" w:color="auto" w:fill="auto"/>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Neînregistrarea integrală a bunurilor imobile la organul cadastral</w:t>
            </w:r>
          </w:p>
        </w:tc>
        <w:tc>
          <w:tcPr>
            <w:tcW w:w="1930" w:type="dxa"/>
            <w:gridSpan w:val="2"/>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Nereflectarea în evidența contabilă a valorii capitalului social depus la fondarea ÎM</w:t>
            </w:r>
          </w:p>
        </w:tc>
        <w:tc>
          <w:tcPr>
            <w:tcW w:w="2158" w:type="dxa"/>
            <w:gridSpan w:val="2"/>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Nemajorarea valorii mijloacelor fixe transmise în gestiune sau locațiune</w:t>
            </w:r>
          </w:p>
        </w:tc>
      </w:tr>
      <w:tr w:rsidR="00903BFF" w:rsidRPr="0077542A" w:rsidTr="001B4D6B">
        <w:trPr>
          <w:trHeight w:val="20"/>
        </w:trPr>
        <w:tc>
          <w:tcPr>
            <w:tcW w:w="3682" w:type="dxa"/>
            <w:vMerge/>
            <w:shd w:val="clear" w:color="auto" w:fill="auto"/>
            <w:hideMark/>
          </w:tcPr>
          <w:p w:rsidR="00903BFF" w:rsidRPr="0077542A" w:rsidRDefault="00903BFF" w:rsidP="001B4D6B">
            <w:pPr>
              <w:spacing w:after="0" w:line="240" w:lineRule="auto"/>
              <w:rPr>
                <w:rFonts w:ascii="Times New Roman" w:eastAsia="Times New Roman" w:hAnsi="Times New Roman"/>
                <w:b/>
                <w:sz w:val="20"/>
                <w:szCs w:val="20"/>
                <w:lang w:val="ro-MD" w:eastAsia="ru-RU"/>
              </w:rPr>
            </w:pPr>
          </w:p>
        </w:tc>
        <w:tc>
          <w:tcPr>
            <w:tcW w:w="849"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Nr. unități</w:t>
            </w:r>
          </w:p>
        </w:tc>
        <w:tc>
          <w:tcPr>
            <w:tcW w:w="851" w:type="dxa"/>
            <w:shd w:val="clear" w:color="auto" w:fill="auto"/>
            <w:hideMark/>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Suma</w:t>
            </w: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Nr. unități</w:t>
            </w:r>
          </w:p>
        </w:tc>
        <w:tc>
          <w:tcPr>
            <w:tcW w:w="992"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Suma</w:t>
            </w: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Nr. unități fără cost</w:t>
            </w:r>
          </w:p>
        </w:tc>
        <w:tc>
          <w:tcPr>
            <w:tcW w:w="990"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Nr. unități</w:t>
            </w:r>
          </w:p>
        </w:tc>
        <w:tc>
          <w:tcPr>
            <w:tcW w:w="910"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Suma</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Nr. ÎM</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Suma</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Nr. unități</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Suma</w:t>
            </w:r>
          </w:p>
        </w:tc>
      </w:tr>
      <w:tr w:rsidR="00903BFF" w:rsidRPr="0077542A" w:rsidTr="001B4D6B">
        <w:trPr>
          <w:trHeight w:val="20"/>
        </w:trPr>
        <w:tc>
          <w:tcPr>
            <w:tcW w:w="3682" w:type="dxa"/>
            <w:shd w:val="clear" w:color="auto" w:fill="auto"/>
            <w:hideMark/>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1</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2</w:t>
            </w:r>
          </w:p>
        </w:tc>
        <w:tc>
          <w:tcPr>
            <w:tcW w:w="851" w:type="dxa"/>
            <w:shd w:val="clear" w:color="auto" w:fill="auto"/>
            <w:vAlign w:val="center"/>
            <w:hideMark/>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3</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4</w:t>
            </w:r>
          </w:p>
        </w:tc>
        <w:tc>
          <w:tcPr>
            <w:tcW w:w="992" w:type="dxa"/>
            <w:shd w:val="clear" w:color="auto" w:fill="auto"/>
            <w:noWrap/>
            <w:vAlign w:val="center"/>
          </w:tcPr>
          <w:p w:rsidR="00903BFF" w:rsidRPr="0077542A" w:rsidRDefault="00903BFF" w:rsidP="001B4D6B">
            <w:pPr>
              <w:spacing w:after="0" w:line="240" w:lineRule="auto"/>
              <w:ind w:left="-108"/>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5</w:t>
            </w: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6</w:t>
            </w: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7</w:t>
            </w:r>
          </w:p>
        </w:tc>
        <w:tc>
          <w:tcPr>
            <w:tcW w:w="910" w:type="dxa"/>
            <w:shd w:val="clear" w:color="auto" w:fill="auto"/>
            <w:noWrap/>
            <w:vAlign w:val="center"/>
          </w:tcPr>
          <w:p w:rsidR="00903BFF" w:rsidRPr="0077542A" w:rsidRDefault="00903BFF" w:rsidP="001B4D6B">
            <w:pPr>
              <w:tabs>
                <w:tab w:val="left" w:pos="90"/>
              </w:tabs>
              <w:spacing w:after="0" w:line="240" w:lineRule="auto"/>
              <w:ind w:left="-120"/>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8</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9</w:t>
            </w:r>
          </w:p>
        </w:tc>
        <w:tc>
          <w:tcPr>
            <w:tcW w:w="1079" w:type="dxa"/>
            <w:shd w:val="clear" w:color="auto" w:fill="auto"/>
            <w:noWrap/>
            <w:vAlign w:val="center"/>
          </w:tcPr>
          <w:p w:rsidR="00903BFF" w:rsidRPr="0077542A" w:rsidRDefault="00903BFF" w:rsidP="001B4D6B">
            <w:pPr>
              <w:spacing w:after="0" w:line="240" w:lineRule="auto"/>
              <w:ind w:left="-108"/>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10</w:t>
            </w:r>
          </w:p>
        </w:tc>
        <w:tc>
          <w:tcPr>
            <w:tcW w:w="1079" w:type="dxa"/>
            <w:shd w:val="clear" w:color="auto" w:fill="auto"/>
          </w:tcPr>
          <w:p w:rsidR="00903BFF" w:rsidRPr="0077542A" w:rsidRDefault="00903BFF" w:rsidP="001B4D6B">
            <w:pPr>
              <w:spacing w:after="0" w:line="240" w:lineRule="auto"/>
              <w:ind w:left="-108"/>
              <w:jc w:val="center"/>
              <w:rPr>
                <w:rFonts w:ascii="Times New Roman" w:eastAsia="Times New Roman" w:hAnsi="Times New Roman"/>
                <w:b/>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ind w:left="-108"/>
              <w:jc w:val="center"/>
              <w:rPr>
                <w:rFonts w:ascii="Times New Roman" w:eastAsia="Times New Roman" w:hAnsi="Times New Roman"/>
                <w:b/>
                <w:color w:val="000000"/>
                <w:sz w:val="20"/>
                <w:szCs w:val="20"/>
                <w:lang w:val="ro-MD" w:eastAsia="ru-RU"/>
              </w:rPr>
            </w:pPr>
          </w:p>
        </w:tc>
      </w:tr>
      <w:tr w:rsidR="00903BFF" w:rsidRPr="0077542A" w:rsidTr="001B4D6B">
        <w:trPr>
          <w:trHeight w:val="20"/>
        </w:trPr>
        <w:tc>
          <w:tcPr>
            <w:tcW w:w="3682"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bCs/>
                <w:sz w:val="20"/>
                <w:szCs w:val="20"/>
                <w:lang w:val="ro-MD" w:eastAsia="ru-RU"/>
              </w:rPr>
              <w:t xml:space="preserve">Aparatul președintelui raionului </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1</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75,7</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r w:rsidRPr="0077542A">
              <w:rPr>
                <w:rFonts w:ascii="Times New Roman" w:eastAsia="Times New Roman" w:hAnsi="Times New Roman"/>
                <w:bCs/>
                <w:color w:val="000000"/>
                <w:sz w:val="20"/>
                <w:szCs w:val="20"/>
                <w:lang w:val="ro-MD" w:eastAsia="ru-RU"/>
              </w:rPr>
              <w:t>2</w:t>
            </w: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r w:rsidRPr="0077542A">
              <w:rPr>
                <w:rFonts w:ascii="Times New Roman" w:eastAsia="Times New Roman" w:hAnsi="Times New Roman"/>
                <w:bCs/>
                <w:iCs/>
                <w:color w:val="000000"/>
                <w:sz w:val="20"/>
                <w:szCs w:val="20"/>
                <w:lang w:val="ro-MD" w:eastAsia="ru-RU"/>
              </w:rPr>
              <w:t>11,0</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r>
      <w:tr w:rsidR="00903BFF" w:rsidRPr="0077542A" w:rsidTr="001B4D6B">
        <w:trPr>
          <w:trHeight w:val="20"/>
        </w:trPr>
        <w:tc>
          <w:tcPr>
            <w:tcW w:w="3682" w:type="dxa"/>
            <w:shd w:val="clear" w:color="auto" w:fill="auto"/>
          </w:tcPr>
          <w:p w:rsidR="00903BFF" w:rsidRPr="0077542A" w:rsidRDefault="00903BFF" w:rsidP="001B4D6B">
            <w:pPr>
              <w:spacing w:after="0" w:line="240" w:lineRule="auto"/>
              <w:rPr>
                <w:rFonts w:ascii="Times New Roman" w:eastAsia="Times New Roman" w:hAnsi="Times New Roman"/>
                <w:bCs/>
                <w:sz w:val="20"/>
                <w:szCs w:val="20"/>
                <w:lang w:val="ro-MD" w:eastAsia="ru-RU"/>
              </w:rPr>
            </w:pPr>
            <w:r w:rsidRPr="0077542A">
              <w:rPr>
                <w:rFonts w:ascii="Times New Roman" w:eastAsia="Times New Roman" w:hAnsi="Times New Roman"/>
                <w:bCs/>
                <w:sz w:val="20"/>
                <w:szCs w:val="20"/>
                <w:lang w:val="ro-MD" w:eastAsia="ru-RU"/>
              </w:rPr>
              <w:t>Consiliul raional</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r w:rsidRPr="0077542A">
              <w:rPr>
                <w:rFonts w:ascii="Times New Roman" w:eastAsia="Times New Roman" w:hAnsi="Times New Roman"/>
                <w:bCs/>
                <w:color w:val="000000"/>
                <w:sz w:val="20"/>
                <w:szCs w:val="20"/>
                <w:lang w:val="ro-MD" w:eastAsia="ru-RU"/>
              </w:rPr>
              <w:t>4</w:t>
            </w: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r w:rsidRPr="0077542A">
              <w:rPr>
                <w:rFonts w:ascii="Times New Roman" w:eastAsia="Times New Roman" w:hAnsi="Times New Roman"/>
                <w:bCs/>
                <w:iCs/>
                <w:color w:val="000000"/>
                <w:sz w:val="20"/>
                <w:szCs w:val="20"/>
                <w:lang w:val="ro-MD" w:eastAsia="ru-RU"/>
              </w:rPr>
              <w:t>815,5</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r>
      <w:tr w:rsidR="00903BFF" w:rsidRPr="0077542A" w:rsidTr="001B4D6B">
        <w:trPr>
          <w:trHeight w:val="20"/>
        </w:trPr>
        <w:tc>
          <w:tcPr>
            <w:tcW w:w="3682" w:type="dxa"/>
            <w:shd w:val="clear" w:color="auto" w:fill="auto"/>
          </w:tcPr>
          <w:p w:rsidR="00903BFF" w:rsidRPr="0077542A" w:rsidRDefault="00903BFF" w:rsidP="001B4D6B">
            <w:pPr>
              <w:spacing w:after="0" w:line="240" w:lineRule="auto"/>
              <w:rPr>
                <w:rFonts w:ascii="Times New Roman" w:eastAsia="Times New Roman" w:hAnsi="Times New Roman"/>
                <w:bCs/>
                <w:sz w:val="20"/>
                <w:szCs w:val="20"/>
                <w:lang w:val="ro-MD" w:eastAsia="ru-RU"/>
              </w:rPr>
            </w:pPr>
            <w:r w:rsidRPr="0077542A">
              <w:rPr>
                <w:rFonts w:ascii="Times New Roman" w:eastAsia="Times New Roman" w:hAnsi="Times New Roman"/>
                <w:bCs/>
                <w:sz w:val="20"/>
                <w:szCs w:val="20"/>
                <w:lang w:val="ro-MD" w:eastAsia="ru-RU"/>
              </w:rPr>
              <w:t>Direcția Finanțe</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r w:rsidRPr="0077542A">
              <w:rPr>
                <w:rFonts w:ascii="Times New Roman" w:eastAsia="Times New Roman" w:hAnsi="Times New Roman"/>
                <w:bCs/>
                <w:iCs/>
                <w:color w:val="000000"/>
                <w:sz w:val="20"/>
                <w:szCs w:val="20"/>
                <w:lang w:val="ro-MD" w:eastAsia="ru-RU"/>
              </w:rPr>
              <w:t>1</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r w:rsidRPr="0077542A">
              <w:rPr>
                <w:rFonts w:ascii="Times New Roman" w:eastAsia="Times New Roman" w:hAnsi="Times New Roman"/>
                <w:bCs/>
                <w:iCs/>
                <w:color w:val="000000"/>
                <w:sz w:val="20"/>
                <w:szCs w:val="20"/>
                <w:lang w:val="ro-MD" w:eastAsia="ru-RU"/>
              </w:rPr>
              <w:t>9613,0</w:t>
            </w:r>
          </w:p>
        </w:tc>
      </w:tr>
      <w:tr w:rsidR="00903BFF" w:rsidRPr="0077542A" w:rsidTr="001B4D6B">
        <w:trPr>
          <w:trHeight w:val="20"/>
        </w:trPr>
        <w:tc>
          <w:tcPr>
            <w:tcW w:w="3682" w:type="dxa"/>
            <w:shd w:val="clear" w:color="auto" w:fill="auto"/>
          </w:tcPr>
          <w:p w:rsidR="00903BFF" w:rsidRPr="0077542A" w:rsidRDefault="00903BFF" w:rsidP="001B4D6B">
            <w:pPr>
              <w:spacing w:after="0" w:line="240" w:lineRule="auto"/>
              <w:rPr>
                <w:rFonts w:ascii="Times New Roman" w:eastAsia="Times New Roman" w:hAnsi="Times New Roman"/>
                <w:bCs/>
                <w:sz w:val="20"/>
                <w:szCs w:val="20"/>
                <w:lang w:val="ro-MD" w:eastAsia="ru-RU"/>
              </w:rPr>
            </w:pPr>
            <w:r w:rsidRPr="0077542A">
              <w:rPr>
                <w:rFonts w:ascii="Times New Roman" w:eastAsia="Times New Roman" w:hAnsi="Times New Roman"/>
                <w:bCs/>
                <w:sz w:val="20"/>
                <w:szCs w:val="20"/>
                <w:lang w:val="ro-MD" w:eastAsia="ru-RU"/>
              </w:rPr>
              <w:t>Primăria com. Coșcodeni</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5</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19,4</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r w:rsidRPr="0077542A">
              <w:rPr>
                <w:rFonts w:ascii="Times New Roman" w:eastAsia="Times New Roman" w:hAnsi="Times New Roman"/>
                <w:bCs/>
                <w:iCs/>
                <w:color w:val="000000"/>
                <w:sz w:val="20"/>
                <w:szCs w:val="20"/>
                <w:lang w:val="ro-MD" w:eastAsia="ru-RU"/>
              </w:rPr>
              <w:t>4</w:t>
            </w: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r w:rsidRPr="0077542A">
              <w:rPr>
                <w:rFonts w:ascii="Times New Roman" w:eastAsia="Times New Roman" w:hAnsi="Times New Roman"/>
                <w:bCs/>
                <w:color w:val="000000"/>
                <w:sz w:val="20"/>
                <w:szCs w:val="20"/>
                <w:lang w:val="ro-MD" w:eastAsia="ru-RU"/>
              </w:rPr>
              <w:t>6976,7</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r w:rsidRPr="0077542A">
              <w:rPr>
                <w:rFonts w:ascii="Times New Roman" w:eastAsia="Times New Roman" w:hAnsi="Times New Roman"/>
                <w:bCs/>
                <w:iCs/>
                <w:color w:val="000000"/>
                <w:sz w:val="20"/>
                <w:szCs w:val="20"/>
                <w:lang w:val="ro-MD" w:eastAsia="ru-RU"/>
              </w:rPr>
              <w:t>1</w:t>
            </w: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r w:rsidRPr="0077542A">
              <w:rPr>
                <w:rFonts w:ascii="Times New Roman" w:eastAsia="Times New Roman" w:hAnsi="Times New Roman"/>
                <w:bCs/>
                <w:color w:val="000000"/>
                <w:sz w:val="20"/>
                <w:szCs w:val="20"/>
                <w:lang w:val="ro-MD" w:eastAsia="ru-RU"/>
              </w:rPr>
              <w:t>5,4</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r>
      <w:tr w:rsidR="00903BFF" w:rsidRPr="0077542A" w:rsidTr="001B4D6B">
        <w:trPr>
          <w:trHeight w:val="20"/>
        </w:trPr>
        <w:tc>
          <w:tcPr>
            <w:tcW w:w="3682"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bCs/>
                <w:sz w:val="20"/>
                <w:szCs w:val="20"/>
                <w:lang w:val="ro-MD" w:eastAsia="ru-RU"/>
              </w:rPr>
              <w:t>Primăria com. Cubolta</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1</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13,0</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r w:rsidRPr="0077542A">
              <w:rPr>
                <w:rFonts w:ascii="Times New Roman" w:eastAsia="Times New Roman" w:hAnsi="Times New Roman"/>
                <w:bCs/>
                <w:iCs/>
                <w:color w:val="000000"/>
                <w:sz w:val="20"/>
                <w:szCs w:val="20"/>
                <w:lang w:val="ro-MD" w:eastAsia="ru-RU"/>
              </w:rPr>
              <w:t>3</w:t>
            </w: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r w:rsidRPr="0077542A">
              <w:rPr>
                <w:rFonts w:ascii="Times New Roman" w:eastAsia="Times New Roman" w:hAnsi="Times New Roman"/>
                <w:bCs/>
                <w:color w:val="000000"/>
                <w:sz w:val="20"/>
                <w:szCs w:val="20"/>
                <w:lang w:val="ro-MD" w:eastAsia="ru-RU"/>
              </w:rPr>
              <w:t>3812,5</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r>
      <w:tr w:rsidR="00903BFF" w:rsidRPr="0077542A" w:rsidTr="001B4D6B">
        <w:trPr>
          <w:trHeight w:val="20"/>
        </w:trPr>
        <w:tc>
          <w:tcPr>
            <w:tcW w:w="3682" w:type="dxa"/>
            <w:shd w:val="clear" w:color="auto" w:fill="auto"/>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bCs/>
                <w:sz w:val="20"/>
                <w:szCs w:val="20"/>
                <w:lang w:val="ro-MD" w:eastAsia="ru-RU"/>
              </w:rPr>
              <w:t>Primăria s. Rădoaia</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4</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116,4</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w:t>
            </w: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7</w:t>
            </w: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3822,5</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3</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2460,5</w:t>
            </w:r>
          </w:p>
        </w:tc>
      </w:tr>
      <w:tr w:rsidR="00903BFF" w:rsidRPr="0077542A" w:rsidTr="001B4D6B">
        <w:trPr>
          <w:trHeight w:val="20"/>
        </w:trPr>
        <w:tc>
          <w:tcPr>
            <w:tcW w:w="3682"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or. Sîngerei</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iCs/>
                <w:color w:val="000000"/>
                <w:sz w:val="20"/>
                <w:szCs w:val="20"/>
                <w:lang w:val="ro-MD" w:eastAsia="ru-RU"/>
              </w:rPr>
            </w:pPr>
            <w:r w:rsidRPr="0077542A">
              <w:rPr>
                <w:rFonts w:ascii="Times New Roman" w:eastAsia="Times New Roman" w:hAnsi="Times New Roman"/>
                <w:iCs/>
                <w:color w:val="000000"/>
                <w:sz w:val="20"/>
                <w:szCs w:val="20"/>
                <w:lang w:val="ro-MD" w:eastAsia="ru-RU"/>
              </w:rPr>
              <w:t>2</w:t>
            </w: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3054,7</w:t>
            </w: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iCs/>
                <w:color w:val="000000"/>
                <w:sz w:val="20"/>
                <w:szCs w:val="20"/>
                <w:lang w:val="ro-MD" w:eastAsia="ru-RU"/>
              </w:rPr>
            </w:pP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iCs/>
                <w:color w:val="000000"/>
                <w:sz w:val="20"/>
                <w:szCs w:val="20"/>
                <w:lang w:val="ro-MD" w:eastAsia="ru-RU"/>
              </w:rPr>
            </w:pPr>
            <w:r w:rsidRPr="0077542A">
              <w:rPr>
                <w:rFonts w:ascii="Times New Roman" w:eastAsia="Times New Roman" w:hAnsi="Times New Roman"/>
                <w:iCs/>
                <w:color w:val="000000"/>
                <w:sz w:val="20"/>
                <w:szCs w:val="20"/>
                <w:lang w:val="ro-MD" w:eastAsia="ru-RU"/>
              </w:rPr>
              <w:t>1</w:t>
            </w: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5134,0</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iCs/>
                <w:color w:val="000000"/>
                <w:sz w:val="20"/>
                <w:szCs w:val="20"/>
                <w:lang w:val="ro-MD" w:eastAsia="ru-RU"/>
              </w:rPr>
            </w:pPr>
            <w:r w:rsidRPr="0077542A">
              <w:rPr>
                <w:rFonts w:ascii="Times New Roman" w:eastAsia="Times New Roman" w:hAnsi="Times New Roman"/>
                <w:iCs/>
                <w:color w:val="000000"/>
                <w:sz w:val="20"/>
                <w:szCs w:val="20"/>
                <w:lang w:val="ro-MD" w:eastAsia="ru-RU"/>
              </w:rPr>
              <w:t>2</w:t>
            </w: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104,5</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r>
      <w:tr w:rsidR="00903BFF" w:rsidRPr="0077542A" w:rsidTr="001B4D6B">
        <w:trPr>
          <w:trHeight w:val="20"/>
        </w:trPr>
        <w:tc>
          <w:tcPr>
            <w:tcW w:w="3682"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or. Biruința</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w:t>
            </w: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542,0</w:t>
            </w: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163</w:t>
            </w: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6</w:t>
            </w: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1353,5</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w:t>
            </w: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61,4</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r>
      <w:tr w:rsidR="00903BFF" w:rsidRPr="0077542A" w:rsidTr="001B4D6B">
        <w:trPr>
          <w:trHeight w:val="20"/>
        </w:trPr>
        <w:tc>
          <w:tcPr>
            <w:tcW w:w="3682"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com. Sîngereii Noi</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w:t>
            </w: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8</w:t>
            </w: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20466,0</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r>
      <w:tr w:rsidR="00903BFF" w:rsidRPr="0077542A" w:rsidTr="001B4D6B">
        <w:trPr>
          <w:trHeight w:val="20"/>
        </w:trPr>
        <w:tc>
          <w:tcPr>
            <w:tcW w:w="3682"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com. Chișcăreni</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17</w:t>
            </w: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19484,9</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r>
      <w:tr w:rsidR="00903BFF" w:rsidRPr="0077542A" w:rsidTr="001B4D6B">
        <w:trPr>
          <w:trHeight w:val="20"/>
        </w:trPr>
        <w:tc>
          <w:tcPr>
            <w:tcW w:w="3682"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com. Drăgănești</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12</w:t>
            </w: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12078,6</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w:t>
            </w: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5,4</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r>
      <w:tr w:rsidR="00903BFF" w:rsidRPr="0077542A" w:rsidTr="001B4D6B">
        <w:trPr>
          <w:trHeight w:val="20"/>
        </w:trPr>
        <w:tc>
          <w:tcPr>
            <w:tcW w:w="3682"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Total</w:t>
            </w:r>
          </w:p>
        </w:tc>
        <w:tc>
          <w:tcPr>
            <w:tcW w:w="849"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11</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224,5</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r w:rsidRPr="0077542A">
              <w:rPr>
                <w:rFonts w:ascii="Times New Roman" w:eastAsia="Times New Roman" w:hAnsi="Times New Roman"/>
                <w:b/>
                <w:bCs/>
                <w:iCs/>
                <w:color w:val="000000"/>
                <w:sz w:val="20"/>
                <w:szCs w:val="20"/>
                <w:lang w:val="ro-MD" w:eastAsia="ru-RU"/>
              </w:rPr>
              <w:t>3</w:t>
            </w: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color w:val="000000"/>
                <w:sz w:val="20"/>
                <w:szCs w:val="20"/>
                <w:lang w:val="ro-MD" w:eastAsia="ru-RU"/>
              </w:rPr>
            </w:pPr>
            <w:r w:rsidRPr="0077542A">
              <w:rPr>
                <w:rFonts w:ascii="Times New Roman" w:eastAsia="Times New Roman" w:hAnsi="Times New Roman"/>
                <w:b/>
                <w:bCs/>
                <w:color w:val="000000"/>
                <w:sz w:val="20"/>
                <w:szCs w:val="20"/>
                <w:lang w:val="ro-MD" w:eastAsia="ru-RU"/>
              </w:rPr>
              <w:t>3596,7</w:t>
            </w:r>
          </w:p>
        </w:tc>
        <w:tc>
          <w:tcPr>
            <w:tcW w:w="853" w:type="dxa"/>
            <w:shd w:val="clear" w:color="auto" w:fill="auto"/>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r w:rsidRPr="0077542A">
              <w:rPr>
                <w:rFonts w:ascii="Times New Roman" w:eastAsia="Times New Roman" w:hAnsi="Times New Roman"/>
                <w:b/>
                <w:bCs/>
                <w:iCs/>
                <w:color w:val="000000"/>
                <w:sz w:val="20"/>
                <w:szCs w:val="20"/>
                <w:lang w:val="ro-MD" w:eastAsia="ru-RU"/>
              </w:rPr>
              <w:t>165</w:t>
            </w:r>
          </w:p>
        </w:tc>
        <w:tc>
          <w:tcPr>
            <w:tcW w:w="99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r w:rsidRPr="0077542A">
              <w:rPr>
                <w:rFonts w:ascii="Times New Roman" w:eastAsia="Times New Roman" w:hAnsi="Times New Roman"/>
                <w:b/>
                <w:bCs/>
                <w:iCs/>
                <w:color w:val="000000"/>
                <w:sz w:val="20"/>
                <w:szCs w:val="20"/>
                <w:lang w:val="ro-MD" w:eastAsia="ru-RU"/>
              </w:rPr>
              <w:t>62</w:t>
            </w:r>
          </w:p>
        </w:tc>
        <w:tc>
          <w:tcPr>
            <w:tcW w:w="91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color w:val="000000"/>
                <w:sz w:val="20"/>
                <w:szCs w:val="20"/>
                <w:lang w:val="ro-MD" w:eastAsia="ru-RU"/>
              </w:rPr>
            </w:pPr>
            <w:r w:rsidRPr="0077542A">
              <w:rPr>
                <w:rFonts w:ascii="Times New Roman" w:eastAsia="Times New Roman" w:hAnsi="Times New Roman"/>
                <w:b/>
                <w:bCs/>
                <w:color w:val="000000"/>
                <w:sz w:val="20"/>
                <w:szCs w:val="20"/>
                <w:lang w:val="ro-MD" w:eastAsia="ru-RU"/>
              </w:rPr>
              <w:t>73944,2</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r w:rsidRPr="0077542A">
              <w:rPr>
                <w:rFonts w:ascii="Times New Roman" w:eastAsia="Times New Roman" w:hAnsi="Times New Roman"/>
                <w:b/>
                <w:bCs/>
                <w:iCs/>
                <w:color w:val="000000"/>
                <w:sz w:val="20"/>
                <w:szCs w:val="20"/>
                <w:lang w:val="ro-MD" w:eastAsia="ru-RU"/>
              </w:rPr>
              <w:t>5</w:t>
            </w:r>
          </w:p>
        </w:tc>
        <w:tc>
          <w:tcPr>
            <w:tcW w:w="1079"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color w:val="000000"/>
                <w:sz w:val="20"/>
                <w:szCs w:val="20"/>
                <w:lang w:val="ro-MD" w:eastAsia="ru-RU"/>
              </w:rPr>
            </w:pPr>
            <w:r w:rsidRPr="0077542A">
              <w:rPr>
                <w:rFonts w:ascii="Times New Roman" w:eastAsia="Times New Roman" w:hAnsi="Times New Roman"/>
                <w:b/>
                <w:bCs/>
                <w:color w:val="000000"/>
                <w:sz w:val="20"/>
                <w:szCs w:val="20"/>
                <w:lang w:val="ro-MD" w:eastAsia="ru-RU"/>
              </w:rPr>
              <w:t>187,7</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
                <w:bCs/>
                <w:color w:val="000000"/>
                <w:sz w:val="20"/>
                <w:szCs w:val="20"/>
                <w:lang w:val="ro-MD" w:eastAsia="ru-RU"/>
              </w:rPr>
            </w:pPr>
            <w:r w:rsidRPr="0077542A">
              <w:rPr>
                <w:rFonts w:ascii="Times New Roman" w:eastAsia="Times New Roman" w:hAnsi="Times New Roman"/>
                <w:b/>
                <w:bCs/>
                <w:color w:val="000000"/>
                <w:sz w:val="20"/>
                <w:szCs w:val="20"/>
                <w:lang w:val="ro-MD" w:eastAsia="ru-RU"/>
              </w:rPr>
              <w:t>4</w:t>
            </w:r>
          </w:p>
        </w:tc>
        <w:tc>
          <w:tcPr>
            <w:tcW w:w="1079" w:type="dxa"/>
            <w:shd w:val="clear" w:color="auto" w:fill="auto"/>
          </w:tcPr>
          <w:p w:rsidR="00903BFF" w:rsidRPr="0077542A" w:rsidRDefault="00903BFF" w:rsidP="001B4D6B">
            <w:pPr>
              <w:spacing w:after="0" w:line="240" w:lineRule="auto"/>
              <w:jc w:val="center"/>
              <w:rPr>
                <w:rFonts w:ascii="Times New Roman" w:eastAsia="Times New Roman" w:hAnsi="Times New Roman"/>
                <w:b/>
                <w:bCs/>
                <w:color w:val="000000"/>
                <w:sz w:val="20"/>
                <w:szCs w:val="20"/>
                <w:lang w:val="ro-MD" w:eastAsia="ru-RU"/>
              </w:rPr>
            </w:pPr>
            <w:r w:rsidRPr="0077542A">
              <w:rPr>
                <w:rFonts w:ascii="Times New Roman" w:eastAsia="Times New Roman" w:hAnsi="Times New Roman"/>
                <w:b/>
                <w:bCs/>
                <w:color w:val="000000"/>
                <w:sz w:val="20"/>
                <w:szCs w:val="20"/>
                <w:lang w:val="ro-MD" w:eastAsia="ru-RU"/>
              </w:rPr>
              <w:t>12073,5</w:t>
            </w:r>
          </w:p>
        </w:tc>
      </w:tr>
    </w:tbl>
    <w:p w:rsidR="00903BFF" w:rsidRPr="005F652A" w:rsidRDefault="00903BFF" w:rsidP="00903BFF">
      <w:pPr>
        <w:spacing w:after="0" w:line="240" w:lineRule="auto"/>
        <w:jc w:val="both"/>
        <w:rPr>
          <w:rFonts w:ascii="Times New Roman" w:hAnsi="Times New Roman"/>
          <w:b/>
          <w:sz w:val="28"/>
          <w:szCs w:val="28"/>
          <w:lang w:val="ro-MD"/>
        </w:rPr>
      </w:pPr>
    </w:p>
    <w:p w:rsidR="00903BFF" w:rsidRPr="005F652A" w:rsidRDefault="00903BFF" w:rsidP="00903BFF">
      <w:pPr>
        <w:spacing w:after="0" w:line="240" w:lineRule="auto"/>
        <w:rPr>
          <w:rFonts w:ascii="Times New Roman" w:eastAsia="Times New Roman" w:hAnsi="Times New Roman"/>
          <w:sz w:val="24"/>
          <w:szCs w:val="24"/>
          <w:lang w:val="ro-MD" w:eastAsia="ru-RU"/>
        </w:rPr>
      </w:pPr>
    </w:p>
    <w:p w:rsidR="00903BFF" w:rsidRPr="005F652A" w:rsidRDefault="00903BFF" w:rsidP="00903BFF">
      <w:pPr>
        <w:spacing w:after="0" w:line="240" w:lineRule="auto"/>
        <w:jc w:val="center"/>
        <w:rPr>
          <w:rFonts w:ascii="Times New Roman" w:hAnsi="Times New Roman"/>
          <w:b/>
          <w:sz w:val="28"/>
          <w:szCs w:val="28"/>
          <w:lang w:val="ro-MD"/>
        </w:rPr>
      </w:pPr>
    </w:p>
    <w:p w:rsidR="00903BFF" w:rsidRPr="005F652A" w:rsidRDefault="00903BFF" w:rsidP="00903BFF">
      <w:pPr>
        <w:spacing w:after="0" w:line="240" w:lineRule="auto"/>
        <w:jc w:val="center"/>
        <w:rPr>
          <w:rFonts w:ascii="Times New Roman" w:hAnsi="Times New Roman"/>
          <w:b/>
          <w:sz w:val="28"/>
          <w:szCs w:val="28"/>
          <w:lang w:val="ro-MD"/>
        </w:rPr>
      </w:pPr>
    </w:p>
    <w:p w:rsidR="00903BFF" w:rsidRPr="005F652A" w:rsidRDefault="00903BFF" w:rsidP="00903BFF">
      <w:pPr>
        <w:spacing w:after="0" w:line="240" w:lineRule="auto"/>
        <w:jc w:val="right"/>
        <w:rPr>
          <w:rFonts w:ascii="Times New Roman" w:hAnsi="Times New Roman"/>
          <w:b/>
          <w:sz w:val="24"/>
          <w:szCs w:val="24"/>
          <w:lang w:val="ro-MD"/>
        </w:rPr>
      </w:pPr>
    </w:p>
    <w:p w:rsidR="00903BFF" w:rsidRPr="005F652A" w:rsidRDefault="00903BFF" w:rsidP="00903BFF">
      <w:pPr>
        <w:spacing w:after="0" w:line="240" w:lineRule="auto"/>
        <w:jc w:val="right"/>
        <w:rPr>
          <w:rFonts w:ascii="Times New Roman" w:hAnsi="Times New Roman"/>
          <w:b/>
          <w:sz w:val="24"/>
          <w:szCs w:val="24"/>
          <w:lang w:val="ro-MD"/>
        </w:rPr>
      </w:pPr>
    </w:p>
    <w:p w:rsidR="00903BFF" w:rsidRPr="005F652A" w:rsidRDefault="00903BFF" w:rsidP="00903BFF">
      <w:pPr>
        <w:spacing w:after="0" w:line="240" w:lineRule="auto"/>
        <w:jc w:val="right"/>
        <w:rPr>
          <w:rFonts w:ascii="Times New Roman" w:hAnsi="Times New Roman"/>
          <w:b/>
          <w:sz w:val="24"/>
          <w:szCs w:val="24"/>
          <w:lang w:val="ro-MD"/>
        </w:rPr>
      </w:pPr>
    </w:p>
    <w:p w:rsidR="00903BFF" w:rsidRPr="005F652A" w:rsidRDefault="00903BFF" w:rsidP="00903BFF">
      <w:pPr>
        <w:spacing w:after="0" w:line="240" w:lineRule="auto"/>
        <w:jc w:val="right"/>
        <w:rPr>
          <w:rFonts w:ascii="Times New Roman" w:hAnsi="Times New Roman"/>
          <w:b/>
          <w:sz w:val="24"/>
          <w:szCs w:val="24"/>
          <w:lang w:val="ro-MD"/>
        </w:rPr>
      </w:pPr>
    </w:p>
    <w:p w:rsidR="00903BFF" w:rsidRPr="005F652A" w:rsidRDefault="00903BFF" w:rsidP="00903BFF">
      <w:pPr>
        <w:spacing w:after="0" w:line="240" w:lineRule="auto"/>
        <w:rPr>
          <w:rFonts w:ascii="Times New Roman" w:hAnsi="Times New Roman"/>
          <w:b/>
          <w:sz w:val="24"/>
          <w:szCs w:val="24"/>
          <w:lang w:val="ro-MD"/>
        </w:rPr>
      </w:pPr>
    </w:p>
    <w:p w:rsidR="00903BFF" w:rsidRPr="005F652A" w:rsidRDefault="00903BFF" w:rsidP="00903BFF">
      <w:pPr>
        <w:spacing w:after="0" w:line="240" w:lineRule="auto"/>
        <w:jc w:val="right"/>
        <w:rPr>
          <w:rFonts w:ascii="Times New Roman" w:hAnsi="Times New Roman"/>
          <w:b/>
          <w:sz w:val="24"/>
          <w:szCs w:val="24"/>
          <w:lang w:val="ro-MD"/>
        </w:rPr>
      </w:pPr>
      <w:r w:rsidRPr="005F652A">
        <w:rPr>
          <w:rFonts w:ascii="Times New Roman" w:hAnsi="Times New Roman"/>
          <w:b/>
          <w:sz w:val="24"/>
          <w:szCs w:val="24"/>
          <w:lang w:val="ro-MD"/>
        </w:rPr>
        <w:lastRenderedPageBreak/>
        <w:t>Anexa nr.4</w:t>
      </w:r>
    </w:p>
    <w:p w:rsidR="00903BFF" w:rsidRPr="005F652A" w:rsidRDefault="00903BFF" w:rsidP="00903BFF">
      <w:pPr>
        <w:spacing w:after="0" w:line="240" w:lineRule="auto"/>
        <w:jc w:val="right"/>
        <w:rPr>
          <w:rFonts w:ascii="Times New Roman" w:hAnsi="Times New Roman"/>
          <w:b/>
          <w:sz w:val="24"/>
          <w:szCs w:val="24"/>
          <w:lang w:val="ro-MD"/>
        </w:rPr>
      </w:pPr>
    </w:p>
    <w:p w:rsidR="00903BFF" w:rsidRPr="005F652A" w:rsidRDefault="00903BFF" w:rsidP="00903BFF">
      <w:pPr>
        <w:spacing w:after="0" w:line="240" w:lineRule="auto"/>
        <w:jc w:val="center"/>
        <w:rPr>
          <w:rFonts w:ascii="Times New Roman" w:hAnsi="Times New Roman"/>
          <w:b/>
          <w:sz w:val="24"/>
          <w:szCs w:val="24"/>
          <w:lang w:val="ro-MD"/>
        </w:rPr>
      </w:pPr>
      <w:r w:rsidRPr="005F652A">
        <w:rPr>
          <w:rFonts w:ascii="Times New Roman" w:hAnsi="Times New Roman"/>
          <w:b/>
          <w:sz w:val="24"/>
          <w:szCs w:val="24"/>
          <w:lang w:val="ro-MD"/>
        </w:rPr>
        <w:t xml:space="preserve">Generalizarea neregulilor constatate la </w:t>
      </w:r>
      <w:r>
        <w:rPr>
          <w:rFonts w:ascii="Times New Roman" w:hAnsi="Times New Roman"/>
          <w:b/>
          <w:sz w:val="24"/>
          <w:szCs w:val="24"/>
          <w:lang w:val="ro-MD"/>
        </w:rPr>
        <w:t>O</w:t>
      </w:r>
      <w:r w:rsidRPr="005F652A">
        <w:rPr>
          <w:rFonts w:ascii="Times New Roman" w:hAnsi="Times New Roman"/>
          <w:b/>
          <w:sz w:val="24"/>
          <w:szCs w:val="24"/>
          <w:lang w:val="ro-MD"/>
        </w:rPr>
        <w:t>biectivul III din Raportul de audit</w:t>
      </w:r>
    </w:p>
    <w:p w:rsidR="00903BFF" w:rsidRPr="005F652A" w:rsidRDefault="00903BFF" w:rsidP="00903BFF">
      <w:pPr>
        <w:spacing w:after="0" w:line="240" w:lineRule="auto"/>
        <w:jc w:val="center"/>
        <w:rPr>
          <w:rFonts w:ascii="Times New Roman" w:hAnsi="Times New Roman"/>
          <w:b/>
          <w:sz w:val="24"/>
          <w:szCs w:val="24"/>
          <w:lang w:val="ro-MD"/>
        </w:rPr>
      </w:pPr>
    </w:p>
    <w:p w:rsidR="00903BFF" w:rsidRPr="005F652A" w:rsidRDefault="00903BFF" w:rsidP="00903BFF">
      <w:pPr>
        <w:spacing w:after="0" w:line="240" w:lineRule="auto"/>
        <w:ind w:left="10635" w:firstLine="709"/>
        <w:rPr>
          <w:rFonts w:ascii="Times New Roman" w:hAnsi="Times New Roman"/>
          <w:sz w:val="20"/>
          <w:szCs w:val="20"/>
          <w:lang w:val="ro-MD"/>
        </w:rPr>
      </w:pPr>
      <w:r>
        <w:rPr>
          <w:rFonts w:ascii="Times New Roman" w:hAnsi="Times New Roman"/>
          <w:b/>
          <w:sz w:val="24"/>
          <w:szCs w:val="24"/>
          <w:lang w:val="ro-MD"/>
        </w:rPr>
        <w:t xml:space="preserve">    </w:t>
      </w:r>
      <w:r w:rsidRPr="005F652A">
        <w:rPr>
          <w:rFonts w:ascii="Times New Roman" w:hAnsi="Times New Roman"/>
          <w:sz w:val="20"/>
          <w:szCs w:val="20"/>
          <w:lang w:val="ro-MD"/>
        </w:rPr>
        <w:t>(mii lei)</w:t>
      </w:r>
    </w:p>
    <w:tbl>
      <w:tblPr>
        <w:tblW w:w="13433"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902"/>
        <w:gridCol w:w="992"/>
        <w:gridCol w:w="851"/>
        <w:gridCol w:w="850"/>
        <w:gridCol w:w="851"/>
        <w:gridCol w:w="850"/>
        <w:gridCol w:w="851"/>
        <w:gridCol w:w="850"/>
        <w:gridCol w:w="1134"/>
        <w:gridCol w:w="851"/>
        <w:gridCol w:w="1134"/>
      </w:tblGrid>
      <w:tr w:rsidR="00903BFF" w:rsidRPr="0077542A" w:rsidTr="001B4D6B">
        <w:trPr>
          <w:trHeight w:val="20"/>
        </w:trPr>
        <w:tc>
          <w:tcPr>
            <w:tcW w:w="3317" w:type="dxa"/>
            <w:vMerge w:val="restart"/>
            <w:shd w:val="clear" w:color="auto" w:fill="auto"/>
            <w:hideMark/>
          </w:tcPr>
          <w:p w:rsidR="00903BFF" w:rsidRPr="0077542A" w:rsidRDefault="00903BFF" w:rsidP="001B4D6B">
            <w:pPr>
              <w:spacing w:after="0" w:line="240" w:lineRule="auto"/>
              <w:jc w:val="center"/>
              <w:rPr>
                <w:rFonts w:ascii="Times New Roman" w:eastAsia="Times New Roman" w:hAnsi="Times New Roman"/>
                <w:b/>
                <w:bCs/>
                <w:sz w:val="20"/>
                <w:szCs w:val="20"/>
                <w:lang w:val="ro-MD" w:eastAsia="ru-RU"/>
              </w:rPr>
            </w:pPr>
          </w:p>
          <w:p w:rsidR="00903BFF" w:rsidRPr="0077542A" w:rsidRDefault="00903BFF" w:rsidP="001B4D6B">
            <w:pPr>
              <w:spacing w:after="0" w:line="240" w:lineRule="auto"/>
              <w:jc w:val="center"/>
              <w:rPr>
                <w:rFonts w:ascii="Times New Roman" w:eastAsia="Times New Roman" w:hAnsi="Times New Roman"/>
                <w:b/>
                <w:bCs/>
                <w:sz w:val="20"/>
                <w:szCs w:val="20"/>
                <w:lang w:val="ro-MD" w:eastAsia="ru-RU"/>
              </w:rPr>
            </w:pPr>
          </w:p>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bCs/>
                <w:sz w:val="20"/>
                <w:szCs w:val="20"/>
                <w:lang w:val="ro-MD" w:eastAsia="ru-RU"/>
              </w:rPr>
              <w:t>AAPL</w:t>
            </w:r>
          </w:p>
        </w:tc>
        <w:tc>
          <w:tcPr>
            <w:tcW w:w="1894" w:type="dxa"/>
            <w:gridSpan w:val="2"/>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Adjudecarea contractelor de locațiune în afara procedurii de licitație publică</w:t>
            </w:r>
          </w:p>
        </w:tc>
        <w:tc>
          <w:tcPr>
            <w:tcW w:w="2552" w:type="dxa"/>
            <w:gridSpan w:val="3"/>
            <w:shd w:val="clear" w:color="auto" w:fill="auto"/>
          </w:tcPr>
          <w:p w:rsidR="00903BFF" w:rsidRPr="0077542A" w:rsidRDefault="00903BFF" w:rsidP="001B4D6B">
            <w:pPr>
              <w:spacing w:after="0" w:line="240" w:lineRule="auto"/>
              <w:jc w:val="center"/>
              <w:rPr>
                <w:rFonts w:ascii="Times New Roman" w:eastAsia="Times New Roman" w:hAnsi="Times New Roman"/>
                <w:b/>
                <w:bCs/>
                <w:iCs/>
                <w:color w:val="000000"/>
                <w:sz w:val="18"/>
                <w:szCs w:val="18"/>
                <w:lang w:val="ro-MD" w:eastAsia="ru-RU"/>
              </w:rPr>
            </w:pPr>
            <w:r w:rsidRPr="0077542A">
              <w:rPr>
                <w:rFonts w:ascii="Times New Roman" w:eastAsia="Times New Roman" w:hAnsi="Times New Roman"/>
                <w:b/>
                <w:bCs/>
                <w:iCs/>
                <w:color w:val="000000"/>
                <w:sz w:val="18"/>
                <w:szCs w:val="18"/>
                <w:lang w:val="ro-MD" w:eastAsia="ru-RU"/>
              </w:rPr>
              <w:t>Venitul pasibil de la pasul licitării (locațiunea)</w:t>
            </w:r>
          </w:p>
        </w:tc>
        <w:tc>
          <w:tcPr>
            <w:tcW w:w="1701" w:type="dxa"/>
            <w:gridSpan w:val="2"/>
            <w:shd w:val="clear" w:color="auto" w:fill="auto"/>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bCs/>
                <w:iCs/>
                <w:color w:val="000000"/>
                <w:sz w:val="20"/>
                <w:szCs w:val="20"/>
                <w:lang w:val="ro-MD" w:eastAsia="ru-RU"/>
              </w:rPr>
              <w:t>Stabilirea incorectă a plății de locațiune</w:t>
            </w:r>
          </w:p>
        </w:tc>
        <w:tc>
          <w:tcPr>
            <w:tcW w:w="1984" w:type="dxa"/>
            <w:gridSpan w:val="2"/>
            <w:shd w:val="clear" w:color="auto" w:fill="auto"/>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bCs/>
                <w:iCs/>
                <w:color w:val="000000"/>
                <w:sz w:val="20"/>
                <w:szCs w:val="20"/>
                <w:lang w:val="ro-MD" w:eastAsia="ru-RU"/>
              </w:rPr>
              <w:t>Cedarea neconformă a dreptului de folosință cu titlu gratuit asupra unor bunuri imobile</w:t>
            </w:r>
          </w:p>
        </w:tc>
        <w:tc>
          <w:tcPr>
            <w:tcW w:w="1985" w:type="dxa"/>
            <w:gridSpan w:val="2"/>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bCs/>
                <w:iCs/>
                <w:sz w:val="20"/>
                <w:szCs w:val="20"/>
                <w:lang w:val="ro-MD" w:eastAsia="ru-RU"/>
              </w:rPr>
              <w:t>Neperfectarea relațiilor de arendă pentru terenurile pe care sînt situate corpurile de apă</w:t>
            </w:r>
          </w:p>
        </w:tc>
      </w:tr>
      <w:tr w:rsidR="00903BFF" w:rsidRPr="0077542A" w:rsidTr="001B4D6B">
        <w:trPr>
          <w:trHeight w:val="20"/>
        </w:trPr>
        <w:tc>
          <w:tcPr>
            <w:tcW w:w="3317" w:type="dxa"/>
            <w:vMerge/>
            <w:shd w:val="clear" w:color="auto" w:fill="auto"/>
            <w:hideMark/>
          </w:tcPr>
          <w:p w:rsidR="00903BFF" w:rsidRPr="0077542A" w:rsidRDefault="00903BFF" w:rsidP="001B4D6B">
            <w:pPr>
              <w:spacing w:after="0" w:line="240" w:lineRule="auto"/>
              <w:rPr>
                <w:rFonts w:ascii="Times New Roman" w:eastAsia="Times New Roman" w:hAnsi="Times New Roman"/>
                <w:b/>
                <w:sz w:val="20"/>
                <w:szCs w:val="20"/>
                <w:lang w:val="ro-MD" w:eastAsia="ru-RU"/>
              </w:rPr>
            </w:pPr>
          </w:p>
        </w:tc>
        <w:tc>
          <w:tcPr>
            <w:tcW w:w="902"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Nr. contr.</w:t>
            </w:r>
          </w:p>
        </w:tc>
        <w:tc>
          <w:tcPr>
            <w:tcW w:w="992" w:type="dxa"/>
            <w:shd w:val="clear" w:color="auto" w:fill="auto"/>
            <w:hideMark/>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Suma</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Nr. contr.</w:t>
            </w: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b/>
                <w:sz w:val="18"/>
                <w:szCs w:val="18"/>
                <w:lang w:val="ro-MD" w:eastAsia="ru-RU"/>
              </w:rPr>
            </w:pPr>
            <w:r w:rsidRPr="0077542A">
              <w:rPr>
                <w:rFonts w:ascii="Times New Roman" w:eastAsia="Times New Roman" w:hAnsi="Times New Roman"/>
                <w:b/>
                <w:sz w:val="18"/>
                <w:szCs w:val="18"/>
                <w:lang w:val="ro-MD" w:eastAsia="ru-RU"/>
              </w:rPr>
              <w:t>Pasul licitării,minim (10%)</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
                <w:sz w:val="18"/>
                <w:szCs w:val="18"/>
                <w:lang w:val="ro-MD" w:eastAsia="ru-RU"/>
              </w:rPr>
            </w:pPr>
            <w:r w:rsidRPr="0077542A">
              <w:rPr>
                <w:rFonts w:ascii="Times New Roman" w:eastAsia="Times New Roman" w:hAnsi="Times New Roman"/>
                <w:b/>
                <w:sz w:val="18"/>
                <w:szCs w:val="18"/>
                <w:lang w:val="ro-MD" w:eastAsia="ru-RU"/>
              </w:rPr>
              <w:t>Pasul licitării, maxim (50%)</w:t>
            </w: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Nr. contr.</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Suma</w:t>
            </w: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Nr. unități</w:t>
            </w:r>
          </w:p>
        </w:tc>
        <w:tc>
          <w:tcPr>
            <w:tcW w:w="1134"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Suma</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Supra-fața (ha)</w:t>
            </w:r>
          </w:p>
        </w:tc>
        <w:tc>
          <w:tcPr>
            <w:tcW w:w="1134"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Suma</w:t>
            </w:r>
          </w:p>
        </w:tc>
      </w:tr>
      <w:tr w:rsidR="00903BFF" w:rsidRPr="0077542A" w:rsidTr="001B4D6B">
        <w:trPr>
          <w:trHeight w:val="20"/>
        </w:trPr>
        <w:tc>
          <w:tcPr>
            <w:tcW w:w="3317" w:type="dxa"/>
            <w:shd w:val="clear" w:color="auto" w:fill="auto"/>
            <w:hideMark/>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1</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2</w:t>
            </w:r>
          </w:p>
        </w:tc>
        <w:tc>
          <w:tcPr>
            <w:tcW w:w="992" w:type="dxa"/>
            <w:shd w:val="clear" w:color="auto" w:fill="auto"/>
            <w:vAlign w:val="center"/>
            <w:hideMark/>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3</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4</w:t>
            </w: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5</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6</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7</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8</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9</w:t>
            </w:r>
          </w:p>
        </w:tc>
        <w:tc>
          <w:tcPr>
            <w:tcW w:w="1134" w:type="dxa"/>
            <w:shd w:val="clear" w:color="auto" w:fill="auto"/>
            <w:noWrap/>
            <w:vAlign w:val="center"/>
          </w:tcPr>
          <w:p w:rsidR="00903BFF" w:rsidRPr="0077542A" w:rsidRDefault="00903BFF" w:rsidP="001B4D6B">
            <w:pPr>
              <w:tabs>
                <w:tab w:val="left" w:pos="90"/>
              </w:tabs>
              <w:spacing w:after="0" w:line="240" w:lineRule="auto"/>
              <w:ind w:left="-120"/>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10</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11</w:t>
            </w:r>
          </w:p>
        </w:tc>
        <w:tc>
          <w:tcPr>
            <w:tcW w:w="1134" w:type="dxa"/>
            <w:shd w:val="clear" w:color="auto" w:fill="auto"/>
            <w:noWrap/>
            <w:vAlign w:val="center"/>
          </w:tcPr>
          <w:p w:rsidR="00903BFF" w:rsidRPr="0077542A" w:rsidRDefault="00903BFF" w:rsidP="001B4D6B">
            <w:pPr>
              <w:spacing w:after="0" w:line="240" w:lineRule="auto"/>
              <w:ind w:left="-108"/>
              <w:jc w:val="center"/>
              <w:rPr>
                <w:rFonts w:ascii="Times New Roman" w:eastAsia="Times New Roman" w:hAnsi="Times New Roman"/>
                <w:b/>
                <w:color w:val="000000"/>
                <w:sz w:val="20"/>
                <w:szCs w:val="20"/>
                <w:lang w:val="ro-MD" w:eastAsia="ru-RU"/>
              </w:rPr>
            </w:pPr>
            <w:r w:rsidRPr="0077542A">
              <w:rPr>
                <w:rFonts w:ascii="Times New Roman" w:eastAsia="Times New Roman" w:hAnsi="Times New Roman"/>
                <w:b/>
                <w:color w:val="000000"/>
                <w:sz w:val="20"/>
                <w:szCs w:val="20"/>
                <w:lang w:val="ro-MD" w:eastAsia="ru-RU"/>
              </w:rPr>
              <w:t>12</w:t>
            </w:r>
          </w:p>
        </w:tc>
      </w:tr>
      <w:tr w:rsidR="00903BFF" w:rsidRPr="0077542A" w:rsidTr="001B4D6B">
        <w:trPr>
          <w:trHeight w:val="20"/>
        </w:trPr>
        <w:tc>
          <w:tcPr>
            <w:tcW w:w="3317"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bCs/>
                <w:sz w:val="20"/>
                <w:szCs w:val="20"/>
                <w:lang w:val="ro-MD" w:eastAsia="ru-RU"/>
              </w:rPr>
              <w:t xml:space="preserve">Aparatul președintelui raionului </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1</w:t>
            </w: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0,6</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r w:rsidRPr="0077542A">
              <w:rPr>
                <w:rFonts w:ascii="Times New Roman" w:eastAsia="Times New Roman" w:hAnsi="Times New Roman"/>
                <w:bCs/>
                <w:color w:val="000000"/>
                <w:sz w:val="20"/>
                <w:szCs w:val="20"/>
                <w:lang w:val="ro-MD" w:eastAsia="ru-RU"/>
              </w:rPr>
              <w:t>1</w:t>
            </w: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r w:rsidRPr="0077542A">
              <w:rPr>
                <w:rFonts w:ascii="Times New Roman" w:eastAsia="Times New Roman" w:hAnsi="Times New Roman"/>
                <w:bCs/>
                <w:color w:val="000000"/>
                <w:sz w:val="20"/>
                <w:szCs w:val="20"/>
                <w:lang w:val="ro-MD" w:eastAsia="ru-RU"/>
              </w:rPr>
              <w:t>0,06</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r w:rsidRPr="0077542A">
              <w:rPr>
                <w:rFonts w:ascii="Times New Roman" w:eastAsia="Times New Roman" w:hAnsi="Times New Roman"/>
                <w:bCs/>
                <w:color w:val="000000"/>
                <w:sz w:val="20"/>
                <w:szCs w:val="20"/>
                <w:lang w:val="ro-MD" w:eastAsia="ru-RU"/>
              </w:rPr>
              <w:t>0,3</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r>
      <w:tr w:rsidR="00903BFF" w:rsidRPr="0077542A" w:rsidTr="001B4D6B">
        <w:trPr>
          <w:trHeight w:val="20"/>
        </w:trPr>
        <w:tc>
          <w:tcPr>
            <w:tcW w:w="3317"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bCs/>
                <w:sz w:val="20"/>
                <w:szCs w:val="20"/>
                <w:lang w:val="ro-MD" w:eastAsia="ru-RU"/>
              </w:rPr>
              <w:t>Primăria com. Cubolta</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r w:rsidRPr="0077542A">
              <w:rPr>
                <w:rFonts w:ascii="Times New Roman" w:eastAsia="Times New Roman" w:hAnsi="Times New Roman"/>
                <w:bCs/>
                <w:iCs/>
                <w:color w:val="000000"/>
                <w:sz w:val="20"/>
                <w:szCs w:val="20"/>
                <w:lang w:val="ro-MD" w:eastAsia="ru-RU"/>
              </w:rPr>
              <w:t>1</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r w:rsidRPr="0077542A">
              <w:rPr>
                <w:rFonts w:ascii="Times New Roman" w:eastAsia="Times New Roman" w:hAnsi="Times New Roman"/>
                <w:bCs/>
                <w:color w:val="000000"/>
                <w:sz w:val="20"/>
                <w:szCs w:val="20"/>
                <w:lang w:val="ro-MD" w:eastAsia="ru-RU"/>
              </w:rPr>
              <w:t>0,8</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iCs/>
                <w:color w:val="000000"/>
                <w:sz w:val="20"/>
                <w:szCs w:val="20"/>
                <w:lang w:val="ro-MD" w:eastAsia="ru-RU"/>
              </w:rPr>
            </w:pP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Cs/>
                <w:color w:val="000000"/>
                <w:sz w:val="20"/>
                <w:szCs w:val="20"/>
                <w:lang w:val="ro-MD" w:eastAsia="ru-RU"/>
              </w:rPr>
            </w:pPr>
          </w:p>
        </w:tc>
      </w:tr>
      <w:tr w:rsidR="00903BFF" w:rsidRPr="0077542A" w:rsidTr="001B4D6B">
        <w:trPr>
          <w:trHeight w:val="20"/>
        </w:trPr>
        <w:tc>
          <w:tcPr>
            <w:tcW w:w="3317" w:type="dxa"/>
            <w:shd w:val="clear" w:color="auto" w:fill="auto"/>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bCs/>
                <w:sz w:val="20"/>
                <w:szCs w:val="20"/>
                <w:lang w:val="ro-MD" w:eastAsia="ru-RU"/>
              </w:rPr>
              <w:t>Primăria s. Rădoaia</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3</w:t>
            </w: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6,3</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3</w:t>
            </w: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0,6</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3,1</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25,51</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20,6</w:t>
            </w:r>
          </w:p>
        </w:tc>
      </w:tr>
      <w:tr w:rsidR="00903BFF" w:rsidRPr="0077542A" w:rsidTr="001B4D6B">
        <w:trPr>
          <w:trHeight w:val="20"/>
        </w:trPr>
        <w:tc>
          <w:tcPr>
            <w:tcW w:w="3317"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or. Sîngerei</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11</w:t>
            </w: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89,7</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iCs/>
                <w:color w:val="000000"/>
                <w:sz w:val="20"/>
                <w:szCs w:val="20"/>
                <w:lang w:val="ro-MD" w:eastAsia="ru-RU"/>
              </w:rPr>
            </w:pPr>
            <w:r w:rsidRPr="0077542A">
              <w:rPr>
                <w:rFonts w:ascii="Times New Roman" w:eastAsia="Times New Roman" w:hAnsi="Times New Roman"/>
                <w:iCs/>
                <w:color w:val="000000"/>
                <w:sz w:val="20"/>
                <w:szCs w:val="20"/>
                <w:lang w:val="ro-MD" w:eastAsia="ru-RU"/>
              </w:rPr>
              <w:t>11</w:t>
            </w: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iCs/>
                <w:color w:val="000000"/>
                <w:sz w:val="20"/>
                <w:szCs w:val="20"/>
                <w:lang w:val="ro-MD" w:eastAsia="ru-RU"/>
              </w:rPr>
            </w:pPr>
            <w:r w:rsidRPr="0077542A">
              <w:rPr>
                <w:rFonts w:ascii="Times New Roman" w:eastAsia="Times New Roman" w:hAnsi="Times New Roman"/>
                <w:iCs/>
                <w:color w:val="000000"/>
                <w:sz w:val="20"/>
                <w:szCs w:val="20"/>
                <w:lang w:val="ro-MD" w:eastAsia="ru-RU"/>
              </w:rPr>
              <w:t>9,0</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iCs/>
                <w:color w:val="000000"/>
                <w:sz w:val="20"/>
                <w:szCs w:val="20"/>
                <w:lang w:val="ro-MD" w:eastAsia="ru-RU"/>
              </w:rPr>
            </w:pPr>
            <w:r w:rsidRPr="0077542A">
              <w:rPr>
                <w:rFonts w:ascii="Times New Roman" w:eastAsia="Times New Roman" w:hAnsi="Times New Roman"/>
                <w:iCs/>
                <w:color w:val="000000"/>
                <w:sz w:val="20"/>
                <w:szCs w:val="20"/>
                <w:lang w:val="ro-MD" w:eastAsia="ru-RU"/>
              </w:rPr>
              <w:t>44,8</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iCs/>
                <w:color w:val="000000"/>
                <w:sz w:val="20"/>
                <w:szCs w:val="20"/>
                <w:lang w:val="ro-MD" w:eastAsia="ru-RU"/>
              </w:rPr>
            </w:pPr>
            <w:r w:rsidRPr="0077542A">
              <w:rPr>
                <w:rFonts w:ascii="Times New Roman" w:eastAsia="Times New Roman" w:hAnsi="Times New Roman"/>
                <w:iCs/>
                <w:color w:val="000000"/>
                <w:sz w:val="20"/>
                <w:szCs w:val="20"/>
                <w:lang w:val="ro-MD" w:eastAsia="ru-RU"/>
              </w:rPr>
              <w:t>1</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iCs/>
                <w:color w:val="000000"/>
                <w:sz w:val="20"/>
                <w:szCs w:val="20"/>
                <w:lang w:val="ro-MD" w:eastAsia="ru-RU"/>
              </w:rPr>
            </w:pPr>
            <w:r w:rsidRPr="0077542A">
              <w:rPr>
                <w:rFonts w:ascii="Times New Roman" w:eastAsia="Times New Roman" w:hAnsi="Times New Roman"/>
                <w:iCs/>
                <w:color w:val="000000"/>
                <w:sz w:val="20"/>
                <w:szCs w:val="20"/>
                <w:lang w:val="ro-MD" w:eastAsia="ru-RU"/>
              </w:rPr>
              <w:t>5,8</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iCs/>
                <w:color w:val="000000"/>
                <w:sz w:val="20"/>
                <w:szCs w:val="20"/>
                <w:lang w:val="ro-MD" w:eastAsia="ru-RU"/>
              </w:rPr>
            </w:pP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iCs/>
                <w:color w:val="000000"/>
                <w:sz w:val="20"/>
                <w:szCs w:val="20"/>
                <w:lang w:val="ro-MD" w:eastAsia="ru-RU"/>
              </w:rPr>
            </w:pPr>
            <w:r w:rsidRPr="0077542A">
              <w:rPr>
                <w:rFonts w:ascii="Times New Roman" w:eastAsia="Times New Roman" w:hAnsi="Times New Roman"/>
                <w:iCs/>
                <w:color w:val="000000"/>
                <w:sz w:val="20"/>
                <w:szCs w:val="20"/>
                <w:lang w:val="ro-MD" w:eastAsia="ru-RU"/>
              </w:rPr>
              <w:t>13,72</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11,1</w:t>
            </w:r>
          </w:p>
        </w:tc>
      </w:tr>
      <w:tr w:rsidR="00903BFF" w:rsidRPr="0077542A" w:rsidTr="001B4D6B">
        <w:trPr>
          <w:trHeight w:val="20"/>
        </w:trPr>
        <w:tc>
          <w:tcPr>
            <w:tcW w:w="3317"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or. Biruința</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164</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bCs/>
                <w:iCs/>
                <w:color w:val="000000"/>
                <w:sz w:val="20"/>
                <w:szCs w:val="20"/>
                <w:lang w:val="ro-MD" w:eastAsia="ru-RU"/>
              </w:rPr>
              <w:t>496,9</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r>
      <w:tr w:rsidR="00903BFF" w:rsidRPr="0077542A" w:rsidTr="001B4D6B">
        <w:trPr>
          <w:trHeight w:val="20"/>
        </w:trPr>
        <w:tc>
          <w:tcPr>
            <w:tcW w:w="3317"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com. Sîngereii Noi</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6</w:t>
            </w: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12,8</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6</w:t>
            </w: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1,3</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6,4</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1,6</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4,57</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3,7</w:t>
            </w:r>
          </w:p>
        </w:tc>
      </w:tr>
      <w:tr w:rsidR="00903BFF" w:rsidRPr="0077542A" w:rsidTr="001B4D6B">
        <w:trPr>
          <w:trHeight w:val="20"/>
        </w:trPr>
        <w:tc>
          <w:tcPr>
            <w:tcW w:w="3317"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com. Chișcăreni</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1,6</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1,2</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248,26</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200,4</w:t>
            </w:r>
          </w:p>
        </w:tc>
      </w:tr>
      <w:tr w:rsidR="00903BFF" w:rsidRPr="0077542A" w:rsidTr="001B4D6B">
        <w:trPr>
          <w:trHeight w:val="20"/>
        </w:trPr>
        <w:tc>
          <w:tcPr>
            <w:tcW w:w="3317" w:type="dxa"/>
            <w:shd w:val="clear" w:color="auto" w:fill="auto"/>
            <w:hideMark/>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com. Drăgănești</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1</w:t>
            </w: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8,5</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w:t>
            </w: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0,8</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4,2</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17,5</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42,19</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34,1</w:t>
            </w:r>
          </w:p>
        </w:tc>
      </w:tr>
      <w:tr w:rsidR="00903BFF" w:rsidRPr="0077542A" w:rsidTr="001B4D6B">
        <w:trPr>
          <w:trHeight w:val="20"/>
        </w:trPr>
        <w:tc>
          <w:tcPr>
            <w:tcW w:w="3317" w:type="dxa"/>
            <w:shd w:val="clear" w:color="auto" w:fill="auto"/>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com. Iezărenii Vechi</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158,41</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127,9</w:t>
            </w:r>
          </w:p>
        </w:tc>
      </w:tr>
      <w:tr w:rsidR="00903BFF" w:rsidRPr="0077542A" w:rsidTr="001B4D6B">
        <w:trPr>
          <w:trHeight w:val="20"/>
        </w:trPr>
        <w:tc>
          <w:tcPr>
            <w:tcW w:w="3317" w:type="dxa"/>
            <w:shd w:val="clear" w:color="auto" w:fill="auto"/>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com. Cotiujenii Mici</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13,59</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11,0</w:t>
            </w:r>
          </w:p>
        </w:tc>
      </w:tr>
      <w:tr w:rsidR="00903BFF" w:rsidRPr="0077542A" w:rsidTr="001B4D6B">
        <w:trPr>
          <w:trHeight w:val="20"/>
        </w:trPr>
        <w:tc>
          <w:tcPr>
            <w:tcW w:w="3317" w:type="dxa"/>
            <w:shd w:val="clear" w:color="auto" w:fill="auto"/>
          </w:tcPr>
          <w:p w:rsidR="00903BFF" w:rsidRPr="0077542A" w:rsidRDefault="00903BFF" w:rsidP="001B4D6B">
            <w:pPr>
              <w:spacing w:after="0" w:line="240" w:lineRule="auto"/>
              <w:rPr>
                <w:rFonts w:ascii="Times New Roman" w:eastAsia="Times New Roman" w:hAnsi="Times New Roman"/>
                <w:sz w:val="20"/>
                <w:szCs w:val="20"/>
                <w:lang w:val="ro-MD" w:eastAsia="ru-RU"/>
              </w:rPr>
            </w:pPr>
            <w:r w:rsidRPr="0077542A">
              <w:rPr>
                <w:rFonts w:ascii="Times New Roman" w:eastAsia="Times New Roman" w:hAnsi="Times New Roman"/>
                <w:sz w:val="20"/>
                <w:szCs w:val="20"/>
                <w:lang w:val="ro-MD" w:eastAsia="ru-RU"/>
              </w:rPr>
              <w:t>Primăria com. Bilicenii Vechi</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86,52</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color w:val="000000"/>
                <w:sz w:val="20"/>
                <w:szCs w:val="20"/>
                <w:lang w:val="ro-MD" w:eastAsia="ru-RU"/>
              </w:rPr>
            </w:pPr>
            <w:r w:rsidRPr="0077542A">
              <w:rPr>
                <w:rFonts w:ascii="Times New Roman" w:eastAsia="Times New Roman" w:hAnsi="Times New Roman"/>
                <w:color w:val="000000"/>
                <w:sz w:val="20"/>
                <w:szCs w:val="20"/>
                <w:lang w:val="ro-MD" w:eastAsia="ru-RU"/>
              </w:rPr>
              <w:t>69,8</w:t>
            </w:r>
          </w:p>
        </w:tc>
      </w:tr>
      <w:tr w:rsidR="00903BFF" w:rsidRPr="0077542A" w:rsidTr="001B4D6B">
        <w:trPr>
          <w:trHeight w:val="20"/>
        </w:trPr>
        <w:tc>
          <w:tcPr>
            <w:tcW w:w="3317" w:type="dxa"/>
            <w:shd w:val="clear" w:color="auto" w:fill="auto"/>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Total</w:t>
            </w:r>
          </w:p>
        </w:tc>
        <w:tc>
          <w:tcPr>
            <w:tcW w:w="902"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22</w:t>
            </w:r>
          </w:p>
        </w:tc>
        <w:tc>
          <w:tcPr>
            <w:tcW w:w="992"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sz w:val="20"/>
                <w:szCs w:val="20"/>
                <w:lang w:val="ro-MD" w:eastAsia="ru-RU"/>
              </w:rPr>
            </w:pPr>
            <w:r w:rsidRPr="0077542A">
              <w:rPr>
                <w:rFonts w:ascii="Times New Roman" w:eastAsia="Times New Roman" w:hAnsi="Times New Roman"/>
                <w:b/>
                <w:sz w:val="20"/>
                <w:szCs w:val="20"/>
                <w:lang w:val="ro-MD" w:eastAsia="ru-RU"/>
              </w:rPr>
              <w:t>117,9</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r w:rsidRPr="0077542A">
              <w:rPr>
                <w:rFonts w:ascii="Times New Roman" w:eastAsia="Times New Roman" w:hAnsi="Times New Roman"/>
                <w:b/>
                <w:bCs/>
                <w:iCs/>
                <w:color w:val="000000"/>
                <w:sz w:val="20"/>
                <w:szCs w:val="20"/>
                <w:lang w:val="ro-MD" w:eastAsia="ru-RU"/>
              </w:rPr>
              <w:t>22</w:t>
            </w:r>
          </w:p>
        </w:tc>
        <w:tc>
          <w:tcPr>
            <w:tcW w:w="850" w:type="dxa"/>
            <w:shd w:val="clear" w:color="auto" w:fill="auto"/>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r w:rsidRPr="0077542A">
              <w:rPr>
                <w:rFonts w:ascii="Times New Roman" w:eastAsia="Times New Roman" w:hAnsi="Times New Roman"/>
                <w:b/>
                <w:bCs/>
                <w:iCs/>
                <w:color w:val="000000"/>
                <w:sz w:val="20"/>
                <w:szCs w:val="20"/>
                <w:lang w:val="ro-MD" w:eastAsia="ru-RU"/>
              </w:rPr>
              <w:t>11,8</w:t>
            </w:r>
          </w:p>
        </w:tc>
        <w:tc>
          <w:tcPr>
            <w:tcW w:w="851" w:type="dxa"/>
            <w:shd w:val="clear" w:color="auto" w:fill="auto"/>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r w:rsidRPr="0077542A">
              <w:rPr>
                <w:rFonts w:ascii="Times New Roman" w:eastAsia="Times New Roman" w:hAnsi="Times New Roman"/>
                <w:b/>
                <w:bCs/>
                <w:iCs/>
                <w:color w:val="000000"/>
                <w:sz w:val="20"/>
                <w:szCs w:val="20"/>
                <w:lang w:val="ro-MD" w:eastAsia="ru-RU"/>
              </w:rPr>
              <w:t>58,8</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r w:rsidRPr="0077542A">
              <w:rPr>
                <w:rFonts w:ascii="Times New Roman" w:eastAsia="Times New Roman" w:hAnsi="Times New Roman"/>
                <w:b/>
                <w:bCs/>
                <w:iCs/>
                <w:color w:val="000000"/>
                <w:sz w:val="20"/>
                <w:szCs w:val="20"/>
                <w:lang w:val="ro-MD" w:eastAsia="ru-RU"/>
              </w:rPr>
              <w:t>2</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r w:rsidRPr="0077542A">
              <w:rPr>
                <w:rFonts w:ascii="Times New Roman" w:eastAsia="Times New Roman" w:hAnsi="Times New Roman"/>
                <w:b/>
                <w:bCs/>
                <w:iCs/>
                <w:color w:val="000000"/>
                <w:sz w:val="20"/>
                <w:szCs w:val="20"/>
                <w:lang w:val="ro-MD" w:eastAsia="ru-RU"/>
              </w:rPr>
              <w:t>7,4</w:t>
            </w:r>
          </w:p>
        </w:tc>
        <w:tc>
          <w:tcPr>
            <w:tcW w:w="850"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r w:rsidRPr="0077542A">
              <w:rPr>
                <w:rFonts w:ascii="Times New Roman" w:eastAsia="Times New Roman" w:hAnsi="Times New Roman"/>
                <w:b/>
                <w:bCs/>
                <w:iCs/>
                <w:color w:val="000000"/>
                <w:sz w:val="20"/>
                <w:szCs w:val="20"/>
                <w:lang w:val="ro-MD" w:eastAsia="ru-RU"/>
              </w:rPr>
              <w:t>168</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color w:val="000000"/>
                <w:sz w:val="20"/>
                <w:szCs w:val="20"/>
                <w:lang w:val="ro-MD" w:eastAsia="ru-RU"/>
              </w:rPr>
            </w:pPr>
            <w:r w:rsidRPr="0077542A">
              <w:rPr>
                <w:rFonts w:ascii="Times New Roman" w:eastAsia="Times New Roman" w:hAnsi="Times New Roman"/>
                <w:b/>
                <w:bCs/>
                <w:iCs/>
                <w:color w:val="000000"/>
                <w:sz w:val="20"/>
                <w:szCs w:val="20"/>
                <w:lang w:val="ro-MD" w:eastAsia="ru-RU"/>
              </w:rPr>
              <w:t>518,0</w:t>
            </w:r>
          </w:p>
        </w:tc>
        <w:tc>
          <w:tcPr>
            <w:tcW w:w="851"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iCs/>
                <w:color w:val="000000"/>
                <w:sz w:val="20"/>
                <w:szCs w:val="20"/>
                <w:lang w:val="ro-MD" w:eastAsia="ru-RU"/>
              </w:rPr>
            </w:pPr>
            <w:r w:rsidRPr="0077542A">
              <w:rPr>
                <w:rFonts w:ascii="Times New Roman" w:eastAsia="Times New Roman" w:hAnsi="Times New Roman"/>
                <w:b/>
                <w:bCs/>
                <w:iCs/>
                <w:color w:val="000000"/>
                <w:sz w:val="20"/>
                <w:szCs w:val="20"/>
                <w:lang w:val="ro-MD" w:eastAsia="ru-RU"/>
              </w:rPr>
              <w:t>592,73</w:t>
            </w:r>
          </w:p>
        </w:tc>
        <w:tc>
          <w:tcPr>
            <w:tcW w:w="1134" w:type="dxa"/>
            <w:shd w:val="clear" w:color="auto" w:fill="auto"/>
            <w:noWrap/>
            <w:vAlign w:val="center"/>
          </w:tcPr>
          <w:p w:rsidR="00903BFF" w:rsidRPr="0077542A" w:rsidRDefault="00903BFF" w:rsidP="001B4D6B">
            <w:pPr>
              <w:spacing w:after="0" w:line="240" w:lineRule="auto"/>
              <w:jc w:val="center"/>
              <w:rPr>
                <w:rFonts w:ascii="Times New Roman" w:eastAsia="Times New Roman" w:hAnsi="Times New Roman"/>
                <w:b/>
                <w:bCs/>
                <w:color w:val="000000"/>
                <w:sz w:val="20"/>
                <w:szCs w:val="20"/>
                <w:lang w:val="ro-MD" w:eastAsia="ru-RU"/>
              </w:rPr>
            </w:pPr>
            <w:r w:rsidRPr="0077542A">
              <w:rPr>
                <w:rFonts w:ascii="Times New Roman" w:eastAsia="Times New Roman" w:hAnsi="Times New Roman"/>
                <w:b/>
                <w:bCs/>
                <w:iCs/>
                <w:color w:val="000000"/>
                <w:sz w:val="20"/>
                <w:szCs w:val="20"/>
                <w:lang w:val="ro-MD" w:eastAsia="ru-RU"/>
              </w:rPr>
              <w:t>478,5</w:t>
            </w:r>
          </w:p>
        </w:tc>
      </w:tr>
    </w:tbl>
    <w:p w:rsidR="00903BFF" w:rsidRPr="005F652A" w:rsidRDefault="00903BFF" w:rsidP="00903BFF">
      <w:pPr>
        <w:spacing w:after="0" w:line="240" w:lineRule="auto"/>
        <w:jc w:val="right"/>
        <w:rPr>
          <w:rFonts w:ascii="Times New Roman" w:hAnsi="Times New Roman"/>
          <w:b/>
          <w:sz w:val="24"/>
          <w:szCs w:val="24"/>
          <w:lang w:val="ro-MD"/>
        </w:rPr>
      </w:pPr>
    </w:p>
    <w:p w:rsidR="00903BFF" w:rsidRPr="005F652A" w:rsidRDefault="00903BFF" w:rsidP="00903BFF">
      <w:pPr>
        <w:spacing w:after="0" w:line="240" w:lineRule="auto"/>
        <w:rPr>
          <w:rFonts w:ascii="Times New Roman" w:hAnsi="Times New Roman"/>
          <w:b/>
          <w:sz w:val="24"/>
          <w:szCs w:val="24"/>
          <w:lang w:val="ro-MD"/>
        </w:rPr>
      </w:pPr>
    </w:p>
    <w:p w:rsidR="00903BFF" w:rsidRPr="005F652A" w:rsidRDefault="00903BFF" w:rsidP="00903BFF">
      <w:pPr>
        <w:spacing w:after="0" w:line="240" w:lineRule="auto"/>
        <w:rPr>
          <w:rFonts w:ascii="Times New Roman" w:hAnsi="Times New Roman"/>
          <w:b/>
          <w:sz w:val="24"/>
          <w:szCs w:val="24"/>
          <w:lang w:val="ro-MD"/>
        </w:rPr>
      </w:pPr>
    </w:p>
    <w:p w:rsidR="00903BFF" w:rsidRPr="005F652A" w:rsidRDefault="00903BFF" w:rsidP="00903BFF">
      <w:pPr>
        <w:spacing w:after="0" w:line="240" w:lineRule="auto"/>
        <w:rPr>
          <w:rFonts w:ascii="Times New Roman" w:hAnsi="Times New Roman"/>
          <w:b/>
          <w:sz w:val="24"/>
          <w:szCs w:val="24"/>
          <w:lang w:val="ro-MD"/>
        </w:rPr>
      </w:pPr>
    </w:p>
    <w:p w:rsidR="00903BFF" w:rsidRPr="005F652A" w:rsidRDefault="00903BFF" w:rsidP="00903BFF">
      <w:pPr>
        <w:spacing w:after="0" w:line="240" w:lineRule="auto"/>
        <w:rPr>
          <w:rFonts w:ascii="Times New Roman" w:hAnsi="Times New Roman"/>
          <w:b/>
          <w:sz w:val="24"/>
          <w:szCs w:val="24"/>
          <w:lang w:val="ro-MD"/>
        </w:rPr>
      </w:pPr>
    </w:p>
    <w:p w:rsidR="00903BFF" w:rsidRPr="005F652A" w:rsidRDefault="00903BFF" w:rsidP="00903BFF">
      <w:pPr>
        <w:spacing w:after="0" w:line="240" w:lineRule="auto"/>
        <w:rPr>
          <w:rFonts w:ascii="Times New Roman" w:hAnsi="Times New Roman"/>
          <w:b/>
          <w:sz w:val="24"/>
          <w:szCs w:val="24"/>
          <w:lang w:val="ro-MD"/>
        </w:rPr>
      </w:pPr>
    </w:p>
    <w:p w:rsidR="00903BFF" w:rsidRPr="005F652A" w:rsidRDefault="00903BFF" w:rsidP="00903BFF">
      <w:pPr>
        <w:spacing w:after="0" w:line="240" w:lineRule="auto"/>
        <w:rPr>
          <w:rFonts w:ascii="Times New Roman" w:hAnsi="Times New Roman"/>
          <w:b/>
          <w:sz w:val="24"/>
          <w:szCs w:val="24"/>
          <w:lang w:val="ro-MD"/>
        </w:rPr>
      </w:pPr>
    </w:p>
    <w:p w:rsidR="00903BFF" w:rsidRPr="005F652A" w:rsidRDefault="00903BFF" w:rsidP="00903BFF">
      <w:pPr>
        <w:spacing w:after="0" w:line="240" w:lineRule="auto"/>
        <w:rPr>
          <w:rFonts w:ascii="Times New Roman" w:hAnsi="Times New Roman"/>
          <w:b/>
          <w:sz w:val="24"/>
          <w:szCs w:val="24"/>
          <w:lang w:val="ro-MD"/>
        </w:rPr>
      </w:pPr>
    </w:p>
    <w:p w:rsidR="00903BFF" w:rsidRPr="005F652A" w:rsidRDefault="00903BFF" w:rsidP="00903BFF">
      <w:pPr>
        <w:spacing w:after="0" w:line="240" w:lineRule="auto"/>
        <w:rPr>
          <w:rFonts w:ascii="Times New Roman" w:hAnsi="Times New Roman"/>
          <w:b/>
          <w:sz w:val="24"/>
          <w:szCs w:val="24"/>
          <w:lang w:val="ro-MD"/>
        </w:rPr>
      </w:pPr>
    </w:p>
    <w:p w:rsidR="00903BFF" w:rsidRPr="005F652A" w:rsidRDefault="00903BFF" w:rsidP="00903BFF">
      <w:pPr>
        <w:spacing w:after="0" w:line="240" w:lineRule="auto"/>
        <w:jc w:val="right"/>
        <w:rPr>
          <w:rFonts w:ascii="Times New Roman" w:hAnsi="Times New Roman"/>
          <w:b/>
          <w:sz w:val="24"/>
          <w:szCs w:val="24"/>
          <w:lang w:val="ro-MD"/>
        </w:rPr>
      </w:pPr>
      <w:r w:rsidRPr="005F652A">
        <w:rPr>
          <w:rFonts w:ascii="Times New Roman" w:hAnsi="Times New Roman"/>
          <w:b/>
          <w:sz w:val="24"/>
          <w:szCs w:val="24"/>
          <w:lang w:val="ro-MD"/>
        </w:rPr>
        <w:lastRenderedPageBreak/>
        <w:t>Anexa nr.5</w:t>
      </w:r>
    </w:p>
    <w:p w:rsidR="00903BFF" w:rsidRPr="005F652A" w:rsidRDefault="00903BFF" w:rsidP="00903BFF">
      <w:pPr>
        <w:spacing w:after="0" w:line="240" w:lineRule="auto"/>
        <w:jc w:val="right"/>
        <w:rPr>
          <w:rFonts w:ascii="Times New Roman" w:hAnsi="Times New Roman"/>
          <w:b/>
          <w:sz w:val="24"/>
          <w:szCs w:val="24"/>
          <w:lang w:val="ro-MD"/>
        </w:rPr>
      </w:pPr>
    </w:p>
    <w:p w:rsidR="00903BFF" w:rsidRPr="005F652A" w:rsidRDefault="00903BFF" w:rsidP="00903BFF">
      <w:pPr>
        <w:spacing w:after="0" w:line="240" w:lineRule="auto"/>
        <w:jc w:val="center"/>
        <w:rPr>
          <w:rFonts w:ascii="Times New Roman" w:hAnsi="Times New Roman"/>
          <w:b/>
          <w:sz w:val="24"/>
          <w:szCs w:val="24"/>
          <w:lang w:val="ro-MD"/>
        </w:rPr>
      </w:pPr>
      <w:r w:rsidRPr="005F652A">
        <w:rPr>
          <w:rFonts w:ascii="Times New Roman" w:hAnsi="Times New Roman"/>
          <w:b/>
          <w:sz w:val="24"/>
          <w:szCs w:val="24"/>
          <w:lang w:val="ro-MD"/>
        </w:rPr>
        <w:t>Informați</w:t>
      </w:r>
      <w:r>
        <w:rPr>
          <w:rFonts w:ascii="Times New Roman" w:hAnsi="Times New Roman"/>
          <w:b/>
          <w:sz w:val="24"/>
          <w:szCs w:val="24"/>
          <w:lang w:val="ro-MD"/>
        </w:rPr>
        <w:t>i</w:t>
      </w:r>
      <w:r w:rsidRPr="005F652A">
        <w:rPr>
          <w:rFonts w:ascii="Times New Roman" w:hAnsi="Times New Roman"/>
          <w:b/>
          <w:sz w:val="24"/>
          <w:szCs w:val="24"/>
          <w:lang w:val="ro-MD"/>
        </w:rPr>
        <w:t xml:space="preserve"> </w:t>
      </w:r>
      <w:r>
        <w:rPr>
          <w:rFonts w:ascii="Times New Roman" w:hAnsi="Times New Roman"/>
          <w:b/>
          <w:sz w:val="24"/>
          <w:szCs w:val="24"/>
          <w:lang w:val="ro-MD"/>
        </w:rPr>
        <w:t>privind</w:t>
      </w:r>
      <w:r w:rsidRPr="005F652A">
        <w:rPr>
          <w:rFonts w:ascii="Times New Roman" w:hAnsi="Times New Roman"/>
          <w:b/>
          <w:sz w:val="24"/>
          <w:szCs w:val="24"/>
          <w:lang w:val="ro-MD"/>
        </w:rPr>
        <w:t xml:space="preserve"> neregularitățile remediate în perioada auditului</w:t>
      </w:r>
    </w:p>
    <w:p w:rsidR="00903BFF" w:rsidRPr="005F652A" w:rsidRDefault="00903BFF" w:rsidP="00903BFF">
      <w:pPr>
        <w:tabs>
          <w:tab w:val="left" w:pos="567"/>
        </w:tabs>
        <w:spacing w:after="0" w:line="240" w:lineRule="auto"/>
        <w:rPr>
          <w:rFonts w:ascii="Times New Roman" w:hAnsi="Times New Roman"/>
          <w:b/>
          <w:sz w:val="24"/>
          <w:szCs w:val="24"/>
          <w:lang w:val="ro-MD"/>
        </w:rPr>
      </w:pPr>
    </w:p>
    <w:p w:rsidR="00903BFF" w:rsidRPr="005F652A" w:rsidRDefault="00903BFF" w:rsidP="00903BFF">
      <w:pPr>
        <w:spacing w:after="0" w:line="240" w:lineRule="auto"/>
        <w:jc w:val="center"/>
        <w:rPr>
          <w:rFonts w:ascii="Times New Roman" w:hAnsi="Times New Roman"/>
          <w:sz w:val="24"/>
          <w:szCs w:val="24"/>
          <w:lang w:val="ro-MD"/>
        </w:rPr>
      </w:pP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sidRPr="005F652A">
        <w:rPr>
          <w:rFonts w:ascii="Times New Roman" w:hAnsi="Times New Roman"/>
          <w:b/>
          <w:sz w:val="24"/>
          <w:szCs w:val="24"/>
          <w:lang w:val="ro-MD"/>
        </w:rPr>
        <w:tab/>
      </w:r>
      <w:r>
        <w:rPr>
          <w:rFonts w:ascii="Times New Roman" w:hAnsi="Times New Roman"/>
          <w:sz w:val="20"/>
          <w:szCs w:val="20"/>
          <w:lang w:val="ro-MD"/>
        </w:rPr>
        <w:t xml:space="preserve">       </w:t>
      </w:r>
      <w:r w:rsidRPr="005F652A">
        <w:rPr>
          <w:rFonts w:ascii="Times New Roman" w:hAnsi="Times New Roman"/>
          <w:sz w:val="24"/>
          <w:szCs w:val="24"/>
          <w:lang w:val="ro-MD"/>
        </w:rPr>
        <w:t>(mii lei)</w:t>
      </w: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056"/>
      </w:tblGrid>
      <w:tr w:rsidR="00903BFF" w:rsidRPr="0077542A" w:rsidTr="001B4D6B">
        <w:trPr>
          <w:trHeight w:val="920"/>
        </w:trPr>
        <w:tc>
          <w:tcPr>
            <w:tcW w:w="2694" w:type="dxa"/>
            <w:shd w:val="clear" w:color="auto" w:fill="auto"/>
            <w:vAlign w:val="center"/>
            <w:hideMark/>
          </w:tcPr>
          <w:p w:rsidR="00903BFF" w:rsidRPr="0077542A" w:rsidRDefault="00903BFF" w:rsidP="001B4D6B">
            <w:pPr>
              <w:spacing w:after="0" w:line="240" w:lineRule="auto"/>
              <w:jc w:val="center"/>
              <w:rPr>
                <w:rFonts w:ascii="Times New Roman" w:eastAsia="Times New Roman" w:hAnsi="Times New Roman"/>
                <w:b/>
                <w:sz w:val="24"/>
                <w:szCs w:val="24"/>
                <w:lang w:val="ro-MD" w:eastAsia="ru-RU"/>
              </w:rPr>
            </w:pPr>
            <w:r w:rsidRPr="0077542A">
              <w:rPr>
                <w:rFonts w:ascii="Times New Roman" w:eastAsia="Times New Roman" w:hAnsi="Times New Roman"/>
                <w:b/>
                <w:bCs/>
                <w:sz w:val="24"/>
                <w:szCs w:val="24"/>
                <w:lang w:val="ro-MD" w:eastAsia="ru-RU"/>
              </w:rPr>
              <w:t>Entitatea</w:t>
            </w:r>
          </w:p>
        </w:tc>
        <w:tc>
          <w:tcPr>
            <w:tcW w:w="11056" w:type="dxa"/>
            <w:shd w:val="clear" w:color="auto" w:fill="auto"/>
          </w:tcPr>
          <w:p w:rsidR="00903BFF" w:rsidRPr="0077542A" w:rsidRDefault="00903BFF" w:rsidP="001B4D6B">
            <w:pPr>
              <w:spacing w:after="0" w:line="240" w:lineRule="auto"/>
              <w:jc w:val="center"/>
              <w:rPr>
                <w:rFonts w:ascii="Times New Roman" w:eastAsia="Times New Roman" w:hAnsi="Times New Roman"/>
                <w:b/>
                <w:sz w:val="24"/>
                <w:szCs w:val="24"/>
                <w:lang w:val="ro-MD" w:eastAsia="ru-RU"/>
              </w:rPr>
            </w:pPr>
            <w:r w:rsidRPr="0077542A">
              <w:rPr>
                <w:rFonts w:ascii="Times New Roman" w:eastAsia="Times New Roman" w:hAnsi="Times New Roman"/>
                <w:b/>
                <w:sz w:val="24"/>
                <w:szCs w:val="24"/>
                <w:lang w:val="ro-MD" w:eastAsia="ru-RU"/>
              </w:rPr>
              <w:t>Măsurile întreprinse</w:t>
            </w:r>
          </w:p>
        </w:tc>
      </w:tr>
      <w:tr w:rsidR="00903BFF" w:rsidRPr="0077542A" w:rsidTr="001B4D6B">
        <w:trPr>
          <w:trHeight w:val="20"/>
        </w:trPr>
        <w:tc>
          <w:tcPr>
            <w:tcW w:w="2694" w:type="dxa"/>
            <w:shd w:val="clear" w:color="auto" w:fill="auto"/>
            <w:hideMark/>
          </w:tcPr>
          <w:p w:rsidR="00903BFF" w:rsidRPr="0077542A" w:rsidRDefault="00903BFF" w:rsidP="001B4D6B">
            <w:pPr>
              <w:spacing w:after="0" w:line="240" w:lineRule="auto"/>
              <w:jc w:val="center"/>
              <w:rPr>
                <w:rFonts w:ascii="Times New Roman" w:eastAsia="Times New Roman" w:hAnsi="Times New Roman"/>
                <w:b/>
                <w:sz w:val="24"/>
                <w:szCs w:val="24"/>
                <w:lang w:val="ro-MD" w:eastAsia="ru-RU"/>
              </w:rPr>
            </w:pPr>
            <w:r w:rsidRPr="0077542A">
              <w:rPr>
                <w:rFonts w:ascii="Times New Roman" w:eastAsia="Times New Roman" w:hAnsi="Times New Roman"/>
                <w:b/>
                <w:sz w:val="24"/>
                <w:szCs w:val="24"/>
                <w:lang w:val="ro-MD" w:eastAsia="ru-RU"/>
              </w:rPr>
              <w:t>1</w:t>
            </w:r>
          </w:p>
        </w:tc>
        <w:tc>
          <w:tcPr>
            <w:tcW w:w="11056" w:type="dxa"/>
            <w:shd w:val="clear" w:color="auto" w:fill="auto"/>
            <w:vAlign w:val="center"/>
          </w:tcPr>
          <w:p w:rsidR="00903BFF" w:rsidRPr="0077542A" w:rsidRDefault="00903BFF" w:rsidP="001B4D6B">
            <w:pPr>
              <w:spacing w:after="0" w:line="240" w:lineRule="auto"/>
              <w:jc w:val="center"/>
              <w:rPr>
                <w:rFonts w:ascii="Times New Roman" w:eastAsia="Times New Roman" w:hAnsi="Times New Roman"/>
                <w:b/>
                <w:sz w:val="24"/>
                <w:szCs w:val="24"/>
                <w:lang w:val="ro-MD" w:eastAsia="ru-RU"/>
              </w:rPr>
            </w:pPr>
            <w:r w:rsidRPr="0077542A">
              <w:rPr>
                <w:rFonts w:ascii="Times New Roman" w:eastAsia="Times New Roman" w:hAnsi="Times New Roman"/>
                <w:b/>
                <w:sz w:val="24"/>
                <w:szCs w:val="24"/>
                <w:lang w:val="ro-MD" w:eastAsia="ru-RU"/>
              </w:rPr>
              <w:t>2</w:t>
            </w:r>
          </w:p>
        </w:tc>
      </w:tr>
      <w:tr w:rsidR="00903BFF" w:rsidRPr="0077542A" w:rsidTr="001B4D6B">
        <w:trPr>
          <w:trHeight w:val="811"/>
        </w:trPr>
        <w:tc>
          <w:tcPr>
            <w:tcW w:w="2694" w:type="dxa"/>
            <w:vMerge w:val="restart"/>
            <w:shd w:val="clear" w:color="auto" w:fill="auto"/>
            <w:hideMark/>
          </w:tcPr>
          <w:p w:rsidR="00903BFF" w:rsidRPr="0077542A" w:rsidRDefault="00903BFF" w:rsidP="001B4D6B">
            <w:pPr>
              <w:spacing w:after="0" w:line="240" w:lineRule="auto"/>
              <w:rPr>
                <w:rFonts w:ascii="Times New Roman" w:eastAsia="Times New Roman" w:hAnsi="Times New Roman"/>
                <w:sz w:val="24"/>
                <w:szCs w:val="24"/>
                <w:lang w:val="ro-MD" w:eastAsia="ru-RU"/>
              </w:rPr>
            </w:pPr>
            <w:r w:rsidRPr="0077542A">
              <w:rPr>
                <w:rFonts w:ascii="Times New Roman" w:eastAsia="Times New Roman" w:hAnsi="Times New Roman"/>
                <w:bCs/>
                <w:sz w:val="24"/>
                <w:szCs w:val="24"/>
                <w:lang w:val="ro-MD" w:eastAsia="ru-RU"/>
              </w:rPr>
              <w:t xml:space="preserve">Aparatul președintelui raionului </w:t>
            </w:r>
          </w:p>
        </w:tc>
        <w:tc>
          <w:tcPr>
            <w:tcW w:w="11056" w:type="dxa"/>
            <w:shd w:val="clear" w:color="auto" w:fill="auto"/>
            <w:vAlign w:val="center"/>
          </w:tcPr>
          <w:p w:rsidR="00903BFF" w:rsidRPr="0077542A" w:rsidRDefault="00903BFF" w:rsidP="001B4D6B">
            <w:pPr>
              <w:spacing w:after="0" w:line="240" w:lineRule="auto"/>
              <w:jc w:val="both"/>
              <w:rPr>
                <w:rFonts w:ascii="Times New Roman" w:eastAsia="Times New Roman" w:hAnsi="Times New Roman"/>
                <w:sz w:val="24"/>
                <w:szCs w:val="24"/>
                <w:lang w:val="ro-MD" w:eastAsia="ru-RU"/>
              </w:rPr>
            </w:pPr>
            <w:r w:rsidRPr="0077542A">
              <w:rPr>
                <w:rFonts w:ascii="Times New Roman" w:eastAsia="Times New Roman" w:hAnsi="Times New Roman"/>
                <w:sz w:val="24"/>
                <w:szCs w:val="24"/>
                <w:lang w:val="ro-MD" w:eastAsia="ru-RU"/>
              </w:rPr>
              <w:t>Serviciul contabil al Aparatului președintelui raionului a radiat din evidența contabilă valoarea autobuzului în sumă de 265,0 mii lei, transmis la balanța Direcției Educație, și a corelat subconturile 012 – 019, conform noului sistem de evidență contabilă, cu valoarea proiectului pe apeduct în sumă de 252,4 mii lei. Monumentul, în valoare de 50,0 mii lei, a fost atribuit regulamentar la subcontul corespunzător, conform noului sistem de evidență contabilă</w:t>
            </w:r>
          </w:p>
        </w:tc>
      </w:tr>
      <w:tr w:rsidR="00903BFF" w:rsidRPr="0077542A" w:rsidTr="001B4D6B">
        <w:trPr>
          <w:trHeight w:val="810"/>
        </w:trPr>
        <w:tc>
          <w:tcPr>
            <w:tcW w:w="2694" w:type="dxa"/>
            <w:vMerge/>
            <w:shd w:val="clear" w:color="auto" w:fill="auto"/>
          </w:tcPr>
          <w:p w:rsidR="00903BFF" w:rsidRPr="0077542A" w:rsidRDefault="00903BFF" w:rsidP="001B4D6B">
            <w:pPr>
              <w:spacing w:after="0" w:line="240" w:lineRule="auto"/>
              <w:rPr>
                <w:rFonts w:ascii="Times New Roman" w:eastAsia="Times New Roman" w:hAnsi="Times New Roman"/>
                <w:bCs/>
                <w:sz w:val="24"/>
                <w:szCs w:val="24"/>
                <w:lang w:val="ro-MD" w:eastAsia="ru-RU"/>
              </w:rPr>
            </w:pPr>
          </w:p>
        </w:tc>
        <w:tc>
          <w:tcPr>
            <w:tcW w:w="11056" w:type="dxa"/>
            <w:shd w:val="clear" w:color="auto" w:fill="auto"/>
            <w:vAlign w:val="center"/>
          </w:tcPr>
          <w:p w:rsidR="00903BFF" w:rsidRPr="0077542A" w:rsidRDefault="00903BFF" w:rsidP="001B4D6B">
            <w:pPr>
              <w:spacing w:after="0" w:line="240" w:lineRule="auto"/>
              <w:jc w:val="both"/>
              <w:rPr>
                <w:rFonts w:ascii="Times New Roman" w:eastAsia="Times New Roman" w:hAnsi="Times New Roman"/>
                <w:sz w:val="24"/>
                <w:szCs w:val="24"/>
                <w:lang w:val="ro-MD" w:eastAsia="ru-RU"/>
              </w:rPr>
            </w:pPr>
            <w:r w:rsidRPr="0077542A">
              <w:rPr>
                <w:rFonts w:ascii="Times New Roman" w:eastAsia="Times New Roman" w:hAnsi="Times New Roman"/>
                <w:sz w:val="24"/>
                <w:szCs w:val="24"/>
                <w:lang w:val="ro-MD" w:eastAsia="ru-RU"/>
              </w:rPr>
              <w:t>A efectuat majorarea parțială a valorii mijloacelor fixe, transmise în gestiunea IMSP la fondare, cu suma reparațiilor capitale efectuate în anul 2014 din contul fondului asigurării obligatorii de asistență medicală, în mărime de 8172,2 mii lei (contul 415000 „Acțiuni și alte forme de participare în capitalul în interiorul țării”)</w:t>
            </w:r>
          </w:p>
        </w:tc>
      </w:tr>
      <w:tr w:rsidR="00903BFF" w:rsidRPr="0077542A" w:rsidTr="001B4D6B">
        <w:trPr>
          <w:trHeight w:val="546"/>
        </w:trPr>
        <w:tc>
          <w:tcPr>
            <w:tcW w:w="2694" w:type="dxa"/>
            <w:shd w:val="clear" w:color="auto" w:fill="auto"/>
          </w:tcPr>
          <w:p w:rsidR="00903BFF" w:rsidRPr="0077542A" w:rsidRDefault="00903BFF" w:rsidP="001B4D6B">
            <w:pPr>
              <w:spacing w:after="0" w:line="240" w:lineRule="auto"/>
              <w:rPr>
                <w:rFonts w:ascii="Times New Roman" w:eastAsia="Times New Roman" w:hAnsi="Times New Roman"/>
                <w:bCs/>
                <w:sz w:val="24"/>
                <w:szCs w:val="24"/>
                <w:lang w:val="ro-MD" w:eastAsia="ru-RU"/>
              </w:rPr>
            </w:pPr>
            <w:r w:rsidRPr="0077542A">
              <w:rPr>
                <w:rFonts w:ascii="Times New Roman" w:eastAsia="Times New Roman" w:hAnsi="Times New Roman"/>
                <w:bCs/>
                <w:sz w:val="24"/>
                <w:szCs w:val="24"/>
                <w:lang w:val="ro-MD" w:eastAsia="ru-RU"/>
              </w:rPr>
              <w:t>Direcția Finanțe</w:t>
            </w:r>
          </w:p>
        </w:tc>
        <w:tc>
          <w:tcPr>
            <w:tcW w:w="11056" w:type="dxa"/>
            <w:shd w:val="clear" w:color="auto" w:fill="auto"/>
          </w:tcPr>
          <w:p w:rsidR="00903BFF" w:rsidRPr="0077542A" w:rsidRDefault="00903BFF" w:rsidP="001B4D6B">
            <w:pPr>
              <w:spacing w:after="0" w:line="240" w:lineRule="auto"/>
              <w:jc w:val="both"/>
              <w:rPr>
                <w:rFonts w:ascii="Times New Roman" w:eastAsia="Times New Roman" w:hAnsi="Times New Roman"/>
                <w:sz w:val="24"/>
                <w:szCs w:val="24"/>
                <w:lang w:val="ro-MD" w:eastAsia="ru-RU"/>
              </w:rPr>
            </w:pPr>
            <w:r w:rsidRPr="0077542A">
              <w:rPr>
                <w:rFonts w:ascii="Times New Roman" w:eastAsia="Times New Roman" w:hAnsi="Times New Roman"/>
                <w:sz w:val="24"/>
                <w:szCs w:val="24"/>
                <w:lang w:val="ro-MD" w:eastAsia="ru-RU"/>
              </w:rPr>
              <w:t>A reflectat suma de 430,0 mii lei la contul corespunzător de evidență contabilă 722000 „Rezultatul financiar al instituției bugetare din anii precedenți”</w:t>
            </w:r>
          </w:p>
        </w:tc>
      </w:tr>
      <w:tr w:rsidR="00903BFF" w:rsidRPr="0077542A" w:rsidTr="001B4D6B">
        <w:trPr>
          <w:trHeight w:val="672"/>
        </w:trPr>
        <w:tc>
          <w:tcPr>
            <w:tcW w:w="2694" w:type="dxa"/>
            <w:shd w:val="clear" w:color="auto" w:fill="auto"/>
            <w:hideMark/>
          </w:tcPr>
          <w:p w:rsidR="00903BFF" w:rsidRPr="0077542A" w:rsidRDefault="00903BFF" w:rsidP="001B4D6B">
            <w:pPr>
              <w:spacing w:after="0" w:line="240" w:lineRule="auto"/>
              <w:rPr>
                <w:rFonts w:ascii="Times New Roman" w:eastAsia="Times New Roman" w:hAnsi="Times New Roman"/>
                <w:sz w:val="24"/>
                <w:szCs w:val="24"/>
                <w:lang w:val="ro-MD" w:eastAsia="ru-RU"/>
              </w:rPr>
            </w:pPr>
            <w:r w:rsidRPr="0077542A">
              <w:rPr>
                <w:rFonts w:ascii="Times New Roman" w:eastAsia="Times New Roman" w:hAnsi="Times New Roman"/>
                <w:bCs/>
                <w:sz w:val="24"/>
                <w:szCs w:val="24"/>
                <w:lang w:val="ro-MD" w:eastAsia="ru-RU"/>
              </w:rPr>
              <w:t>Primăria or. Biruința</w:t>
            </w:r>
          </w:p>
        </w:tc>
        <w:tc>
          <w:tcPr>
            <w:tcW w:w="11056" w:type="dxa"/>
            <w:shd w:val="clear" w:color="auto" w:fill="auto"/>
            <w:vAlign w:val="center"/>
          </w:tcPr>
          <w:p w:rsidR="00903BFF" w:rsidRPr="0077542A" w:rsidRDefault="00903BFF" w:rsidP="001B4D6B">
            <w:pPr>
              <w:spacing w:after="0" w:line="240" w:lineRule="auto"/>
              <w:jc w:val="both"/>
              <w:rPr>
                <w:rFonts w:ascii="Times New Roman" w:eastAsia="Times New Roman" w:hAnsi="Times New Roman"/>
                <w:sz w:val="24"/>
                <w:szCs w:val="24"/>
                <w:lang w:val="ro-MD" w:eastAsia="ru-RU"/>
              </w:rPr>
            </w:pPr>
            <w:r w:rsidRPr="0077542A">
              <w:rPr>
                <w:rFonts w:ascii="Times New Roman" w:eastAsia="Times New Roman" w:hAnsi="Times New Roman"/>
                <w:sz w:val="24"/>
                <w:szCs w:val="24"/>
                <w:lang w:val="ro-MD" w:eastAsia="ru-RU"/>
              </w:rPr>
              <w:t>Serviciul contabil al primăriei or. Biruința a reflectat în evidența contabilă clădirea administrativă cu valoarea de bilanț de 542,0 mii lei</w:t>
            </w:r>
          </w:p>
        </w:tc>
      </w:tr>
      <w:tr w:rsidR="00903BFF" w:rsidRPr="0077542A" w:rsidTr="001B4D6B">
        <w:trPr>
          <w:trHeight w:val="672"/>
        </w:trPr>
        <w:tc>
          <w:tcPr>
            <w:tcW w:w="2694" w:type="dxa"/>
            <w:shd w:val="clear" w:color="auto" w:fill="auto"/>
          </w:tcPr>
          <w:p w:rsidR="00903BFF" w:rsidRPr="0077542A" w:rsidRDefault="00903BFF" w:rsidP="001B4D6B">
            <w:pPr>
              <w:spacing w:after="0" w:line="240" w:lineRule="auto"/>
              <w:rPr>
                <w:rFonts w:ascii="Times New Roman" w:eastAsia="Times New Roman" w:hAnsi="Times New Roman"/>
                <w:bCs/>
                <w:sz w:val="24"/>
                <w:szCs w:val="24"/>
                <w:lang w:val="ro-MD" w:eastAsia="ru-RU"/>
              </w:rPr>
            </w:pPr>
            <w:r w:rsidRPr="0077542A">
              <w:rPr>
                <w:rFonts w:ascii="Times New Roman" w:eastAsia="Times New Roman" w:hAnsi="Times New Roman"/>
                <w:bCs/>
                <w:sz w:val="24"/>
                <w:szCs w:val="24"/>
                <w:lang w:val="ro-MD" w:eastAsia="ru-RU"/>
              </w:rPr>
              <w:t>Primăria com. Sîngereii Noi</w:t>
            </w:r>
          </w:p>
        </w:tc>
        <w:tc>
          <w:tcPr>
            <w:tcW w:w="11056" w:type="dxa"/>
            <w:shd w:val="clear" w:color="auto" w:fill="auto"/>
            <w:vAlign w:val="center"/>
          </w:tcPr>
          <w:p w:rsidR="00903BFF" w:rsidRPr="0077542A" w:rsidRDefault="00903BFF" w:rsidP="001B4D6B">
            <w:pPr>
              <w:spacing w:after="0" w:line="240" w:lineRule="auto"/>
              <w:jc w:val="both"/>
              <w:rPr>
                <w:rFonts w:ascii="Times New Roman" w:eastAsia="Times New Roman" w:hAnsi="Times New Roman"/>
                <w:sz w:val="24"/>
                <w:szCs w:val="24"/>
                <w:lang w:val="ro-MD" w:eastAsia="ru-RU"/>
              </w:rPr>
            </w:pPr>
            <w:r w:rsidRPr="0077542A">
              <w:rPr>
                <w:rFonts w:ascii="Times New Roman" w:eastAsia="Times New Roman" w:hAnsi="Times New Roman"/>
                <w:sz w:val="24"/>
                <w:szCs w:val="24"/>
                <w:lang w:val="ro-MD" w:eastAsia="ru-RU"/>
              </w:rPr>
              <w:t>A radiat din evidența contabilă automobilul</w:t>
            </w:r>
            <w:r w:rsidRPr="0077542A">
              <w:rPr>
                <w:rFonts w:ascii="Times New Roman" w:eastAsia="Times New Roman" w:hAnsi="Times New Roman"/>
                <w:sz w:val="28"/>
                <w:szCs w:val="28"/>
                <w:lang w:val="ro-MD" w:eastAsia="ru-RU"/>
              </w:rPr>
              <w:t xml:space="preserve"> </w:t>
            </w:r>
            <w:r w:rsidRPr="0077542A">
              <w:rPr>
                <w:rFonts w:ascii="Times New Roman" w:eastAsia="Times New Roman" w:hAnsi="Times New Roman"/>
                <w:sz w:val="24"/>
                <w:szCs w:val="24"/>
                <w:lang w:val="ro-MD" w:eastAsia="ru-RU"/>
              </w:rPr>
              <w:t xml:space="preserve">Gaz 3102 (52,0 mii lei), care în anul 2014 a fost transmis gratuit la balanța Stației de asistență medicală urgentă </w:t>
            </w:r>
          </w:p>
        </w:tc>
      </w:tr>
    </w:tbl>
    <w:p w:rsidR="00903BFF" w:rsidRPr="005F652A" w:rsidRDefault="00903BFF" w:rsidP="00903BFF">
      <w:pPr>
        <w:tabs>
          <w:tab w:val="left" w:pos="567"/>
        </w:tabs>
        <w:spacing w:after="0" w:line="240" w:lineRule="auto"/>
        <w:jc w:val="both"/>
        <w:rPr>
          <w:rFonts w:ascii="Times New Roman" w:eastAsia="Times New Roman" w:hAnsi="Times New Roman"/>
          <w:b/>
          <w:sz w:val="24"/>
          <w:szCs w:val="24"/>
          <w:lang w:val="ro-MD"/>
        </w:rPr>
        <w:sectPr w:rsidR="00903BFF" w:rsidRPr="005F652A" w:rsidSect="00BB4A0B">
          <w:pgSz w:w="16838" w:h="11906" w:orient="landscape"/>
          <w:pgMar w:top="1560" w:right="851" w:bottom="907" w:left="1418" w:header="709" w:footer="709" w:gutter="0"/>
          <w:cols w:space="708"/>
          <w:docGrid w:linePitch="360"/>
        </w:sectPr>
      </w:pPr>
    </w:p>
    <w:p w:rsidR="00903BFF" w:rsidRPr="005F652A" w:rsidRDefault="00903BFF" w:rsidP="00903BFF">
      <w:pPr>
        <w:widowControl w:val="0"/>
        <w:rPr>
          <w:rFonts w:ascii="Times New Roman" w:hAnsi="Times New Roman"/>
          <w:lang w:val="ro-MD"/>
        </w:rPr>
      </w:pPr>
    </w:p>
    <w:p w:rsidR="00F86EC5" w:rsidRDefault="00F86EC5">
      <w:bookmarkStart w:id="0" w:name="_GoBack"/>
      <w:bookmarkEnd w:id="0"/>
    </w:p>
    <w:sectPr w:rsidR="00F86EC5" w:rsidSect="00736635">
      <w:type w:val="continuous"/>
      <w:pgSz w:w="16838" w:h="11906" w:orient="landscape" w:code="9"/>
      <w:pgMar w:top="1559" w:right="992"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5D" w:rsidRDefault="0059305D" w:rsidP="00903BFF">
      <w:pPr>
        <w:spacing w:after="0" w:line="240" w:lineRule="auto"/>
      </w:pPr>
      <w:r>
        <w:separator/>
      </w:r>
    </w:p>
  </w:endnote>
  <w:endnote w:type="continuationSeparator" w:id="0">
    <w:p w:rsidR="0059305D" w:rsidRDefault="0059305D" w:rsidP="0090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Nimbus Sans L">
    <w:altName w:val="Times New Roman"/>
    <w:charset w:val="00"/>
    <w:family w:val="auto"/>
    <w:pitch w:val="variable"/>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FF" w:rsidRDefault="00903BFF">
    <w:pPr>
      <w:pStyle w:val="af"/>
      <w:jc w:val="right"/>
    </w:pPr>
    <w:r>
      <w:fldChar w:fldCharType="begin"/>
    </w:r>
    <w:r>
      <w:instrText xml:space="preserve"> PAGE   \* MERGEFORMAT </w:instrText>
    </w:r>
    <w:r>
      <w:fldChar w:fldCharType="separate"/>
    </w:r>
    <w:r>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5D" w:rsidRDefault="0059305D" w:rsidP="00903BFF">
      <w:pPr>
        <w:spacing w:after="0" w:line="240" w:lineRule="auto"/>
      </w:pPr>
      <w:r>
        <w:separator/>
      </w:r>
    </w:p>
  </w:footnote>
  <w:footnote w:type="continuationSeparator" w:id="0">
    <w:p w:rsidR="0059305D" w:rsidRDefault="0059305D" w:rsidP="00903BFF">
      <w:pPr>
        <w:spacing w:after="0" w:line="240" w:lineRule="auto"/>
      </w:pPr>
      <w:r>
        <w:continuationSeparator/>
      </w:r>
    </w:p>
  </w:footnote>
  <w:footnote w:id="1">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eastAsia="Times New Roman" w:hAnsi="Times New Roman"/>
          <w:sz w:val="18"/>
          <w:szCs w:val="18"/>
          <w:lang w:val="ro-RO" w:eastAsia="ru-RU"/>
        </w:rPr>
        <w:t xml:space="preserve"> Legea Curții de Conturi nr.261-XVI din 05.12.2008.</w:t>
      </w:r>
    </w:p>
  </w:footnote>
  <w:footnote w:id="2">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Legea contabilității nr.113-XVI din 27.04.2007.</w:t>
      </w:r>
    </w:p>
  </w:footnote>
  <w:footnote w:id="3">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Valoarea clădirilor conform datelor DASPF, inclusiv costul reparațiilor capitale executate ulterior: grădinița nr.3 – 1606,7 mii lei; grădinița nr.4 – 1448,0 mii lei.</w:t>
      </w:r>
    </w:p>
  </w:footnote>
  <w:footnote w:id="4">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Centrul de reabilitare pentru invalizi și pensionari „Agape”; Centrul de plasament pentru copii „Raza Soarelui”.</w:t>
      </w:r>
    </w:p>
  </w:footnote>
  <w:footnote w:id="5">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Clădire administrativă (7402103057.01 – 336,8 m</w:t>
      </w:r>
      <w:r w:rsidRPr="00747F05">
        <w:rPr>
          <w:rFonts w:ascii="Times New Roman" w:hAnsi="Times New Roman"/>
          <w:sz w:val="18"/>
          <w:szCs w:val="18"/>
          <w:vertAlign w:val="superscript"/>
          <w:lang w:val="ro-RO"/>
        </w:rPr>
        <w:t>2</w:t>
      </w:r>
      <w:r w:rsidRPr="00747F05">
        <w:rPr>
          <w:rFonts w:ascii="Times New Roman" w:hAnsi="Times New Roman"/>
          <w:sz w:val="18"/>
          <w:szCs w:val="18"/>
          <w:lang w:val="ro-RO"/>
        </w:rPr>
        <w:t>) cu valoarea evaluată de 542,0 mii lei; 163 de garaje cu suprafața totală de circa 4236,0 m</w:t>
      </w:r>
      <w:r w:rsidRPr="00747F05">
        <w:rPr>
          <w:rFonts w:ascii="Times New Roman" w:hAnsi="Times New Roman"/>
          <w:sz w:val="18"/>
          <w:szCs w:val="18"/>
          <w:vertAlign w:val="superscript"/>
          <w:lang w:val="ro-RO"/>
        </w:rPr>
        <w:t>2</w:t>
      </w:r>
      <w:r w:rsidRPr="00747F05">
        <w:rPr>
          <w:rFonts w:ascii="Times New Roman" w:hAnsi="Times New Roman"/>
          <w:sz w:val="18"/>
          <w:szCs w:val="18"/>
          <w:lang w:val="ro-RO"/>
        </w:rPr>
        <w:t xml:space="preserve">, transmise în proprietate publică de </w:t>
      </w:r>
      <w:r>
        <w:rPr>
          <w:rFonts w:ascii="Times New Roman" w:hAnsi="Times New Roman"/>
          <w:sz w:val="18"/>
          <w:szCs w:val="18"/>
          <w:lang w:val="ro-RO"/>
        </w:rPr>
        <w:t>F</w:t>
      </w:r>
      <w:r w:rsidRPr="00747F05">
        <w:rPr>
          <w:rFonts w:ascii="Times New Roman" w:hAnsi="Times New Roman"/>
          <w:sz w:val="18"/>
          <w:szCs w:val="18"/>
          <w:lang w:val="ro-RO"/>
        </w:rPr>
        <w:t xml:space="preserve">abrica de zahăr din localitate și înregistrate la </w:t>
      </w:r>
      <w:r>
        <w:rPr>
          <w:rFonts w:ascii="Times New Roman" w:hAnsi="Times New Roman"/>
          <w:sz w:val="18"/>
          <w:szCs w:val="18"/>
          <w:lang w:val="ro-RO"/>
        </w:rPr>
        <w:t>OCT</w:t>
      </w:r>
      <w:r w:rsidRPr="00747F05">
        <w:rPr>
          <w:rFonts w:ascii="Times New Roman" w:hAnsi="Times New Roman"/>
          <w:sz w:val="18"/>
          <w:szCs w:val="18"/>
          <w:lang w:val="ro-RO"/>
        </w:rPr>
        <w:t>.</w:t>
      </w:r>
    </w:p>
  </w:footnote>
  <w:footnote w:id="6">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Pr>
          <w:rFonts w:ascii="Times New Roman" w:hAnsi="Times New Roman"/>
          <w:sz w:val="18"/>
          <w:szCs w:val="18"/>
          <w:lang w:val="ro-RO"/>
        </w:rPr>
        <w:t xml:space="preserve"> Pct.37, pct.234 din </w:t>
      </w:r>
      <w:r w:rsidRPr="00747F05">
        <w:rPr>
          <w:rFonts w:ascii="Times New Roman" w:hAnsi="Times New Roman"/>
          <w:sz w:val="18"/>
          <w:szCs w:val="18"/>
          <w:lang w:val="ro-RO"/>
        </w:rPr>
        <w:t xml:space="preserve">Instrucțiunea cu privire la evidența </w:t>
      </w:r>
      <w:r>
        <w:rPr>
          <w:rFonts w:ascii="Times New Roman" w:hAnsi="Times New Roman"/>
          <w:sz w:val="18"/>
          <w:szCs w:val="18"/>
          <w:lang w:val="ro-RO"/>
        </w:rPr>
        <w:t>contabilă în unitățile bugetare</w:t>
      </w:r>
      <w:r w:rsidRPr="00747F05">
        <w:rPr>
          <w:rFonts w:ascii="Times New Roman" w:hAnsi="Times New Roman"/>
          <w:sz w:val="18"/>
          <w:szCs w:val="18"/>
          <w:lang w:val="ro-RO"/>
        </w:rPr>
        <w:t xml:space="preserve">, aprobată prin Ordinul ministrului </w:t>
      </w:r>
      <w:r>
        <w:rPr>
          <w:rFonts w:ascii="Times New Roman" w:hAnsi="Times New Roman"/>
          <w:sz w:val="18"/>
          <w:szCs w:val="18"/>
          <w:lang w:val="ro-RO"/>
        </w:rPr>
        <w:t>F</w:t>
      </w:r>
      <w:r w:rsidRPr="00747F05">
        <w:rPr>
          <w:rFonts w:ascii="Times New Roman" w:hAnsi="Times New Roman"/>
          <w:sz w:val="18"/>
          <w:szCs w:val="18"/>
          <w:lang w:val="ro-RO"/>
        </w:rPr>
        <w:t xml:space="preserve">inanțelor nr.93 din 19.07.2010 (în continuare – Instrucțiunea aprobată prin Ordinul ministrului </w:t>
      </w:r>
      <w:r>
        <w:rPr>
          <w:rFonts w:ascii="Times New Roman" w:hAnsi="Times New Roman"/>
          <w:sz w:val="18"/>
          <w:szCs w:val="18"/>
          <w:lang w:val="ro-RO"/>
        </w:rPr>
        <w:t>F</w:t>
      </w:r>
      <w:r w:rsidRPr="00747F05">
        <w:rPr>
          <w:rFonts w:ascii="Times New Roman" w:hAnsi="Times New Roman"/>
          <w:sz w:val="18"/>
          <w:szCs w:val="18"/>
          <w:lang w:val="ro-RO"/>
        </w:rPr>
        <w:t xml:space="preserve">inanțelor nr.93 din 19.07.2010), abrogată prin Ordinul ministrului </w:t>
      </w:r>
      <w:r>
        <w:rPr>
          <w:rFonts w:ascii="Times New Roman" w:hAnsi="Times New Roman"/>
          <w:sz w:val="18"/>
          <w:szCs w:val="18"/>
          <w:lang w:val="ro-RO"/>
        </w:rPr>
        <w:t>F</w:t>
      </w:r>
      <w:r w:rsidRPr="00747F05">
        <w:rPr>
          <w:rFonts w:ascii="Times New Roman" w:hAnsi="Times New Roman"/>
          <w:sz w:val="18"/>
          <w:szCs w:val="18"/>
          <w:lang w:val="ro-RO"/>
        </w:rPr>
        <w:t xml:space="preserve">inanțelor nr.216 din 28.12.2015; </w:t>
      </w:r>
      <w:r>
        <w:rPr>
          <w:rFonts w:ascii="Times New Roman" w:hAnsi="Times New Roman"/>
          <w:sz w:val="18"/>
          <w:szCs w:val="18"/>
          <w:lang w:val="ro-RO"/>
        </w:rPr>
        <w:t>p</w:t>
      </w:r>
      <w:r w:rsidRPr="00747F05">
        <w:rPr>
          <w:rFonts w:ascii="Times New Roman" w:hAnsi="Times New Roman"/>
          <w:sz w:val="18"/>
          <w:szCs w:val="18"/>
          <w:lang w:val="ro-RO"/>
        </w:rPr>
        <w:t>ct.6-74, pct.188 din Instrucțiunea cu privire la evidența contabilă în contabilitățile centralizatoare din cadrul primăriilo</w:t>
      </w:r>
      <w:r>
        <w:rPr>
          <w:rFonts w:ascii="Times New Roman" w:hAnsi="Times New Roman"/>
          <w:sz w:val="18"/>
          <w:szCs w:val="18"/>
          <w:lang w:val="ro-RO"/>
        </w:rPr>
        <w:t>r satelor (comunelor), orașelor</w:t>
      </w:r>
      <w:r w:rsidRPr="00747F05">
        <w:rPr>
          <w:rFonts w:ascii="Times New Roman" w:hAnsi="Times New Roman"/>
          <w:sz w:val="18"/>
          <w:szCs w:val="18"/>
          <w:lang w:val="ro-RO"/>
        </w:rPr>
        <w:t xml:space="preserve">, aprobată </w:t>
      </w:r>
      <w:r>
        <w:rPr>
          <w:rFonts w:ascii="Times New Roman" w:hAnsi="Times New Roman"/>
          <w:sz w:val="18"/>
          <w:szCs w:val="18"/>
          <w:lang w:val="ro-RO"/>
        </w:rPr>
        <w:t xml:space="preserve">prin </w:t>
      </w:r>
      <w:r w:rsidRPr="00747F05">
        <w:rPr>
          <w:rFonts w:ascii="Times New Roman" w:hAnsi="Times New Roman"/>
          <w:sz w:val="18"/>
          <w:szCs w:val="18"/>
          <w:lang w:val="ro-RO"/>
        </w:rPr>
        <w:t xml:space="preserve">Ordinul ministrului </w:t>
      </w:r>
      <w:r>
        <w:rPr>
          <w:rFonts w:ascii="Times New Roman" w:hAnsi="Times New Roman"/>
          <w:sz w:val="18"/>
          <w:szCs w:val="18"/>
          <w:lang w:val="ro-RO"/>
        </w:rPr>
        <w:t>F</w:t>
      </w:r>
      <w:r w:rsidRPr="00747F05">
        <w:rPr>
          <w:rFonts w:ascii="Times New Roman" w:hAnsi="Times New Roman"/>
          <w:sz w:val="18"/>
          <w:szCs w:val="18"/>
          <w:lang w:val="ro-RO"/>
        </w:rPr>
        <w:t xml:space="preserve">inanțelor nr.94 din 19.07.2010 (în continuare – Instrucțiunea aprobată prin </w:t>
      </w:r>
      <w:r>
        <w:rPr>
          <w:rFonts w:ascii="Times New Roman" w:hAnsi="Times New Roman"/>
          <w:sz w:val="18"/>
          <w:szCs w:val="18"/>
          <w:lang w:val="ro-RO"/>
        </w:rPr>
        <w:t>O</w:t>
      </w:r>
      <w:r w:rsidRPr="00747F05">
        <w:rPr>
          <w:rFonts w:ascii="Times New Roman" w:hAnsi="Times New Roman"/>
          <w:sz w:val="18"/>
          <w:szCs w:val="18"/>
          <w:lang w:val="ro-RO"/>
        </w:rPr>
        <w:t xml:space="preserve">rdinul ministrului </w:t>
      </w:r>
      <w:r>
        <w:rPr>
          <w:rFonts w:ascii="Times New Roman" w:hAnsi="Times New Roman"/>
          <w:sz w:val="18"/>
          <w:szCs w:val="18"/>
          <w:lang w:val="ro-RO"/>
        </w:rPr>
        <w:t>F</w:t>
      </w:r>
      <w:r w:rsidRPr="00747F05">
        <w:rPr>
          <w:rFonts w:ascii="Times New Roman" w:hAnsi="Times New Roman"/>
          <w:sz w:val="18"/>
          <w:szCs w:val="18"/>
          <w:lang w:val="ro-RO"/>
        </w:rPr>
        <w:t xml:space="preserve">inanțelor nr.94 din 19.07.2010), abrogată prin Ordinul ministrului </w:t>
      </w:r>
      <w:r>
        <w:rPr>
          <w:rFonts w:ascii="Times New Roman" w:hAnsi="Times New Roman"/>
          <w:sz w:val="18"/>
          <w:szCs w:val="18"/>
          <w:lang w:val="ro-RO"/>
        </w:rPr>
        <w:t>F</w:t>
      </w:r>
      <w:r w:rsidRPr="00747F05">
        <w:rPr>
          <w:rFonts w:ascii="Times New Roman" w:hAnsi="Times New Roman"/>
          <w:sz w:val="18"/>
          <w:szCs w:val="18"/>
          <w:lang w:val="ro-RO"/>
        </w:rPr>
        <w:t>inanțelor nr.216 din 28.12.2015.</w:t>
      </w:r>
    </w:p>
  </w:footnote>
  <w:footnote w:id="7">
    <w:p w:rsidR="00903BFF" w:rsidRPr="002730A5" w:rsidRDefault="00903BFF" w:rsidP="00903BFF">
      <w:pPr>
        <w:pStyle w:val="a7"/>
        <w:rPr>
          <w:rFonts w:ascii="Times New Roman" w:hAnsi="Times New Roman"/>
          <w:sz w:val="18"/>
          <w:szCs w:val="18"/>
          <w:lang w:val="en-US"/>
        </w:rPr>
      </w:pPr>
      <w:r w:rsidRPr="002730A5">
        <w:rPr>
          <w:rStyle w:val="a9"/>
          <w:rFonts w:ascii="Times New Roman" w:hAnsi="Times New Roman"/>
          <w:sz w:val="18"/>
          <w:szCs w:val="18"/>
        </w:rPr>
        <w:footnoteRef/>
      </w:r>
      <w:r w:rsidRPr="002730A5">
        <w:rPr>
          <w:rFonts w:ascii="Times New Roman" w:hAnsi="Times New Roman"/>
          <w:sz w:val="18"/>
          <w:szCs w:val="18"/>
          <w:lang w:val="en-US"/>
        </w:rPr>
        <w:t xml:space="preserve"> </w:t>
      </w:r>
      <w:r>
        <w:rPr>
          <w:rFonts w:ascii="Times New Roman" w:eastAsia="Times New Roman" w:hAnsi="Times New Roman"/>
          <w:sz w:val="18"/>
          <w:szCs w:val="18"/>
          <w:lang w:val="ro-RO"/>
        </w:rPr>
        <w:t>D</w:t>
      </w:r>
      <w:r w:rsidRPr="002730A5">
        <w:rPr>
          <w:rFonts w:ascii="Times New Roman" w:eastAsia="Times New Roman" w:hAnsi="Times New Roman"/>
          <w:sz w:val="18"/>
          <w:szCs w:val="18"/>
          <w:lang w:val="ro-RO"/>
        </w:rPr>
        <w:t>ocumentația de proiect (010 – 199,5 mii lei); utilajul cazangeriei (010 – 39,4 mii lei); subsolul (013 – 3,0 mii lei); garajul (013 – 7,5 mii lei); conductele de apă (013 – 37,3 mii lei); drumul (019 – 499,8 mii lei)</w:t>
      </w:r>
      <w:r>
        <w:rPr>
          <w:rFonts w:ascii="Times New Roman" w:eastAsia="Times New Roman" w:hAnsi="Times New Roman"/>
          <w:sz w:val="18"/>
          <w:szCs w:val="18"/>
          <w:lang w:val="ro-RO"/>
        </w:rPr>
        <w:t>.</w:t>
      </w:r>
    </w:p>
  </w:footnote>
  <w:footnote w:id="8">
    <w:p w:rsidR="00903BFF" w:rsidRPr="00A0596C" w:rsidRDefault="00903BFF" w:rsidP="00903BFF">
      <w:pPr>
        <w:pStyle w:val="a7"/>
        <w:jc w:val="both"/>
        <w:rPr>
          <w:rFonts w:ascii="Times New Roman" w:hAnsi="Times New Roman"/>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w:t>
      </w:r>
      <w:r>
        <w:rPr>
          <w:rFonts w:ascii="Times New Roman" w:hAnsi="Times New Roman"/>
          <w:sz w:val="18"/>
          <w:szCs w:val="18"/>
          <w:lang w:val="ro-RO"/>
        </w:rPr>
        <w:t>Regulamentul</w:t>
      </w:r>
      <w:r w:rsidRPr="00A0596C">
        <w:rPr>
          <w:rFonts w:ascii="Times New Roman" w:hAnsi="Times New Roman"/>
          <w:sz w:val="18"/>
          <w:szCs w:val="18"/>
          <w:lang w:val="ro-RO"/>
        </w:rPr>
        <w:t xml:space="preserve"> privind inventarierea</w:t>
      </w:r>
      <w:r>
        <w:rPr>
          <w:rFonts w:ascii="Times New Roman" w:hAnsi="Times New Roman"/>
          <w:sz w:val="18"/>
          <w:szCs w:val="18"/>
          <w:lang w:val="ro-RO"/>
        </w:rPr>
        <w:t>, aprobat prin</w:t>
      </w:r>
      <w:r w:rsidRPr="00A0596C">
        <w:rPr>
          <w:rFonts w:ascii="Times New Roman" w:hAnsi="Times New Roman"/>
          <w:sz w:val="18"/>
          <w:szCs w:val="18"/>
          <w:lang w:val="ro-RO"/>
        </w:rPr>
        <w:t xml:space="preserve"> Ordinul ministrului </w:t>
      </w:r>
      <w:r>
        <w:rPr>
          <w:rFonts w:ascii="Times New Roman" w:hAnsi="Times New Roman"/>
          <w:sz w:val="18"/>
          <w:szCs w:val="18"/>
          <w:lang w:val="ro-RO"/>
        </w:rPr>
        <w:t>F</w:t>
      </w:r>
      <w:r w:rsidRPr="00A0596C">
        <w:rPr>
          <w:rFonts w:ascii="Times New Roman" w:hAnsi="Times New Roman"/>
          <w:sz w:val="18"/>
          <w:szCs w:val="18"/>
          <w:lang w:val="ro-RO"/>
        </w:rPr>
        <w:t>inanțelor nr.60 din 29.05.2012</w:t>
      </w:r>
      <w:r>
        <w:rPr>
          <w:rFonts w:ascii="Times New Roman" w:hAnsi="Times New Roman"/>
          <w:sz w:val="18"/>
          <w:szCs w:val="18"/>
          <w:lang w:val="ro-RO"/>
        </w:rPr>
        <w:t xml:space="preserve"> </w:t>
      </w:r>
      <w:r w:rsidRPr="00A0596C">
        <w:rPr>
          <w:rFonts w:ascii="Times New Roman" w:hAnsi="Times New Roman"/>
          <w:sz w:val="18"/>
          <w:szCs w:val="18"/>
          <w:lang w:val="ro-RO"/>
        </w:rPr>
        <w:t xml:space="preserve">(în continuare – Regulamentul aprobat prin </w:t>
      </w:r>
      <w:r>
        <w:rPr>
          <w:rFonts w:ascii="Times New Roman" w:hAnsi="Times New Roman"/>
          <w:sz w:val="18"/>
          <w:szCs w:val="18"/>
          <w:lang w:val="ro-RO"/>
        </w:rPr>
        <w:t>O</w:t>
      </w:r>
      <w:r w:rsidRPr="00A0596C">
        <w:rPr>
          <w:rFonts w:ascii="Times New Roman" w:hAnsi="Times New Roman"/>
          <w:sz w:val="18"/>
          <w:szCs w:val="18"/>
          <w:lang w:val="ro-RO"/>
        </w:rPr>
        <w:t xml:space="preserve">rdinul ministrului </w:t>
      </w:r>
      <w:r>
        <w:rPr>
          <w:rFonts w:ascii="Times New Roman" w:hAnsi="Times New Roman"/>
          <w:sz w:val="18"/>
          <w:szCs w:val="18"/>
          <w:lang w:val="ro-RO"/>
        </w:rPr>
        <w:t>F</w:t>
      </w:r>
      <w:r w:rsidRPr="00A0596C">
        <w:rPr>
          <w:rFonts w:ascii="Times New Roman" w:hAnsi="Times New Roman"/>
          <w:sz w:val="18"/>
          <w:szCs w:val="18"/>
          <w:lang w:val="ro-RO"/>
        </w:rPr>
        <w:t>inanțelor nr.60 din 29.05.2012).</w:t>
      </w:r>
    </w:p>
  </w:footnote>
  <w:footnote w:id="9">
    <w:p w:rsidR="00903BFF" w:rsidRPr="002730A5" w:rsidRDefault="00903BFF" w:rsidP="00903BFF">
      <w:pPr>
        <w:pStyle w:val="a7"/>
        <w:jc w:val="both"/>
        <w:rPr>
          <w:rFonts w:ascii="Times New Roman" w:hAnsi="Times New Roman"/>
          <w:sz w:val="18"/>
          <w:szCs w:val="18"/>
          <w:lang w:val="ro-RO"/>
        </w:rPr>
      </w:pPr>
      <w:r w:rsidRPr="002730A5">
        <w:rPr>
          <w:rStyle w:val="a9"/>
          <w:rFonts w:ascii="Times New Roman" w:hAnsi="Times New Roman"/>
          <w:sz w:val="18"/>
          <w:szCs w:val="18"/>
          <w:lang w:val="ro-RO"/>
        </w:rPr>
        <w:footnoteRef/>
      </w:r>
      <w:r w:rsidRPr="002730A5">
        <w:rPr>
          <w:rFonts w:ascii="Times New Roman" w:hAnsi="Times New Roman"/>
          <w:sz w:val="18"/>
          <w:szCs w:val="18"/>
          <w:lang w:val="ro-RO"/>
        </w:rPr>
        <w:t xml:space="preserve"> Lege</w:t>
      </w:r>
      <w:r>
        <w:rPr>
          <w:rFonts w:ascii="Times New Roman" w:hAnsi="Times New Roman"/>
          <w:sz w:val="18"/>
          <w:szCs w:val="18"/>
          <w:lang w:val="ro-RO"/>
        </w:rPr>
        <w:t>a c</w:t>
      </w:r>
      <w:r w:rsidRPr="002730A5">
        <w:rPr>
          <w:rFonts w:ascii="Times New Roman" w:hAnsi="Times New Roman"/>
          <w:sz w:val="18"/>
          <w:szCs w:val="18"/>
          <w:lang w:val="ro-RO"/>
        </w:rPr>
        <w:t>adastrului bunurilor imobile</w:t>
      </w:r>
      <w:r>
        <w:rPr>
          <w:rFonts w:ascii="Times New Roman" w:hAnsi="Times New Roman"/>
          <w:sz w:val="18"/>
          <w:szCs w:val="18"/>
          <w:lang w:val="ro-RO"/>
        </w:rPr>
        <w:t xml:space="preserve"> nr.1543-XIII din 25.02.1998</w:t>
      </w:r>
      <w:r w:rsidRPr="002730A5">
        <w:rPr>
          <w:rFonts w:ascii="Times New Roman" w:hAnsi="Times New Roman"/>
          <w:sz w:val="18"/>
          <w:szCs w:val="18"/>
          <w:lang w:val="ro-RO"/>
        </w:rPr>
        <w:t>.</w:t>
      </w:r>
    </w:p>
  </w:footnote>
  <w:footnote w:id="10">
    <w:p w:rsidR="00903BFF" w:rsidRPr="002730A5" w:rsidRDefault="00903BFF" w:rsidP="00903BFF">
      <w:pPr>
        <w:pStyle w:val="a7"/>
        <w:jc w:val="both"/>
        <w:rPr>
          <w:rFonts w:ascii="Times New Roman" w:hAnsi="Times New Roman"/>
          <w:sz w:val="18"/>
          <w:szCs w:val="18"/>
          <w:lang w:val="ro-RO"/>
        </w:rPr>
      </w:pPr>
      <w:r w:rsidRPr="002730A5">
        <w:rPr>
          <w:rStyle w:val="a9"/>
          <w:rFonts w:ascii="Times New Roman" w:hAnsi="Times New Roman"/>
          <w:sz w:val="18"/>
          <w:szCs w:val="18"/>
          <w:lang w:val="ro-RO"/>
        </w:rPr>
        <w:footnoteRef/>
      </w:r>
      <w:r w:rsidRPr="002730A5">
        <w:rPr>
          <w:rFonts w:ascii="Times New Roman" w:hAnsi="Times New Roman"/>
          <w:sz w:val="18"/>
          <w:szCs w:val="18"/>
          <w:lang w:val="ro-RO"/>
        </w:rPr>
        <w:t xml:space="preserve"> APL/nr. de bunuri imobile/valoarea: CR – 4 - 815,5 mii lei; primării: or.</w:t>
      </w:r>
      <w:r>
        <w:rPr>
          <w:rFonts w:ascii="Times New Roman" w:hAnsi="Times New Roman"/>
          <w:sz w:val="18"/>
          <w:szCs w:val="18"/>
          <w:lang w:val="ro-RO"/>
        </w:rPr>
        <w:t xml:space="preserve"> </w:t>
      </w:r>
      <w:r w:rsidRPr="002730A5">
        <w:rPr>
          <w:rFonts w:ascii="Times New Roman" w:hAnsi="Times New Roman"/>
          <w:sz w:val="18"/>
          <w:szCs w:val="18"/>
          <w:lang w:val="ro-RO"/>
        </w:rPr>
        <w:t>Sîngerei – 1 - 5134,0 mii lei; or.</w:t>
      </w:r>
      <w:r>
        <w:rPr>
          <w:rFonts w:ascii="Times New Roman" w:hAnsi="Times New Roman"/>
          <w:sz w:val="18"/>
          <w:szCs w:val="18"/>
          <w:lang w:val="ro-RO"/>
        </w:rPr>
        <w:t xml:space="preserve"> </w:t>
      </w:r>
      <w:r w:rsidRPr="002730A5">
        <w:rPr>
          <w:rFonts w:ascii="Times New Roman" w:hAnsi="Times New Roman"/>
          <w:sz w:val="18"/>
          <w:szCs w:val="18"/>
          <w:lang w:val="ro-RO"/>
        </w:rPr>
        <w:t>Biruința – 6 - 1353,5 mii lei; com.</w:t>
      </w:r>
      <w:r>
        <w:rPr>
          <w:rFonts w:ascii="Times New Roman" w:hAnsi="Times New Roman"/>
          <w:sz w:val="18"/>
          <w:szCs w:val="18"/>
          <w:lang w:val="ro-RO"/>
        </w:rPr>
        <w:t xml:space="preserve"> </w:t>
      </w:r>
      <w:r w:rsidRPr="002730A5">
        <w:rPr>
          <w:rFonts w:ascii="Times New Roman" w:hAnsi="Times New Roman"/>
          <w:sz w:val="18"/>
          <w:szCs w:val="18"/>
          <w:lang w:val="ro-RO"/>
        </w:rPr>
        <w:t>Chișcăreni – 17 - 19484,9 mii lei; com.</w:t>
      </w:r>
      <w:r>
        <w:rPr>
          <w:rFonts w:ascii="Times New Roman" w:hAnsi="Times New Roman"/>
          <w:sz w:val="18"/>
          <w:szCs w:val="18"/>
          <w:lang w:val="ro-RO"/>
        </w:rPr>
        <w:t xml:space="preserve"> </w:t>
      </w:r>
      <w:r w:rsidRPr="002730A5">
        <w:rPr>
          <w:rFonts w:ascii="Times New Roman" w:hAnsi="Times New Roman"/>
          <w:sz w:val="18"/>
          <w:szCs w:val="18"/>
          <w:lang w:val="ro-RO"/>
        </w:rPr>
        <w:t>Coșcodeni – 4 - 6976,7 mii lei; com.</w:t>
      </w:r>
      <w:r>
        <w:rPr>
          <w:rFonts w:ascii="Times New Roman" w:hAnsi="Times New Roman"/>
          <w:sz w:val="18"/>
          <w:szCs w:val="18"/>
          <w:lang w:val="ro-RO"/>
        </w:rPr>
        <w:t xml:space="preserve"> </w:t>
      </w:r>
      <w:r w:rsidRPr="002730A5">
        <w:rPr>
          <w:rFonts w:ascii="Times New Roman" w:hAnsi="Times New Roman"/>
          <w:sz w:val="18"/>
          <w:szCs w:val="18"/>
          <w:lang w:val="ro-RO"/>
        </w:rPr>
        <w:t>Cubolta – 3 – 3812,5 mii lei; com.</w:t>
      </w:r>
      <w:r>
        <w:rPr>
          <w:rFonts w:ascii="Times New Roman" w:hAnsi="Times New Roman"/>
          <w:sz w:val="18"/>
          <w:szCs w:val="18"/>
          <w:lang w:val="ro-RO"/>
        </w:rPr>
        <w:t xml:space="preserve"> </w:t>
      </w:r>
      <w:r w:rsidRPr="002730A5">
        <w:rPr>
          <w:rFonts w:ascii="Times New Roman" w:hAnsi="Times New Roman"/>
          <w:sz w:val="18"/>
          <w:szCs w:val="18"/>
          <w:lang w:val="ro-RO"/>
        </w:rPr>
        <w:t>Drăgănești – 12 - 12078,6 mii lei; s.</w:t>
      </w:r>
      <w:r>
        <w:rPr>
          <w:rFonts w:ascii="Times New Roman" w:hAnsi="Times New Roman"/>
          <w:sz w:val="18"/>
          <w:szCs w:val="18"/>
          <w:lang w:val="ro-RO"/>
        </w:rPr>
        <w:t xml:space="preserve"> </w:t>
      </w:r>
      <w:r w:rsidRPr="002730A5">
        <w:rPr>
          <w:rFonts w:ascii="Times New Roman" w:hAnsi="Times New Roman"/>
          <w:sz w:val="18"/>
          <w:szCs w:val="18"/>
          <w:lang w:val="ro-RO"/>
        </w:rPr>
        <w:t>Rădoaia – 7 - 3822,5 mii lei; com.</w:t>
      </w:r>
      <w:r>
        <w:rPr>
          <w:rFonts w:ascii="Times New Roman" w:hAnsi="Times New Roman"/>
          <w:sz w:val="18"/>
          <w:szCs w:val="18"/>
          <w:lang w:val="ro-RO"/>
        </w:rPr>
        <w:t xml:space="preserve"> </w:t>
      </w:r>
      <w:r w:rsidRPr="002730A5">
        <w:rPr>
          <w:rFonts w:ascii="Times New Roman" w:hAnsi="Times New Roman"/>
          <w:sz w:val="18"/>
          <w:szCs w:val="18"/>
          <w:lang w:val="ro-RO"/>
        </w:rPr>
        <w:t>Sîngereii Noi – 8 - 20466,0 mii lei.</w:t>
      </w:r>
    </w:p>
  </w:footnote>
  <w:footnote w:id="11">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Pct.138 din Instrucțiunea aprobată prin Ordinul </w:t>
      </w:r>
      <w:r>
        <w:rPr>
          <w:rFonts w:ascii="Times New Roman" w:hAnsi="Times New Roman"/>
          <w:sz w:val="18"/>
          <w:szCs w:val="18"/>
          <w:lang w:val="ro-RO"/>
        </w:rPr>
        <w:t>m</w:t>
      </w:r>
      <w:r w:rsidRPr="00A0596C">
        <w:rPr>
          <w:rFonts w:ascii="Times New Roman" w:hAnsi="Times New Roman"/>
          <w:sz w:val="18"/>
          <w:szCs w:val="18"/>
          <w:lang w:val="ro-RO"/>
        </w:rPr>
        <w:t xml:space="preserve">inistrului Finanțelor nr.93 din 19.07.2010 și pct.128 din Instrucțiunea aprobată prin Ordinul </w:t>
      </w:r>
      <w:r>
        <w:rPr>
          <w:rFonts w:ascii="Times New Roman" w:hAnsi="Times New Roman"/>
          <w:sz w:val="18"/>
          <w:szCs w:val="18"/>
          <w:lang w:val="ro-RO"/>
        </w:rPr>
        <w:t>m</w:t>
      </w:r>
      <w:r w:rsidRPr="00A0596C">
        <w:rPr>
          <w:rFonts w:ascii="Times New Roman" w:hAnsi="Times New Roman"/>
          <w:sz w:val="18"/>
          <w:szCs w:val="18"/>
          <w:lang w:val="ro-RO"/>
        </w:rPr>
        <w:t>inistrului Finanțelor nr.94 din 19.07.2010.</w:t>
      </w:r>
    </w:p>
  </w:footnote>
  <w:footnote w:id="12">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Pct.46 din Instrucțiunea aprobată prin </w:t>
      </w:r>
      <w:r w:rsidRPr="00A0596C">
        <w:rPr>
          <w:rFonts w:ascii="Times New Roman" w:eastAsia="Times New Roman" w:hAnsi="Times New Roman"/>
          <w:sz w:val="18"/>
          <w:szCs w:val="18"/>
          <w:lang w:val="ro-RO"/>
        </w:rPr>
        <w:t xml:space="preserve">Ordinul ministrului </w:t>
      </w:r>
      <w:r>
        <w:rPr>
          <w:rFonts w:ascii="Times New Roman" w:eastAsia="Times New Roman" w:hAnsi="Times New Roman"/>
          <w:sz w:val="18"/>
          <w:szCs w:val="18"/>
          <w:lang w:val="ro-RO"/>
        </w:rPr>
        <w:t>F</w:t>
      </w:r>
      <w:r w:rsidRPr="00A0596C">
        <w:rPr>
          <w:rFonts w:ascii="Times New Roman" w:eastAsia="Times New Roman" w:hAnsi="Times New Roman"/>
          <w:sz w:val="18"/>
          <w:szCs w:val="18"/>
          <w:lang w:val="ro-RO"/>
        </w:rPr>
        <w:t>inanțelor nr.93 din 19.07.2010.</w:t>
      </w:r>
    </w:p>
  </w:footnote>
  <w:footnote w:id="13">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L</w:t>
      </w:r>
      <w:r>
        <w:rPr>
          <w:rFonts w:ascii="Times New Roman" w:hAnsi="Times New Roman"/>
          <w:sz w:val="18"/>
          <w:szCs w:val="18"/>
          <w:lang w:val="ro-RO"/>
        </w:rPr>
        <w:t>egea nr.397-XV din 16.10.2003</w:t>
      </w:r>
      <w:r w:rsidRPr="00A0596C">
        <w:rPr>
          <w:rFonts w:ascii="Times New Roman" w:hAnsi="Times New Roman"/>
          <w:sz w:val="18"/>
          <w:szCs w:val="18"/>
          <w:lang w:val="ro-RO"/>
        </w:rPr>
        <w:t xml:space="preserve"> </w:t>
      </w:r>
      <w:r>
        <w:rPr>
          <w:rFonts w:ascii="Times New Roman" w:hAnsi="Times New Roman"/>
          <w:sz w:val="18"/>
          <w:szCs w:val="18"/>
          <w:lang w:val="ro-RO"/>
        </w:rPr>
        <w:t>p</w:t>
      </w:r>
      <w:r w:rsidRPr="00A0596C">
        <w:rPr>
          <w:rFonts w:ascii="Times New Roman" w:hAnsi="Times New Roman"/>
          <w:sz w:val="18"/>
          <w:szCs w:val="18"/>
          <w:lang w:val="ro-RO"/>
        </w:rPr>
        <w:t xml:space="preserve">rivind finanțele publice locale (în continuare </w:t>
      </w:r>
      <w:r>
        <w:rPr>
          <w:rFonts w:ascii="Times New Roman" w:hAnsi="Times New Roman"/>
          <w:sz w:val="18"/>
          <w:szCs w:val="18"/>
          <w:lang w:val="ro-RO"/>
        </w:rPr>
        <w:t>–</w:t>
      </w:r>
      <w:r w:rsidRPr="00A0596C">
        <w:rPr>
          <w:rFonts w:ascii="Times New Roman" w:hAnsi="Times New Roman"/>
          <w:sz w:val="18"/>
          <w:szCs w:val="18"/>
          <w:lang w:val="ro-RO"/>
        </w:rPr>
        <w:t xml:space="preserve"> Legea nr.397-XV din 16.10.2003).</w:t>
      </w:r>
    </w:p>
  </w:footnote>
  <w:footnote w:id="14">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O per</w:t>
      </w:r>
      <w:r>
        <w:rPr>
          <w:rFonts w:ascii="Times New Roman" w:hAnsi="Times New Roman"/>
          <w:sz w:val="18"/>
          <w:szCs w:val="18"/>
          <w:lang w:val="ro-RO"/>
        </w:rPr>
        <w:t>soană fizică – 199,1 mii lei, A</w:t>
      </w:r>
      <w:r w:rsidRPr="00A0596C">
        <w:rPr>
          <w:rFonts w:ascii="Times New Roman" w:hAnsi="Times New Roman"/>
          <w:sz w:val="18"/>
          <w:szCs w:val="18"/>
          <w:lang w:val="ro-RO"/>
        </w:rPr>
        <w:t>O „Gene</w:t>
      </w:r>
      <w:r>
        <w:rPr>
          <w:rFonts w:ascii="Times New Roman" w:hAnsi="Times New Roman"/>
          <w:sz w:val="18"/>
          <w:szCs w:val="18"/>
          <w:lang w:val="ro-RO"/>
        </w:rPr>
        <w:t>rația Nouă” – 1512,0 mii lei, A</w:t>
      </w:r>
      <w:r w:rsidRPr="00A0596C">
        <w:rPr>
          <w:rFonts w:ascii="Times New Roman" w:hAnsi="Times New Roman"/>
          <w:sz w:val="18"/>
          <w:szCs w:val="18"/>
          <w:lang w:val="ro-RO"/>
        </w:rPr>
        <w:t>O „Conceb” – 749,4 mii lei.</w:t>
      </w:r>
    </w:p>
  </w:footnote>
  <w:footnote w:id="15">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Pr>
          <w:rFonts w:ascii="Times New Roman" w:hAnsi="Times New Roman"/>
          <w:sz w:val="18"/>
          <w:szCs w:val="18"/>
          <w:lang w:val="ro-RO"/>
        </w:rPr>
        <w:t xml:space="preserve"> Pct.10 și</w:t>
      </w:r>
      <w:r w:rsidRPr="00A0596C">
        <w:rPr>
          <w:rFonts w:ascii="Times New Roman" w:hAnsi="Times New Roman"/>
          <w:sz w:val="18"/>
          <w:szCs w:val="18"/>
          <w:lang w:val="ro-RO"/>
        </w:rPr>
        <w:t xml:space="preserve"> </w:t>
      </w:r>
      <w:r>
        <w:rPr>
          <w:rFonts w:ascii="Times New Roman" w:hAnsi="Times New Roman"/>
          <w:sz w:val="18"/>
          <w:szCs w:val="18"/>
          <w:lang w:val="ro-RO"/>
        </w:rPr>
        <w:t>pc</w:t>
      </w:r>
      <w:r w:rsidRPr="00A0596C">
        <w:rPr>
          <w:rFonts w:ascii="Times New Roman" w:hAnsi="Times New Roman"/>
          <w:sz w:val="18"/>
          <w:szCs w:val="18"/>
          <w:lang w:val="ro-RO"/>
        </w:rPr>
        <w:t>t.14</w:t>
      </w:r>
      <w:r>
        <w:rPr>
          <w:rFonts w:ascii="Times New Roman" w:hAnsi="Times New Roman"/>
          <w:sz w:val="18"/>
          <w:szCs w:val="18"/>
          <w:lang w:val="ro-RO"/>
        </w:rPr>
        <w:t xml:space="preserve"> din </w:t>
      </w:r>
      <w:r w:rsidRPr="00A0596C">
        <w:rPr>
          <w:rFonts w:ascii="Times New Roman" w:hAnsi="Times New Roman"/>
          <w:sz w:val="18"/>
          <w:szCs w:val="18"/>
          <w:lang w:val="ro-RO"/>
        </w:rPr>
        <w:t>Regulamentul-mod</w:t>
      </w:r>
      <w:r>
        <w:rPr>
          <w:rFonts w:ascii="Times New Roman" w:hAnsi="Times New Roman"/>
          <w:sz w:val="18"/>
          <w:szCs w:val="18"/>
          <w:lang w:val="ro-RO"/>
        </w:rPr>
        <w:t>el al întreprinderii municipale</w:t>
      </w:r>
      <w:r w:rsidRPr="00A0596C">
        <w:rPr>
          <w:rFonts w:ascii="Times New Roman" w:hAnsi="Times New Roman"/>
          <w:sz w:val="18"/>
          <w:szCs w:val="18"/>
          <w:lang w:val="ro-RO"/>
        </w:rPr>
        <w:t>, aprobat prin HG nr.387 din 06.06.1994.</w:t>
      </w:r>
    </w:p>
  </w:footnote>
  <w:footnote w:id="16">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ÎM „Piața Comercială” – 341,7 mii lei; ÎM „Termogrup Servicii” – 62,0 mii lei; ÎM „DPGCL Sîngerei” – 609,0 mii lei.</w:t>
      </w:r>
    </w:p>
  </w:footnote>
  <w:footnote w:id="17">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ÎM „Apă</w:t>
      </w:r>
      <w:r>
        <w:rPr>
          <w:rFonts w:ascii="Times New Roman" w:hAnsi="Times New Roman"/>
          <w:sz w:val="18"/>
          <w:szCs w:val="18"/>
          <w:lang w:val="ro-RO"/>
        </w:rPr>
        <w:t>-</w:t>
      </w:r>
      <w:r w:rsidRPr="00A0596C">
        <w:rPr>
          <w:rFonts w:ascii="Times New Roman" w:hAnsi="Times New Roman"/>
          <w:sz w:val="18"/>
          <w:szCs w:val="18"/>
          <w:lang w:val="ro-RO"/>
        </w:rPr>
        <w:t>Canal Sîngerei” – 2503,7 mii lei; ÎM „DPGCL Sîngerei” – 2844,4 mii lei (3453,4 mii lei – 609,0 mii lei).</w:t>
      </w:r>
    </w:p>
  </w:footnote>
  <w:footnote w:id="18">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Legea nr.220-XVI din 19.10.2007 </w:t>
      </w:r>
      <w:r>
        <w:rPr>
          <w:rFonts w:ascii="Times New Roman" w:hAnsi="Times New Roman"/>
          <w:sz w:val="18"/>
          <w:szCs w:val="18"/>
          <w:lang w:val="ro-RO"/>
        </w:rPr>
        <w:t>p</w:t>
      </w:r>
      <w:r w:rsidRPr="00A0596C">
        <w:rPr>
          <w:rFonts w:ascii="Times New Roman" w:hAnsi="Times New Roman"/>
          <w:sz w:val="18"/>
          <w:szCs w:val="18"/>
          <w:lang w:val="ro-RO"/>
        </w:rPr>
        <w:t xml:space="preserve">rivind înregistrarea de stat a persoanelor juridice și a întreprinzătorilor individuali (în continuare </w:t>
      </w:r>
      <w:r>
        <w:rPr>
          <w:rFonts w:ascii="Times New Roman" w:hAnsi="Times New Roman"/>
          <w:sz w:val="18"/>
          <w:szCs w:val="18"/>
          <w:lang w:val="ro-RO"/>
        </w:rPr>
        <w:t>–</w:t>
      </w:r>
      <w:r w:rsidRPr="00A0596C">
        <w:rPr>
          <w:rFonts w:ascii="Times New Roman" w:hAnsi="Times New Roman"/>
          <w:sz w:val="18"/>
          <w:szCs w:val="18"/>
          <w:lang w:val="ro-RO"/>
        </w:rPr>
        <w:t xml:space="preserve"> Legea nr.220-XVI din 19.10.2007).</w:t>
      </w:r>
    </w:p>
  </w:footnote>
  <w:footnote w:id="19">
    <w:p w:rsidR="00903BFF" w:rsidRPr="00A0596C" w:rsidRDefault="00903BFF" w:rsidP="00903BFF">
      <w:pPr>
        <w:pStyle w:val="a7"/>
        <w:jc w:val="both"/>
        <w:rPr>
          <w:rFonts w:ascii="Times New Roman" w:hAnsi="Times New Roman"/>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Legea n</w:t>
      </w:r>
      <w:r>
        <w:rPr>
          <w:rFonts w:ascii="Times New Roman" w:hAnsi="Times New Roman"/>
          <w:sz w:val="18"/>
          <w:szCs w:val="18"/>
          <w:lang w:val="ro-RO"/>
        </w:rPr>
        <w:t>r.989-XV din 18.04.2002 c</w:t>
      </w:r>
      <w:r w:rsidRPr="00A0596C">
        <w:rPr>
          <w:rFonts w:ascii="Times New Roman" w:hAnsi="Times New Roman"/>
          <w:sz w:val="18"/>
          <w:szCs w:val="18"/>
          <w:lang w:val="ro-RO"/>
        </w:rPr>
        <w:t>u privire la activitatea de evaluare.</w:t>
      </w:r>
    </w:p>
  </w:footnote>
  <w:footnote w:id="20">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Art.9 alin.(2) din Legea nr.121-XVI din 04.05.2007 </w:t>
      </w:r>
      <w:r>
        <w:rPr>
          <w:rFonts w:ascii="Times New Roman" w:hAnsi="Times New Roman"/>
          <w:sz w:val="18"/>
          <w:szCs w:val="18"/>
          <w:lang w:val="ro-RO"/>
        </w:rPr>
        <w:t>p</w:t>
      </w:r>
      <w:r w:rsidRPr="00A0596C">
        <w:rPr>
          <w:rFonts w:ascii="Times New Roman" w:hAnsi="Times New Roman"/>
          <w:sz w:val="18"/>
          <w:szCs w:val="18"/>
          <w:lang w:val="ro-RO"/>
        </w:rPr>
        <w:t>rivind administrarea și deetatizarea proprietății publice; art.31 din Legea nr.397-XV din 16.10.2003.</w:t>
      </w:r>
    </w:p>
  </w:footnote>
  <w:footnote w:id="21">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Clădirea administrativă – 242,5 mii lei (stare constructivă deplorabilă); școala </w:t>
      </w:r>
      <w:r>
        <w:rPr>
          <w:rFonts w:ascii="Times New Roman" w:hAnsi="Times New Roman"/>
          <w:sz w:val="18"/>
          <w:szCs w:val="18"/>
          <w:lang w:val="ro-RO"/>
        </w:rPr>
        <w:t xml:space="preserve">de </w:t>
      </w:r>
      <w:r w:rsidRPr="00747F05">
        <w:rPr>
          <w:rFonts w:ascii="Times New Roman" w:hAnsi="Times New Roman"/>
          <w:sz w:val="18"/>
          <w:szCs w:val="18"/>
          <w:lang w:val="ro-RO"/>
        </w:rPr>
        <w:t xml:space="preserve">muzică – 16,3 mii lei; tabăra </w:t>
      </w:r>
      <w:r>
        <w:rPr>
          <w:rFonts w:ascii="Times New Roman" w:hAnsi="Times New Roman"/>
          <w:sz w:val="18"/>
          <w:szCs w:val="18"/>
          <w:lang w:val="ro-RO"/>
        </w:rPr>
        <w:t xml:space="preserve">pentru copii </w:t>
      </w:r>
      <w:r w:rsidRPr="00747F05">
        <w:rPr>
          <w:rFonts w:ascii="Times New Roman" w:hAnsi="Times New Roman"/>
          <w:sz w:val="18"/>
          <w:szCs w:val="18"/>
          <w:lang w:val="ro-RO"/>
        </w:rPr>
        <w:t xml:space="preserve">– 584,3 mii lei; grădinița </w:t>
      </w:r>
      <w:r>
        <w:rPr>
          <w:rFonts w:ascii="Times New Roman" w:hAnsi="Times New Roman"/>
          <w:sz w:val="18"/>
          <w:szCs w:val="18"/>
          <w:lang w:val="ro-RO"/>
        </w:rPr>
        <w:t>din s.</w:t>
      </w:r>
      <w:r w:rsidRPr="00747F05">
        <w:rPr>
          <w:rFonts w:ascii="Times New Roman" w:hAnsi="Times New Roman"/>
          <w:sz w:val="18"/>
          <w:szCs w:val="18"/>
          <w:lang w:val="ro-RO"/>
        </w:rPr>
        <w:t xml:space="preserve"> Nicolaevca – 15,4 mii lei; clădirea cu 2 etaje de la liceu – 390,2 mii lei.</w:t>
      </w:r>
    </w:p>
  </w:footnote>
  <w:footnote w:id="22">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Școala cu 2 etaje – 250,4 mii lei; clădirea școlii Coșcodeni – 35,7 mii lei; cazangeria – 213,1 mii lei; </w:t>
      </w:r>
      <w:r>
        <w:rPr>
          <w:rFonts w:ascii="Times New Roman" w:hAnsi="Times New Roman"/>
          <w:sz w:val="18"/>
          <w:szCs w:val="18"/>
          <w:lang w:val="ro-RO"/>
        </w:rPr>
        <w:t xml:space="preserve">construcție </w:t>
      </w:r>
      <w:r w:rsidRPr="00D24ABD">
        <w:rPr>
          <w:rFonts w:ascii="Times New Roman" w:hAnsi="Times New Roman"/>
          <w:sz w:val="18"/>
          <w:szCs w:val="18"/>
          <w:lang w:val="ro-RO"/>
        </w:rPr>
        <w:t>subterană</w:t>
      </w:r>
      <w:r>
        <w:rPr>
          <w:rFonts w:ascii="Times New Roman" w:hAnsi="Times New Roman"/>
          <w:sz w:val="18"/>
          <w:szCs w:val="18"/>
          <w:lang w:val="ro-RO"/>
        </w:rPr>
        <w:t xml:space="preserve"> </w:t>
      </w:r>
      <w:r w:rsidRPr="00D24ABD">
        <w:rPr>
          <w:rFonts w:ascii="Times New Roman" w:hAnsi="Times New Roman"/>
          <w:sz w:val="18"/>
          <w:szCs w:val="18"/>
          <w:lang w:val="ro-RO"/>
        </w:rPr>
        <w:t>– 3</w:t>
      </w:r>
      <w:r w:rsidRPr="00747F05">
        <w:rPr>
          <w:rFonts w:ascii="Times New Roman" w:hAnsi="Times New Roman"/>
          <w:sz w:val="18"/>
          <w:szCs w:val="18"/>
          <w:lang w:val="ro-RO"/>
        </w:rPr>
        <w:t>,0 mii lei.</w:t>
      </w:r>
    </w:p>
  </w:footnote>
  <w:footnote w:id="23">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Clădirea băii </w:t>
      </w:r>
      <w:r>
        <w:rPr>
          <w:rFonts w:ascii="Times New Roman" w:hAnsi="Times New Roman"/>
          <w:sz w:val="18"/>
          <w:szCs w:val="18"/>
          <w:lang w:val="ro-RO"/>
        </w:rPr>
        <w:t>–</w:t>
      </w:r>
      <w:r w:rsidRPr="00747F05">
        <w:rPr>
          <w:rFonts w:ascii="Times New Roman" w:hAnsi="Times New Roman"/>
          <w:sz w:val="18"/>
          <w:szCs w:val="18"/>
          <w:lang w:val="ro-RO"/>
        </w:rPr>
        <w:t xml:space="preserve"> 13,8 mii lei; clădirea cazangeriei de la gimnaziu </w:t>
      </w:r>
      <w:r>
        <w:rPr>
          <w:rFonts w:ascii="Times New Roman" w:hAnsi="Times New Roman"/>
          <w:sz w:val="18"/>
          <w:szCs w:val="18"/>
          <w:lang w:val="ro-RO"/>
        </w:rPr>
        <w:t>–</w:t>
      </w:r>
      <w:r w:rsidRPr="00747F05">
        <w:rPr>
          <w:rFonts w:ascii="Times New Roman" w:hAnsi="Times New Roman"/>
          <w:sz w:val="18"/>
          <w:szCs w:val="18"/>
          <w:lang w:val="ro-RO"/>
        </w:rPr>
        <w:t xml:space="preserve"> 63,9 mii lei.</w:t>
      </w:r>
    </w:p>
  </w:footnote>
  <w:footnote w:id="24">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Clădirea fostului oficiu poștal </w:t>
      </w:r>
      <w:r>
        <w:rPr>
          <w:rFonts w:ascii="Times New Roman" w:hAnsi="Times New Roman"/>
          <w:sz w:val="18"/>
          <w:szCs w:val="18"/>
          <w:lang w:val="ro-RO"/>
        </w:rPr>
        <w:t xml:space="preserve">din </w:t>
      </w:r>
      <w:r w:rsidRPr="00747F05">
        <w:rPr>
          <w:rFonts w:ascii="Times New Roman" w:hAnsi="Times New Roman"/>
          <w:sz w:val="18"/>
          <w:szCs w:val="18"/>
          <w:lang w:val="ro-RO"/>
        </w:rPr>
        <w:t>s.</w:t>
      </w:r>
      <w:r>
        <w:rPr>
          <w:rFonts w:ascii="Times New Roman" w:hAnsi="Times New Roman"/>
          <w:sz w:val="18"/>
          <w:szCs w:val="18"/>
          <w:lang w:val="ro-RO"/>
        </w:rPr>
        <w:t xml:space="preserve"> </w:t>
      </w:r>
      <w:r w:rsidRPr="00747F05">
        <w:rPr>
          <w:rFonts w:ascii="Times New Roman" w:hAnsi="Times New Roman"/>
          <w:sz w:val="18"/>
          <w:szCs w:val="18"/>
          <w:lang w:val="ro-RO"/>
        </w:rPr>
        <w:t xml:space="preserve">Mărinești </w:t>
      </w:r>
      <w:r>
        <w:rPr>
          <w:rFonts w:ascii="Times New Roman" w:hAnsi="Times New Roman"/>
          <w:sz w:val="18"/>
          <w:szCs w:val="18"/>
          <w:lang w:val="ro-RO"/>
        </w:rPr>
        <w:t>–</w:t>
      </w:r>
      <w:r w:rsidRPr="00747F05">
        <w:rPr>
          <w:rFonts w:ascii="Times New Roman" w:hAnsi="Times New Roman"/>
          <w:sz w:val="18"/>
          <w:szCs w:val="18"/>
          <w:lang w:val="ro-RO"/>
        </w:rPr>
        <w:t xml:space="preserve"> 20,0 mii lei; clădirea cazangeriei de la liceu </w:t>
      </w:r>
      <w:r>
        <w:rPr>
          <w:rFonts w:ascii="Times New Roman" w:hAnsi="Times New Roman"/>
          <w:sz w:val="18"/>
          <w:szCs w:val="18"/>
          <w:lang w:val="ro-RO"/>
        </w:rPr>
        <w:t>–</w:t>
      </w:r>
      <w:r w:rsidRPr="00747F05">
        <w:rPr>
          <w:rFonts w:ascii="Times New Roman" w:hAnsi="Times New Roman"/>
          <w:sz w:val="18"/>
          <w:szCs w:val="18"/>
          <w:lang w:val="ro-RO"/>
        </w:rPr>
        <w:t xml:space="preserve"> 988,1 mii lei.</w:t>
      </w:r>
    </w:p>
  </w:footnote>
  <w:footnote w:id="25">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Clădirile complexului sanatorial </w:t>
      </w:r>
      <w:r>
        <w:rPr>
          <w:rFonts w:ascii="Times New Roman" w:hAnsi="Times New Roman"/>
          <w:sz w:val="18"/>
          <w:szCs w:val="18"/>
          <w:lang w:val="ro-RO"/>
        </w:rPr>
        <w:t>–</w:t>
      </w:r>
      <w:r w:rsidRPr="00747F05">
        <w:rPr>
          <w:rFonts w:ascii="Times New Roman" w:hAnsi="Times New Roman"/>
          <w:sz w:val="18"/>
          <w:szCs w:val="18"/>
          <w:lang w:val="ro-RO"/>
        </w:rPr>
        <w:t xml:space="preserve"> 2058,7 mii lei; clădirea școlii medii </w:t>
      </w:r>
      <w:r>
        <w:rPr>
          <w:rFonts w:ascii="Times New Roman" w:hAnsi="Times New Roman"/>
          <w:sz w:val="18"/>
          <w:szCs w:val="18"/>
          <w:lang w:val="ro-RO"/>
        </w:rPr>
        <w:t>–</w:t>
      </w:r>
      <w:r w:rsidRPr="00747F05">
        <w:rPr>
          <w:rFonts w:ascii="Times New Roman" w:hAnsi="Times New Roman"/>
          <w:sz w:val="18"/>
          <w:szCs w:val="18"/>
          <w:lang w:val="ro-RO"/>
        </w:rPr>
        <w:t xml:space="preserve"> 356,0 mii lei.</w:t>
      </w:r>
    </w:p>
  </w:footnote>
  <w:footnote w:id="26">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Clădirea grădiniței nr.2 </w:t>
      </w:r>
      <w:r>
        <w:rPr>
          <w:rFonts w:ascii="Times New Roman" w:hAnsi="Times New Roman"/>
          <w:sz w:val="18"/>
          <w:szCs w:val="18"/>
          <w:lang w:val="ro-RO"/>
        </w:rPr>
        <w:t>–</w:t>
      </w:r>
      <w:r w:rsidRPr="00747F05">
        <w:rPr>
          <w:rFonts w:ascii="Times New Roman" w:hAnsi="Times New Roman"/>
          <w:sz w:val="18"/>
          <w:szCs w:val="18"/>
          <w:lang w:val="ro-RO"/>
        </w:rPr>
        <w:t xml:space="preserve"> 549,0 mii lei; clădirea căminului </w:t>
      </w:r>
      <w:r>
        <w:rPr>
          <w:rFonts w:ascii="Times New Roman" w:hAnsi="Times New Roman"/>
          <w:sz w:val="18"/>
          <w:szCs w:val="18"/>
          <w:lang w:val="ro-RO"/>
        </w:rPr>
        <w:t>–</w:t>
      </w:r>
      <w:r w:rsidRPr="00747F05">
        <w:rPr>
          <w:rFonts w:ascii="Times New Roman" w:hAnsi="Times New Roman"/>
          <w:sz w:val="18"/>
          <w:szCs w:val="18"/>
          <w:lang w:val="ro-RO"/>
        </w:rPr>
        <w:t xml:space="preserve"> 651,9 mii lei.</w:t>
      </w:r>
    </w:p>
  </w:footnote>
  <w:footnote w:id="27">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Conducta de apă – 13,5 mii lei; conducta de apă – 7,1 mii lei; conducta de apă – 11,7 mii lei; f</w:t>
      </w:r>
      <w:r>
        <w:rPr>
          <w:rFonts w:ascii="Times New Roman" w:hAnsi="Times New Roman"/>
          <w:sz w:val="18"/>
          <w:szCs w:val="18"/>
          <w:lang w:val="ro-RO"/>
        </w:rPr>
        <w:t>î</w:t>
      </w:r>
      <w:r w:rsidRPr="00747F05">
        <w:rPr>
          <w:rFonts w:ascii="Times New Roman" w:hAnsi="Times New Roman"/>
          <w:sz w:val="18"/>
          <w:szCs w:val="18"/>
          <w:lang w:val="ro-RO"/>
        </w:rPr>
        <w:t>nt</w:t>
      </w:r>
      <w:r>
        <w:rPr>
          <w:rFonts w:ascii="Times New Roman" w:hAnsi="Times New Roman"/>
          <w:sz w:val="18"/>
          <w:szCs w:val="18"/>
          <w:lang w:val="ro-RO"/>
        </w:rPr>
        <w:t>î</w:t>
      </w:r>
      <w:r w:rsidRPr="00747F05">
        <w:rPr>
          <w:rFonts w:ascii="Times New Roman" w:hAnsi="Times New Roman"/>
          <w:sz w:val="18"/>
          <w:szCs w:val="18"/>
          <w:lang w:val="ro-RO"/>
        </w:rPr>
        <w:t>na arteziană – 25,2 mii lei.</w:t>
      </w:r>
    </w:p>
  </w:footnote>
  <w:footnote w:id="28">
    <w:p w:rsidR="00903BFF" w:rsidRPr="00747F05" w:rsidRDefault="00903BFF" w:rsidP="00903BFF">
      <w:pPr>
        <w:pStyle w:val="a7"/>
        <w:jc w:val="both"/>
        <w:rPr>
          <w:rFonts w:ascii="Times New Roman" w:hAnsi="Times New Roman"/>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Automobilul UAZ 469 – 4,8 mii lei; autobuz – 9,2 mii lei; remorcă – 1,3 mii lei; autospecială pompieri – 3,3 mii lei; automobil VAZ – 5,4 mii lei; automobil Lada 21-144 – 9,6 mii lei.</w:t>
      </w:r>
    </w:p>
  </w:footnote>
  <w:footnote w:id="29">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Autobuz KAVZ – 34,0 mii lei; </w:t>
      </w:r>
      <w:r>
        <w:rPr>
          <w:rFonts w:ascii="Times New Roman" w:hAnsi="Times New Roman"/>
          <w:sz w:val="18"/>
          <w:szCs w:val="18"/>
          <w:lang w:val="ro-RO"/>
        </w:rPr>
        <w:t>a</w:t>
      </w:r>
      <w:r w:rsidRPr="00747F05">
        <w:rPr>
          <w:rFonts w:ascii="Times New Roman" w:hAnsi="Times New Roman"/>
          <w:sz w:val="18"/>
          <w:szCs w:val="18"/>
          <w:lang w:val="ro-RO"/>
        </w:rPr>
        <w:t>utovehicul GAZ 66 – 23,4 mii lei.</w:t>
      </w:r>
    </w:p>
  </w:footnote>
  <w:footnote w:id="30">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Fîntîna arteziană a grădiniț</w:t>
      </w:r>
      <w:r>
        <w:rPr>
          <w:rFonts w:ascii="Times New Roman" w:hAnsi="Times New Roman"/>
          <w:sz w:val="18"/>
          <w:szCs w:val="18"/>
          <w:lang w:val="ro-RO"/>
        </w:rPr>
        <w:t>ei</w:t>
      </w:r>
      <w:r w:rsidRPr="00747F05">
        <w:rPr>
          <w:rFonts w:ascii="Times New Roman" w:hAnsi="Times New Roman"/>
          <w:sz w:val="18"/>
          <w:szCs w:val="18"/>
          <w:lang w:val="ro-RO"/>
        </w:rPr>
        <w:t xml:space="preserve"> – 139,0 mii lei; fîntîna arteziană a satului – 139,0 mii lei; fîntîna arteziană a liceu</w:t>
      </w:r>
      <w:r>
        <w:rPr>
          <w:rFonts w:ascii="Times New Roman" w:hAnsi="Times New Roman"/>
          <w:sz w:val="18"/>
          <w:szCs w:val="18"/>
          <w:lang w:val="ro-RO"/>
        </w:rPr>
        <w:t>lui</w:t>
      </w:r>
      <w:r w:rsidRPr="00747F05">
        <w:rPr>
          <w:rFonts w:ascii="Times New Roman" w:hAnsi="Times New Roman"/>
          <w:sz w:val="18"/>
          <w:szCs w:val="18"/>
          <w:lang w:val="ro-RO"/>
        </w:rPr>
        <w:t xml:space="preserve"> – 139,0 mii lei; apeductul grădiniț</w:t>
      </w:r>
      <w:r>
        <w:rPr>
          <w:rFonts w:ascii="Times New Roman" w:hAnsi="Times New Roman"/>
          <w:sz w:val="18"/>
          <w:szCs w:val="18"/>
          <w:lang w:val="ro-RO"/>
        </w:rPr>
        <w:t>ei</w:t>
      </w:r>
      <w:r w:rsidRPr="00747F05">
        <w:rPr>
          <w:rFonts w:ascii="Times New Roman" w:hAnsi="Times New Roman"/>
          <w:sz w:val="18"/>
          <w:szCs w:val="18"/>
          <w:lang w:val="ro-RO"/>
        </w:rPr>
        <w:t xml:space="preserve"> – 45,0 mii lei; apeductul liceu</w:t>
      </w:r>
      <w:r>
        <w:rPr>
          <w:rFonts w:ascii="Times New Roman" w:hAnsi="Times New Roman"/>
          <w:sz w:val="18"/>
          <w:szCs w:val="18"/>
          <w:lang w:val="ro-RO"/>
        </w:rPr>
        <w:t>lui</w:t>
      </w:r>
      <w:r w:rsidRPr="00747F05">
        <w:rPr>
          <w:rFonts w:ascii="Times New Roman" w:hAnsi="Times New Roman"/>
          <w:sz w:val="18"/>
          <w:szCs w:val="18"/>
          <w:lang w:val="ro-RO"/>
        </w:rPr>
        <w:t xml:space="preserve"> – 60,0 mii lei.</w:t>
      </w:r>
    </w:p>
  </w:footnote>
  <w:footnote w:id="31">
    <w:p w:rsidR="00903BFF" w:rsidRPr="00112D85" w:rsidRDefault="00903BFF" w:rsidP="00903BFF">
      <w:pPr>
        <w:pStyle w:val="a7"/>
        <w:jc w:val="both"/>
        <w:rPr>
          <w:rFonts w:ascii="Times New Roman" w:hAnsi="Times New Roman"/>
          <w:sz w:val="18"/>
          <w:szCs w:val="18"/>
          <w:lang w:val="ro-RO"/>
        </w:rPr>
      </w:pPr>
      <w:r w:rsidRPr="00112D85">
        <w:rPr>
          <w:rStyle w:val="a9"/>
          <w:rFonts w:ascii="Times New Roman" w:hAnsi="Times New Roman"/>
          <w:sz w:val="18"/>
          <w:szCs w:val="18"/>
          <w:lang w:val="ro-RO"/>
        </w:rPr>
        <w:footnoteRef/>
      </w:r>
      <w:r w:rsidRPr="00112D85">
        <w:rPr>
          <w:rFonts w:ascii="Times New Roman" w:hAnsi="Times New Roman"/>
          <w:sz w:val="18"/>
          <w:szCs w:val="18"/>
          <w:lang w:val="ro-RO"/>
        </w:rPr>
        <w:t xml:space="preserve"> Procurate în anul 2009 de la SA „Sudzucker Moldova”, în baza contractului de vînzare-cumpărare nr.38 din 24.07.2009</w:t>
      </w:r>
      <w:r>
        <w:rPr>
          <w:rFonts w:ascii="Times New Roman" w:hAnsi="Times New Roman"/>
          <w:sz w:val="18"/>
          <w:szCs w:val="18"/>
          <w:lang w:val="ro-RO"/>
        </w:rPr>
        <w:t>,</w:t>
      </w:r>
      <w:r w:rsidRPr="00112D85">
        <w:rPr>
          <w:rFonts w:ascii="Times New Roman" w:hAnsi="Times New Roman"/>
          <w:sz w:val="18"/>
          <w:szCs w:val="18"/>
          <w:lang w:val="ro-RO"/>
        </w:rPr>
        <w:t xml:space="preserve"> în sumă de 1600,0 mii lei.</w:t>
      </w:r>
    </w:p>
  </w:footnote>
  <w:footnote w:id="32">
    <w:p w:rsidR="00903BFF" w:rsidRPr="00112D85" w:rsidRDefault="00903BFF" w:rsidP="00903BFF">
      <w:pPr>
        <w:pStyle w:val="a7"/>
        <w:jc w:val="both"/>
        <w:rPr>
          <w:rFonts w:ascii="Times New Roman" w:hAnsi="Times New Roman"/>
          <w:sz w:val="18"/>
          <w:szCs w:val="18"/>
          <w:lang w:val="ro-RO"/>
        </w:rPr>
      </w:pPr>
      <w:r w:rsidRPr="00112D85">
        <w:rPr>
          <w:rStyle w:val="a9"/>
          <w:rFonts w:ascii="Times New Roman" w:hAnsi="Times New Roman"/>
          <w:sz w:val="18"/>
          <w:szCs w:val="18"/>
          <w:lang w:val="ro-RO"/>
        </w:rPr>
        <w:footnoteRef/>
      </w:r>
      <w:r w:rsidRPr="00112D85">
        <w:rPr>
          <w:rFonts w:ascii="Times New Roman" w:hAnsi="Times New Roman"/>
          <w:sz w:val="18"/>
          <w:szCs w:val="18"/>
          <w:lang w:val="ro-RO"/>
        </w:rPr>
        <w:t xml:space="preserve"> Transmise cu titlu gratuit la procurarea stației de evacuare a apelor uzate (instalații și utilaje tehnice) – 62 de unități cu costul rezidual de 954,9 mii lei și 38 de unități cu costul rezidual zero.</w:t>
      </w:r>
    </w:p>
  </w:footnote>
  <w:footnote w:id="33">
    <w:p w:rsidR="00903BFF" w:rsidRPr="00112D85" w:rsidRDefault="00903BFF" w:rsidP="00903BFF">
      <w:pPr>
        <w:pStyle w:val="a7"/>
        <w:jc w:val="both"/>
        <w:rPr>
          <w:rFonts w:ascii="Times New Roman" w:hAnsi="Times New Roman"/>
          <w:sz w:val="18"/>
          <w:szCs w:val="18"/>
          <w:lang w:val="ro-RO"/>
        </w:rPr>
      </w:pPr>
      <w:r w:rsidRPr="00112D85">
        <w:rPr>
          <w:rStyle w:val="a9"/>
          <w:rFonts w:ascii="Times New Roman" w:hAnsi="Times New Roman"/>
          <w:sz w:val="18"/>
          <w:szCs w:val="18"/>
          <w:lang w:val="ro-RO"/>
        </w:rPr>
        <w:footnoteRef/>
      </w:r>
      <w:r w:rsidRPr="00112D85">
        <w:rPr>
          <w:rFonts w:ascii="Times New Roman" w:hAnsi="Times New Roman"/>
          <w:sz w:val="18"/>
          <w:szCs w:val="18"/>
          <w:lang w:val="ro-RO"/>
        </w:rPr>
        <w:t xml:space="preserve"> Cauza procurării a fost determinată de faptul că SA „Sudzucker Moldova” urma să-și sisteze activitatea de producere și nu mai avea nevoie de stația de evacuare a apelor uzate, care</w:t>
      </w:r>
      <w:r>
        <w:rPr>
          <w:rFonts w:ascii="Times New Roman" w:hAnsi="Times New Roman"/>
          <w:sz w:val="18"/>
          <w:szCs w:val="18"/>
          <w:lang w:val="ro-RO"/>
        </w:rPr>
        <w:t>,</w:t>
      </w:r>
      <w:r w:rsidRPr="00112D85">
        <w:rPr>
          <w:rFonts w:ascii="Times New Roman" w:hAnsi="Times New Roman"/>
          <w:sz w:val="18"/>
          <w:szCs w:val="18"/>
          <w:lang w:val="ro-RO"/>
        </w:rPr>
        <w:t xml:space="preserve"> efectiv, deservea și necesitățile locativ-comunale ale or.</w:t>
      </w:r>
      <w:r>
        <w:rPr>
          <w:rFonts w:ascii="Times New Roman" w:hAnsi="Times New Roman"/>
          <w:sz w:val="18"/>
          <w:szCs w:val="18"/>
          <w:lang w:val="ro-RO"/>
        </w:rPr>
        <w:t xml:space="preserve"> </w:t>
      </w:r>
      <w:r w:rsidRPr="00112D85">
        <w:rPr>
          <w:rFonts w:ascii="Times New Roman" w:hAnsi="Times New Roman"/>
          <w:sz w:val="18"/>
          <w:szCs w:val="18"/>
          <w:lang w:val="ro-RO"/>
        </w:rPr>
        <w:t>Biruința.</w:t>
      </w:r>
    </w:p>
  </w:footnote>
  <w:footnote w:id="34">
    <w:p w:rsidR="00903BFF" w:rsidRPr="00112D85" w:rsidRDefault="00903BFF" w:rsidP="00903BFF">
      <w:pPr>
        <w:pStyle w:val="a7"/>
        <w:jc w:val="both"/>
        <w:rPr>
          <w:rFonts w:ascii="Times New Roman" w:hAnsi="Times New Roman"/>
          <w:sz w:val="18"/>
          <w:szCs w:val="18"/>
          <w:lang w:val="ro-RO"/>
        </w:rPr>
      </w:pPr>
      <w:r w:rsidRPr="00112D85">
        <w:rPr>
          <w:rStyle w:val="a9"/>
          <w:rFonts w:ascii="Times New Roman" w:hAnsi="Times New Roman"/>
          <w:sz w:val="18"/>
          <w:szCs w:val="18"/>
          <w:lang w:val="ro-RO"/>
        </w:rPr>
        <w:footnoteRef/>
      </w:r>
      <w:r w:rsidRPr="00112D85">
        <w:rPr>
          <w:rFonts w:ascii="Times New Roman" w:hAnsi="Times New Roman"/>
          <w:sz w:val="18"/>
          <w:szCs w:val="18"/>
          <w:lang w:val="ro-RO"/>
        </w:rPr>
        <w:t xml:space="preserve"> HG nr.158 din 14.03.2003 „Privind transmiterea de la balanța Ministerului Apărării la balanța Primăriei satului Rădoaia a taberei militare „Rădoaia”, dislocate în satul Rădoaia, județul Bălți” (în continuare </w:t>
      </w:r>
      <w:r>
        <w:rPr>
          <w:rFonts w:ascii="Times New Roman" w:hAnsi="Times New Roman"/>
          <w:sz w:val="18"/>
          <w:szCs w:val="18"/>
          <w:lang w:val="ro-RO"/>
        </w:rPr>
        <w:t>–</w:t>
      </w:r>
      <w:r w:rsidRPr="00112D85">
        <w:rPr>
          <w:rFonts w:ascii="Times New Roman" w:hAnsi="Times New Roman"/>
          <w:sz w:val="18"/>
          <w:szCs w:val="18"/>
          <w:lang w:val="ro-RO"/>
        </w:rPr>
        <w:t xml:space="preserve"> HG nr.158 din 14.03.2003).</w:t>
      </w:r>
    </w:p>
  </w:footnote>
  <w:footnote w:id="35">
    <w:p w:rsidR="00903BFF" w:rsidRPr="00112D85" w:rsidRDefault="00903BFF" w:rsidP="00903BFF">
      <w:pPr>
        <w:pStyle w:val="a7"/>
        <w:rPr>
          <w:rFonts w:ascii="Times New Roman" w:hAnsi="Times New Roman"/>
          <w:sz w:val="18"/>
          <w:szCs w:val="18"/>
          <w:lang w:val="en-US"/>
        </w:rPr>
      </w:pPr>
      <w:r w:rsidRPr="00112D85">
        <w:rPr>
          <w:rStyle w:val="a9"/>
          <w:rFonts w:ascii="Times New Roman" w:hAnsi="Times New Roman"/>
          <w:sz w:val="18"/>
          <w:szCs w:val="18"/>
        </w:rPr>
        <w:footnoteRef/>
      </w:r>
      <w:r w:rsidRPr="00112D85">
        <w:rPr>
          <w:rFonts w:ascii="Times New Roman" w:hAnsi="Times New Roman"/>
          <w:sz w:val="18"/>
          <w:szCs w:val="18"/>
          <w:lang w:val="en-US"/>
        </w:rPr>
        <w:t xml:space="preserve"> </w:t>
      </w:r>
      <w:r>
        <w:rPr>
          <w:rFonts w:ascii="Times New Roman" w:hAnsi="Times New Roman"/>
          <w:sz w:val="18"/>
          <w:szCs w:val="18"/>
          <w:lang w:val="en-US"/>
        </w:rPr>
        <w:t xml:space="preserve">Clădirea </w:t>
      </w:r>
      <w:r w:rsidRPr="00112D85">
        <w:rPr>
          <w:rFonts w:ascii="Times New Roman" w:hAnsi="Times New Roman"/>
          <w:sz w:val="18"/>
          <w:szCs w:val="18"/>
          <w:lang w:val="ro-RO"/>
        </w:rPr>
        <w:t>Stat</w:t>
      </w:r>
      <w:r>
        <w:rPr>
          <w:rFonts w:ascii="Times New Roman" w:hAnsi="Times New Roman"/>
          <w:sz w:val="18"/>
          <w:szCs w:val="18"/>
          <w:lang w:val="ro-RO"/>
        </w:rPr>
        <w:t>ului</w:t>
      </w:r>
      <w:r w:rsidRPr="00112D85">
        <w:rPr>
          <w:rFonts w:ascii="Times New Roman" w:hAnsi="Times New Roman"/>
          <w:sz w:val="18"/>
          <w:szCs w:val="18"/>
          <w:lang w:val="ro-RO"/>
        </w:rPr>
        <w:t xml:space="preserve"> major, clădire auxiliară, 2 clădiri ale stațiilor de transformatoare.</w:t>
      </w:r>
    </w:p>
  </w:footnote>
  <w:footnote w:id="36">
    <w:p w:rsidR="00903BFF" w:rsidRPr="00112D85" w:rsidRDefault="00903BFF" w:rsidP="00903BFF">
      <w:pPr>
        <w:pStyle w:val="a7"/>
        <w:jc w:val="both"/>
        <w:rPr>
          <w:rFonts w:ascii="Times New Roman" w:hAnsi="Times New Roman"/>
          <w:sz w:val="18"/>
          <w:szCs w:val="18"/>
          <w:lang w:val="en-US"/>
        </w:rPr>
      </w:pPr>
      <w:r w:rsidRPr="00112D85">
        <w:rPr>
          <w:rStyle w:val="a9"/>
          <w:rFonts w:ascii="Times New Roman" w:hAnsi="Times New Roman"/>
          <w:sz w:val="18"/>
          <w:szCs w:val="18"/>
        </w:rPr>
        <w:footnoteRef/>
      </w:r>
      <w:r w:rsidRPr="00112D85">
        <w:rPr>
          <w:rFonts w:ascii="Times New Roman" w:hAnsi="Times New Roman"/>
          <w:sz w:val="18"/>
          <w:szCs w:val="18"/>
          <w:lang w:val="en-US"/>
        </w:rPr>
        <w:t xml:space="preserve"> </w:t>
      </w:r>
      <w:r>
        <w:rPr>
          <w:rFonts w:ascii="Times New Roman" w:hAnsi="Times New Roman"/>
          <w:sz w:val="18"/>
          <w:szCs w:val="18"/>
          <w:lang w:val="ro-RO"/>
        </w:rPr>
        <w:t>P</w:t>
      </w:r>
      <w:r w:rsidRPr="00112D85">
        <w:rPr>
          <w:rFonts w:ascii="Times New Roman" w:hAnsi="Times New Roman"/>
          <w:sz w:val="18"/>
          <w:szCs w:val="18"/>
          <w:lang w:val="ro-RO"/>
        </w:rPr>
        <w:t>unct</w:t>
      </w:r>
      <w:r>
        <w:rPr>
          <w:rFonts w:ascii="Times New Roman" w:hAnsi="Times New Roman"/>
          <w:sz w:val="18"/>
          <w:szCs w:val="18"/>
          <w:lang w:val="ro-RO"/>
        </w:rPr>
        <w:t>ul</w:t>
      </w:r>
      <w:r w:rsidRPr="00112D85">
        <w:rPr>
          <w:rFonts w:ascii="Times New Roman" w:hAnsi="Times New Roman"/>
          <w:sz w:val="18"/>
          <w:szCs w:val="18"/>
          <w:lang w:val="ro-RO"/>
        </w:rPr>
        <w:t xml:space="preserve"> de control, cafenea</w:t>
      </w:r>
      <w:r>
        <w:rPr>
          <w:rFonts w:ascii="Times New Roman" w:hAnsi="Times New Roman"/>
          <w:sz w:val="18"/>
          <w:szCs w:val="18"/>
          <w:lang w:val="ro-RO"/>
        </w:rPr>
        <w:t>ua</w:t>
      </w:r>
      <w:r w:rsidRPr="00112D85">
        <w:rPr>
          <w:rFonts w:ascii="Times New Roman" w:hAnsi="Times New Roman"/>
          <w:sz w:val="18"/>
          <w:szCs w:val="18"/>
          <w:lang w:val="ro-RO"/>
        </w:rPr>
        <w:t>, sal</w:t>
      </w:r>
      <w:r>
        <w:rPr>
          <w:rFonts w:ascii="Times New Roman" w:hAnsi="Times New Roman"/>
          <w:sz w:val="18"/>
          <w:szCs w:val="18"/>
          <w:lang w:val="ro-RO"/>
        </w:rPr>
        <w:t>a</w:t>
      </w:r>
      <w:r w:rsidRPr="00112D85">
        <w:rPr>
          <w:rFonts w:ascii="Times New Roman" w:hAnsi="Times New Roman"/>
          <w:sz w:val="18"/>
          <w:szCs w:val="18"/>
          <w:lang w:val="ro-RO"/>
        </w:rPr>
        <w:t xml:space="preserve"> de studii, sal</w:t>
      </w:r>
      <w:r>
        <w:rPr>
          <w:rFonts w:ascii="Times New Roman" w:hAnsi="Times New Roman"/>
          <w:sz w:val="18"/>
          <w:szCs w:val="18"/>
          <w:lang w:val="ro-RO"/>
        </w:rPr>
        <w:t>a</w:t>
      </w:r>
      <w:r w:rsidRPr="00112D85">
        <w:rPr>
          <w:rFonts w:ascii="Times New Roman" w:hAnsi="Times New Roman"/>
          <w:sz w:val="18"/>
          <w:szCs w:val="18"/>
          <w:lang w:val="ro-RO"/>
        </w:rPr>
        <w:t xml:space="preserve"> de sport, cazarma, complex</w:t>
      </w:r>
      <w:r>
        <w:rPr>
          <w:rFonts w:ascii="Times New Roman" w:hAnsi="Times New Roman"/>
          <w:sz w:val="18"/>
          <w:szCs w:val="18"/>
          <w:lang w:val="ro-RO"/>
        </w:rPr>
        <w:t>ul</w:t>
      </w:r>
      <w:r w:rsidRPr="00112D85">
        <w:rPr>
          <w:rFonts w:ascii="Times New Roman" w:hAnsi="Times New Roman"/>
          <w:sz w:val="18"/>
          <w:szCs w:val="18"/>
          <w:lang w:val="ro-RO"/>
        </w:rPr>
        <w:t xml:space="preserve"> gospodăresc, depozit</w:t>
      </w:r>
      <w:r>
        <w:rPr>
          <w:rFonts w:ascii="Times New Roman" w:hAnsi="Times New Roman"/>
          <w:sz w:val="18"/>
          <w:szCs w:val="18"/>
          <w:lang w:val="ro-RO"/>
        </w:rPr>
        <w:t>ul</w:t>
      </w:r>
      <w:r w:rsidRPr="00112D85">
        <w:rPr>
          <w:rFonts w:ascii="Times New Roman" w:hAnsi="Times New Roman"/>
          <w:sz w:val="18"/>
          <w:szCs w:val="18"/>
          <w:lang w:val="ro-RO"/>
        </w:rPr>
        <w:t xml:space="preserve"> gospodăresc, depou</w:t>
      </w:r>
      <w:r>
        <w:rPr>
          <w:rFonts w:ascii="Times New Roman" w:hAnsi="Times New Roman"/>
          <w:sz w:val="18"/>
          <w:szCs w:val="18"/>
          <w:lang w:val="ro-RO"/>
        </w:rPr>
        <w:t>l</w:t>
      </w:r>
      <w:r w:rsidRPr="00112D85">
        <w:rPr>
          <w:rFonts w:ascii="Times New Roman" w:hAnsi="Times New Roman"/>
          <w:sz w:val="18"/>
          <w:szCs w:val="18"/>
          <w:lang w:val="ro-RO"/>
        </w:rPr>
        <w:t xml:space="preserve"> antiincendiar, garaj</w:t>
      </w:r>
      <w:r>
        <w:rPr>
          <w:rFonts w:ascii="Times New Roman" w:hAnsi="Times New Roman"/>
          <w:sz w:val="18"/>
          <w:szCs w:val="18"/>
          <w:lang w:val="ro-RO"/>
        </w:rPr>
        <w:t>ul</w:t>
      </w:r>
      <w:r w:rsidRPr="00112D85">
        <w:rPr>
          <w:rFonts w:ascii="Times New Roman" w:hAnsi="Times New Roman"/>
          <w:sz w:val="18"/>
          <w:szCs w:val="18"/>
          <w:lang w:val="ro-RO"/>
        </w:rPr>
        <w:t>, bai</w:t>
      </w:r>
      <w:r>
        <w:rPr>
          <w:rFonts w:ascii="Times New Roman" w:hAnsi="Times New Roman"/>
          <w:sz w:val="18"/>
          <w:szCs w:val="18"/>
          <w:lang w:val="ro-RO"/>
        </w:rPr>
        <w:t>a</w:t>
      </w:r>
      <w:r w:rsidRPr="00112D85">
        <w:rPr>
          <w:rFonts w:ascii="Times New Roman" w:hAnsi="Times New Roman"/>
          <w:sz w:val="18"/>
          <w:szCs w:val="18"/>
          <w:lang w:val="ro-RO"/>
        </w:rPr>
        <w:t>, 2 construcții – filtru de apă, sită de filtru, grădinița</w:t>
      </w:r>
      <w:r>
        <w:rPr>
          <w:rFonts w:ascii="Times New Roman" w:hAnsi="Times New Roman"/>
          <w:sz w:val="18"/>
          <w:szCs w:val="18"/>
          <w:lang w:val="ro-RO"/>
        </w:rPr>
        <w:t>.</w:t>
      </w:r>
    </w:p>
  </w:footnote>
  <w:footnote w:id="37">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Drum asfaltat, terenuri aferente asfaltate, drum de beton, gard de beton, gard din sîrmă ghimpată, rețele electrice, rețele de apeduct, rețele de canalizare, rețele termice.</w:t>
      </w:r>
    </w:p>
  </w:footnote>
  <w:footnote w:id="38">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Două case de locuit, sala de sport, punctul de control, stația de alimentare, cazangeria, filtru</w:t>
      </w:r>
      <w:r>
        <w:rPr>
          <w:rFonts w:ascii="Times New Roman" w:hAnsi="Times New Roman"/>
          <w:sz w:val="18"/>
          <w:szCs w:val="18"/>
          <w:lang w:val="ro-RO"/>
        </w:rPr>
        <w:t>l</w:t>
      </w:r>
      <w:r w:rsidRPr="00747F05">
        <w:rPr>
          <w:rFonts w:ascii="Times New Roman" w:hAnsi="Times New Roman"/>
          <w:sz w:val="18"/>
          <w:szCs w:val="18"/>
          <w:lang w:val="ro-RO"/>
        </w:rPr>
        <w:t xml:space="preserve"> de apă, sit</w:t>
      </w:r>
      <w:r>
        <w:rPr>
          <w:rFonts w:ascii="Times New Roman" w:hAnsi="Times New Roman"/>
          <w:sz w:val="18"/>
          <w:szCs w:val="18"/>
          <w:lang w:val="ro-RO"/>
        </w:rPr>
        <w:t>a</w:t>
      </w:r>
      <w:r w:rsidRPr="00747F05">
        <w:rPr>
          <w:rFonts w:ascii="Times New Roman" w:hAnsi="Times New Roman"/>
          <w:sz w:val="18"/>
          <w:szCs w:val="18"/>
          <w:lang w:val="ro-RO"/>
        </w:rPr>
        <w:t xml:space="preserve"> de filtru, ferma de porci, 3 stații de pompare, încăpere</w:t>
      </w:r>
      <w:r>
        <w:rPr>
          <w:rFonts w:ascii="Times New Roman" w:hAnsi="Times New Roman"/>
          <w:sz w:val="18"/>
          <w:szCs w:val="18"/>
          <w:lang w:val="ro-RO"/>
        </w:rPr>
        <w:t>a</w:t>
      </w:r>
      <w:r w:rsidRPr="00747F05">
        <w:rPr>
          <w:rFonts w:ascii="Times New Roman" w:hAnsi="Times New Roman"/>
          <w:sz w:val="18"/>
          <w:szCs w:val="18"/>
          <w:lang w:val="ro-RO"/>
        </w:rPr>
        <w:t xml:space="preserve"> de serviciu, stația de gaze, adăpost</w:t>
      </w:r>
      <w:r>
        <w:rPr>
          <w:rFonts w:ascii="Times New Roman" w:hAnsi="Times New Roman"/>
          <w:sz w:val="18"/>
          <w:szCs w:val="18"/>
          <w:lang w:val="ro-RO"/>
        </w:rPr>
        <w:t>ul</w:t>
      </w:r>
      <w:r w:rsidRPr="00747F05">
        <w:rPr>
          <w:rFonts w:ascii="Times New Roman" w:hAnsi="Times New Roman"/>
          <w:sz w:val="18"/>
          <w:szCs w:val="18"/>
          <w:lang w:val="ro-RO"/>
        </w:rPr>
        <w:t xml:space="preserve"> pentru tehnică, 2 depozite.</w:t>
      </w:r>
    </w:p>
  </w:footnote>
  <w:footnote w:id="39">
    <w:p w:rsidR="00903BFF" w:rsidRPr="00747F05" w:rsidRDefault="00903BFF" w:rsidP="00903BFF">
      <w:pPr>
        <w:pStyle w:val="a7"/>
        <w:jc w:val="both"/>
        <w:rPr>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HG nr.500 din 12.05.1998 „Despre aprobarea Regulamentului privind casarea bunurilor uzate, raportate la mijloacele fixe”.</w:t>
      </w:r>
    </w:p>
  </w:footnote>
  <w:footnote w:id="40">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Pr>
          <w:rFonts w:ascii="Times New Roman" w:hAnsi="Times New Roman"/>
          <w:sz w:val="18"/>
          <w:szCs w:val="18"/>
          <w:lang w:val="ro-RO"/>
        </w:rPr>
        <w:t xml:space="preserve"> Complex gospodăresc; 2 case de locuit; grădinița; depozit gospodăresc; baie; depou antiincendiar; clădire auxiliară;</w:t>
      </w:r>
      <w:r w:rsidRPr="00747F05">
        <w:rPr>
          <w:rFonts w:ascii="Times New Roman" w:hAnsi="Times New Roman"/>
          <w:sz w:val="18"/>
          <w:szCs w:val="18"/>
          <w:lang w:val="ro-RO"/>
        </w:rPr>
        <w:t xml:space="preserve"> gar</w:t>
      </w:r>
      <w:r>
        <w:rPr>
          <w:rFonts w:ascii="Times New Roman" w:hAnsi="Times New Roman"/>
          <w:sz w:val="18"/>
          <w:szCs w:val="18"/>
          <w:lang w:val="ro-RO"/>
        </w:rPr>
        <w:t>aj; construcția pentru filtrul de apă.</w:t>
      </w:r>
    </w:p>
  </w:footnote>
  <w:footnote w:id="41">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Clădirea </w:t>
      </w:r>
      <w:r>
        <w:rPr>
          <w:rFonts w:ascii="Times New Roman" w:hAnsi="Times New Roman"/>
          <w:sz w:val="18"/>
          <w:szCs w:val="18"/>
          <w:lang w:val="ro-RO"/>
        </w:rPr>
        <w:t>S</w:t>
      </w:r>
      <w:r w:rsidRPr="00747F05">
        <w:rPr>
          <w:rFonts w:ascii="Times New Roman" w:hAnsi="Times New Roman"/>
          <w:sz w:val="18"/>
          <w:szCs w:val="18"/>
          <w:lang w:val="ro-RO"/>
        </w:rPr>
        <w:t>tatului major; clădirea cazărmii; clădirea cantinei.</w:t>
      </w:r>
    </w:p>
  </w:footnote>
  <w:footnote w:id="42">
    <w:p w:rsidR="00903BFF" w:rsidRPr="00747F05" w:rsidRDefault="00903BFF" w:rsidP="00903BFF">
      <w:pPr>
        <w:spacing w:after="0" w:line="240" w:lineRule="auto"/>
        <w:jc w:val="both"/>
        <w:rPr>
          <w:rFonts w:ascii="Times New Roman" w:hAnsi="Times New Roman"/>
          <w:bCs/>
          <w:sz w:val="18"/>
          <w:szCs w:val="18"/>
          <w:lang w:val="ro-RO"/>
        </w:rPr>
      </w:pPr>
      <w:r w:rsidRPr="00747F05">
        <w:rPr>
          <w:rStyle w:val="a9"/>
          <w:rFonts w:ascii="Times New Roman" w:hAnsi="Times New Roman"/>
          <w:sz w:val="18"/>
          <w:szCs w:val="18"/>
          <w:lang w:val="ro-RO"/>
        </w:rPr>
        <w:footnoteRef/>
      </w:r>
      <w:r>
        <w:rPr>
          <w:rFonts w:ascii="Times New Roman" w:hAnsi="Times New Roman"/>
          <w:sz w:val="18"/>
          <w:szCs w:val="18"/>
          <w:lang w:val="ro-RO"/>
        </w:rPr>
        <w:t xml:space="preserve"> </w:t>
      </w:r>
      <w:r w:rsidRPr="00747F05">
        <w:rPr>
          <w:rFonts w:ascii="Times New Roman" w:hAnsi="Times New Roman"/>
          <w:bCs/>
          <w:sz w:val="18"/>
          <w:szCs w:val="18"/>
          <w:lang w:val="ro-RO"/>
        </w:rPr>
        <w:t>Regulamentul privind monitoringul financiar al întreprinderilor de stat/municipale și al societăților comerciale cu capi</w:t>
      </w:r>
      <w:r>
        <w:rPr>
          <w:rFonts w:ascii="Times New Roman" w:hAnsi="Times New Roman"/>
          <w:bCs/>
          <w:sz w:val="18"/>
          <w:szCs w:val="18"/>
          <w:lang w:val="ro-RO"/>
        </w:rPr>
        <w:t>tal public sau majoritar public</w:t>
      </w:r>
      <w:r w:rsidRPr="00747F05">
        <w:rPr>
          <w:rFonts w:ascii="Times New Roman" w:hAnsi="Times New Roman"/>
          <w:bCs/>
          <w:sz w:val="18"/>
          <w:szCs w:val="18"/>
          <w:lang w:val="ro-RO"/>
        </w:rPr>
        <w:t xml:space="preserve">, aprobat prin </w:t>
      </w:r>
      <w:r w:rsidRPr="00747F05">
        <w:rPr>
          <w:rFonts w:ascii="Times New Roman" w:hAnsi="Times New Roman"/>
          <w:sz w:val="18"/>
          <w:szCs w:val="18"/>
          <w:lang w:val="ro-RO"/>
        </w:rPr>
        <w:t xml:space="preserve">HG nr.580 din 08.05.2008 </w:t>
      </w:r>
      <w:r>
        <w:rPr>
          <w:rFonts w:ascii="Times New Roman" w:hAnsi="Times New Roman"/>
          <w:sz w:val="18"/>
          <w:szCs w:val="18"/>
          <w:lang w:val="ro-RO"/>
        </w:rPr>
        <w:t>(abrogat</w:t>
      </w:r>
      <w:r w:rsidRPr="00747F05">
        <w:rPr>
          <w:rFonts w:ascii="Times New Roman" w:hAnsi="Times New Roman"/>
          <w:sz w:val="18"/>
          <w:szCs w:val="18"/>
          <w:lang w:val="ro-RO"/>
        </w:rPr>
        <w:t xml:space="preserve"> prin </w:t>
      </w:r>
      <w:r w:rsidRPr="00747F05">
        <w:rPr>
          <w:rFonts w:ascii="Times New Roman" w:hAnsi="Times New Roman"/>
          <w:bCs/>
          <w:sz w:val="18"/>
          <w:szCs w:val="18"/>
          <w:lang w:val="ro-RO"/>
        </w:rPr>
        <w:t>HG nr.875 din 21.10.2014)</w:t>
      </w:r>
      <w:r w:rsidRPr="00747F05">
        <w:rPr>
          <w:rFonts w:ascii="Times New Roman" w:hAnsi="Times New Roman"/>
          <w:sz w:val="18"/>
          <w:szCs w:val="18"/>
          <w:lang w:val="ro-RO"/>
        </w:rPr>
        <w:t>;</w:t>
      </w:r>
      <w:r>
        <w:rPr>
          <w:rFonts w:ascii="Times New Roman" w:hAnsi="Times New Roman"/>
          <w:bCs/>
          <w:sz w:val="18"/>
          <w:szCs w:val="18"/>
          <w:lang w:val="ro-RO"/>
        </w:rPr>
        <w:t xml:space="preserve"> </w:t>
      </w:r>
      <w:r w:rsidRPr="00747F05">
        <w:rPr>
          <w:rFonts w:ascii="Times New Roman" w:hAnsi="Times New Roman"/>
          <w:bCs/>
          <w:sz w:val="18"/>
          <w:szCs w:val="18"/>
          <w:lang w:val="ro-RO"/>
        </w:rPr>
        <w:t>Regulamentul privind monitoringul financiar al întreprinderilor de stat/municipale și al societăților comerciale cu capita</w:t>
      </w:r>
      <w:r>
        <w:rPr>
          <w:rFonts w:ascii="Times New Roman" w:hAnsi="Times New Roman"/>
          <w:bCs/>
          <w:sz w:val="18"/>
          <w:szCs w:val="18"/>
          <w:lang w:val="ro-RO"/>
        </w:rPr>
        <w:t>l integral sau majoritar public</w:t>
      </w:r>
      <w:r w:rsidRPr="00747F05">
        <w:rPr>
          <w:rFonts w:ascii="Times New Roman" w:hAnsi="Times New Roman"/>
          <w:bCs/>
          <w:sz w:val="18"/>
          <w:szCs w:val="18"/>
          <w:lang w:val="ro-RO"/>
        </w:rPr>
        <w:t>, aprobat prin HG nr.875 din 21.10.2014.</w:t>
      </w:r>
    </w:p>
  </w:footnote>
  <w:footnote w:id="43">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Instrumente, mașini și utilaje speciale în domeniul construcțiilor.</w:t>
      </w:r>
    </w:p>
  </w:footnote>
  <w:footnote w:id="44">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Le</w:t>
      </w:r>
      <w:r>
        <w:rPr>
          <w:rFonts w:ascii="Times New Roman" w:hAnsi="Times New Roman"/>
          <w:sz w:val="18"/>
          <w:szCs w:val="18"/>
          <w:lang w:val="ro-RO"/>
        </w:rPr>
        <w:t>gea s</w:t>
      </w:r>
      <w:r w:rsidRPr="00747F05">
        <w:rPr>
          <w:rFonts w:ascii="Times New Roman" w:hAnsi="Times New Roman"/>
          <w:sz w:val="18"/>
          <w:szCs w:val="18"/>
          <w:lang w:val="ro-RO"/>
        </w:rPr>
        <w:t>erviciilor publice de gospodărie comunală</w:t>
      </w:r>
      <w:r>
        <w:rPr>
          <w:rFonts w:ascii="Times New Roman" w:hAnsi="Times New Roman"/>
          <w:sz w:val="18"/>
          <w:szCs w:val="18"/>
          <w:lang w:val="ro-RO"/>
        </w:rPr>
        <w:t xml:space="preserve"> nr.1402-XV din 24.10.2002</w:t>
      </w:r>
      <w:r w:rsidRPr="00747F05">
        <w:rPr>
          <w:rFonts w:ascii="Times New Roman" w:hAnsi="Times New Roman"/>
          <w:sz w:val="18"/>
          <w:szCs w:val="18"/>
          <w:lang w:val="ro-RO"/>
        </w:rPr>
        <w:t>.</w:t>
      </w:r>
    </w:p>
  </w:footnote>
  <w:footnote w:id="45">
    <w:p w:rsidR="00903BFF" w:rsidRPr="00747F05" w:rsidRDefault="00903BFF" w:rsidP="00903BFF">
      <w:pPr>
        <w:pStyle w:val="a7"/>
        <w:jc w:val="both"/>
        <w:rPr>
          <w:rFonts w:ascii="Times New Roman" w:hAnsi="Times New Roman"/>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HG nr.1020 din 29.12.2011 „Cu privire la tarifele pentru serviciile medico-sanitare”.</w:t>
      </w:r>
    </w:p>
  </w:footnote>
  <w:footnote w:id="46">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Le</w:t>
      </w:r>
      <w:r>
        <w:rPr>
          <w:rFonts w:ascii="Times New Roman" w:hAnsi="Times New Roman"/>
          <w:sz w:val="18"/>
          <w:szCs w:val="18"/>
          <w:lang w:val="ro-RO"/>
        </w:rPr>
        <w:t>gea nr.436-XVI din 28.12.2006</w:t>
      </w:r>
      <w:r w:rsidRPr="00747F05">
        <w:rPr>
          <w:rFonts w:ascii="Times New Roman" w:hAnsi="Times New Roman"/>
          <w:sz w:val="18"/>
          <w:szCs w:val="18"/>
          <w:lang w:val="ro-RO"/>
        </w:rPr>
        <w:t xml:space="preserve"> </w:t>
      </w:r>
      <w:r>
        <w:rPr>
          <w:rFonts w:ascii="Times New Roman" w:hAnsi="Times New Roman"/>
          <w:sz w:val="18"/>
          <w:szCs w:val="18"/>
          <w:lang w:val="ro-RO"/>
        </w:rPr>
        <w:t>p</w:t>
      </w:r>
      <w:r w:rsidRPr="00747F05">
        <w:rPr>
          <w:rFonts w:ascii="Times New Roman" w:hAnsi="Times New Roman"/>
          <w:sz w:val="18"/>
          <w:szCs w:val="18"/>
          <w:lang w:val="ro-RO"/>
        </w:rPr>
        <w:t>rivind administrația publică locală</w:t>
      </w:r>
      <w:r>
        <w:rPr>
          <w:rFonts w:ascii="Times New Roman" w:hAnsi="Times New Roman"/>
          <w:sz w:val="18"/>
          <w:szCs w:val="18"/>
          <w:lang w:val="ro-RO"/>
        </w:rPr>
        <w:t xml:space="preserve"> </w:t>
      </w:r>
      <w:r w:rsidRPr="00747F05">
        <w:rPr>
          <w:rFonts w:ascii="Times New Roman" w:hAnsi="Times New Roman"/>
          <w:sz w:val="18"/>
          <w:szCs w:val="18"/>
          <w:lang w:val="ro-RO"/>
        </w:rPr>
        <w:t xml:space="preserve">(în continuare </w:t>
      </w:r>
      <w:r>
        <w:rPr>
          <w:rFonts w:ascii="Times New Roman" w:hAnsi="Times New Roman"/>
          <w:sz w:val="18"/>
          <w:szCs w:val="18"/>
          <w:lang w:val="ro-RO"/>
        </w:rPr>
        <w:t>–</w:t>
      </w:r>
      <w:r w:rsidRPr="00747F05">
        <w:rPr>
          <w:rFonts w:ascii="Times New Roman" w:hAnsi="Times New Roman"/>
          <w:sz w:val="18"/>
          <w:szCs w:val="18"/>
          <w:lang w:val="ro-RO"/>
        </w:rPr>
        <w:t xml:space="preserve"> Legea nr.436-XVI din 28.12.2006).</w:t>
      </w:r>
    </w:p>
  </w:footnote>
  <w:footnote w:id="47">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Pr>
          <w:rFonts w:ascii="Times New Roman" w:hAnsi="Times New Roman"/>
          <w:sz w:val="18"/>
          <w:szCs w:val="18"/>
          <w:lang w:val="ro-RO"/>
        </w:rPr>
        <w:t xml:space="preserve"> AP – 1 contract (</w:t>
      </w:r>
      <w:r w:rsidRPr="00747F05">
        <w:rPr>
          <w:rFonts w:ascii="Times New Roman" w:hAnsi="Times New Roman"/>
          <w:sz w:val="18"/>
          <w:szCs w:val="18"/>
          <w:lang w:val="ro-RO"/>
        </w:rPr>
        <w:t>0,6 mii lei</w:t>
      </w:r>
      <w:r>
        <w:rPr>
          <w:rFonts w:ascii="Times New Roman" w:hAnsi="Times New Roman"/>
          <w:sz w:val="18"/>
          <w:szCs w:val="18"/>
          <w:lang w:val="ro-RO"/>
        </w:rPr>
        <w:t>)</w:t>
      </w:r>
      <w:r w:rsidRPr="00747F05">
        <w:rPr>
          <w:rFonts w:ascii="Times New Roman" w:hAnsi="Times New Roman"/>
          <w:sz w:val="18"/>
          <w:szCs w:val="18"/>
          <w:lang w:val="ro-RO"/>
        </w:rPr>
        <w:t>; primăriil</w:t>
      </w:r>
      <w:r>
        <w:rPr>
          <w:rFonts w:ascii="Times New Roman" w:hAnsi="Times New Roman"/>
          <w:sz w:val="18"/>
          <w:szCs w:val="18"/>
          <w:lang w:val="ro-RO"/>
        </w:rPr>
        <w:t>e: or.Sîngerei – 11 contracte (</w:t>
      </w:r>
      <w:r w:rsidRPr="00747F05">
        <w:rPr>
          <w:rFonts w:ascii="Times New Roman" w:hAnsi="Times New Roman"/>
          <w:sz w:val="18"/>
          <w:szCs w:val="18"/>
          <w:lang w:val="ro-RO"/>
        </w:rPr>
        <w:t>89,7 mii lei</w:t>
      </w:r>
      <w:r>
        <w:rPr>
          <w:rFonts w:ascii="Times New Roman" w:hAnsi="Times New Roman"/>
          <w:sz w:val="18"/>
          <w:szCs w:val="18"/>
          <w:lang w:val="ro-RO"/>
        </w:rPr>
        <w:t>); com.Drăgănești – 1 contract (</w:t>
      </w:r>
      <w:r w:rsidRPr="00747F05">
        <w:rPr>
          <w:rFonts w:ascii="Times New Roman" w:hAnsi="Times New Roman"/>
          <w:sz w:val="18"/>
          <w:szCs w:val="18"/>
          <w:lang w:val="ro-RO"/>
        </w:rPr>
        <w:t>8,5 mii lei</w:t>
      </w:r>
      <w:r>
        <w:rPr>
          <w:rFonts w:ascii="Times New Roman" w:hAnsi="Times New Roman"/>
          <w:sz w:val="18"/>
          <w:szCs w:val="18"/>
          <w:lang w:val="ro-RO"/>
        </w:rPr>
        <w:t>); s.Rădoaia – 3 contracte (</w:t>
      </w:r>
      <w:r w:rsidRPr="00747F05">
        <w:rPr>
          <w:rFonts w:ascii="Times New Roman" w:hAnsi="Times New Roman"/>
          <w:sz w:val="18"/>
          <w:szCs w:val="18"/>
          <w:lang w:val="ro-RO"/>
        </w:rPr>
        <w:t>6,3 mii lei</w:t>
      </w:r>
      <w:r>
        <w:rPr>
          <w:rFonts w:ascii="Times New Roman" w:hAnsi="Times New Roman"/>
          <w:sz w:val="18"/>
          <w:szCs w:val="18"/>
          <w:lang w:val="ro-RO"/>
        </w:rPr>
        <w:t>)</w:t>
      </w:r>
      <w:r w:rsidRPr="00747F05">
        <w:rPr>
          <w:rFonts w:ascii="Times New Roman" w:hAnsi="Times New Roman"/>
          <w:sz w:val="18"/>
          <w:szCs w:val="18"/>
          <w:lang w:val="ro-RO"/>
        </w:rPr>
        <w:t>; c</w:t>
      </w:r>
      <w:r>
        <w:rPr>
          <w:rFonts w:ascii="Times New Roman" w:hAnsi="Times New Roman"/>
          <w:sz w:val="18"/>
          <w:szCs w:val="18"/>
          <w:lang w:val="ro-RO"/>
        </w:rPr>
        <w:t>om.Sîngereii Noi – 6 contracte (</w:t>
      </w:r>
      <w:r w:rsidRPr="00747F05">
        <w:rPr>
          <w:rFonts w:ascii="Times New Roman" w:hAnsi="Times New Roman"/>
          <w:sz w:val="18"/>
          <w:szCs w:val="18"/>
          <w:lang w:val="ro-RO"/>
        </w:rPr>
        <w:t>12,8 mii lei</w:t>
      </w:r>
      <w:r>
        <w:rPr>
          <w:rFonts w:ascii="Times New Roman" w:hAnsi="Times New Roman"/>
          <w:sz w:val="18"/>
          <w:szCs w:val="18"/>
          <w:lang w:val="ro-RO"/>
        </w:rPr>
        <w:t>)</w:t>
      </w:r>
      <w:r w:rsidRPr="00747F05">
        <w:rPr>
          <w:rFonts w:ascii="Times New Roman" w:hAnsi="Times New Roman"/>
          <w:sz w:val="18"/>
          <w:szCs w:val="18"/>
          <w:lang w:val="ro-RO"/>
        </w:rPr>
        <w:t>.</w:t>
      </w:r>
    </w:p>
  </w:footnote>
  <w:footnote w:id="48">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Pasul licitării </w:t>
      </w:r>
      <w:r w:rsidRPr="00A0596C">
        <w:rPr>
          <w:rFonts w:ascii="Times New Roman" w:hAnsi="Times New Roman"/>
          <w:bCs/>
          <w:iCs/>
          <w:sz w:val="18"/>
          <w:szCs w:val="18"/>
          <w:lang w:val="ro-RO"/>
        </w:rPr>
        <w:t>minim 10% și</w:t>
      </w:r>
      <w:r>
        <w:rPr>
          <w:rFonts w:ascii="Times New Roman" w:hAnsi="Times New Roman"/>
          <w:bCs/>
          <w:iCs/>
          <w:sz w:val="18"/>
          <w:szCs w:val="18"/>
          <w:lang w:val="ro-RO"/>
        </w:rPr>
        <w:t xml:space="preserve"> </w:t>
      </w:r>
      <w:r w:rsidRPr="00A0596C">
        <w:rPr>
          <w:rFonts w:ascii="Times New Roman" w:hAnsi="Times New Roman"/>
          <w:bCs/>
          <w:iCs/>
          <w:sz w:val="18"/>
          <w:szCs w:val="18"/>
          <w:lang w:val="ro-RO"/>
        </w:rPr>
        <w:t>maxim 50%, anunțat de la prețul minim de expunere la licitație.</w:t>
      </w:r>
    </w:p>
  </w:footnote>
  <w:footnote w:id="49">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Pr>
          <w:rFonts w:ascii="Times New Roman" w:hAnsi="Times New Roman"/>
          <w:sz w:val="18"/>
          <w:szCs w:val="18"/>
          <w:lang w:val="ro-RO"/>
        </w:rPr>
        <w:t xml:space="preserve"> Pct.22 din </w:t>
      </w:r>
      <w:r w:rsidRPr="00A0596C">
        <w:rPr>
          <w:rFonts w:ascii="Times New Roman" w:hAnsi="Times New Roman"/>
          <w:sz w:val="18"/>
          <w:szCs w:val="18"/>
          <w:lang w:val="ro-RO"/>
        </w:rPr>
        <w:t>Regulamentul privind licitaț</w:t>
      </w:r>
      <w:r>
        <w:rPr>
          <w:rFonts w:ascii="Times New Roman" w:hAnsi="Times New Roman"/>
          <w:sz w:val="18"/>
          <w:szCs w:val="18"/>
          <w:lang w:val="ro-RO"/>
        </w:rPr>
        <w:t>iile cu strigare și cu reducere</w:t>
      </w:r>
      <w:r w:rsidRPr="00A0596C">
        <w:rPr>
          <w:rFonts w:ascii="Times New Roman" w:hAnsi="Times New Roman"/>
          <w:sz w:val="18"/>
          <w:szCs w:val="18"/>
          <w:lang w:val="ro-RO"/>
        </w:rPr>
        <w:t>, aprobat prin HG nr.136 din 10.02.2009.</w:t>
      </w:r>
    </w:p>
  </w:footnote>
  <w:footnote w:id="50">
    <w:p w:rsidR="00903BFF" w:rsidRPr="00A0596C" w:rsidRDefault="00903BFF" w:rsidP="00903BFF">
      <w:pPr>
        <w:pStyle w:val="a7"/>
        <w:jc w:val="both"/>
        <w:rPr>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80 m</w:t>
      </w:r>
      <w:r w:rsidRPr="00A0596C">
        <w:rPr>
          <w:rFonts w:ascii="Times New Roman" w:hAnsi="Times New Roman"/>
          <w:sz w:val="18"/>
          <w:szCs w:val="18"/>
          <w:vertAlign w:val="superscript"/>
          <w:lang w:val="ro-RO"/>
        </w:rPr>
        <w:t>2</w:t>
      </w:r>
      <w:r w:rsidRPr="00A0596C">
        <w:rPr>
          <w:rFonts w:ascii="Times New Roman" w:hAnsi="Times New Roman"/>
          <w:sz w:val="18"/>
          <w:szCs w:val="18"/>
          <w:lang w:val="ro-RO"/>
        </w:rPr>
        <w:t xml:space="preserve"> </w:t>
      </w:r>
      <w:r>
        <w:rPr>
          <w:rFonts w:ascii="Times New Roman" w:hAnsi="Times New Roman"/>
          <w:sz w:val="18"/>
          <w:szCs w:val="18"/>
          <w:lang w:val="ro-RO"/>
        </w:rPr>
        <w:t>–</w:t>
      </w:r>
      <w:r w:rsidRPr="00A0596C">
        <w:rPr>
          <w:rFonts w:ascii="Times New Roman" w:hAnsi="Times New Roman"/>
          <w:sz w:val="18"/>
          <w:szCs w:val="18"/>
          <w:lang w:val="ro-RO"/>
        </w:rPr>
        <w:t xml:space="preserve"> cu 21 lei pentru 1 m</w:t>
      </w:r>
      <w:r w:rsidRPr="00A0596C">
        <w:rPr>
          <w:rFonts w:ascii="Times New Roman" w:hAnsi="Times New Roman"/>
          <w:sz w:val="18"/>
          <w:szCs w:val="18"/>
          <w:vertAlign w:val="superscript"/>
          <w:lang w:val="ro-RO"/>
        </w:rPr>
        <w:t>2</w:t>
      </w:r>
      <w:r w:rsidRPr="00A0596C">
        <w:rPr>
          <w:rFonts w:ascii="Times New Roman" w:hAnsi="Times New Roman"/>
          <w:sz w:val="18"/>
          <w:szCs w:val="18"/>
          <w:lang w:val="ro-RO"/>
        </w:rPr>
        <w:t>.</w:t>
      </w:r>
    </w:p>
  </w:footnote>
  <w:footnote w:id="51">
    <w:p w:rsidR="00903BFF" w:rsidRPr="00A0596C" w:rsidRDefault="00903BFF" w:rsidP="00903BFF">
      <w:pPr>
        <w:pStyle w:val="a7"/>
        <w:jc w:val="both"/>
        <w:rPr>
          <w:rFonts w:ascii="Times New Roman" w:hAnsi="Times New Roman"/>
          <w:sz w:val="18"/>
          <w:szCs w:val="18"/>
          <w:lang w:val="ro-RO"/>
        </w:rPr>
      </w:pPr>
      <w:r w:rsidRPr="00A0596C">
        <w:rPr>
          <w:rStyle w:val="a9"/>
          <w:rFonts w:ascii="Times New Roman" w:hAnsi="Times New Roman"/>
          <w:sz w:val="18"/>
          <w:szCs w:val="18"/>
          <w:lang w:val="ro-RO"/>
        </w:rPr>
        <w:footnoteRef/>
      </w:r>
      <w:r w:rsidRPr="00A0596C">
        <w:rPr>
          <w:rFonts w:ascii="Times New Roman" w:hAnsi="Times New Roman"/>
          <w:sz w:val="18"/>
          <w:szCs w:val="18"/>
          <w:lang w:val="ro-RO"/>
        </w:rPr>
        <w:t xml:space="preserve"> Legea bugetului de stat pentru anul 2015 nr.72 din 14.04.2015 (coeficientul de ramură privind utilizarea încăperii K</w:t>
      </w:r>
      <w:r w:rsidRPr="00A0596C">
        <w:rPr>
          <w:rFonts w:ascii="Times New Roman" w:hAnsi="Times New Roman"/>
          <w:sz w:val="18"/>
          <w:szCs w:val="18"/>
          <w:vertAlign w:val="subscript"/>
          <w:lang w:val="ro-RO"/>
        </w:rPr>
        <w:t>3</w:t>
      </w:r>
      <w:r w:rsidRPr="00A0596C">
        <w:rPr>
          <w:rFonts w:ascii="Times New Roman" w:hAnsi="Times New Roman"/>
          <w:sz w:val="18"/>
          <w:szCs w:val="18"/>
          <w:lang w:val="ro-RO"/>
        </w:rPr>
        <w:t xml:space="preserve"> și formula de calcul a plății de chirie); </w:t>
      </w:r>
      <w:r>
        <w:rPr>
          <w:rFonts w:ascii="Times New Roman" w:hAnsi="Times New Roman"/>
          <w:sz w:val="18"/>
          <w:szCs w:val="18"/>
          <w:lang w:val="ro-RO"/>
        </w:rPr>
        <w:t>a</w:t>
      </w:r>
      <w:r w:rsidRPr="00A0596C">
        <w:rPr>
          <w:rFonts w:ascii="Times New Roman" w:hAnsi="Times New Roman"/>
          <w:sz w:val="18"/>
          <w:szCs w:val="18"/>
          <w:lang w:val="ro-RO"/>
        </w:rPr>
        <w:t>rt.77 din Legea nr.436-XVI din 28.12.2006.</w:t>
      </w:r>
    </w:p>
  </w:footnote>
  <w:footnote w:id="52">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Conform prevederilor art.10 din Legea nr.1308-XIII din 25.07.1997 </w:t>
      </w:r>
      <w:r>
        <w:rPr>
          <w:rFonts w:ascii="Times New Roman" w:hAnsi="Times New Roman"/>
          <w:sz w:val="18"/>
          <w:szCs w:val="18"/>
          <w:lang w:val="ro-RO"/>
        </w:rPr>
        <w:t>p</w:t>
      </w:r>
      <w:r w:rsidRPr="00747F05">
        <w:rPr>
          <w:rFonts w:ascii="Times New Roman" w:hAnsi="Times New Roman"/>
          <w:sz w:val="18"/>
          <w:szCs w:val="18"/>
          <w:lang w:val="ro-RO"/>
        </w:rPr>
        <w:t xml:space="preserve">rivind prețul normativ și modul de vînzare-cumpărare a pămîntului (în continuare </w:t>
      </w:r>
      <w:r>
        <w:rPr>
          <w:rFonts w:ascii="Times New Roman" w:hAnsi="Times New Roman"/>
          <w:sz w:val="18"/>
          <w:szCs w:val="18"/>
          <w:lang w:val="ro-RO"/>
        </w:rPr>
        <w:t>–</w:t>
      </w:r>
      <w:r w:rsidRPr="00747F05">
        <w:rPr>
          <w:rFonts w:ascii="Times New Roman" w:hAnsi="Times New Roman"/>
          <w:sz w:val="18"/>
          <w:szCs w:val="18"/>
          <w:lang w:val="ro-RO"/>
        </w:rPr>
        <w:t xml:space="preserve"> Legea nr.1308-XIII din 25.07.1997). Primăriile: or.</w:t>
      </w:r>
      <w:r>
        <w:rPr>
          <w:rFonts w:ascii="Times New Roman" w:hAnsi="Times New Roman"/>
          <w:sz w:val="18"/>
          <w:szCs w:val="18"/>
          <w:lang w:val="ro-RO"/>
        </w:rPr>
        <w:t xml:space="preserve"> </w:t>
      </w:r>
      <w:r w:rsidRPr="00747F05">
        <w:rPr>
          <w:rFonts w:ascii="Times New Roman" w:hAnsi="Times New Roman"/>
          <w:sz w:val="18"/>
          <w:szCs w:val="18"/>
          <w:lang w:val="ro-RO"/>
        </w:rPr>
        <w:t>Sîngerei – 11,1 mii lei; s.</w:t>
      </w:r>
      <w:r>
        <w:rPr>
          <w:rFonts w:ascii="Times New Roman" w:hAnsi="Times New Roman"/>
          <w:sz w:val="18"/>
          <w:szCs w:val="18"/>
          <w:lang w:val="ro-RO"/>
        </w:rPr>
        <w:t xml:space="preserve"> </w:t>
      </w:r>
      <w:r w:rsidRPr="00747F05">
        <w:rPr>
          <w:rFonts w:ascii="Times New Roman" w:hAnsi="Times New Roman"/>
          <w:sz w:val="18"/>
          <w:szCs w:val="18"/>
          <w:lang w:val="ro-RO"/>
        </w:rPr>
        <w:t>Rădoaia – 20,6 mii lei; com.</w:t>
      </w:r>
      <w:r>
        <w:rPr>
          <w:rFonts w:ascii="Times New Roman" w:hAnsi="Times New Roman"/>
          <w:sz w:val="18"/>
          <w:szCs w:val="18"/>
          <w:lang w:val="ro-RO"/>
        </w:rPr>
        <w:t xml:space="preserve"> </w:t>
      </w:r>
      <w:r w:rsidRPr="00747F05">
        <w:rPr>
          <w:rFonts w:ascii="Times New Roman" w:hAnsi="Times New Roman"/>
          <w:sz w:val="18"/>
          <w:szCs w:val="18"/>
          <w:lang w:val="ro-RO"/>
        </w:rPr>
        <w:t>Iezărenii Vechi – 127,9 mii lei; com.</w:t>
      </w:r>
      <w:r>
        <w:rPr>
          <w:rFonts w:ascii="Times New Roman" w:hAnsi="Times New Roman"/>
          <w:sz w:val="18"/>
          <w:szCs w:val="18"/>
          <w:lang w:val="ro-RO"/>
        </w:rPr>
        <w:t xml:space="preserve"> </w:t>
      </w:r>
      <w:r w:rsidRPr="00747F05">
        <w:rPr>
          <w:rFonts w:ascii="Times New Roman" w:hAnsi="Times New Roman"/>
          <w:sz w:val="18"/>
          <w:szCs w:val="18"/>
          <w:lang w:val="ro-RO"/>
        </w:rPr>
        <w:t>Sîngereii Noi – 3,7 mii lei; com.</w:t>
      </w:r>
      <w:r>
        <w:rPr>
          <w:rFonts w:ascii="Times New Roman" w:hAnsi="Times New Roman"/>
          <w:sz w:val="18"/>
          <w:szCs w:val="18"/>
          <w:lang w:val="ro-RO"/>
        </w:rPr>
        <w:t xml:space="preserve"> </w:t>
      </w:r>
      <w:r w:rsidRPr="00747F05">
        <w:rPr>
          <w:rFonts w:ascii="Times New Roman" w:hAnsi="Times New Roman"/>
          <w:sz w:val="18"/>
          <w:szCs w:val="18"/>
          <w:lang w:val="ro-RO"/>
        </w:rPr>
        <w:t>Cotiujenii Mici – 11,0 mii lei; com.</w:t>
      </w:r>
      <w:r>
        <w:rPr>
          <w:rFonts w:ascii="Times New Roman" w:hAnsi="Times New Roman"/>
          <w:sz w:val="18"/>
          <w:szCs w:val="18"/>
          <w:lang w:val="ro-RO"/>
        </w:rPr>
        <w:t xml:space="preserve"> </w:t>
      </w:r>
      <w:r w:rsidRPr="00747F05">
        <w:rPr>
          <w:rFonts w:ascii="Times New Roman" w:hAnsi="Times New Roman"/>
          <w:sz w:val="18"/>
          <w:szCs w:val="18"/>
          <w:lang w:val="ro-RO"/>
        </w:rPr>
        <w:t>Drăgănești – 34,1 mii lei; com.</w:t>
      </w:r>
      <w:r>
        <w:rPr>
          <w:rFonts w:ascii="Times New Roman" w:hAnsi="Times New Roman"/>
          <w:sz w:val="18"/>
          <w:szCs w:val="18"/>
          <w:lang w:val="ro-RO"/>
        </w:rPr>
        <w:t xml:space="preserve"> </w:t>
      </w:r>
      <w:r w:rsidRPr="00747F05">
        <w:rPr>
          <w:rFonts w:ascii="Times New Roman" w:hAnsi="Times New Roman"/>
          <w:sz w:val="18"/>
          <w:szCs w:val="18"/>
          <w:lang w:val="ro-RO"/>
        </w:rPr>
        <w:t>Bilicenii Vechi – 69,8 mii lei; com.</w:t>
      </w:r>
      <w:r>
        <w:rPr>
          <w:rFonts w:ascii="Times New Roman" w:hAnsi="Times New Roman"/>
          <w:sz w:val="18"/>
          <w:szCs w:val="18"/>
          <w:lang w:val="ro-RO"/>
        </w:rPr>
        <w:t xml:space="preserve"> </w:t>
      </w:r>
      <w:r w:rsidRPr="00747F05">
        <w:rPr>
          <w:rFonts w:ascii="Times New Roman" w:hAnsi="Times New Roman"/>
          <w:sz w:val="18"/>
          <w:szCs w:val="18"/>
          <w:lang w:val="ro-RO"/>
        </w:rPr>
        <w:t>Chișcăreni – 200,4 mii lei.</w:t>
      </w:r>
    </w:p>
  </w:footnote>
  <w:footnote w:id="53">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Art.5 din L</w:t>
      </w:r>
      <w:r>
        <w:rPr>
          <w:rFonts w:ascii="Times New Roman" w:hAnsi="Times New Roman"/>
          <w:sz w:val="18"/>
          <w:szCs w:val="18"/>
          <w:lang w:val="ro-RO"/>
        </w:rPr>
        <w:t>egea nr.91-XVI din 05.04.2007</w:t>
      </w:r>
      <w:r w:rsidRPr="00747F05">
        <w:rPr>
          <w:rFonts w:ascii="Times New Roman" w:hAnsi="Times New Roman"/>
          <w:sz w:val="18"/>
          <w:szCs w:val="18"/>
          <w:lang w:val="ro-RO"/>
        </w:rPr>
        <w:t xml:space="preserve"> </w:t>
      </w:r>
      <w:r>
        <w:rPr>
          <w:rFonts w:ascii="Times New Roman" w:hAnsi="Times New Roman"/>
          <w:sz w:val="18"/>
          <w:szCs w:val="18"/>
          <w:lang w:val="ro-RO"/>
        </w:rPr>
        <w:t>p</w:t>
      </w:r>
      <w:r w:rsidRPr="00747F05">
        <w:rPr>
          <w:rFonts w:ascii="Times New Roman" w:hAnsi="Times New Roman"/>
          <w:sz w:val="18"/>
          <w:szCs w:val="18"/>
          <w:lang w:val="ro-RO"/>
        </w:rPr>
        <w:t xml:space="preserve">rivind terenurile proprietate publică și delimitarea lor (în continuare </w:t>
      </w:r>
      <w:r>
        <w:rPr>
          <w:rFonts w:ascii="Times New Roman" w:hAnsi="Times New Roman"/>
          <w:sz w:val="18"/>
          <w:szCs w:val="18"/>
          <w:lang w:val="ro-RO"/>
        </w:rPr>
        <w:t>–</w:t>
      </w:r>
      <w:r w:rsidRPr="00747F05">
        <w:rPr>
          <w:rFonts w:ascii="Times New Roman" w:hAnsi="Times New Roman"/>
          <w:sz w:val="18"/>
          <w:szCs w:val="18"/>
          <w:lang w:val="ro-RO"/>
        </w:rPr>
        <w:t xml:space="preserve"> Legea nr.91-XVI din 05.04.2007); art.77 din Legea nr.436-XVI din 28.12.2006.</w:t>
      </w:r>
    </w:p>
  </w:footnote>
  <w:footnote w:id="54">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Hotărîrea Curții Constituționale nr.12 din 21.04.2005 „Privind controlul constituționalității unor dispoziții legale și normative privind terenurile proprietate publică și delimitarea lor”.</w:t>
      </w:r>
    </w:p>
  </w:footnote>
  <w:footnote w:id="55">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Anexa la Legea nr.1308-XIII din 25.07.1997.</w:t>
      </w:r>
    </w:p>
  </w:footnote>
  <w:footnote w:id="56">
    <w:p w:rsidR="00903BFF" w:rsidRPr="00747F05" w:rsidRDefault="00903BFF" w:rsidP="00903BFF">
      <w:pPr>
        <w:pStyle w:val="a7"/>
        <w:jc w:val="both"/>
        <w:rPr>
          <w:rFonts w:ascii="Times New Roman" w:hAnsi="Times New Roman"/>
          <w:sz w:val="18"/>
          <w:szCs w:val="18"/>
          <w:lang w:val="ro-RO"/>
        </w:rPr>
      </w:pPr>
      <w:r w:rsidRPr="00747F05">
        <w:rPr>
          <w:rStyle w:val="a9"/>
          <w:rFonts w:ascii="Times New Roman" w:hAnsi="Times New Roman"/>
          <w:sz w:val="18"/>
          <w:szCs w:val="18"/>
          <w:lang w:val="ro-RO"/>
        </w:rPr>
        <w:footnoteRef/>
      </w:r>
      <w:r w:rsidRPr="00747F05">
        <w:rPr>
          <w:rFonts w:ascii="Times New Roman" w:hAnsi="Times New Roman"/>
          <w:sz w:val="18"/>
          <w:szCs w:val="18"/>
          <w:lang w:val="ro-RO"/>
        </w:rPr>
        <w:t xml:space="preserve"> Datele Planului urbanistic zonal privind reorganizarea și reamenajarea centrului or.</w:t>
      </w:r>
      <w:r>
        <w:rPr>
          <w:rFonts w:ascii="Times New Roman" w:hAnsi="Times New Roman"/>
          <w:sz w:val="18"/>
          <w:szCs w:val="18"/>
          <w:lang w:val="ro-RO"/>
        </w:rPr>
        <w:t xml:space="preserve"> </w:t>
      </w:r>
      <w:r w:rsidRPr="00747F05">
        <w:rPr>
          <w:rFonts w:ascii="Times New Roman" w:hAnsi="Times New Roman"/>
          <w:sz w:val="18"/>
          <w:szCs w:val="18"/>
          <w:lang w:val="ro-RO"/>
        </w:rPr>
        <w:t xml:space="preserve">Sîngerei.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940DAD6"/>
    <w:lvl w:ilvl="0">
      <w:numFmt w:val="bullet"/>
      <w:lvlText w:val="*"/>
      <w:lvlJc w:val="left"/>
    </w:lvl>
  </w:abstractNum>
  <w:abstractNum w:abstractNumId="1">
    <w:nsid w:val="04071D75"/>
    <w:multiLevelType w:val="hybridMultilevel"/>
    <w:tmpl w:val="A9E2E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C1C86"/>
    <w:multiLevelType w:val="hybridMultilevel"/>
    <w:tmpl w:val="89E0B81C"/>
    <w:lvl w:ilvl="0" w:tplc="437AF65C">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01203D"/>
    <w:multiLevelType w:val="hybridMultilevel"/>
    <w:tmpl w:val="E9B67F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87706B"/>
    <w:multiLevelType w:val="hybridMultilevel"/>
    <w:tmpl w:val="4A6EBC60"/>
    <w:lvl w:ilvl="0" w:tplc="68063CD0">
      <w:start w:val="1"/>
      <w:numFmt w:val="bullet"/>
      <w:lvlText w:val=""/>
      <w:lvlJc w:val="left"/>
      <w:pPr>
        <w:ind w:left="1070" w:hanging="360"/>
      </w:pPr>
      <w:rPr>
        <w:rFonts w:ascii="Wingdings" w:hAnsi="Wingdings" w:hint="default"/>
        <w:b/>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18285D3D"/>
    <w:multiLevelType w:val="hybridMultilevel"/>
    <w:tmpl w:val="6E122DAE"/>
    <w:lvl w:ilvl="0" w:tplc="BE60E8C4">
      <w:start w:val="1"/>
      <w:numFmt w:val="bullet"/>
      <w:lvlText w:val=""/>
      <w:lvlJc w:val="left"/>
      <w:pPr>
        <w:ind w:left="1287" w:hanging="360"/>
      </w:pPr>
      <w:rPr>
        <w:rFonts w:ascii="Wingdings" w:hAnsi="Wingdings"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92670B3"/>
    <w:multiLevelType w:val="hybridMultilevel"/>
    <w:tmpl w:val="697E7A5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A753905"/>
    <w:multiLevelType w:val="hybridMultilevel"/>
    <w:tmpl w:val="973EADE6"/>
    <w:lvl w:ilvl="0" w:tplc="D2EC25FC">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17F60"/>
    <w:multiLevelType w:val="hybridMultilevel"/>
    <w:tmpl w:val="851C198C"/>
    <w:lvl w:ilvl="0" w:tplc="8E9EAC5E">
      <w:start w:val="1"/>
      <w:numFmt w:val="decimal"/>
      <w:lvlText w:val="%1)"/>
      <w:lvlJc w:val="left"/>
      <w:pPr>
        <w:ind w:left="677" w:hanging="360"/>
      </w:pPr>
      <w:rPr>
        <w:rFonts w:hint="default"/>
        <w:b/>
        <w:i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nsid w:val="227F2528"/>
    <w:multiLevelType w:val="hybridMultilevel"/>
    <w:tmpl w:val="70062276"/>
    <w:lvl w:ilvl="0" w:tplc="8A78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E1642"/>
    <w:multiLevelType w:val="hybridMultilevel"/>
    <w:tmpl w:val="64BAB7FA"/>
    <w:lvl w:ilvl="0" w:tplc="A0AC7C20">
      <w:start w:val="1"/>
      <w:numFmt w:val="bullet"/>
      <w:lvlText w:val=""/>
      <w:lvlJc w:val="left"/>
      <w:pPr>
        <w:ind w:left="928" w:hanging="360"/>
      </w:pPr>
      <w:rPr>
        <w:rFonts w:ascii="Wingdings" w:hAnsi="Wingdings" w:hint="default"/>
        <w:b w:val="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2F2A0E2E"/>
    <w:multiLevelType w:val="hybridMultilevel"/>
    <w:tmpl w:val="E098CEB2"/>
    <w:lvl w:ilvl="0" w:tplc="74A42A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45FD3"/>
    <w:multiLevelType w:val="hybridMultilevel"/>
    <w:tmpl w:val="807EFEE6"/>
    <w:lvl w:ilvl="0" w:tplc="7D8E2E74">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D5116"/>
    <w:multiLevelType w:val="hybridMultilevel"/>
    <w:tmpl w:val="2CE0FE1C"/>
    <w:lvl w:ilvl="0" w:tplc="44828CB6">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5C46888"/>
    <w:multiLevelType w:val="hybridMultilevel"/>
    <w:tmpl w:val="EEF85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471DB"/>
    <w:multiLevelType w:val="hybridMultilevel"/>
    <w:tmpl w:val="6D689FE6"/>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nsid w:val="397B5450"/>
    <w:multiLevelType w:val="hybridMultilevel"/>
    <w:tmpl w:val="C268AE7E"/>
    <w:lvl w:ilvl="0" w:tplc="9C1C4FC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60B76"/>
    <w:multiLevelType w:val="hybridMultilevel"/>
    <w:tmpl w:val="D2DE12F4"/>
    <w:lvl w:ilvl="0" w:tplc="54F849D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E9D4745"/>
    <w:multiLevelType w:val="hybridMultilevel"/>
    <w:tmpl w:val="4E628B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F142C36"/>
    <w:multiLevelType w:val="hybridMultilevel"/>
    <w:tmpl w:val="02840358"/>
    <w:lvl w:ilvl="0" w:tplc="AA2E376E">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F37B6"/>
    <w:multiLevelType w:val="hybridMultilevel"/>
    <w:tmpl w:val="D338C548"/>
    <w:lvl w:ilvl="0" w:tplc="EAEAACD6">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2D34D12"/>
    <w:multiLevelType w:val="hybridMultilevel"/>
    <w:tmpl w:val="5282DDF4"/>
    <w:lvl w:ilvl="0" w:tplc="5E1005E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2348F"/>
    <w:multiLevelType w:val="hybridMultilevel"/>
    <w:tmpl w:val="0BB43890"/>
    <w:lvl w:ilvl="0" w:tplc="5B16C356">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93C470A"/>
    <w:multiLevelType w:val="hybridMultilevel"/>
    <w:tmpl w:val="80C8E320"/>
    <w:lvl w:ilvl="0" w:tplc="B2A85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E4597"/>
    <w:multiLevelType w:val="hybridMultilevel"/>
    <w:tmpl w:val="6CAEC05E"/>
    <w:lvl w:ilvl="0" w:tplc="46DE484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2110B"/>
    <w:multiLevelType w:val="hybridMultilevel"/>
    <w:tmpl w:val="45041430"/>
    <w:lvl w:ilvl="0" w:tplc="CFCC56D0">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CBC1ADA"/>
    <w:multiLevelType w:val="hybridMultilevel"/>
    <w:tmpl w:val="03EE3E84"/>
    <w:lvl w:ilvl="0" w:tplc="CF5EE468">
      <w:start w:val="10"/>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DCC4D41"/>
    <w:multiLevelType w:val="hybridMultilevel"/>
    <w:tmpl w:val="A24231EC"/>
    <w:lvl w:ilvl="0" w:tplc="7FBCE098">
      <w:start w:val="1"/>
      <w:numFmt w:val="decimal"/>
      <w:lvlText w:val="%1)"/>
      <w:lvlJc w:val="left"/>
      <w:pPr>
        <w:ind w:left="927" w:hanging="360"/>
      </w:pPr>
      <w:rPr>
        <w:rFonts w:hint="default"/>
        <w:b/>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19217E4"/>
    <w:multiLevelType w:val="hybridMultilevel"/>
    <w:tmpl w:val="739A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76FD4"/>
    <w:multiLevelType w:val="hybridMultilevel"/>
    <w:tmpl w:val="8B5255F2"/>
    <w:lvl w:ilvl="0" w:tplc="0409000D">
      <w:start w:val="1"/>
      <w:numFmt w:val="bullet"/>
      <w:lvlText w:val=""/>
      <w:lvlJc w:val="left"/>
      <w:pPr>
        <w:ind w:left="927" w:hanging="360"/>
      </w:pPr>
      <w:rPr>
        <w:rFonts w:ascii="Wingdings" w:hAnsi="Wingdings" w:hint="default"/>
        <w:b/>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80B69AD"/>
    <w:multiLevelType w:val="hybridMultilevel"/>
    <w:tmpl w:val="D188FA38"/>
    <w:lvl w:ilvl="0" w:tplc="0418000D">
      <w:start w:val="1"/>
      <w:numFmt w:val="bullet"/>
      <w:lvlText w:val=""/>
      <w:lvlJc w:val="left"/>
      <w:pPr>
        <w:ind w:left="928"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31">
    <w:nsid w:val="585D27CA"/>
    <w:multiLevelType w:val="hybridMultilevel"/>
    <w:tmpl w:val="47668BC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58DE7E1E"/>
    <w:multiLevelType w:val="hybridMultilevel"/>
    <w:tmpl w:val="9EB64DA8"/>
    <w:lvl w:ilvl="0" w:tplc="437AF65C">
      <w:start w:val="10"/>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92E77A7"/>
    <w:multiLevelType w:val="hybridMultilevel"/>
    <w:tmpl w:val="3984DEC8"/>
    <w:lvl w:ilvl="0" w:tplc="5776CEBC">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9850F57"/>
    <w:multiLevelType w:val="hybridMultilevel"/>
    <w:tmpl w:val="ED5A5200"/>
    <w:lvl w:ilvl="0" w:tplc="46DAAF16">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1ED1D30"/>
    <w:multiLevelType w:val="hybridMultilevel"/>
    <w:tmpl w:val="A9FCB320"/>
    <w:lvl w:ilvl="0" w:tplc="4FD886E8">
      <w:start w:val="1"/>
      <w:numFmt w:val="bullet"/>
      <w:lvlText w:val=""/>
      <w:lvlJc w:val="left"/>
      <w:pPr>
        <w:ind w:left="1267" w:hanging="360"/>
      </w:pPr>
      <w:rPr>
        <w:rFonts w:ascii="Wingdings" w:hAnsi="Wingdings" w:hint="default"/>
        <w:b w:val="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6">
    <w:nsid w:val="635A483E"/>
    <w:multiLevelType w:val="hybridMultilevel"/>
    <w:tmpl w:val="A1E09642"/>
    <w:lvl w:ilvl="0" w:tplc="E606F82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B142F"/>
    <w:multiLevelType w:val="hybridMultilevel"/>
    <w:tmpl w:val="21D6895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A56334A"/>
    <w:multiLevelType w:val="hybridMultilevel"/>
    <w:tmpl w:val="B616F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3E73D0"/>
    <w:multiLevelType w:val="hybridMultilevel"/>
    <w:tmpl w:val="4D4E0C92"/>
    <w:lvl w:ilvl="0" w:tplc="BD6EB0BA">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79725804"/>
    <w:multiLevelType w:val="hybridMultilevel"/>
    <w:tmpl w:val="E1F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948DC"/>
    <w:multiLevelType w:val="hybridMultilevel"/>
    <w:tmpl w:val="8332A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97867"/>
    <w:multiLevelType w:val="hybridMultilevel"/>
    <w:tmpl w:val="38929A98"/>
    <w:lvl w:ilvl="0" w:tplc="5D4CA7F8">
      <w:start w:val="1"/>
      <w:numFmt w:val="bullet"/>
      <w:lvlText w:val=""/>
      <w:lvlJc w:val="left"/>
      <w:pPr>
        <w:ind w:left="1575" w:hanging="360"/>
      </w:pPr>
      <w:rPr>
        <w:rFonts w:ascii="Wingdings" w:hAnsi="Wingdings" w:hint="default"/>
        <w:b/>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14"/>
  </w:num>
  <w:num w:numId="2">
    <w:abstractNumId w:val="38"/>
  </w:num>
  <w:num w:numId="3">
    <w:abstractNumId w:val="5"/>
  </w:num>
  <w:num w:numId="4">
    <w:abstractNumId w:val="0"/>
    <w:lvlOverride w:ilvl="0">
      <w:lvl w:ilvl="0">
        <w:numFmt w:val="bullet"/>
        <w:lvlText w:val="-"/>
        <w:legacy w:legacy="1" w:legacySpace="0" w:legacyIndent="139"/>
        <w:lvlJc w:val="left"/>
        <w:rPr>
          <w:rFonts w:ascii="Arial" w:hAnsi="Arial" w:hint="default"/>
        </w:rPr>
      </w:lvl>
    </w:lvlOverride>
  </w:num>
  <w:num w:numId="5">
    <w:abstractNumId w:val="0"/>
    <w:lvlOverride w:ilvl="0">
      <w:lvl w:ilvl="0">
        <w:numFmt w:val="bullet"/>
        <w:lvlText w:val="-"/>
        <w:legacy w:legacy="1" w:legacySpace="0" w:legacyIndent="346"/>
        <w:lvlJc w:val="left"/>
        <w:rPr>
          <w:rFonts w:ascii="Arial" w:hAnsi="Arial" w:hint="default"/>
        </w:rPr>
      </w:lvl>
    </w:lvlOverride>
  </w:num>
  <w:num w:numId="6">
    <w:abstractNumId w:val="4"/>
  </w:num>
  <w:num w:numId="7">
    <w:abstractNumId w:val="16"/>
  </w:num>
  <w:num w:numId="8">
    <w:abstractNumId w:val="7"/>
  </w:num>
  <w:num w:numId="9">
    <w:abstractNumId w:val="42"/>
  </w:num>
  <w:num w:numId="10">
    <w:abstractNumId w:val="35"/>
  </w:num>
  <w:num w:numId="11">
    <w:abstractNumId w:val="1"/>
  </w:num>
  <w:num w:numId="12">
    <w:abstractNumId w:val="18"/>
  </w:num>
  <w:num w:numId="13">
    <w:abstractNumId w:val="25"/>
  </w:num>
  <w:num w:numId="14">
    <w:abstractNumId w:val="12"/>
  </w:num>
  <w:num w:numId="15">
    <w:abstractNumId w:val="39"/>
  </w:num>
  <w:num w:numId="16">
    <w:abstractNumId w:val="37"/>
  </w:num>
  <w:num w:numId="17">
    <w:abstractNumId w:val="33"/>
  </w:num>
  <w:num w:numId="18">
    <w:abstractNumId w:val="20"/>
  </w:num>
  <w:num w:numId="19">
    <w:abstractNumId w:val="11"/>
  </w:num>
  <w:num w:numId="20">
    <w:abstractNumId w:val="28"/>
  </w:num>
  <w:num w:numId="21">
    <w:abstractNumId w:val="23"/>
  </w:num>
  <w:num w:numId="22">
    <w:abstractNumId w:val="22"/>
  </w:num>
  <w:num w:numId="23">
    <w:abstractNumId w:val="9"/>
  </w:num>
  <w:num w:numId="24">
    <w:abstractNumId w:val="8"/>
  </w:num>
  <w:num w:numId="25">
    <w:abstractNumId w:val="29"/>
  </w:num>
  <w:num w:numId="26">
    <w:abstractNumId w:val="36"/>
  </w:num>
  <w:num w:numId="27">
    <w:abstractNumId w:val="19"/>
  </w:num>
  <w:num w:numId="28">
    <w:abstractNumId w:val="34"/>
  </w:num>
  <w:num w:numId="29">
    <w:abstractNumId w:val="24"/>
  </w:num>
  <w:num w:numId="30">
    <w:abstractNumId w:val="13"/>
  </w:num>
  <w:num w:numId="31">
    <w:abstractNumId w:val="21"/>
  </w:num>
  <w:num w:numId="32">
    <w:abstractNumId w:val="30"/>
  </w:num>
  <w:num w:numId="33">
    <w:abstractNumId w:val="15"/>
  </w:num>
  <w:num w:numId="34">
    <w:abstractNumId w:val="3"/>
  </w:num>
  <w:num w:numId="35">
    <w:abstractNumId w:val="41"/>
  </w:num>
  <w:num w:numId="36">
    <w:abstractNumId w:val="2"/>
  </w:num>
  <w:num w:numId="37">
    <w:abstractNumId w:val="27"/>
  </w:num>
  <w:num w:numId="38">
    <w:abstractNumId w:val="10"/>
  </w:num>
  <w:num w:numId="39">
    <w:abstractNumId w:val="6"/>
  </w:num>
  <w:num w:numId="40">
    <w:abstractNumId w:val="32"/>
  </w:num>
  <w:num w:numId="41">
    <w:abstractNumId w:val="17"/>
  </w:num>
  <w:num w:numId="42">
    <w:abstractNumId w:val="26"/>
  </w:num>
  <w:num w:numId="43">
    <w:abstractNumId w:val="3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11"/>
    <w:rsid w:val="00055E11"/>
    <w:rsid w:val="0059305D"/>
    <w:rsid w:val="00903BFF"/>
    <w:rsid w:val="00F8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BD798-B131-4F09-9FD9-8FF1277A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FF"/>
    <w:pPr>
      <w:spacing w:after="200" w:line="276" w:lineRule="auto"/>
    </w:pPr>
    <w:rPr>
      <w:rFonts w:ascii="Calibri" w:eastAsia="Calibri" w:hAnsi="Calibri" w:cs="Times New Roman"/>
    </w:rPr>
  </w:style>
  <w:style w:type="paragraph" w:styleId="1">
    <w:name w:val="heading 1"/>
    <w:basedOn w:val="a"/>
    <w:next w:val="a"/>
    <w:link w:val="10"/>
    <w:uiPriority w:val="9"/>
    <w:qFormat/>
    <w:rsid w:val="00903BFF"/>
    <w:pPr>
      <w:keepNext/>
      <w:keepLines/>
      <w:spacing w:before="480" w:after="0"/>
      <w:outlineLvl w:val="0"/>
    </w:pPr>
    <w:rPr>
      <w:rFonts w:ascii="Cambria" w:eastAsia="Times New Roman"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BFF"/>
    <w:rPr>
      <w:rFonts w:ascii="Cambria" w:eastAsia="Times New Roman" w:hAnsi="Cambria" w:cs="Times New Roman"/>
      <w:b/>
      <w:bCs/>
      <w:color w:val="365F91"/>
      <w:sz w:val="28"/>
      <w:szCs w:val="28"/>
      <w:lang w:val="x-none" w:eastAsia="x-none"/>
    </w:rPr>
  </w:style>
  <w:style w:type="paragraph" w:customStyle="1" w:styleId="Standard">
    <w:name w:val="Standard"/>
    <w:link w:val="Standard0"/>
    <w:rsid w:val="00903BFF"/>
    <w:pPr>
      <w:widowControl w:val="0"/>
      <w:tabs>
        <w:tab w:val="left" w:pos="709"/>
      </w:tabs>
      <w:suppressAutoHyphens/>
      <w:autoSpaceDN w:val="0"/>
      <w:spacing w:after="0" w:line="240" w:lineRule="auto"/>
      <w:textAlignment w:val="baseline"/>
    </w:pPr>
    <w:rPr>
      <w:rFonts w:ascii="Liberation Serif" w:eastAsia="Nimbus Sans L" w:hAnsi="Liberation Serif" w:cs="Geneva"/>
      <w:color w:val="00000A"/>
      <w:kern w:val="3"/>
      <w:sz w:val="24"/>
      <w:szCs w:val="24"/>
      <w:lang w:eastAsia="zh-CN" w:bidi="hi-IN"/>
    </w:rPr>
  </w:style>
  <w:style w:type="character" w:customStyle="1" w:styleId="Standard0">
    <w:name w:val="Standard Знак"/>
    <w:link w:val="Standard"/>
    <w:rsid w:val="00903BFF"/>
    <w:rPr>
      <w:rFonts w:ascii="Liberation Serif" w:eastAsia="Nimbus Sans L" w:hAnsi="Liberation Serif" w:cs="Geneva"/>
      <w:color w:val="00000A"/>
      <w:kern w:val="3"/>
      <w:sz w:val="24"/>
      <w:szCs w:val="24"/>
      <w:lang w:eastAsia="zh-CN" w:bidi="hi-IN"/>
    </w:rPr>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footnote text,single space,FOOTNOTES,fn,Footnote Text Char1,Cha"/>
    <w:basedOn w:val="Standard"/>
    <w:link w:val="a4"/>
    <w:uiPriority w:val="99"/>
    <w:qFormat/>
    <w:rsid w:val="00903BFF"/>
    <w:pPr>
      <w:spacing w:line="100" w:lineRule="atLeast"/>
      <w:ind w:firstLine="567"/>
      <w:jc w:val="both"/>
    </w:pPr>
    <w:rPr>
      <w:rFonts w:cs="Times New Roman"/>
      <w:lang w:val="en-US"/>
    </w:rPr>
  </w:style>
  <w:style w:type="paragraph" w:customStyle="1" w:styleId="rg">
    <w:name w:val="rg"/>
    <w:basedOn w:val="a"/>
    <w:rsid w:val="00903BFF"/>
    <w:pPr>
      <w:spacing w:after="0" w:line="240" w:lineRule="auto"/>
      <w:jc w:val="right"/>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03BFF"/>
    <w:pPr>
      <w:spacing w:after="0" w:line="240" w:lineRule="auto"/>
    </w:pPr>
    <w:rPr>
      <w:rFonts w:ascii="Tahoma" w:hAnsi="Tahoma"/>
      <w:sz w:val="16"/>
      <w:szCs w:val="16"/>
      <w:lang w:val="x-none" w:eastAsia="x-none"/>
    </w:rPr>
  </w:style>
  <w:style w:type="character" w:customStyle="1" w:styleId="a6">
    <w:name w:val="Текст выноски Знак"/>
    <w:basedOn w:val="a0"/>
    <w:link w:val="a5"/>
    <w:uiPriority w:val="99"/>
    <w:semiHidden/>
    <w:rsid w:val="00903BFF"/>
    <w:rPr>
      <w:rFonts w:ascii="Tahoma" w:eastAsia="Calibri" w:hAnsi="Tahoma" w:cs="Times New Roman"/>
      <w:sz w:val="16"/>
      <w:szCs w:val="16"/>
      <w:lang w:val="x-none" w:eastAsia="x-none"/>
    </w:rPr>
  </w:style>
  <w:style w:type="paragraph" w:styleId="a7">
    <w:name w:val="footnote text"/>
    <w:aliases w:val="Знак,Char,Знак1, Знак, Char,Fußnote Char Char,A"/>
    <w:basedOn w:val="a"/>
    <w:link w:val="a8"/>
    <w:uiPriority w:val="99"/>
    <w:unhideWhenUsed/>
    <w:qFormat/>
    <w:rsid w:val="00903BFF"/>
    <w:pPr>
      <w:spacing w:after="0" w:line="240" w:lineRule="auto"/>
    </w:pPr>
    <w:rPr>
      <w:sz w:val="20"/>
      <w:szCs w:val="20"/>
      <w:lang w:val="x-none" w:eastAsia="x-none"/>
    </w:rPr>
  </w:style>
  <w:style w:type="character" w:customStyle="1" w:styleId="a8">
    <w:name w:val="Текст сноски Знак"/>
    <w:aliases w:val="Знак Знак,Char Знак,Знак1 Знак, Знак Знак, Char Знак,Fußnote Char Char Знак,A Знак"/>
    <w:basedOn w:val="a0"/>
    <w:link w:val="a7"/>
    <w:uiPriority w:val="99"/>
    <w:rsid w:val="00903BFF"/>
    <w:rPr>
      <w:rFonts w:ascii="Calibri" w:eastAsia="Calibri" w:hAnsi="Calibri" w:cs="Times New Roman"/>
      <w:sz w:val="20"/>
      <w:szCs w:val="20"/>
      <w:lang w:val="x-none" w:eastAsia="x-none"/>
    </w:rPr>
  </w:style>
  <w:style w:type="character" w:styleId="a9">
    <w:name w:val="footnote reference"/>
    <w:aliases w:val="ftref,Times 10 Point,Exposant 3 Point,Footnote symbol,Footnote reference number,EN Footnote Reference,note TESI,16 Point,Superscript 6 Point"/>
    <w:uiPriority w:val="99"/>
    <w:unhideWhenUsed/>
    <w:rsid w:val="00903BFF"/>
    <w:rPr>
      <w:vertAlign w:val="superscript"/>
    </w:rPr>
  </w:style>
  <w:style w:type="paragraph" w:styleId="aa">
    <w:name w:val="List Paragraph"/>
    <w:basedOn w:val="a"/>
    <w:link w:val="ab"/>
    <w:uiPriority w:val="34"/>
    <w:qFormat/>
    <w:rsid w:val="00903BFF"/>
    <w:pPr>
      <w:spacing w:after="0" w:line="240" w:lineRule="auto"/>
      <w:ind w:left="720"/>
      <w:contextualSpacing/>
    </w:pPr>
    <w:rPr>
      <w:rFonts w:ascii="Times New Roman" w:eastAsia="Times New Roman" w:hAnsi="Times New Roman"/>
      <w:sz w:val="24"/>
      <w:szCs w:val="24"/>
      <w:lang w:val="x-none" w:eastAsia="ru-RU"/>
    </w:rPr>
  </w:style>
  <w:style w:type="character" w:styleId="ac">
    <w:name w:val="Emphasis"/>
    <w:uiPriority w:val="99"/>
    <w:qFormat/>
    <w:rsid w:val="00903BFF"/>
    <w:rPr>
      <w:rFonts w:cs="Times New Roman"/>
      <w:i/>
    </w:rPr>
  </w:style>
  <w:style w:type="paragraph" w:styleId="ad">
    <w:name w:val="header"/>
    <w:basedOn w:val="a"/>
    <w:link w:val="ae"/>
    <w:uiPriority w:val="99"/>
    <w:unhideWhenUsed/>
    <w:rsid w:val="00903B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03BFF"/>
    <w:rPr>
      <w:rFonts w:ascii="Calibri" w:eastAsia="Calibri" w:hAnsi="Calibri" w:cs="Times New Roman"/>
    </w:rPr>
  </w:style>
  <w:style w:type="paragraph" w:styleId="af">
    <w:name w:val="footer"/>
    <w:basedOn w:val="a"/>
    <w:link w:val="af0"/>
    <w:uiPriority w:val="99"/>
    <w:unhideWhenUsed/>
    <w:rsid w:val="00903B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03BFF"/>
    <w:rPr>
      <w:rFonts w:ascii="Calibri" w:eastAsia="Calibri" w:hAnsi="Calibri" w:cs="Times New Roman"/>
    </w:rPr>
  </w:style>
  <w:style w:type="paragraph" w:customStyle="1" w:styleId="tt">
    <w:name w:val="tt"/>
    <w:basedOn w:val="a"/>
    <w:rsid w:val="00903BFF"/>
    <w:pPr>
      <w:spacing w:after="0" w:line="240" w:lineRule="auto"/>
      <w:jc w:val="center"/>
    </w:pPr>
    <w:rPr>
      <w:rFonts w:ascii="Times New Roman" w:eastAsia="Times New Roman" w:hAnsi="Times New Roman"/>
      <w:b/>
      <w:bCs/>
      <w:sz w:val="24"/>
      <w:szCs w:val="24"/>
      <w:lang w:eastAsia="ru-RU"/>
    </w:rPr>
  </w:style>
  <w:style w:type="paragraph" w:customStyle="1" w:styleId="cn">
    <w:name w:val="cn"/>
    <w:basedOn w:val="a"/>
    <w:rsid w:val="00903BFF"/>
    <w:pPr>
      <w:spacing w:after="0" w:line="240" w:lineRule="auto"/>
      <w:jc w:val="center"/>
    </w:pPr>
    <w:rPr>
      <w:rFonts w:ascii="Times New Roman" w:eastAsia="Times New Roman" w:hAnsi="Times New Roman"/>
      <w:sz w:val="24"/>
      <w:szCs w:val="24"/>
      <w:lang w:eastAsia="ru-RU"/>
    </w:rPr>
  </w:style>
  <w:style w:type="paragraph" w:styleId="af1">
    <w:name w:val="Body Text Indent"/>
    <w:basedOn w:val="a"/>
    <w:link w:val="af2"/>
    <w:rsid w:val="00903BFF"/>
    <w:pPr>
      <w:spacing w:after="120" w:line="240" w:lineRule="auto"/>
      <w:ind w:left="283"/>
    </w:pPr>
    <w:rPr>
      <w:rFonts w:ascii="Times New Roman" w:eastAsia="Times New Roman" w:hAnsi="Times New Roman"/>
      <w:sz w:val="24"/>
      <w:szCs w:val="24"/>
      <w:lang w:val="ro-RO" w:eastAsia="ru-RU"/>
    </w:rPr>
  </w:style>
  <w:style w:type="character" w:customStyle="1" w:styleId="af2">
    <w:name w:val="Основной текст с отступом Знак"/>
    <w:basedOn w:val="a0"/>
    <w:link w:val="af1"/>
    <w:rsid w:val="00903BFF"/>
    <w:rPr>
      <w:rFonts w:ascii="Times New Roman" w:eastAsia="Times New Roman" w:hAnsi="Times New Roman" w:cs="Times New Roman"/>
      <w:sz w:val="24"/>
      <w:szCs w:val="24"/>
      <w:lang w:val="ro-RO" w:eastAsia="ru-RU"/>
    </w:rPr>
  </w:style>
  <w:style w:type="character" w:customStyle="1" w:styleId="hps">
    <w:name w:val="hps"/>
    <w:basedOn w:val="a0"/>
    <w:rsid w:val="00903BFF"/>
  </w:style>
  <w:style w:type="paragraph" w:styleId="HTML">
    <w:name w:val="HTML Preformatted"/>
    <w:basedOn w:val="a"/>
    <w:link w:val="HTML0"/>
    <w:rsid w:val="0090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903BFF"/>
    <w:rPr>
      <w:rFonts w:ascii="Courier New" w:eastAsia="Times New Roman" w:hAnsi="Courier New" w:cs="Times New Roman"/>
      <w:sz w:val="20"/>
      <w:szCs w:val="20"/>
      <w:lang w:val="x-none" w:eastAsia="ru-RU"/>
    </w:rPr>
  </w:style>
  <w:style w:type="paragraph" w:customStyle="1" w:styleId="2">
    <w:name w:val="Абзац списка2"/>
    <w:basedOn w:val="Standard"/>
    <w:qFormat/>
    <w:rsid w:val="00903BFF"/>
    <w:pPr>
      <w:ind w:left="720"/>
    </w:pPr>
    <w:rPr>
      <w:rFonts w:eastAsia="Times New Roman"/>
    </w:rPr>
  </w:style>
  <w:style w:type="paragraph" w:customStyle="1" w:styleId="4">
    <w:name w:val="Абзац списка4"/>
    <w:basedOn w:val="Standard"/>
    <w:qFormat/>
    <w:rsid w:val="00903BFF"/>
    <w:pPr>
      <w:ind w:left="720"/>
    </w:pPr>
    <w:rPr>
      <w:rFonts w:eastAsia="Times New Roman"/>
    </w:rPr>
  </w:style>
  <w:style w:type="paragraph" w:customStyle="1" w:styleId="Default">
    <w:name w:val="Default"/>
    <w:rsid w:val="00903BF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f3">
    <w:name w:val="endnote text"/>
    <w:basedOn w:val="a"/>
    <w:link w:val="af4"/>
    <w:uiPriority w:val="99"/>
    <w:unhideWhenUsed/>
    <w:rsid w:val="00903BFF"/>
    <w:pPr>
      <w:spacing w:after="0" w:line="240" w:lineRule="auto"/>
    </w:pPr>
    <w:rPr>
      <w:rFonts w:ascii="Times New Roman" w:eastAsia="Times New Roman" w:hAnsi="Times New Roman"/>
      <w:sz w:val="20"/>
      <w:szCs w:val="20"/>
      <w:lang w:val="x-none" w:eastAsia="ru-RU"/>
    </w:rPr>
  </w:style>
  <w:style w:type="character" w:customStyle="1" w:styleId="af4">
    <w:name w:val="Текст концевой сноски Знак"/>
    <w:basedOn w:val="a0"/>
    <w:link w:val="af3"/>
    <w:uiPriority w:val="99"/>
    <w:rsid w:val="00903BFF"/>
    <w:rPr>
      <w:rFonts w:ascii="Times New Roman" w:eastAsia="Times New Roman" w:hAnsi="Times New Roman" w:cs="Times New Roman"/>
      <w:sz w:val="20"/>
      <w:szCs w:val="20"/>
      <w:lang w:val="x-none" w:eastAsia="ru-RU"/>
    </w:rPr>
  </w:style>
  <w:style w:type="paragraph" w:styleId="af5">
    <w:name w:val="Plain Text"/>
    <w:basedOn w:val="a"/>
    <w:link w:val="af6"/>
    <w:unhideWhenUsed/>
    <w:rsid w:val="00903BFF"/>
    <w:pPr>
      <w:spacing w:after="0" w:line="240" w:lineRule="auto"/>
    </w:pPr>
    <w:rPr>
      <w:rFonts w:ascii="Courier New" w:eastAsia="Times New Roman" w:hAnsi="Courier New"/>
      <w:sz w:val="20"/>
      <w:szCs w:val="20"/>
      <w:lang w:val="x-none" w:eastAsia="ru-RU"/>
    </w:rPr>
  </w:style>
  <w:style w:type="character" w:customStyle="1" w:styleId="af6">
    <w:name w:val="Текст Знак"/>
    <w:basedOn w:val="a0"/>
    <w:link w:val="af5"/>
    <w:rsid w:val="00903BFF"/>
    <w:rPr>
      <w:rFonts w:ascii="Courier New" w:eastAsia="Times New Roman" w:hAnsi="Courier New" w:cs="Times New Roman"/>
      <w:sz w:val="20"/>
      <w:szCs w:val="20"/>
      <w:lang w:val="x-none" w:eastAsia="ru-RU"/>
    </w:rPr>
  </w:style>
  <w:style w:type="table" w:styleId="af7">
    <w:name w:val="Table Grid"/>
    <w:basedOn w:val="a1"/>
    <w:uiPriority w:val="39"/>
    <w:rsid w:val="00903BFF"/>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
    <w:name w:val="cb"/>
    <w:basedOn w:val="a"/>
    <w:rsid w:val="00903BFF"/>
    <w:pPr>
      <w:spacing w:after="0" w:line="240" w:lineRule="auto"/>
      <w:jc w:val="center"/>
    </w:pPr>
    <w:rPr>
      <w:rFonts w:ascii="Times New Roman" w:eastAsia="Times New Roman" w:hAnsi="Times New Roman"/>
      <w:b/>
      <w:bCs/>
      <w:sz w:val="24"/>
      <w:szCs w:val="24"/>
      <w:lang w:eastAsia="ru-RU"/>
    </w:rPr>
  </w:style>
  <w:style w:type="character" w:customStyle="1" w:styleId="docheader1">
    <w:name w:val="doc_header1"/>
    <w:rsid w:val="00903BFF"/>
    <w:rPr>
      <w:rFonts w:ascii="Times New Roman" w:hAnsi="Times New Roman" w:cs="Times New Roman" w:hint="default"/>
      <w:b/>
      <w:bCs/>
      <w:color w:val="000000"/>
      <w:sz w:val="24"/>
      <w:szCs w:val="24"/>
    </w:rPr>
  </w:style>
  <w:style w:type="character" w:customStyle="1" w:styleId="apple-converted-space">
    <w:name w:val="apple-converted-space"/>
    <w:basedOn w:val="a0"/>
    <w:rsid w:val="00903BFF"/>
  </w:style>
  <w:style w:type="character" w:styleId="af8">
    <w:name w:val="Strong"/>
    <w:uiPriority w:val="22"/>
    <w:qFormat/>
    <w:rsid w:val="00903BFF"/>
    <w:rPr>
      <w:b/>
      <w:bCs/>
    </w:rPr>
  </w:style>
  <w:style w:type="table" w:customStyle="1" w:styleId="11">
    <w:name w:val="Сетка таблицы1"/>
    <w:basedOn w:val="a1"/>
    <w:next w:val="af7"/>
    <w:uiPriority w:val="39"/>
    <w:rsid w:val="00903B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903BFF"/>
    <w:pPr>
      <w:widowControl w:val="0"/>
      <w:autoSpaceDE w:val="0"/>
      <w:autoSpaceDN w:val="0"/>
      <w:adjustRightInd w:val="0"/>
      <w:spacing w:after="0" w:line="322" w:lineRule="exact"/>
      <w:ind w:firstLine="600"/>
    </w:pPr>
    <w:rPr>
      <w:rFonts w:ascii="Times New Roman" w:eastAsia="Times New Roman" w:hAnsi="Times New Roman"/>
      <w:sz w:val="24"/>
      <w:szCs w:val="24"/>
      <w:lang w:val="ro-RO" w:eastAsia="ro-RO"/>
    </w:rPr>
  </w:style>
  <w:style w:type="character" w:customStyle="1" w:styleId="FontStyle75">
    <w:name w:val="Font Style75"/>
    <w:uiPriority w:val="99"/>
    <w:rsid w:val="00903BFF"/>
    <w:rPr>
      <w:rFonts w:ascii="Times New Roman" w:hAnsi="Times New Roman" w:cs="Times New Roman"/>
      <w:b/>
      <w:bCs/>
      <w:i/>
      <w:iCs/>
      <w:color w:val="000000"/>
      <w:sz w:val="26"/>
      <w:szCs w:val="26"/>
    </w:rPr>
  </w:style>
  <w:style w:type="character" w:customStyle="1" w:styleId="FontStyle76">
    <w:name w:val="Font Style76"/>
    <w:uiPriority w:val="99"/>
    <w:rsid w:val="00903BFF"/>
    <w:rPr>
      <w:rFonts w:ascii="Times New Roman" w:hAnsi="Times New Roman" w:cs="Times New Roman"/>
      <w:color w:val="000000"/>
      <w:sz w:val="26"/>
      <w:szCs w:val="26"/>
    </w:rPr>
  </w:style>
  <w:style w:type="table" w:customStyle="1" w:styleId="20">
    <w:name w:val="Сетка таблицы2"/>
    <w:basedOn w:val="a1"/>
    <w:next w:val="af7"/>
    <w:uiPriority w:val="59"/>
    <w:rsid w:val="00903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rsid w:val="00903BFF"/>
    <w:rPr>
      <w:rFonts w:ascii="Times New Roman" w:eastAsia="Times New Roman" w:hAnsi="Times New Roman" w:cs="Times New Roman"/>
      <w:sz w:val="24"/>
      <w:szCs w:val="24"/>
      <w:lang w:val="x-none" w:eastAsia="ru-RU"/>
    </w:rPr>
  </w:style>
  <w:style w:type="paragraph" w:customStyle="1" w:styleId="12">
    <w:name w:val="Абзац списка1"/>
    <w:basedOn w:val="a"/>
    <w:qFormat/>
    <w:rsid w:val="00903BFF"/>
    <w:pPr>
      <w:spacing w:after="0" w:line="240" w:lineRule="auto"/>
      <w:ind w:left="720"/>
    </w:pPr>
    <w:rPr>
      <w:rFonts w:ascii="Times New Roman" w:hAnsi="Times New Roman"/>
      <w:sz w:val="24"/>
      <w:szCs w:val="24"/>
      <w:lang w:eastAsia="ru-RU"/>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footnote text Знак,FOOTNOTES Знак"/>
    <w:link w:val="a3"/>
    <w:uiPriority w:val="99"/>
    <w:rsid w:val="00903BFF"/>
    <w:rPr>
      <w:rFonts w:ascii="Liberation Serif" w:eastAsia="Nimbus Sans L" w:hAnsi="Liberation Serif" w:cs="Times New Roman"/>
      <w:color w:val="00000A"/>
      <w:kern w:val="3"/>
      <w:sz w:val="24"/>
      <w:szCs w:val="24"/>
      <w:lang w:val="en-US" w:eastAsia="zh-CN" w:bidi="hi-IN"/>
    </w:rPr>
  </w:style>
  <w:style w:type="character" w:styleId="af9">
    <w:name w:val="annotation reference"/>
    <w:uiPriority w:val="99"/>
    <w:semiHidden/>
    <w:unhideWhenUsed/>
    <w:rsid w:val="00903BFF"/>
    <w:rPr>
      <w:sz w:val="16"/>
      <w:szCs w:val="16"/>
    </w:rPr>
  </w:style>
  <w:style w:type="paragraph" w:styleId="afa">
    <w:name w:val="annotation text"/>
    <w:basedOn w:val="a"/>
    <w:link w:val="afb"/>
    <w:uiPriority w:val="99"/>
    <w:semiHidden/>
    <w:unhideWhenUsed/>
    <w:rsid w:val="00903BFF"/>
    <w:pPr>
      <w:spacing w:line="240" w:lineRule="auto"/>
    </w:pPr>
    <w:rPr>
      <w:sz w:val="20"/>
      <w:szCs w:val="20"/>
      <w:lang w:val="x-none" w:eastAsia="x-none"/>
    </w:rPr>
  </w:style>
  <w:style w:type="character" w:customStyle="1" w:styleId="afb">
    <w:name w:val="Текст примечания Знак"/>
    <w:basedOn w:val="a0"/>
    <w:link w:val="afa"/>
    <w:uiPriority w:val="99"/>
    <w:semiHidden/>
    <w:rsid w:val="00903BFF"/>
    <w:rPr>
      <w:rFonts w:ascii="Calibri" w:eastAsia="Calibri" w:hAnsi="Calibri" w:cs="Times New Roman"/>
      <w:sz w:val="20"/>
      <w:szCs w:val="20"/>
      <w:lang w:val="x-none" w:eastAsia="x-none"/>
    </w:rPr>
  </w:style>
  <w:style w:type="paragraph" w:styleId="afc">
    <w:name w:val="annotation subject"/>
    <w:basedOn w:val="afa"/>
    <w:next w:val="afa"/>
    <w:link w:val="afd"/>
    <w:uiPriority w:val="99"/>
    <w:semiHidden/>
    <w:unhideWhenUsed/>
    <w:rsid w:val="00903BFF"/>
    <w:rPr>
      <w:b/>
      <w:bCs/>
    </w:rPr>
  </w:style>
  <w:style w:type="character" w:customStyle="1" w:styleId="afd">
    <w:name w:val="Тема примечания Знак"/>
    <w:basedOn w:val="afb"/>
    <w:link w:val="afc"/>
    <w:uiPriority w:val="99"/>
    <w:semiHidden/>
    <w:rsid w:val="00903BFF"/>
    <w:rPr>
      <w:rFonts w:ascii="Calibri" w:eastAsia="Calibri" w:hAnsi="Calibri" w:cs="Times New Roman"/>
      <w:b/>
      <w:bCs/>
      <w:sz w:val="20"/>
      <w:szCs w:val="20"/>
      <w:lang w:val="x-none" w:eastAsia="x-none"/>
    </w:rPr>
  </w:style>
  <w:style w:type="paragraph" w:customStyle="1" w:styleId="Style9">
    <w:name w:val="Style9"/>
    <w:basedOn w:val="a"/>
    <w:uiPriority w:val="99"/>
    <w:rsid w:val="00903BFF"/>
    <w:pPr>
      <w:widowControl w:val="0"/>
      <w:autoSpaceDE w:val="0"/>
      <w:autoSpaceDN w:val="0"/>
      <w:adjustRightInd w:val="0"/>
      <w:spacing w:after="0" w:line="291" w:lineRule="exact"/>
      <w:ind w:firstLine="691"/>
      <w:jc w:val="both"/>
    </w:pPr>
    <w:rPr>
      <w:rFonts w:ascii="Arial" w:eastAsia="Times New Roman" w:hAnsi="Arial" w:cs="Arial"/>
      <w:sz w:val="24"/>
      <w:szCs w:val="24"/>
      <w:lang w:val="en-US"/>
    </w:rPr>
  </w:style>
  <w:style w:type="character" w:customStyle="1" w:styleId="FontStyle56">
    <w:name w:val="Font Style56"/>
    <w:uiPriority w:val="99"/>
    <w:rsid w:val="00903BFF"/>
    <w:rPr>
      <w:rFonts w:ascii="Arial" w:hAnsi="Arial" w:cs="Arial"/>
      <w:color w:val="000000"/>
      <w:sz w:val="20"/>
      <w:szCs w:val="20"/>
    </w:rPr>
  </w:style>
  <w:style w:type="paragraph" w:customStyle="1" w:styleId="Style38">
    <w:name w:val="Style38"/>
    <w:basedOn w:val="a"/>
    <w:uiPriority w:val="99"/>
    <w:rsid w:val="00903BFF"/>
    <w:pPr>
      <w:widowControl w:val="0"/>
      <w:autoSpaceDE w:val="0"/>
      <w:autoSpaceDN w:val="0"/>
      <w:adjustRightInd w:val="0"/>
      <w:spacing w:after="0" w:line="252" w:lineRule="exact"/>
      <w:ind w:firstLine="701"/>
      <w:jc w:val="both"/>
    </w:pPr>
    <w:rPr>
      <w:rFonts w:ascii="Arial" w:eastAsia="Times New Roman" w:hAnsi="Arial" w:cs="Arial"/>
      <w:sz w:val="24"/>
      <w:szCs w:val="24"/>
      <w:lang w:val="en-US"/>
    </w:rPr>
  </w:style>
  <w:style w:type="paragraph" w:customStyle="1" w:styleId="Style12">
    <w:name w:val="Style12"/>
    <w:basedOn w:val="a"/>
    <w:uiPriority w:val="99"/>
    <w:rsid w:val="00903BFF"/>
    <w:pPr>
      <w:widowControl w:val="0"/>
      <w:autoSpaceDE w:val="0"/>
      <w:autoSpaceDN w:val="0"/>
      <w:adjustRightInd w:val="0"/>
      <w:spacing w:after="0" w:line="291" w:lineRule="exact"/>
      <w:jc w:val="both"/>
    </w:pPr>
    <w:rPr>
      <w:rFonts w:ascii="Arial" w:eastAsia="Times New Roman" w:hAnsi="Arial" w:cs="Arial"/>
      <w:sz w:val="24"/>
      <w:szCs w:val="24"/>
      <w:lang w:val="en-US"/>
    </w:rPr>
  </w:style>
  <w:style w:type="paragraph" w:customStyle="1" w:styleId="Style37">
    <w:name w:val="Style37"/>
    <w:basedOn w:val="a"/>
    <w:uiPriority w:val="99"/>
    <w:rsid w:val="00903BFF"/>
    <w:pPr>
      <w:widowControl w:val="0"/>
      <w:autoSpaceDE w:val="0"/>
      <w:autoSpaceDN w:val="0"/>
      <w:adjustRightInd w:val="0"/>
      <w:spacing w:after="0" w:line="254" w:lineRule="exact"/>
      <w:ind w:firstLine="1421"/>
      <w:jc w:val="both"/>
    </w:pPr>
    <w:rPr>
      <w:rFonts w:ascii="Arial" w:eastAsia="Times New Roman" w:hAnsi="Arial" w:cs="Arial"/>
      <w:sz w:val="24"/>
      <w:szCs w:val="24"/>
      <w:lang w:val="en-US"/>
    </w:rPr>
  </w:style>
  <w:style w:type="paragraph" w:customStyle="1" w:styleId="Style21">
    <w:name w:val="Style21"/>
    <w:basedOn w:val="a"/>
    <w:uiPriority w:val="99"/>
    <w:rsid w:val="00903BFF"/>
    <w:pPr>
      <w:widowControl w:val="0"/>
      <w:autoSpaceDE w:val="0"/>
      <w:autoSpaceDN w:val="0"/>
      <w:adjustRightInd w:val="0"/>
      <w:spacing w:after="0" w:line="254" w:lineRule="exact"/>
      <w:ind w:hanging="346"/>
      <w:jc w:val="both"/>
    </w:pPr>
    <w:rPr>
      <w:rFonts w:ascii="Arial" w:eastAsia="Times New Roman" w:hAnsi="Arial" w:cs="Arial"/>
      <w:sz w:val="24"/>
      <w:szCs w:val="24"/>
      <w:lang w:val="en-US"/>
    </w:rPr>
  </w:style>
  <w:style w:type="paragraph" w:customStyle="1" w:styleId="Style11">
    <w:name w:val="Style11"/>
    <w:basedOn w:val="a"/>
    <w:uiPriority w:val="99"/>
    <w:rsid w:val="00903BFF"/>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1">
    <w:name w:val="Font Style51"/>
    <w:uiPriority w:val="99"/>
    <w:rsid w:val="00903BFF"/>
    <w:rPr>
      <w:rFonts w:ascii="Arial Narrow" w:hAnsi="Arial Narrow" w:cs="Arial Narrow"/>
      <w:color w:val="000000"/>
      <w:sz w:val="18"/>
      <w:szCs w:val="18"/>
    </w:rPr>
  </w:style>
  <w:style w:type="paragraph" w:customStyle="1" w:styleId="Style50">
    <w:name w:val="Style50"/>
    <w:basedOn w:val="a"/>
    <w:uiPriority w:val="99"/>
    <w:rsid w:val="00903BFF"/>
    <w:pPr>
      <w:widowControl w:val="0"/>
      <w:autoSpaceDE w:val="0"/>
      <w:autoSpaceDN w:val="0"/>
      <w:adjustRightInd w:val="0"/>
      <w:spacing w:after="0" w:line="254" w:lineRule="exact"/>
      <w:ind w:firstLine="566"/>
    </w:pPr>
    <w:rPr>
      <w:rFonts w:ascii="Arial" w:eastAsia="Times New Roman" w:hAnsi="Arial" w:cs="Arial"/>
      <w:sz w:val="24"/>
      <w:szCs w:val="24"/>
      <w:lang w:val="en-US"/>
    </w:rPr>
  </w:style>
  <w:style w:type="character" w:customStyle="1" w:styleId="FontStyle81">
    <w:name w:val="Font Style81"/>
    <w:uiPriority w:val="99"/>
    <w:rsid w:val="00903BFF"/>
    <w:rPr>
      <w:rFonts w:ascii="Arial" w:hAnsi="Arial" w:cs="Arial"/>
      <w:b/>
      <w:bCs/>
      <w:i/>
      <w:iCs/>
      <w:color w:val="000000"/>
      <w:sz w:val="22"/>
      <w:szCs w:val="22"/>
    </w:rPr>
  </w:style>
  <w:style w:type="character" w:customStyle="1" w:styleId="FontStyle84">
    <w:name w:val="Font Style84"/>
    <w:uiPriority w:val="99"/>
    <w:rsid w:val="00903BFF"/>
    <w:rPr>
      <w:rFonts w:ascii="Arial" w:hAnsi="Arial" w:cs="Arial"/>
      <w:color w:val="000000"/>
      <w:sz w:val="22"/>
      <w:szCs w:val="22"/>
    </w:rPr>
  </w:style>
  <w:style w:type="paragraph" w:customStyle="1" w:styleId="Style2">
    <w:name w:val="Style2"/>
    <w:basedOn w:val="a"/>
    <w:uiPriority w:val="99"/>
    <w:rsid w:val="00903BFF"/>
    <w:pPr>
      <w:widowControl w:val="0"/>
      <w:autoSpaceDE w:val="0"/>
      <w:autoSpaceDN w:val="0"/>
      <w:adjustRightInd w:val="0"/>
      <w:spacing w:after="0" w:line="490" w:lineRule="exact"/>
      <w:jc w:val="center"/>
    </w:pPr>
    <w:rPr>
      <w:rFonts w:ascii="Arial" w:eastAsia="Times New Roman" w:hAnsi="Arial" w:cs="Arial"/>
      <w:sz w:val="24"/>
      <w:szCs w:val="24"/>
      <w:lang w:val="en-US"/>
    </w:rPr>
  </w:style>
  <w:style w:type="character" w:customStyle="1" w:styleId="FontStyle82">
    <w:name w:val="Font Style82"/>
    <w:uiPriority w:val="99"/>
    <w:rsid w:val="00903BFF"/>
    <w:rPr>
      <w:rFonts w:ascii="Arial" w:hAnsi="Arial" w:cs="Arial"/>
      <w:b/>
      <w:bCs/>
      <w:color w:val="000000"/>
      <w:sz w:val="22"/>
      <w:szCs w:val="22"/>
    </w:rPr>
  </w:style>
  <w:style w:type="paragraph" w:customStyle="1" w:styleId="Style39">
    <w:name w:val="Style39"/>
    <w:basedOn w:val="a"/>
    <w:uiPriority w:val="99"/>
    <w:rsid w:val="00903BFF"/>
    <w:pPr>
      <w:widowControl w:val="0"/>
      <w:autoSpaceDE w:val="0"/>
      <w:autoSpaceDN w:val="0"/>
      <w:adjustRightInd w:val="0"/>
      <w:spacing w:after="0" w:line="254" w:lineRule="exact"/>
      <w:ind w:firstLine="547"/>
      <w:jc w:val="both"/>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8701</Words>
  <Characters>49598</Characters>
  <Application>Microsoft Office Word</Application>
  <DocSecurity>0</DocSecurity>
  <Lines>413</Lines>
  <Paragraphs>116</Paragraphs>
  <ScaleCrop>false</ScaleCrop>
  <Company>CtrlSoft</Company>
  <LinksUpToDate>false</LinksUpToDate>
  <CharactersWithSpaces>58183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Tatiana TB. Bucur</cp:lastModifiedBy>
  <cp:revision>2</cp:revision>
  <dcterms:created xsi:type="dcterms:W3CDTF">2016-08-05T09:14:00Z</dcterms:created>
  <dcterms:modified xsi:type="dcterms:W3CDTF">2016-08-05T09:14:00Z</dcterms:modified>
</cp:coreProperties>
</file>