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C" w:rsidRPr="00E811C4" w:rsidRDefault="00AE3BAC" w:rsidP="001170C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811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Anexa </w:t>
      </w:r>
      <w:r w:rsidR="002D3C18" w:rsidRPr="00E811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nr.</w:t>
      </w:r>
      <w:r w:rsidR="007B0344" w:rsidRPr="00E811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</w:p>
    <w:p w:rsidR="001A695A" w:rsidRPr="007C37AF" w:rsidRDefault="006A4BC7" w:rsidP="00F846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</w:pPr>
      <w:r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Principalele probleme/provocări și priorităţi </w:t>
      </w:r>
    </w:p>
    <w:p w:rsidR="00AE3BAC" w:rsidRPr="007C37AF" w:rsidRDefault="006A4BC7" w:rsidP="00F846E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o-RO"/>
        </w:rPr>
      </w:pPr>
      <w:r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de politici pe sectoare</w:t>
      </w:r>
      <w:r w:rsidR="00E811C4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,</w:t>
      </w:r>
      <w:r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201</w:t>
      </w:r>
      <w:r w:rsidR="008C416F"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7</w:t>
      </w:r>
      <w:r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-201</w:t>
      </w:r>
      <w:r w:rsidR="008C416F"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9</w:t>
      </w:r>
      <w:r w:rsidRPr="007C37AF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</w:t>
      </w:r>
    </w:p>
    <w:tbl>
      <w:tblPr>
        <w:tblStyle w:val="GrilTabel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7229"/>
      </w:tblGrid>
      <w:tr w:rsidR="00A17FC9" w:rsidRPr="007C37AF" w:rsidTr="00102A1C">
        <w:trPr>
          <w:trHeight w:val="1025"/>
          <w:tblHeader/>
        </w:trPr>
        <w:tc>
          <w:tcPr>
            <w:tcW w:w="1844" w:type="dxa"/>
            <w:vMerge w:val="restart"/>
          </w:tcPr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sectorului</w:t>
            </w:r>
          </w:p>
        </w:tc>
        <w:tc>
          <w:tcPr>
            <w:tcW w:w="5103" w:type="dxa"/>
            <w:vMerge w:val="restart"/>
          </w:tcPr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Probleme și  provocări</w:t>
            </w:r>
          </w:p>
          <w:p w:rsidR="00A17FC9" w:rsidRPr="007C37AF" w:rsidRDefault="00A17FC9" w:rsidP="00972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 w:val="restart"/>
          </w:tcPr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Obiective și priorități</w:t>
            </w:r>
          </w:p>
          <w:p w:rsidR="00A17FC9" w:rsidRPr="007C37AF" w:rsidRDefault="00A17FC9" w:rsidP="009726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17FC9" w:rsidRPr="007C37AF" w:rsidTr="00102A1C">
        <w:trPr>
          <w:trHeight w:val="276"/>
          <w:tblHeader/>
        </w:trPr>
        <w:tc>
          <w:tcPr>
            <w:tcW w:w="1844" w:type="dxa"/>
            <w:vMerge/>
          </w:tcPr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103" w:type="dxa"/>
            <w:vMerge/>
          </w:tcPr>
          <w:p w:rsidR="00A17FC9" w:rsidRPr="007C37AF" w:rsidRDefault="00A17F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vMerge/>
          </w:tcPr>
          <w:p w:rsidR="00A17FC9" w:rsidRPr="007C37AF" w:rsidRDefault="00A17F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7C37AF" w:rsidRPr="007C37AF" w:rsidRDefault="007C37AF" w:rsidP="007C37AF">
      <w:pPr>
        <w:spacing w:after="0" w:line="240" w:lineRule="auto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Style w:val="GrilTabel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7229"/>
      </w:tblGrid>
      <w:tr w:rsidR="007C37AF" w:rsidRPr="007C37AF" w:rsidTr="007C37AF">
        <w:trPr>
          <w:trHeight w:val="276"/>
          <w:tblHeader/>
        </w:trPr>
        <w:tc>
          <w:tcPr>
            <w:tcW w:w="1844" w:type="dxa"/>
          </w:tcPr>
          <w:p w:rsidR="007C37AF" w:rsidRPr="007C37AF" w:rsidRDefault="007C37AF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103" w:type="dxa"/>
          </w:tcPr>
          <w:p w:rsidR="007C37AF" w:rsidRPr="007C37AF" w:rsidRDefault="007C37AF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7229" w:type="dxa"/>
          </w:tcPr>
          <w:p w:rsidR="007C37AF" w:rsidRPr="007C37AF" w:rsidRDefault="007C37AF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</w:tr>
      <w:tr w:rsidR="00A17FC9" w:rsidRPr="007C37AF" w:rsidTr="007C37AF">
        <w:tc>
          <w:tcPr>
            <w:tcW w:w="1844" w:type="dxa"/>
            <w:shd w:val="clear" w:color="auto" w:fill="auto"/>
          </w:tcPr>
          <w:p w:rsidR="00A17FC9" w:rsidRPr="007C37AF" w:rsidRDefault="00A17FC9" w:rsidP="00CE7BDC">
            <w:pPr>
              <w:ind w:right="14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  <w:p w:rsidR="00A17FC9" w:rsidRPr="007C37AF" w:rsidRDefault="00A17FC9" w:rsidP="00DF48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Educația</w:t>
            </w:r>
          </w:p>
          <w:p w:rsidR="00A17FC9" w:rsidRPr="007C37AF" w:rsidRDefault="00A17FC9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103" w:type="dxa"/>
          </w:tcPr>
          <w:p w:rsidR="00A17FC9" w:rsidRPr="007C37AF" w:rsidRDefault="007C37AF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ineficienţa </w:t>
            </w:r>
            <w:r w:rsidR="00A17FC9" w:rsidRPr="007C37AF">
              <w:rPr>
                <w:color w:val="000000" w:themeColor="text1"/>
                <w:szCs w:val="22"/>
              </w:rPr>
              <w:t>utiliz</w:t>
            </w:r>
            <w:r w:rsidRPr="007C37AF">
              <w:rPr>
                <w:color w:val="000000" w:themeColor="text1"/>
                <w:szCs w:val="22"/>
              </w:rPr>
              <w:t>ării</w:t>
            </w:r>
            <w:r w:rsidR="00A17FC9" w:rsidRPr="007C37AF">
              <w:rPr>
                <w:color w:val="000000" w:themeColor="text1"/>
                <w:szCs w:val="22"/>
              </w:rPr>
              <w:t xml:space="preserve"> alocațiilor financiare din sector din cauza reţelei supradimensionate de instituţii;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C37AF" w:rsidRPr="007C37AF">
              <w:rPr>
                <w:color w:val="000000" w:themeColor="text1"/>
                <w:szCs w:val="22"/>
              </w:rPr>
              <w:t xml:space="preserve">neadaptarea </w:t>
            </w:r>
            <w:r w:rsidRPr="007C37AF">
              <w:rPr>
                <w:color w:val="000000" w:themeColor="text1"/>
                <w:szCs w:val="22"/>
              </w:rPr>
              <w:t>rețelel</w:t>
            </w:r>
            <w:r w:rsidR="007C37AF" w:rsidRPr="007C37AF">
              <w:rPr>
                <w:color w:val="000000" w:themeColor="text1"/>
                <w:szCs w:val="22"/>
              </w:rPr>
              <w:t>or</w:t>
            </w:r>
            <w:r w:rsidRPr="007C37AF">
              <w:rPr>
                <w:color w:val="000000" w:themeColor="text1"/>
                <w:szCs w:val="22"/>
              </w:rPr>
              <w:t xml:space="preserve"> claselor și instituțiilor la numărul de elevi/studenți;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insuficiența cheltuielilor pentru consolidarea bazei tehnice și didactico-materiale a instituțiilor;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accesul limitat la servicii educaționale de calitate;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  <w:szCs w:val="22"/>
              </w:rPr>
              <w:t>servicii</w:t>
            </w:r>
            <w:r w:rsidR="007C37AF" w:rsidRPr="007C37AF">
              <w:rPr>
                <w:color w:val="000000" w:themeColor="text1"/>
                <w:szCs w:val="22"/>
              </w:rPr>
              <w:t xml:space="preserve"> limitate de educație incluzivă</w:t>
            </w: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eficientizarea utilizării alocațiilor financiare, asigurarea unui randament educațional înalt și oferirea unei remunerări bazate pe performanţe angajaților din sectorul educației;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dezvoltarea reţelei serviciilor de educaţie </w:t>
            </w:r>
            <w:proofErr w:type="spellStart"/>
            <w:r w:rsidRPr="007C37AF">
              <w:rPr>
                <w:color w:val="000000" w:themeColor="text1"/>
                <w:szCs w:val="22"/>
              </w:rPr>
              <w:t>antepreşcolară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şi preşcolară, </w:t>
            </w:r>
            <w:proofErr w:type="spellStart"/>
            <w:r w:rsidRPr="007C37AF">
              <w:rPr>
                <w:color w:val="000000" w:themeColor="text1"/>
                <w:szCs w:val="22"/>
              </w:rPr>
              <w:t>lu</w:t>
            </w:r>
            <w:r w:rsidR="007C37AF" w:rsidRPr="007C37AF">
              <w:rPr>
                <w:color w:val="000000" w:themeColor="text1"/>
                <w:szCs w:val="22"/>
              </w:rPr>
              <w:t>î</w:t>
            </w:r>
            <w:r w:rsidRPr="007C37AF">
              <w:rPr>
                <w:color w:val="000000" w:themeColor="text1"/>
                <w:szCs w:val="22"/>
              </w:rPr>
              <w:t>nd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în considerare și prognozele demografice existente;</w:t>
            </w:r>
          </w:p>
          <w:p w:rsidR="00A17FC9" w:rsidRPr="007C37AF" w:rsidRDefault="00A17FC9" w:rsidP="0039219D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adaptarea rețelei claselor și școlilor, a unităţilor de personal din instituţiile respective la numărul de elevi real încadrat;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modernizarea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învăţămîntului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profesional tehnic în vederea asigurării relevanţei studiilor, </w:t>
            </w:r>
            <w:proofErr w:type="spellStart"/>
            <w:r w:rsidRPr="007C37AF">
              <w:rPr>
                <w:color w:val="000000" w:themeColor="text1"/>
                <w:szCs w:val="22"/>
              </w:rPr>
              <w:t>angajabilităţii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absolvenţilor şi integrarea instituţiilor de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profesional tehnic în spaţiul european al educaţiei şi formării profesionale;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implementarea unui mecanism nou de finanţare a instituţiilor de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profesional tehnic;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promovarea educației incluzive pentru antrenarea copiilor cu cerințe educaționale speciale în activități cu caracter instructiv-educativ;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  <w:szCs w:val="22"/>
              </w:rPr>
              <w:t>reformarea sistemului de instituții rezidențiale prin promovarea politicilor și programelor de dezinstituționalizare a copiilor;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eficientizarea procesului de formare profesională în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învăţămîntul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pedagogic prin revizuirea reţelei de instituţii de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superior;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consolidarea capacităţilor şi funcţionalităţii instituţiilor de asigurare a calităţii în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evaluarea externă a calităţii programelor şi a instituţiilor de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în vederea autorizării de funcţionare provizorie sau acreditării;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  <w:szCs w:val="22"/>
              </w:rPr>
              <w:t xml:space="preserve">consolidarea activităţii de cercetare în instituţiile de </w:t>
            </w:r>
            <w:proofErr w:type="spellStart"/>
            <w:r w:rsidRPr="007C37AF">
              <w:rPr>
                <w:color w:val="000000" w:themeColor="text1"/>
                <w:szCs w:val="22"/>
              </w:rPr>
              <w:t>învăţămînt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superior prin promovarea parteneriatelor dintre </w:t>
            </w:r>
            <w:proofErr w:type="spellStart"/>
            <w:r w:rsidRPr="007C37AF">
              <w:rPr>
                <w:color w:val="000000" w:themeColor="text1"/>
                <w:szCs w:val="22"/>
              </w:rPr>
              <w:t>universitate-guvern-business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şi facilitarea internaţionalizării</w:t>
            </w: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Ocrotirea s</w:t>
            </w:r>
            <w:r w:rsidR="007C37AF"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ă</w:t>
            </w: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</w:t>
            </w:r>
            <w:r w:rsidR="007C37AF"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ătăţii</w:t>
            </w:r>
          </w:p>
        </w:tc>
        <w:tc>
          <w:tcPr>
            <w:tcW w:w="5103" w:type="dxa"/>
          </w:tcPr>
          <w:p w:rsidR="00A17FC9" w:rsidRPr="007C37AF" w:rsidRDefault="007C37AF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neimplicarea tuturor </w:t>
            </w:r>
            <w:r w:rsidR="00A17FC9" w:rsidRPr="007C37AF">
              <w:rPr>
                <w:color w:val="000000" w:themeColor="text1"/>
                <w:szCs w:val="22"/>
              </w:rPr>
              <w:t>persoanel</w:t>
            </w:r>
            <w:r w:rsidRPr="007C37AF">
              <w:rPr>
                <w:color w:val="000000" w:themeColor="text1"/>
                <w:szCs w:val="22"/>
              </w:rPr>
              <w:t>or</w:t>
            </w:r>
            <w:r w:rsidR="00A17FC9" w:rsidRPr="007C37AF">
              <w:rPr>
                <w:color w:val="000000" w:themeColor="text1"/>
                <w:szCs w:val="22"/>
              </w:rPr>
              <w:t xml:space="preserve"> la sistemul  asigurării obligatorii de asistenţă medicală (AOAM) și </w:t>
            </w:r>
            <w:proofErr w:type="spellStart"/>
            <w:r w:rsidRPr="007C37AF">
              <w:rPr>
                <w:color w:val="000000" w:themeColor="text1"/>
                <w:szCs w:val="22"/>
              </w:rPr>
              <w:t>ne</w:t>
            </w:r>
            <w:r w:rsidR="00A17FC9" w:rsidRPr="007C37AF">
              <w:rPr>
                <w:color w:val="000000" w:themeColor="text1"/>
                <w:szCs w:val="22"/>
              </w:rPr>
              <w:t>benefici</w:t>
            </w:r>
            <w:r w:rsidRPr="007C37AF">
              <w:rPr>
                <w:color w:val="000000" w:themeColor="text1"/>
                <w:szCs w:val="22"/>
              </w:rPr>
              <w:t>erea</w:t>
            </w:r>
            <w:proofErr w:type="spellEnd"/>
            <w:r w:rsidR="00A17FC9" w:rsidRPr="007C37AF">
              <w:rPr>
                <w:color w:val="000000" w:themeColor="text1"/>
                <w:szCs w:val="22"/>
              </w:rPr>
              <w:t xml:space="preserve"> de toate facilitățile și protecția  financiară deplină la accesarea serviciilor medicale;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situaţia nefavorabilă cu privire la maladiile infecţioase şi parazitare, incidenţa înaltă prin HIV, ITS, TB ş.a.;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  <w:p w:rsidR="00A17FC9" w:rsidRDefault="007C37AF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starea </w:t>
            </w:r>
            <w:r w:rsidR="00A17FC9" w:rsidRPr="007C37AF">
              <w:rPr>
                <w:color w:val="000000" w:themeColor="text1"/>
                <w:szCs w:val="22"/>
              </w:rPr>
              <w:t>deplorabil</w:t>
            </w:r>
            <w:r w:rsidRPr="007C37AF">
              <w:rPr>
                <w:color w:val="000000" w:themeColor="text1"/>
                <w:szCs w:val="22"/>
              </w:rPr>
              <w:t>ă</w:t>
            </w:r>
            <w:r w:rsidR="00A17FC9" w:rsidRPr="007C37AF">
              <w:rPr>
                <w:color w:val="000000" w:themeColor="text1"/>
                <w:szCs w:val="22"/>
              </w:rPr>
              <w:t xml:space="preserve"> a infrastructurii instituţiilor medicale şi echipament medical depăşit;</w:t>
            </w:r>
          </w:p>
          <w:p w:rsidR="007C37AF" w:rsidRDefault="007C37AF" w:rsidP="007C37AF">
            <w:pPr>
              <w:pStyle w:val="Listparagraf"/>
              <w:rPr>
                <w:color w:val="000000" w:themeColor="text1"/>
              </w:rPr>
            </w:pPr>
          </w:p>
          <w:p w:rsidR="007C37AF" w:rsidRPr="007C37AF" w:rsidRDefault="007C37AF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Listparagra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exodul specialiştilor şi distribuirea neuniformă a cadrelor medicale</w:t>
            </w:r>
            <w:r w:rsidR="007C37AF" w:rsidRPr="007C37AF">
              <w:rPr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incidenţa şi mortalitatea înaltă </w:t>
            </w:r>
            <w:r w:rsidR="007C37AF" w:rsidRPr="007C37AF">
              <w:rPr>
                <w:color w:val="000000" w:themeColor="text1"/>
                <w:szCs w:val="22"/>
              </w:rPr>
              <w:t xml:space="preserve">din cauza </w:t>
            </w:r>
            <w:r w:rsidRPr="007C37AF">
              <w:rPr>
                <w:color w:val="000000" w:themeColor="text1"/>
                <w:szCs w:val="22"/>
              </w:rPr>
              <w:t>boli</w:t>
            </w:r>
            <w:r w:rsidR="007C37AF" w:rsidRPr="007C37AF">
              <w:rPr>
                <w:color w:val="000000" w:themeColor="text1"/>
                <w:szCs w:val="22"/>
              </w:rPr>
              <w:t>lor</w:t>
            </w:r>
            <w:r w:rsidRPr="007C37AF">
              <w:rPr>
                <w:color w:val="000000" w:themeColor="text1"/>
                <w:szCs w:val="22"/>
              </w:rPr>
              <w:t xml:space="preserve"> cronice </w:t>
            </w:r>
            <w:proofErr w:type="spellStart"/>
            <w:r w:rsidRPr="007C37AF">
              <w:rPr>
                <w:color w:val="000000" w:themeColor="text1"/>
                <w:szCs w:val="22"/>
              </w:rPr>
              <w:t>nontransmisibile</w:t>
            </w:r>
            <w:proofErr w:type="spellEnd"/>
            <w:r w:rsidRPr="007C37AF">
              <w:rPr>
                <w:color w:val="000000" w:themeColor="text1"/>
                <w:szCs w:val="22"/>
              </w:rPr>
              <w:t>, creşterea incidenţei maladiilor mintale şi insuficienţa mă</w:t>
            </w:r>
            <w:r w:rsidR="007C37AF" w:rsidRPr="007C37AF">
              <w:rPr>
                <w:color w:val="000000" w:themeColor="text1"/>
                <w:szCs w:val="22"/>
              </w:rPr>
              <w:t>surilor de prevenire a acestora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revederea mecanismelor de stimulare a motivării populației de a se încadra în sistemul asigurării obligatorii de asistență medicală și asigurarea accesului echitabil al cetățenilor la servicii de sănătate publică, medicale și farmaceutice;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135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asigurarea implementării programelor naționale din sectorul sănătății și garantarea sustenabilității finanțării acestora din resursele bugetului public național, inclusiv a programelor de control al HIV/SIDA, </w:t>
            </w:r>
            <w:r w:rsidR="00E811C4">
              <w:rPr>
                <w:color w:val="000000" w:themeColor="text1"/>
                <w:szCs w:val="22"/>
              </w:rPr>
              <w:t>tuberculozei</w:t>
            </w:r>
            <w:r w:rsidRPr="007C37AF">
              <w:rPr>
                <w:color w:val="000000" w:themeColor="text1"/>
                <w:szCs w:val="22"/>
              </w:rPr>
              <w:t>, imunizări</w:t>
            </w:r>
            <w:r w:rsidR="007C37AF" w:rsidRPr="007C37AF">
              <w:rPr>
                <w:color w:val="000000" w:themeColor="text1"/>
                <w:szCs w:val="22"/>
              </w:rPr>
              <w:t>lor</w:t>
            </w:r>
            <w:r w:rsidRPr="007C37AF">
              <w:rPr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stimularea investițiilor în modernizarea tehnologiilor medicale, inclusiv din resurse formate de instituții pentru acestea, </w:t>
            </w:r>
            <w:r w:rsidR="007C37AF" w:rsidRPr="007C37AF">
              <w:rPr>
                <w:color w:val="000000" w:themeColor="text1"/>
                <w:szCs w:val="22"/>
              </w:rPr>
              <w:t>precum</w:t>
            </w:r>
            <w:r w:rsidRPr="007C37AF">
              <w:rPr>
                <w:color w:val="000000" w:themeColor="text1"/>
                <w:szCs w:val="22"/>
              </w:rPr>
              <w:t xml:space="preserve"> și sporirea cotei procentuale a contribuției financiare a fondatorilor instituțiilor medico-sanitare publice;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implementarea mecanismelor noi de formare, motivare și reținere a resurselor umane în sănătate;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 w:line="276" w:lineRule="auto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îmbunătățirea acce</w:t>
            </w:r>
            <w:r w:rsidR="007C37AF" w:rsidRPr="007C37AF">
              <w:rPr>
                <w:color w:val="000000" w:themeColor="text1"/>
                <w:szCs w:val="22"/>
              </w:rPr>
              <w:t>sului la tratament medicamentos</w:t>
            </w:r>
            <w:r w:rsidRPr="007C37AF">
              <w:rPr>
                <w:color w:val="000000" w:themeColor="text1"/>
                <w:szCs w:val="22"/>
              </w:rPr>
              <w:t xml:space="preserve"> prin extinderea listei de medicamente compensate, revizuirea protocoalelor naționale, schimbarea politicilor de p</w:t>
            </w:r>
            <w:r w:rsidR="007C37AF" w:rsidRPr="007C37AF">
              <w:rPr>
                <w:color w:val="000000" w:themeColor="text1"/>
                <w:szCs w:val="22"/>
              </w:rPr>
              <w:t>rețuri la medicamente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 w:line="276" w:lineRule="auto"/>
              <w:ind w:left="124"/>
              <w:rPr>
                <w:color w:val="000000" w:themeColor="text1"/>
                <w:szCs w:val="22"/>
              </w:rPr>
            </w:pP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</w:t>
            </w:r>
            <w:r w:rsidR="007C37AF"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rotecţ</w:t>
            </w: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ia socială</w:t>
            </w:r>
          </w:p>
        </w:tc>
        <w:tc>
          <w:tcPr>
            <w:tcW w:w="5103" w:type="dxa"/>
          </w:tcPr>
          <w:p w:rsidR="00A17FC9" w:rsidRPr="007C37AF" w:rsidRDefault="00A17FC9" w:rsidP="007C37AF">
            <w:pPr>
              <w:ind w:firstLine="317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7C37AF">
              <w:rPr>
                <w:rFonts w:ascii="Times New Roman" w:eastAsia="Calibri" w:hAnsi="Times New Roman" w:cs="Times New Roman"/>
                <w:i/>
                <w:color w:val="000000" w:themeColor="text1"/>
                <w:lang w:val="ro-RO"/>
              </w:rPr>
              <w:t xml:space="preserve"> </w:t>
            </w:r>
            <w:r w:rsidR="007C37AF" w:rsidRPr="007C37AF">
              <w:rPr>
                <w:rFonts w:ascii="Times New Roman" w:eastAsia="Calibri" w:hAnsi="Times New Roman" w:cs="Times New Roman"/>
                <w:i/>
                <w:color w:val="000000" w:themeColor="text1"/>
                <w:lang w:val="ro-RO"/>
              </w:rPr>
              <w:t xml:space="preserve">Sistemul </w:t>
            </w:r>
            <w:r w:rsidRPr="007C37AF">
              <w:rPr>
                <w:rFonts w:ascii="Times New Roman" w:eastAsia="Calibri" w:hAnsi="Times New Roman" w:cs="Times New Roman"/>
                <w:i/>
                <w:color w:val="000000" w:themeColor="text1"/>
                <w:lang w:val="ro-RO"/>
              </w:rPr>
              <w:t>de asigurări sociale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nesustenabilitatea sistemului de pensii;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nivelul scăzut al cuantumului pensiilor;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nivelul scă</w:t>
            </w:r>
            <w:r w:rsidR="007C37AF">
              <w:rPr>
                <w:noProof/>
                <w:color w:val="000000" w:themeColor="text1"/>
                <w:szCs w:val="22"/>
              </w:rPr>
              <w:t>zut al ratei medii de înlocuire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135"/>
              <w:rPr>
                <w:noProof/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135"/>
              <w:rPr>
                <w:noProof/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135"/>
              <w:rPr>
                <w:noProof/>
                <w:color w:val="000000" w:themeColor="text1"/>
                <w:szCs w:val="22"/>
              </w:rPr>
            </w:pPr>
          </w:p>
          <w:p w:rsidR="00A17FC9" w:rsidRPr="00704B2E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24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 </w:t>
            </w:r>
            <w:r w:rsidR="00704B2E" w:rsidRPr="00704B2E">
              <w:rPr>
                <w:i/>
                <w:color w:val="000000" w:themeColor="text1"/>
              </w:rPr>
              <w:t xml:space="preserve">Domeniul  </w:t>
            </w:r>
            <w:r w:rsidRPr="00704B2E">
              <w:rPr>
                <w:i/>
                <w:color w:val="000000" w:themeColor="text1"/>
              </w:rPr>
              <w:t>asistenţei sociale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ineficienţa direcţionării prestaţiilor către cei mai săraci;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lastRenderedPageBreak/>
              <w:t>eficientizarea acordării mijloacelor fi</w:t>
            </w:r>
            <w:r w:rsidR="00704B2E">
              <w:rPr>
                <w:noProof/>
                <w:color w:val="000000" w:themeColor="text1"/>
                <w:szCs w:val="22"/>
              </w:rPr>
              <w:t>n</w:t>
            </w:r>
            <w:r w:rsidRPr="007C37AF">
              <w:rPr>
                <w:noProof/>
                <w:color w:val="000000" w:themeColor="text1"/>
                <w:szCs w:val="22"/>
              </w:rPr>
              <w:t>anciare în baza evaluării complexe a nevoilor individuale ale familiilor cu copii și copiilor aflați în situație de dificulate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abordarea categorială în procesul de acordare a prestațiilor și serviciilor sociale</w:t>
            </w:r>
            <w:r w:rsidR="00704B2E">
              <w:rPr>
                <w:noProof/>
                <w:color w:val="000000" w:themeColor="text1"/>
                <w:szCs w:val="22"/>
              </w:rPr>
              <w:t>, dar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nu </w:t>
            </w:r>
            <w:r w:rsidR="00704B2E">
              <w:rPr>
                <w:noProof/>
                <w:color w:val="000000" w:themeColor="text1"/>
                <w:szCs w:val="22"/>
              </w:rPr>
              <w:t xml:space="preserve">pornind de la </w:t>
            </w:r>
            <w:r w:rsidRPr="007C37AF">
              <w:rPr>
                <w:noProof/>
                <w:color w:val="000000" w:themeColor="text1"/>
                <w:szCs w:val="22"/>
              </w:rPr>
              <w:t>necesitățile individuale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dezvoltarea serviciilor specializate </w:t>
            </w:r>
            <w:r w:rsidR="00704B2E">
              <w:rPr>
                <w:noProof/>
                <w:color w:val="000000" w:themeColor="text1"/>
                <w:szCs w:val="22"/>
              </w:rPr>
              <w:t>destinate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subiecților violenței în familie și persoanelor infectate cu HIV/SIDA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insuficiența mijloacelor financiare proprii ale bugetelor locale </w:t>
            </w:r>
            <w:r w:rsidR="00704B2E">
              <w:rPr>
                <w:noProof/>
                <w:color w:val="000000" w:themeColor="text1"/>
                <w:szCs w:val="22"/>
              </w:rPr>
              <w:t>pe</w:t>
            </w:r>
            <w:r w:rsidRPr="007C37AF">
              <w:rPr>
                <w:noProof/>
                <w:color w:val="000000" w:themeColor="text1"/>
                <w:szCs w:val="22"/>
              </w:rPr>
              <w:t>ntru finanțarea serviciilor sociale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excluziunea socială a persoane</w:t>
            </w:r>
            <w:r w:rsidR="00704B2E">
              <w:rPr>
                <w:noProof/>
                <w:color w:val="000000" w:themeColor="text1"/>
                <w:szCs w:val="22"/>
              </w:rPr>
              <w:t>lor cu dizabilităţi şi nevoiaşe</w:t>
            </w: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asigurarea stabilității, durabilității și transparenței sistemului public de asigurări sociale;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și consolidarea mecanismului de stabilire a prestațiilor de asigurări sociale în baza contribuțiilor de asigurări sociale achitate;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actualizarea anuală a cuantumului pensiilor în </w:t>
            </w:r>
            <w:r w:rsidR="007C37AF">
              <w:rPr>
                <w:color w:val="000000" w:themeColor="text1"/>
                <w:szCs w:val="22"/>
              </w:rPr>
              <w:t>funcţie</w:t>
            </w:r>
            <w:r w:rsidR="00704B2E">
              <w:rPr>
                <w:color w:val="000000" w:themeColor="text1"/>
                <w:szCs w:val="22"/>
              </w:rPr>
              <w:t xml:space="preserve"> de coeficientul de indexare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24"/>
              <w:rPr>
                <w:color w:val="000000" w:themeColor="text1"/>
                <w:szCs w:val="22"/>
              </w:rPr>
            </w:pP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sistematică a asistenței sociale pentru a spori nivelul de protecție a cetățenilor, familiilor și coeziunea socială;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consolidarea programelor de ajutor social pentru creșterea nivelului de </w:t>
            </w:r>
            <w:r w:rsidRPr="007C37AF">
              <w:rPr>
                <w:color w:val="000000" w:themeColor="text1"/>
                <w:szCs w:val="22"/>
              </w:rPr>
              <w:lastRenderedPageBreak/>
              <w:t>protecție a familiilor și crearea mecanismelor de activare socială;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dezvoltarea serviciilor sociale de calitate conform necesităților individuale destinate persoanelor cu </w:t>
            </w:r>
            <w:proofErr w:type="spellStart"/>
            <w:r w:rsidRPr="007C37AF">
              <w:rPr>
                <w:color w:val="000000" w:themeColor="text1"/>
                <w:szCs w:val="22"/>
              </w:rPr>
              <w:t>dizabilități</w:t>
            </w:r>
            <w:proofErr w:type="spellEnd"/>
            <w:r w:rsidRPr="007C37AF">
              <w:rPr>
                <w:color w:val="000000" w:themeColor="text1"/>
                <w:szCs w:val="22"/>
              </w:rPr>
              <w:t>, persoanelor în etate, copiilor și familiilor cu copii, victimelor violenței și traficului de ființe umane, persoanelor infectate cu HIV/SIDA etc</w:t>
            </w:r>
            <w:r w:rsidR="00704B2E">
              <w:rPr>
                <w:color w:val="000000" w:themeColor="text1"/>
                <w:szCs w:val="22"/>
              </w:rPr>
              <w:t>.</w:t>
            </w:r>
            <w:r w:rsidRPr="007C37AF">
              <w:rPr>
                <w:color w:val="000000" w:themeColor="text1"/>
                <w:szCs w:val="22"/>
              </w:rPr>
              <w:t xml:space="preserve">;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promovarea politicilor în domeniul protecției familiei și copilului;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asigurarea incluziunii sociale a persoanelor cu </w:t>
            </w:r>
            <w:proofErr w:type="spellStart"/>
            <w:r w:rsidRPr="007C37AF">
              <w:rPr>
                <w:color w:val="000000" w:themeColor="text1"/>
                <w:szCs w:val="22"/>
              </w:rPr>
              <w:t>d</w:t>
            </w:r>
            <w:r w:rsidR="00704B2E">
              <w:rPr>
                <w:color w:val="000000" w:themeColor="text1"/>
                <w:szCs w:val="22"/>
              </w:rPr>
              <w:t>i</w:t>
            </w:r>
            <w:r w:rsidRPr="007C37AF">
              <w:rPr>
                <w:color w:val="000000" w:themeColor="text1"/>
                <w:szCs w:val="22"/>
              </w:rPr>
              <w:t>zabilități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 și a grupurilor marginalizate;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elaborarea pachetului unic pentru serviciile sociale</w:t>
            </w:r>
            <w:r w:rsidR="00704B2E">
              <w:rPr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promovare</w:t>
            </w:r>
            <w:r w:rsidR="00704B2E">
              <w:rPr>
                <w:color w:val="000000" w:themeColor="text1"/>
                <w:szCs w:val="22"/>
              </w:rPr>
              <w:t>a respectării egalităţii de gen</w:t>
            </w: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lastRenderedPageBreak/>
              <w:t>Știința</w:t>
            </w:r>
          </w:p>
        </w:tc>
        <w:tc>
          <w:tcPr>
            <w:tcW w:w="5103" w:type="dxa"/>
          </w:tcPr>
          <w:p w:rsidR="00A17FC9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neajusta</w:t>
            </w:r>
            <w:r>
              <w:rPr>
                <w:noProof/>
                <w:color w:val="000000" w:themeColor="text1"/>
                <w:szCs w:val="22"/>
              </w:rPr>
              <w:t>rea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</w:t>
            </w:r>
            <w:r w:rsidR="00A17FC9" w:rsidRPr="007C37AF">
              <w:rPr>
                <w:noProof/>
                <w:color w:val="000000" w:themeColor="text1"/>
                <w:szCs w:val="22"/>
              </w:rPr>
              <w:t>sistemul</w:t>
            </w:r>
            <w:r>
              <w:rPr>
                <w:noProof/>
                <w:color w:val="000000" w:themeColor="text1"/>
                <w:szCs w:val="22"/>
              </w:rPr>
              <w:t>ui</w:t>
            </w:r>
            <w:r w:rsidR="00A17FC9" w:rsidRPr="007C37AF">
              <w:rPr>
                <w:noProof/>
                <w:color w:val="000000" w:themeColor="text1"/>
                <w:szCs w:val="22"/>
              </w:rPr>
              <w:t xml:space="preserve"> actual de administrare a cercetării la rigorile </w:t>
            </w:r>
            <w:r w:rsidR="00704B2E">
              <w:rPr>
                <w:noProof/>
                <w:color w:val="000000" w:themeColor="text1"/>
                <w:szCs w:val="22"/>
              </w:rPr>
              <w:t>Spațiului European de Cercetare;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necesitatea renovării bazei tehnico-materiale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atragerea tinerilor specialişti în procesul de cercetare.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integrarea în spaţiul european de cercetare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accelerarea transferului tehnologic şi stimularea parteneriatelor cu firmele şi sectoarele de producere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capacităţi</w:t>
            </w:r>
            <w:r w:rsidR="00704B2E">
              <w:rPr>
                <w:noProof/>
                <w:color w:val="000000" w:themeColor="text1"/>
                <w:szCs w:val="22"/>
              </w:rPr>
              <w:t>le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slabe de absorbire şi implementare a inovaţiilor şi rezultatelor ştiinţifice din partea</w:t>
            </w:r>
            <w:r w:rsidR="00704B2E">
              <w:rPr>
                <w:noProof/>
                <w:color w:val="000000" w:themeColor="text1"/>
                <w:szCs w:val="22"/>
              </w:rPr>
              <w:t xml:space="preserve"> </w:t>
            </w:r>
            <w:r w:rsidRPr="007C37AF">
              <w:rPr>
                <w:noProof/>
                <w:color w:val="000000" w:themeColor="text1"/>
                <w:szCs w:val="22"/>
              </w:rPr>
              <w:t>sectorului real al economiei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-18"/>
              <w:rPr>
                <w:noProof/>
                <w:color w:val="000000" w:themeColor="text1"/>
                <w:szCs w:val="22"/>
              </w:rPr>
            </w:pP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armonizarea sistemului de asigurare a calităţii în cercetare cu cerinţele sistemului european;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sporirea calităţii procesului de cercetare şi inovare prin asigurarea sinergiei/integrării învăţăm</w:t>
            </w:r>
            <w:r w:rsidR="007C37AF" w:rsidRPr="007C37AF">
              <w:rPr>
                <w:noProof/>
                <w:color w:val="000000" w:themeColor="text1"/>
                <w:szCs w:val="22"/>
              </w:rPr>
              <w:t>î</w:t>
            </w:r>
            <w:r w:rsidRPr="007C37AF">
              <w:rPr>
                <w:noProof/>
                <w:color w:val="000000" w:themeColor="text1"/>
                <w:szCs w:val="22"/>
              </w:rPr>
              <w:t>ntului superior cu cercetarea şi a unei concurenţe eficiente;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consolidarea legăturilor instituţiilor academice cu administraţia publică, societatea civilă, mediul de afaceri, pentru a asigura conectarea cercetării la problemele stringente ale societăţii, în vederea dezvăluirii tendinţelor esenţiale de ordin social-politic, economic și spiritual;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intensificarea activității de pregătire a cadrelor ştiinţifice de înaltă calificare</w:t>
            </w:r>
            <w:r w:rsidR="00704B2E">
              <w:rPr>
                <w:noProof/>
                <w:color w:val="000000" w:themeColor="text1"/>
                <w:szCs w:val="22"/>
              </w:rPr>
              <w:t>,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a doctorilor şi d</w:t>
            </w:r>
            <w:r w:rsidR="00704B2E">
              <w:rPr>
                <w:noProof/>
                <w:color w:val="000000" w:themeColor="text1"/>
                <w:szCs w:val="22"/>
              </w:rPr>
              <w:t>octorilor habilitaţi în cadrul ş</w:t>
            </w:r>
            <w:r w:rsidRPr="007C37AF">
              <w:rPr>
                <w:noProof/>
                <w:color w:val="000000" w:themeColor="text1"/>
                <w:szCs w:val="22"/>
              </w:rPr>
              <w:t xml:space="preserve">colilor </w:t>
            </w:r>
            <w:r w:rsidR="00704B2E">
              <w:rPr>
                <w:noProof/>
                <w:color w:val="000000" w:themeColor="text1"/>
                <w:szCs w:val="22"/>
              </w:rPr>
              <w:t>d</w:t>
            </w:r>
            <w:r w:rsidRPr="007C37AF">
              <w:rPr>
                <w:noProof/>
                <w:color w:val="000000" w:themeColor="text1"/>
                <w:szCs w:val="22"/>
              </w:rPr>
              <w:t>octorale, precum şi consolidarea conlucrării cu instituţiile de învăţăm</w:t>
            </w:r>
            <w:r w:rsidR="007C37AF" w:rsidRPr="007C37AF">
              <w:rPr>
                <w:noProof/>
                <w:color w:val="000000" w:themeColor="text1"/>
                <w:szCs w:val="22"/>
              </w:rPr>
              <w:t>î</w:t>
            </w:r>
            <w:r w:rsidRPr="007C37AF">
              <w:rPr>
                <w:noProof/>
                <w:color w:val="000000" w:themeColor="text1"/>
                <w:szCs w:val="22"/>
              </w:rPr>
              <w:t>nt superior în scopul formării abilităţilor la tineretul studios (studenţi, masteranzi şi doctoranzi) şi atragerii lor în activitatea de cercetare;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asigurarea eficienţei şi transparenţei guvernării sistemului de inovare; consolidarea capacităţii de generare </w:t>
            </w:r>
            <w:r w:rsidRPr="007C37AF">
              <w:rPr>
                <w:noProof/>
                <w:color w:val="000000" w:themeColor="text1"/>
                <w:szCs w:val="22"/>
              </w:rPr>
              <w:tab/>
              <w:t>a inovaţiilor pe termen lung şi implementarea măsurilor pentru susţinerea entităților orientate spre inovare;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lastRenderedPageBreak/>
              <w:t>crearea, desfăşurarea şi asigurarea funcţionalităţii parcurilor ştiinţifico-tehnologice şi a incubatoarelor de inovare în scopul susţinerii sectoarelor productive ale economiei;</w:t>
            </w:r>
          </w:p>
          <w:p w:rsidR="00A17FC9" w:rsidRPr="007C37AF" w:rsidRDefault="00A17FC9" w:rsidP="00704B2E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asigurarea participării active a comunităţii ştiinţifice din R</w:t>
            </w:r>
            <w:r w:rsidR="00704B2E">
              <w:rPr>
                <w:noProof/>
                <w:color w:val="000000" w:themeColor="text1"/>
                <w:szCs w:val="22"/>
              </w:rPr>
              <w:t xml:space="preserve">epublica </w:t>
            </w:r>
            <w:r w:rsidRPr="007C37AF">
              <w:rPr>
                <w:noProof/>
                <w:color w:val="000000" w:themeColor="text1"/>
                <w:szCs w:val="22"/>
              </w:rPr>
              <w:t>M</w:t>
            </w:r>
            <w:r w:rsidR="00704B2E">
              <w:rPr>
                <w:noProof/>
                <w:color w:val="000000" w:themeColor="text1"/>
                <w:szCs w:val="22"/>
              </w:rPr>
              <w:t>oldova la  Programul pentru cercetare şi i</w:t>
            </w:r>
            <w:r w:rsidRPr="007C37AF">
              <w:rPr>
                <w:noProof/>
                <w:color w:val="000000" w:themeColor="text1"/>
                <w:szCs w:val="22"/>
              </w:rPr>
              <w:t>novare „Orizont-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7C37AF">
                <w:rPr>
                  <w:noProof/>
                  <w:color w:val="000000" w:themeColor="text1"/>
                  <w:szCs w:val="22"/>
                </w:rPr>
                <w:t>2020”</w:t>
              </w:r>
            </w:smartTag>
            <w:r w:rsidRPr="007C37AF">
              <w:rPr>
                <w:noProof/>
                <w:color w:val="000000" w:themeColor="text1"/>
                <w:szCs w:val="22"/>
              </w:rPr>
              <w:t xml:space="preserve"> al Uniunii Europene şi la alte programe europene şi internaţionale în vederea atra</w:t>
            </w:r>
            <w:r w:rsidR="00704B2E">
              <w:rPr>
                <w:noProof/>
                <w:color w:val="000000" w:themeColor="text1"/>
                <w:szCs w:val="22"/>
              </w:rPr>
              <w:t>gerii finanţării extrabugetare</w:t>
            </w: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04B2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lastRenderedPageBreak/>
              <w:t>Cultur</w:t>
            </w:r>
            <w:r w:rsidR="00704B2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ă</w:t>
            </w:r>
          </w:p>
        </w:tc>
        <w:tc>
          <w:tcPr>
            <w:tcW w:w="5103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lipsa cadrului instituțional adecvat și a instrumentelor de protejare şi punere în valoare a patrimoniului cultural naţional;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lipsa capacităţilor în dezvoltarea parteneriatelor public-private pentru asigurarea funcţio</w:t>
            </w:r>
            <w:r w:rsidR="00704B2E">
              <w:rPr>
                <w:noProof/>
                <w:color w:val="000000" w:themeColor="text1"/>
                <w:szCs w:val="22"/>
              </w:rPr>
              <w:t>nalităţii edificiilor culturale;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dezvoltarea insuficientă a industriilor culturale pentru a asigura evoluţia sectorului şi creşterea economică a ţării;                                                                                                                                          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identificarea mecanismelor eficiente de salvgardare și protejare a pa</w:t>
            </w:r>
            <w:r w:rsidR="00704B2E">
              <w:rPr>
                <w:noProof/>
                <w:color w:val="000000" w:themeColor="text1"/>
                <w:szCs w:val="22"/>
              </w:rPr>
              <w:t>trimoniului cultural al țării</w:t>
            </w:r>
            <w:r w:rsidRPr="007C37AF">
              <w:rPr>
                <w:noProof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asigurarea respectării cadrului legal adecvat pentru conservarea şi protejarea patrimoniului cultural naţional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accesul cetăţenilor la valorile culturale ale ţării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promovarea culturii ca unul dintre factorii determinanţi în educaţia şi formarea cetăţenilor ţării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asigurarea unui management bazat pe performanţă în toate instituţiile culturale finanţate de către stat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asigurarea accesului la programe europene de finanțare a culturii</w:t>
            </w:r>
            <w:r w:rsidR="00704B2E">
              <w:rPr>
                <w:noProof/>
                <w:color w:val="000000" w:themeColor="text1"/>
                <w:szCs w:val="22"/>
              </w:rPr>
              <w:t>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acordarea îndemnizației de merit pentru personalități notorii din domeniul culturii</w:t>
            </w: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  <w:p w:rsidR="00A17FC9" w:rsidRPr="007C37AF" w:rsidRDefault="00704B2E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Tineret și s</w:t>
            </w:r>
            <w:r w:rsidR="00A17FC9" w:rsidRPr="007C37A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port</w:t>
            </w:r>
          </w:p>
        </w:tc>
        <w:tc>
          <w:tcPr>
            <w:tcW w:w="5103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capacităţi instituţionale insuficiente în elaborarea şi implementarea politicilor de tineret şi sport şi de planificare strategică la nivel central şi local;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noProof/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>lipsa condiţiilor adecvate pentru organizarea şi desfăşurarea antrenamentelor  şi competiţiilor în edificiile sportive;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noProof/>
                <w:color w:val="000000" w:themeColor="text1"/>
                <w:szCs w:val="22"/>
              </w:rPr>
              <w:t xml:space="preserve">lipsa unei colaborări intersectoriale eficiente  </w:t>
            </w:r>
            <w:r w:rsidR="00704B2E">
              <w:rPr>
                <w:noProof/>
                <w:color w:val="000000" w:themeColor="text1"/>
                <w:szCs w:val="22"/>
              </w:rPr>
              <w:t>și continue în domeniul tineret</w:t>
            </w:r>
          </w:p>
        </w:tc>
        <w:tc>
          <w:tcPr>
            <w:tcW w:w="7229" w:type="dxa"/>
          </w:tcPr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szCs w:val="22"/>
              </w:rPr>
              <w:t xml:space="preserve"> a</w:t>
            </w:r>
            <w:r w:rsidRPr="007C37AF">
              <w:rPr>
                <w:color w:val="000000" w:themeColor="text1"/>
                <w:szCs w:val="22"/>
              </w:rPr>
              <w:t>sigurarea dezvoltării continue a performanţelor sportivilor moldoveni pe arena internaţională</w:t>
            </w:r>
            <w:r w:rsidR="00704B2E">
              <w:rPr>
                <w:color w:val="000000" w:themeColor="text1"/>
                <w:szCs w:val="22"/>
              </w:rPr>
              <w:t>;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 îmbunătăţirea ma</w:t>
            </w:r>
            <w:r w:rsidR="00704B2E">
              <w:rPr>
                <w:color w:val="000000" w:themeColor="text1"/>
                <w:szCs w:val="22"/>
              </w:rPr>
              <w:t>nagementului şcolilor sportive;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sprijinirea implicării și participării tinerilor și organizațiilor de tineret </w:t>
            </w:r>
            <w:r w:rsidR="00704B2E">
              <w:rPr>
                <w:color w:val="000000" w:themeColor="text1"/>
                <w:szCs w:val="22"/>
              </w:rPr>
              <w:t>la</w:t>
            </w:r>
            <w:r w:rsidRPr="007C37AF">
              <w:rPr>
                <w:color w:val="000000" w:themeColor="text1"/>
                <w:szCs w:val="22"/>
              </w:rPr>
              <w:t xml:space="preserve"> elaborarea, implementarea și evaluarea politicilor de tineret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spacing w:after="0"/>
              <w:ind w:left="124"/>
              <w:rPr>
                <w:color w:val="000000" w:themeColor="text1"/>
                <w:szCs w:val="22"/>
              </w:rPr>
            </w:pP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t>Apărarea națională</w:t>
            </w:r>
          </w:p>
        </w:tc>
        <w:tc>
          <w:tcPr>
            <w:tcW w:w="5103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capabilităţi reduse pentru realizarea calitativă a misiunilor şi sarcinilor stabilite în documentele strategice în domeniul apărării;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dotarea tehnică insuficientă, sub nivelul standardelor şi cerinţelor moderne de asigurare a apărării </w:t>
            </w:r>
            <w:r w:rsidRPr="007C37AF">
              <w:rPr>
                <w:color w:val="000000"/>
                <w:szCs w:val="22"/>
              </w:rPr>
              <w:lastRenderedPageBreak/>
              <w:t>naţionale;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circa 10% din teritoriul statului se află în afara controlului </w:t>
            </w:r>
            <w:r w:rsidR="00E811C4">
              <w:rPr>
                <w:color w:val="000000"/>
                <w:szCs w:val="22"/>
              </w:rPr>
              <w:t>a</w:t>
            </w:r>
            <w:r w:rsidRPr="007C37AF">
              <w:rPr>
                <w:color w:val="000000"/>
                <w:szCs w:val="22"/>
              </w:rPr>
              <w:t>utorităţilor constituţionale, sub controlul unei armate străine;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deficien</w:t>
            </w:r>
            <w:r>
              <w:rPr>
                <w:color w:val="000000"/>
                <w:szCs w:val="22"/>
              </w:rPr>
              <w:t>ţa</w:t>
            </w:r>
            <w:r w:rsidRPr="007C37AF">
              <w:rPr>
                <w:color w:val="000000"/>
                <w:szCs w:val="22"/>
              </w:rPr>
              <w:t xml:space="preserve"> </w:t>
            </w:r>
            <w:r w:rsidR="00A17FC9" w:rsidRPr="007C37AF">
              <w:rPr>
                <w:color w:val="000000"/>
                <w:szCs w:val="22"/>
              </w:rPr>
              <w:t>complet</w:t>
            </w:r>
            <w:r>
              <w:rPr>
                <w:color w:val="000000"/>
                <w:szCs w:val="22"/>
              </w:rPr>
              <w:t>ării</w:t>
            </w:r>
            <w:r w:rsidR="00A17FC9" w:rsidRPr="007C37AF">
              <w:rPr>
                <w:color w:val="000000"/>
                <w:szCs w:val="22"/>
              </w:rPr>
              <w:t xml:space="preserve"> funcţiilor vacante cu cadre militare pentru toate categoriile de militari prin contract (ofiţeri, subofiţeri, sergenţi, soldaţi);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capacităţi limitate de asigurare din punctul de vedere al infrastructurii logistice</w:t>
            </w:r>
            <w:r w:rsidR="00704B2E">
              <w:rPr>
                <w:color w:val="000000"/>
                <w:szCs w:val="22"/>
              </w:rPr>
              <w:t>,</w:t>
            </w:r>
            <w:r w:rsidRPr="007C37AF">
              <w:rPr>
                <w:color w:val="000000"/>
                <w:szCs w:val="22"/>
              </w:rPr>
              <w:t xml:space="preserve"> capabilităţi redus</w:t>
            </w:r>
            <w:r w:rsidR="00704B2E">
              <w:rPr>
                <w:color w:val="000000"/>
                <w:szCs w:val="22"/>
              </w:rPr>
              <w:t>e pentru executarea misiunilor</w:t>
            </w:r>
          </w:p>
        </w:tc>
        <w:tc>
          <w:tcPr>
            <w:tcW w:w="7229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lastRenderedPageBreak/>
              <w:t>reformarea și modernizarea sectorului de apărare;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creșterea procentului de militari profesioniști, încadrați în bază de contract, în </w:t>
            </w:r>
            <w:proofErr w:type="spellStart"/>
            <w:r w:rsidRPr="007C37AF">
              <w:rPr>
                <w:color w:val="000000"/>
                <w:szCs w:val="22"/>
              </w:rPr>
              <w:t>rîndurile</w:t>
            </w:r>
            <w:proofErr w:type="spellEnd"/>
            <w:r w:rsidRPr="007C37AF">
              <w:rPr>
                <w:color w:val="000000"/>
                <w:szCs w:val="22"/>
              </w:rPr>
              <w:t xml:space="preserve"> Forțelor Armate;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revizuirea structurii, atribuțiilor, responsabilităților și a modului de luare a deciziilor în guvernarea sistemului național de apărare;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lastRenderedPageBreak/>
              <w:t xml:space="preserve">dezvoltarea capabilităţilor Forţelor Armate ale Republicii Moldova; 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participarea Republici</w:t>
            </w:r>
            <w:r w:rsidR="00704B2E">
              <w:rPr>
                <w:color w:val="000000"/>
                <w:szCs w:val="22"/>
              </w:rPr>
              <w:t>i</w:t>
            </w:r>
            <w:r w:rsidRPr="007C37AF">
              <w:rPr>
                <w:color w:val="000000"/>
                <w:szCs w:val="22"/>
              </w:rPr>
              <w:t xml:space="preserve"> Moldova la eforturile globale, regionale şi subregionale de promovare a stabilităţi</w:t>
            </w:r>
            <w:r w:rsidR="00704B2E">
              <w:rPr>
                <w:color w:val="000000"/>
                <w:szCs w:val="22"/>
              </w:rPr>
              <w:t>i şi securităţii internaţionale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24"/>
              <w:rPr>
                <w:color w:val="000000"/>
                <w:szCs w:val="22"/>
              </w:rPr>
            </w:pP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lastRenderedPageBreak/>
              <w:t>Ordinea publică</w:t>
            </w:r>
          </w:p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</w:p>
        </w:tc>
        <w:tc>
          <w:tcPr>
            <w:tcW w:w="5103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nivel</w:t>
            </w:r>
            <w:r w:rsidR="00704B2E">
              <w:rPr>
                <w:color w:val="000000"/>
                <w:szCs w:val="22"/>
              </w:rPr>
              <w:t>ul</w:t>
            </w:r>
            <w:r w:rsidRPr="007C37AF">
              <w:rPr>
                <w:color w:val="000000"/>
                <w:szCs w:val="22"/>
              </w:rPr>
              <w:t xml:space="preserve"> scăzut de credibilitate a populaţiei în prestaţia Poliției și activitatea insuficient de transparentă;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riscul înalt al ameninţărilor </w:t>
            </w:r>
            <w:proofErr w:type="spellStart"/>
            <w:r w:rsidRPr="007C37AF">
              <w:rPr>
                <w:color w:val="000000"/>
                <w:szCs w:val="22"/>
              </w:rPr>
              <w:t>corupţioniste</w:t>
            </w:r>
            <w:proofErr w:type="spellEnd"/>
            <w:r w:rsidRPr="007C37AF">
              <w:rPr>
                <w:color w:val="000000"/>
                <w:szCs w:val="22"/>
              </w:rPr>
              <w:t>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dotarea insuficientă cu tehnică şi echipament modern şi mijloace speciale din dotare;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capacităţi reduse de intervenţii în raport cu cerinţele şi riscurile actuale;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infrastructura teritorială slab dezvoltată;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sz w:val="28"/>
                <w:szCs w:val="28"/>
              </w:rPr>
            </w:pPr>
            <w:r w:rsidRPr="007C37AF">
              <w:rPr>
                <w:color w:val="000000"/>
                <w:szCs w:val="22"/>
              </w:rPr>
              <w:t>fluctuaţia excesivă de personal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-18"/>
              <w:rPr>
                <w:color w:val="000000"/>
                <w:szCs w:val="22"/>
              </w:rPr>
            </w:pPr>
          </w:p>
        </w:tc>
        <w:tc>
          <w:tcPr>
            <w:tcW w:w="7229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continuarea procesului de reformare a Poliției în vederea accesului populaţiei la un serviciu calitativ, care ar asigura încrederea societății;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continuarea implementării  Acordului de Asociere cu Uniunea Europeană în domeniul afacerilor interne și asigurarea sustenabilității rezultatelor obținute în procesul de </w:t>
            </w:r>
            <w:proofErr w:type="spellStart"/>
            <w:r w:rsidRPr="007C37AF">
              <w:rPr>
                <w:color w:val="000000"/>
                <w:szCs w:val="22"/>
              </w:rPr>
              <w:t>postliberalizare</w:t>
            </w:r>
            <w:proofErr w:type="spellEnd"/>
            <w:r w:rsidRPr="007C37AF">
              <w:rPr>
                <w:color w:val="000000"/>
                <w:szCs w:val="22"/>
              </w:rPr>
              <w:t xml:space="preserve"> a regimului de vize;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consolidarea capacităţilor de prevenire şi combatere a criminalităţii prin modernizarea metodelor și mijloacelor utilizate;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dezvoltarea unei infrastructuri </w:t>
            </w:r>
            <w:proofErr w:type="spellStart"/>
            <w:r w:rsidRPr="007C37AF">
              <w:rPr>
                <w:color w:val="000000"/>
                <w:szCs w:val="22"/>
              </w:rPr>
              <w:t>infocomunicaț</w:t>
            </w:r>
            <w:r w:rsidR="00704B2E">
              <w:rPr>
                <w:color w:val="000000"/>
                <w:szCs w:val="22"/>
              </w:rPr>
              <w:t>i</w:t>
            </w:r>
            <w:r w:rsidRPr="007C37AF">
              <w:rPr>
                <w:color w:val="000000"/>
                <w:szCs w:val="22"/>
              </w:rPr>
              <w:t>onale</w:t>
            </w:r>
            <w:proofErr w:type="spellEnd"/>
            <w:r w:rsidRPr="007C37AF">
              <w:rPr>
                <w:color w:val="000000"/>
                <w:szCs w:val="22"/>
              </w:rPr>
              <w:t xml:space="preserve"> integrate şi eficiente orientate spre îmbunătăţirea performanţei şi transparenţei serviciilor prestate;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consolidarea managementului integrat al frontierei de stat şi al sistemului de gestionare a migraţiei;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renovarea infrastructurii și bazei tehnico-materiale a subdiviziunilor de afaceri interne în raioanele țării;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dezvoltarea capabilităților de intervenție în caz de incendii și situații excepționale;  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îmbunătățirea comunicării publice, </w:t>
            </w:r>
            <w:r w:rsidR="00704B2E">
              <w:rPr>
                <w:color w:val="000000"/>
                <w:szCs w:val="22"/>
              </w:rPr>
              <w:t xml:space="preserve">a </w:t>
            </w:r>
            <w:r w:rsidRPr="007C37AF">
              <w:rPr>
                <w:color w:val="000000"/>
                <w:szCs w:val="22"/>
              </w:rPr>
              <w:t>interacțiunii cu mass-media, organizarea de</w:t>
            </w:r>
            <w:r w:rsidR="00704B2E">
              <w:rPr>
                <w:color w:val="000000"/>
                <w:szCs w:val="22"/>
              </w:rPr>
              <w:t xml:space="preserve"> campanii de comunicare publică</w:t>
            </w:r>
          </w:p>
          <w:p w:rsidR="00A17FC9" w:rsidRPr="007C37AF" w:rsidRDefault="00A17FC9" w:rsidP="00E811C4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24"/>
              <w:rPr>
                <w:color w:val="000000"/>
                <w:szCs w:val="22"/>
              </w:rPr>
            </w:pP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</w:p>
          <w:p w:rsidR="00A17FC9" w:rsidRPr="007C37AF" w:rsidRDefault="00A17FC9" w:rsidP="00704B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t>Justiți</w:t>
            </w:r>
            <w:r w:rsidR="00704B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t>e</w:t>
            </w:r>
          </w:p>
        </w:tc>
        <w:tc>
          <w:tcPr>
            <w:tcW w:w="5103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gradul scăzut de cunoaștere și încredere a cetăţenilor cu privire la înfăptuirea justiţiei;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percepţia cetăţenilor privind coruptibilitatea </w:t>
            </w:r>
            <w:r w:rsidRPr="007C37AF">
              <w:rPr>
                <w:color w:val="000000"/>
                <w:szCs w:val="22"/>
              </w:rPr>
              <w:lastRenderedPageBreak/>
              <w:t>sistemului justiţiei;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necesitatea optimizării și prestării serviciilor conform  standardelor europene;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lipsa spaţiului informaţional cu caracter juridic unic; 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sz w:val="28"/>
                <w:szCs w:val="28"/>
              </w:rPr>
            </w:pPr>
            <w:r w:rsidRPr="007C37AF">
              <w:rPr>
                <w:color w:val="000000"/>
                <w:szCs w:val="22"/>
              </w:rPr>
              <w:t>necesitatea calificării continue a personalului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-18"/>
              <w:rPr>
                <w:color w:val="000000"/>
                <w:szCs w:val="22"/>
              </w:rPr>
            </w:pPr>
          </w:p>
        </w:tc>
        <w:tc>
          <w:tcPr>
            <w:tcW w:w="7229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lastRenderedPageBreak/>
              <w:t>asigurarea accesibilităţii şi independenţei sistemului judecătoresc;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optimizarea hărții instanțelor de judecată și îmbunătățirea administrării  cheltuielilor de întreținere;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lastRenderedPageBreak/>
              <w:t>reformarea prioritară şi substanţială a instituţiei procuraturii prin consolidarea independenţei, imparţialităţii, profesionalismului şi transparenţei;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consolidarea rolului Consiliului Superior al Procurorilor;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asigurarea funcționării procuraturilor specializate;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creşterea eficienţei în investigarea infracţiunilor;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crearea, dezvoltarea și asigurarea interoperabilității sistemelor informaționale din domeniul justiției;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sporirea calităţii asistenţei juridice garantate de stat;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executarea efectivă a </w:t>
            </w:r>
            <w:proofErr w:type="spellStart"/>
            <w:r w:rsidRPr="007C37AF">
              <w:rPr>
                <w:color w:val="000000"/>
                <w:szCs w:val="22"/>
              </w:rPr>
              <w:t>hotărîrilor</w:t>
            </w:r>
            <w:proofErr w:type="spellEnd"/>
            <w:r w:rsidRPr="007C37AF">
              <w:rPr>
                <w:color w:val="000000"/>
                <w:szCs w:val="22"/>
              </w:rPr>
              <w:t xml:space="preserve"> judecătoreşti;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ridicarea gradului de transparenţă şi acces la informaţia cu caracter juridic</w:t>
            </w:r>
            <w:r w:rsidR="00704B2E">
              <w:rPr>
                <w:color w:val="000000"/>
                <w:szCs w:val="22"/>
              </w:rPr>
              <w:t>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</w:pPr>
            <w:r w:rsidRPr="007C37AF">
              <w:rPr>
                <w:color w:val="000000"/>
                <w:szCs w:val="22"/>
              </w:rPr>
              <w:t xml:space="preserve">consolidarea instituţiei probaţiunii, inclusiv prin utilizarea monitorizării electronice </w:t>
            </w:r>
            <w:r w:rsidR="00704B2E">
              <w:rPr>
                <w:color w:val="000000"/>
                <w:szCs w:val="22"/>
              </w:rPr>
              <w:t>a subiecților probațiunii</w:t>
            </w: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04B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  <w:proofErr w:type="spellStart"/>
            <w:r w:rsidRPr="007C37A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lastRenderedPageBreak/>
              <w:t>Constituționa</w:t>
            </w:r>
            <w:r w:rsidR="00704B2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t>-litate</w:t>
            </w:r>
            <w:proofErr w:type="spellEnd"/>
          </w:p>
        </w:tc>
        <w:tc>
          <w:tcPr>
            <w:tcW w:w="5103" w:type="dxa"/>
          </w:tcPr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</w:t>
            </w:r>
            <w:r w:rsidR="00A17FC9" w:rsidRPr="007C37AF">
              <w:rPr>
                <w:color w:val="000000"/>
                <w:szCs w:val="22"/>
              </w:rPr>
              <w:t>estionarea și instrumentarea ineficientă a dosarelor;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</w:t>
            </w:r>
            <w:r w:rsidR="00A17FC9" w:rsidRPr="007C37AF">
              <w:rPr>
                <w:color w:val="000000"/>
                <w:szCs w:val="22"/>
              </w:rPr>
              <w:t>apacități profesionale limitate a</w:t>
            </w:r>
            <w:r>
              <w:rPr>
                <w:color w:val="000000"/>
                <w:szCs w:val="22"/>
              </w:rPr>
              <w:t>le</w:t>
            </w:r>
            <w:r w:rsidR="00A17FC9" w:rsidRPr="007C37AF">
              <w:rPr>
                <w:color w:val="000000"/>
                <w:szCs w:val="22"/>
              </w:rPr>
              <w:t xml:space="preserve"> personalului;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</w:t>
            </w:r>
            <w:r w:rsidR="00A17FC9" w:rsidRPr="007C37AF">
              <w:rPr>
                <w:color w:val="000000"/>
                <w:szCs w:val="22"/>
              </w:rPr>
              <w:t xml:space="preserve">erc </w:t>
            </w:r>
            <w:proofErr w:type="spellStart"/>
            <w:r w:rsidR="00A17FC9" w:rsidRPr="007C37AF">
              <w:rPr>
                <w:color w:val="000000"/>
                <w:szCs w:val="22"/>
              </w:rPr>
              <w:t>restr</w:t>
            </w:r>
            <w:r w:rsidR="007C37AF" w:rsidRPr="007C37AF">
              <w:rPr>
                <w:color w:val="000000"/>
                <w:szCs w:val="22"/>
              </w:rPr>
              <w:t>î</w:t>
            </w:r>
            <w:r w:rsidR="00A17FC9" w:rsidRPr="007C37AF">
              <w:rPr>
                <w:color w:val="000000"/>
                <w:szCs w:val="22"/>
              </w:rPr>
              <w:t>ns</w:t>
            </w:r>
            <w:proofErr w:type="spellEnd"/>
            <w:r w:rsidR="00A17FC9" w:rsidRPr="007C37AF">
              <w:rPr>
                <w:color w:val="000000"/>
                <w:szCs w:val="22"/>
              </w:rPr>
              <w:t xml:space="preserve"> de subiecți cu drept de sesizare;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  <w:r w:rsidR="00A17FC9" w:rsidRPr="007C37AF">
              <w:rPr>
                <w:color w:val="000000"/>
                <w:szCs w:val="22"/>
              </w:rPr>
              <w:t xml:space="preserve">eexecutarea sau executarea tardivă a </w:t>
            </w:r>
            <w:proofErr w:type="spellStart"/>
            <w:r w:rsidR="00A17FC9" w:rsidRPr="007C37AF">
              <w:rPr>
                <w:color w:val="000000"/>
                <w:szCs w:val="22"/>
              </w:rPr>
              <w:t>hotărîrilor</w:t>
            </w:r>
            <w:proofErr w:type="spellEnd"/>
            <w:r w:rsidR="00A17FC9" w:rsidRPr="007C37AF">
              <w:rPr>
                <w:color w:val="000000"/>
                <w:szCs w:val="22"/>
              </w:rPr>
              <w:t xml:space="preserve"> Curții Constituționale de </w:t>
            </w:r>
            <w:r>
              <w:rPr>
                <w:color w:val="000000"/>
                <w:szCs w:val="22"/>
              </w:rPr>
              <w:t>către autoritățile responsabile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24"/>
              <w:rPr>
                <w:color w:val="000000"/>
                <w:szCs w:val="22"/>
              </w:rPr>
            </w:pPr>
          </w:p>
        </w:tc>
        <w:tc>
          <w:tcPr>
            <w:tcW w:w="7229" w:type="dxa"/>
          </w:tcPr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A17FC9" w:rsidRPr="007C37AF">
              <w:rPr>
                <w:color w:val="000000"/>
                <w:szCs w:val="22"/>
              </w:rPr>
              <w:t>evizuirea criteriilor și procedurilor de selectare a judecătorilor;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</w:t>
            </w:r>
            <w:r w:rsidR="00A17FC9" w:rsidRPr="007C37AF">
              <w:rPr>
                <w:color w:val="000000"/>
                <w:szCs w:val="22"/>
              </w:rPr>
              <w:t>ărgirea cercului de subiecți cu drept de sesizare a Curții Constituționale;</w:t>
            </w:r>
          </w:p>
          <w:p w:rsidR="00A17FC9" w:rsidRPr="007C37AF" w:rsidRDefault="00704B2E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A17FC9" w:rsidRPr="007C37AF">
              <w:rPr>
                <w:color w:val="000000"/>
                <w:szCs w:val="22"/>
              </w:rPr>
              <w:t>porirea calității actelor emise și eficientizarea monitorizării acestora</w:t>
            </w:r>
          </w:p>
          <w:p w:rsidR="00A17FC9" w:rsidRPr="007C37AF" w:rsidRDefault="00A17FC9" w:rsidP="007C37AF">
            <w:pPr>
              <w:pStyle w:val="Corptext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24"/>
              <w:rPr>
                <w:color w:val="000000"/>
                <w:szCs w:val="22"/>
              </w:rPr>
            </w:pPr>
          </w:p>
        </w:tc>
      </w:tr>
      <w:tr w:rsidR="00A17FC9" w:rsidRPr="007C37AF" w:rsidTr="007C37AF">
        <w:tc>
          <w:tcPr>
            <w:tcW w:w="1844" w:type="dxa"/>
          </w:tcPr>
          <w:p w:rsidR="00A17FC9" w:rsidRPr="007C37AF" w:rsidRDefault="00A17FC9" w:rsidP="007C37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o-RO"/>
              </w:rPr>
              <w:t>Sistemul penitenciar</w:t>
            </w:r>
          </w:p>
        </w:tc>
        <w:tc>
          <w:tcPr>
            <w:tcW w:w="5103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necorespunderea condiţiilor de detenţie </w:t>
            </w:r>
            <w:r w:rsidR="00E811C4">
              <w:rPr>
                <w:color w:val="000000"/>
                <w:szCs w:val="22"/>
              </w:rPr>
              <w:t xml:space="preserve">cu </w:t>
            </w:r>
            <w:r w:rsidRPr="007C37AF">
              <w:rPr>
                <w:color w:val="000000"/>
                <w:szCs w:val="22"/>
              </w:rPr>
              <w:t>standardel</w:t>
            </w:r>
            <w:r w:rsidR="00E811C4">
              <w:rPr>
                <w:color w:val="000000"/>
                <w:szCs w:val="22"/>
              </w:rPr>
              <w:t>e</w:t>
            </w:r>
            <w:r w:rsidRPr="007C37AF">
              <w:rPr>
                <w:color w:val="000000"/>
                <w:szCs w:val="22"/>
              </w:rPr>
              <w:t xml:space="preserve"> naţionale şi regulil</w:t>
            </w:r>
            <w:r w:rsidR="00E811C4">
              <w:rPr>
                <w:color w:val="000000"/>
                <w:szCs w:val="22"/>
              </w:rPr>
              <w:t>e</w:t>
            </w:r>
            <w:r w:rsidRPr="007C37AF">
              <w:rPr>
                <w:color w:val="000000"/>
                <w:szCs w:val="22"/>
              </w:rPr>
              <w:t xml:space="preserve"> internaţionale de detenţie;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asigurarea limitată cu inventar şi obiecte de primă necesitate a instituţiilor penitenciare;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condiţii dificile şi de risc pentru activitate în cadrul sistemului penitenciar;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cotarea insuficientă cu sisteme de pază şi supraveghere, de scanare şi depistare a obiectelor şi substanţelor interzise pentru utilizare în penitenciare;</w:t>
            </w:r>
          </w:p>
          <w:p w:rsidR="00A17FC9" w:rsidRPr="007C37AF" w:rsidRDefault="00A17FC9" w:rsidP="00E811C4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 xml:space="preserve">capacități limitate de supraveghere, escortare și acordare a </w:t>
            </w:r>
            <w:r w:rsidR="00704B2E">
              <w:rPr>
                <w:color w:val="000000"/>
                <w:szCs w:val="22"/>
              </w:rPr>
              <w:t>asistenței medicale deținuților</w:t>
            </w:r>
          </w:p>
        </w:tc>
        <w:tc>
          <w:tcPr>
            <w:tcW w:w="7229" w:type="dxa"/>
          </w:tcPr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îmbunătățirea condițiilor de detenție prin renovarea penitenciarelor existente și construcția penitenciarului din mun. Chișinău;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continuarea procesului de reutilare a spațiilor de detenție în corespundere cu normele internaționale;</w:t>
            </w:r>
          </w:p>
          <w:p w:rsidR="00A17FC9" w:rsidRPr="007C37AF" w:rsidRDefault="00A17FC9" w:rsidP="00C521EA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reorganizarea serviciilor medicale din penitenciare;</w:t>
            </w:r>
          </w:p>
          <w:p w:rsidR="00A17FC9" w:rsidRPr="007C37AF" w:rsidRDefault="00A17FC9" w:rsidP="00704B2E">
            <w:pPr>
              <w:pStyle w:val="Corptext"/>
              <w:numPr>
                <w:ilvl w:val="0"/>
                <w:numId w:val="6"/>
              </w:numPr>
              <w:tabs>
                <w:tab w:val="left" w:pos="708"/>
              </w:tabs>
              <w:spacing w:after="0"/>
              <w:ind w:left="124" w:hanging="142"/>
              <w:rPr>
                <w:color w:val="000000"/>
                <w:szCs w:val="22"/>
              </w:rPr>
            </w:pPr>
            <w:r w:rsidRPr="007C37AF">
              <w:rPr>
                <w:color w:val="000000"/>
                <w:szCs w:val="22"/>
              </w:rPr>
              <w:t>sporirea capacității instituțiilor penitenciare în domeniul supravegherii, pazei și  escortării deținuților prin dotarea penitenciarelor cu echipamente moderne</w:t>
            </w: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04B2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lastRenderedPageBreak/>
              <w:t xml:space="preserve">Transporturi </w:t>
            </w:r>
          </w:p>
        </w:tc>
        <w:tc>
          <w:tcPr>
            <w:tcW w:w="5103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starea nesatisfăcătoare a drumurilor naționale și locale;</w:t>
            </w:r>
          </w:p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necesit</w:t>
            </w:r>
            <w:r>
              <w:rPr>
                <w:color w:val="000000" w:themeColor="text1"/>
                <w:szCs w:val="22"/>
              </w:rPr>
              <w:t>atea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de </w:t>
            </w:r>
            <w:r w:rsidRPr="007C37AF">
              <w:rPr>
                <w:color w:val="000000" w:themeColor="text1"/>
                <w:szCs w:val="22"/>
              </w:rPr>
              <w:t xml:space="preserve">optimizare </w:t>
            </w:r>
            <w:r>
              <w:rPr>
                <w:color w:val="000000" w:themeColor="text1"/>
                <w:szCs w:val="22"/>
              </w:rPr>
              <w:t xml:space="preserve">a </w:t>
            </w:r>
            <w:r w:rsidR="00702791" w:rsidRPr="007C37AF">
              <w:rPr>
                <w:color w:val="000000" w:themeColor="text1"/>
                <w:szCs w:val="22"/>
              </w:rPr>
              <w:t>rețe</w:t>
            </w:r>
            <w:r>
              <w:rPr>
                <w:color w:val="000000" w:themeColor="text1"/>
                <w:szCs w:val="22"/>
              </w:rPr>
              <w:t>lei</w:t>
            </w:r>
            <w:r w:rsidR="00702791" w:rsidRPr="007C37AF">
              <w:rPr>
                <w:color w:val="000000" w:themeColor="text1"/>
                <w:szCs w:val="22"/>
              </w:rPr>
              <w:t xml:space="preserve"> de drumuri naționale și locale, inclusiv prin construcția drumurilor de ocolire a localităților;</w:t>
            </w:r>
          </w:p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ineficien</w:t>
            </w:r>
            <w:r>
              <w:rPr>
                <w:color w:val="000000" w:themeColor="text1"/>
                <w:szCs w:val="22"/>
              </w:rPr>
              <w:t>ţa</w:t>
            </w:r>
            <w:r w:rsidRPr="007C37AF">
              <w:rPr>
                <w:color w:val="000000" w:themeColor="text1"/>
                <w:szCs w:val="22"/>
              </w:rPr>
              <w:t xml:space="preserve"> și necesit</w:t>
            </w:r>
            <w:r>
              <w:rPr>
                <w:color w:val="000000" w:themeColor="text1"/>
                <w:szCs w:val="22"/>
              </w:rPr>
              <w:t>atea de</w:t>
            </w:r>
            <w:r w:rsidRPr="007C37AF">
              <w:rPr>
                <w:color w:val="000000" w:themeColor="text1"/>
                <w:szCs w:val="22"/>
              </w:rPr>
              <w:t xml:space="preserve"> reformare </w:t>
            </w:r>
            <w:r>
              <w:rPr>
                <w:color w:val="000000" w:themeColor="text1"/>
                <w:szCs w:val="22"/>
              </w:rPr>
              <w:t xml:space="preserve">a </w:t>
            </w:r>
            <w:r w:rsidR="00702791" w:rsidRPr="007C37AF">
              <w:rPr>
                <w:color w:val="000000" w:themeColor="text1"/>
                <w:szCs w:val="22"/>
              </w:rPr>
              <w:t>sistemul</w:t>
            </w:r>
            <w:r>
              <w:rPr>
                <w:color w:val="000000" w:themeColor="text1"/>
                <w:szCs w:val="22"/>
              </w:rPr>
              <w:t>ui</w:t>
            </w:r>
            <w:r w:rsidR="00702791" w:rsidRPr="007C37AF">
              <w:rPr>
                <w:color w:val="000000" w:themeColor="text1"/>
                <w:szCs w:val="22"/>
              </w:rPr>
              <w:t xml:space="preserve"> de întreținere a drumurilor;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insuficiența cadrului legislativ și necesitatea adaptării acestuia la rigorile UE și cele internaționale în domeniu;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insuficienţa controlului referitor la respectarea legislaţiei în domeniu (lipsa personalului calificat necesar pentru efectuarea acestuia);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insuficienţa echipamentului, utilajului şi tehnicii necesare pentru întreţinerea navigabilităţii pe apele interne;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starea proastă a obiectelor infrastructurii căilor navigabile interne;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deficienţe </w:t>
            </w:r>
            <w:r w:rsidR="00704B2E">
              <w:rPr>
                <w:color w:val="000000" w:themeColor="text1"/>
                <w:szCs w:val="22"/>
              </w:rPr>
              <w:t>la</w:t>
            </w:r>
            <w:r w:rsidRPr="007C37AF">
              <w:rPr>
                <w:color w:val="000000" w:themeColor="text1"/>
                <w:szCs w:val="22"/>
              </w:rPr>
              <w:t xml:space="preserve"> optimizarea reţelei de transport auto de călători;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dificultăţi la eliberarea actelor şi autorizaţiilor;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lipsa sistemelor de monitor</w:t>
            </w:r>
            <w:r w:rsidR="00704B2E">
              <w:rPr>
                <w:color w:val="000000" w:themeColor="text1"/>
                <w:szCs w:val="22"/>
              </w:rPr>
              <w:t>izare automatizată a traficului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reabilitarea și reparația drumurilor  naționale și locale</w:t>
            </w:r>
            <w:r w:rsidR="00704B2E">
              <w:rPr>
                <w:color w:val="000000" w:themeColor="text1"/>
                <w:szCs w:val="22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asigurarea anuală corespunzătoare  a întreținerii și reparației curente a drumurilor naționale și locale;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menținerea </w:t>
            </w:r>
            <w:proofErr w:type="spellStart"/>
            <w:r w:rsidRPr="007C37AF">
              <w:rPr>
                <w:color w:val="000000" w:themeColor="text1"/>
                <w:szCs w:val="22"/>
              </w:rPr>
              <w:t>adîncimii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minime garantate de acces la port;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reactivarea transportului pe căile navigabile interne, </w:t>
            </w:r>
            <w:proofErr w:type="spellStart"/>
            <w:r w:rsidRPr="007C37AF">
              <w:rPr>
                <w:color w:val="000000" w:themeColor="text1"/>
                <w:szCs w:val="22"/>
              </w:rPr>
              <w:t>rîurile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Prut și Nistru;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optimizarea reţelei de transport auto de călători prin creşterea suportului acordat agenţilor economici şi implementării sistemelor automatizate de monitorizare a traficului;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armonizarea reglementărilor în domeniul transportului cu cele ale UE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0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Turism</w:t>
            </w:r>
          </w:p>
        </w:tc>
        <w:tc>
          <w:tcPr>
            <w:tcW w:w="5103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-18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Atractivitatea Republicii Moldova ca destinaţie turistică pentru turiştii străini  scăzută, din următoarele motive: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</w:rPr>
              <w:t>personal insuficient pregătit pentru a asigura prestarea serviciilor de calitate;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</w:rPr>
              <w:t>grad</w:t>
            </w:r>
            <w:r w:rsidR="00E811C4">
              <w:rPr>
                <w:color w:val="000000" w:themeColor="text1"/>
              </w:rPr>
              <w:t>ul</w:t>
            </w:r>
            <w:r w:rsidRPr="007C37AF">
              <w:rPr>
                <w:color w:val="000000" w:themeColor="text1"/>
              </w:rPr>
              <w:t xml:space="preserve"> sporit de degradare a resurselor turistice;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</w:rPr>
            </w:pPr>
            <w:r w:rsidRPr="007C37AF">
              <w:rPr>
                <w:color w:val="000000" w:themeColor="text1"/>
              </w:rPr>
              <w:t>lipsa publicit</w:t>
            </w:r>
            <w:r w:rsidR="00E811C4">
              <w:rPr>
                <w:color w:val="000000" w:themeColor="text1"/>
              </w:rPr>
              <w:t xml:space="preserve">ăţii </w:t>
            </w:r>
            <w:r w:rsidRPr="007C37AF">
              <w:rPr>
                <w:color w:val="000000" w:themeColor="text1"/>
              </w:rPr>
              <w:t>privind  potențialul</w:t>
            </w:r>
            <w:r w:rsidR="00704B2E">
              <w:rPr>
                <w:color w:val="000000" w:themeColor="text1"/>
              </w:rPr>
              <w:t xml:space="preserve"> turistic al Republicii Moldova</w:t>
            </w:r>
            <w:r w:rsidRPr="007C37AF">
              <w:rPr>
                <w:color w:val="000000" w:themeColor="text1"/>
              </w:rPr>
              <w:t xml:space="preserve"> etc</w:t>
            </w:r>
            <w:r w:rsidR="00704B2E">
              <w:rPr>
                <w:color w:val="000000" w:themeColor="text1"/>
              </w:rPr>
              <w:t>.</w:t>
            </w:r>
            <w:r w:rsidRPr="007C37AF">
              <w:rPr>
                <w:color w:val="000000" w:themeColor="text1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cadrul legislativ şi normativ insuficient armonizat şi aplicat;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insuficiența colabor</w:t>
            </w:r>
            <w:r w:rsidR="00704B2E">
              <w:rPr>
                <w:color w:val="000000" w:themeColor="text1"/>
                <w:szCs w:val="22"/>
              </w:rPr>
              <w:t>ării</w:t>
            </w:r>
            <w:r w:rsidRPr="007C37AF">
              <w:rPr>
                <w:color w:val="000000" w:themeColor="text1"/>
                <w:szCs w:val="22"/>
              </w:rPr>
              <w:t xml:space="preserve"> cu statele care reprezintă interes pentru Republica Moldova;</w:t>
            </w:r>
          </w:p>
          <w:p w:rsidR="00702791" w:rsidRPr="007C37AF" w:rsidRDefault="00702791" w:rsidP="00704B2E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potenţialul turistic din teritoriu este valorificat insuficient: amenajarea neadecvată a destinaţiilor turistice, lipsa zonelor turistice atractive pentru investiții mari în infrastructura turistică 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perfecționarea cadrului normativ în domeniul turismului conform cerințel</w:t>
            </w:r>
            <w:r w:rsidR="00807773">
              <w:rPr>
                <w:color w:val="000000" w:themeColor="text1"/>
                <w:szCs w:val="22"/>
              </w:rPr>
              <w:t>or</w:t>
            </w:r>
            <w:r w:rsidRPr="007C37AF">
              <w:rPr>
                <w:color w:val="000000" w:themeColor="text1"/>
                <w:szCs w:val="22"/>
              </w:rPr>
              <w:t xml:space="preserve"> pieț</w:t>
            </w:r>
            <w:r w:rsidR="00807773">
              <w:rPr>
                <w:color w:val="000000" w:themeColor="text1"/>
                <w:szCs w:val="22"/>
              </w:rPr>
              <w:t>e</w:t>
            </w:r>
            <w:r w:rsidRPr="007C37AF">
              <w:rPr>
                <w:color w:val="000000" w:themeColor="text1"/>
                <w:szCs w:val="22"/>
              </w:rPr>
              <w:t>i turistice racordate la standardele europene;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valorificarea potențialului turistic național și promovarea imaginii Republicii Moldova ca destinație turistică;</w:t>
            </w:r>
          </w:p>
          <w:p w:rsidR="00702791" w:rsidRPr="00807773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807773">
              <w:rPr>
                <w:color w:val="000000" w:themeColor="text1"/>
                <w:szCs w:val="22"/>
              </w:rPr>
              <w:t>dezvoltarea regională a turismului</w:t>
            </w:r>
            <w:r w:rsidR="00807773" w:rsidRPr="00807773">
              <w:rPr>
                <w:color w:val="000000" w:themeColor="text1"/>
                <w:szCs w:val="22"/>
              </w:rPr>
              <w:t xml:space="preserve"> şi </w:t>
            </w:r>
            <w:r w:rsidRPr="00807773">
              <w:rPr>
                <w:color w:val="000000" w:themeColor="text1"/>
                <w:szCs w:val="22"/>
              </w:rPr>
              <w:t>a calității serviciilor turistice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Agricultura, gospodăria silvică și gospodăria piscicolă</w:t>
            </w:r>
          </w:p>
        </w:tc>
        <w:tc>
          <w:tcPr>
            <w:tcW w:w="5103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promovarea insuficientă a producției ecologice;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imposibilitatea de extindere a agriculturii irigate ca măsur</w:t>
            </w:r>
            <w:r w:rsidR="00807773">
              <w:rPr>
                <w:color w:val="000000" w:themeColor="text1"/>
                <w:szCs w:val="22"/>
              </w:rPr>
              <w:t>ă</w:t>
            </w:r>
            <w:r w:rsidRPr="007C37AF">
              <w:rPr>
                <w:color w:val="000000" w:themeColor="text1"/>
                <w:szCs w:val="22"/>
              </w:rPr>
              <w:t xml:space="preserve"> de control a</w:t>
            </w:r>
            <w:r w:rsidR="00807773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riscurilor în agricultură; </w:t>
            </w:r>
          </w:p>
          <w:p w:rsidR="00702791" w:rsidRPr="007C37AF" w:rsidRDefault="00807773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instabil</w:t>
            </w:r>
            <w:r>
              <w:rPr>
                <w:color w:val="000000" w:themeColor="text1"/>
                <w:szCs w:val="22"/>
              </w:rPr>
              <w:t>itatea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siguranţ</w:t>
            </w:r>
            <w:r>
              <w:rPr>
                <w:color w:val="000000" w:themeColor="text1"/>
                <w:szCs w:val="22"/>
              </w:rPr>
              <w:t>ei</w:t>
            </w:r>
            <w:r w:rsidR="00702791" w:rsidRPr="007C37AF">
              <w:rPr>
                <w:color w:val="000000" w:themeColor="text1"/>
                <w:szCs w:val="22"/>
              </w:rPr>
              <w:t xml:space="preserve"> produselor alimentare și  a producţiei agroindustriale autohtone;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lipsa infrastructurii de </w:t>
            </w:r>
            <w:proofErr w:type="spellStart"/>
            <w:r w:rsidRPr="007C37AF">
              <w:rPr>
                <w:color w:val="000000" w:themeColor="text1"/>
                <w:szCs w:val="22"/>
              </w:rPr>
              <w:t>v</w:t>
            </w:r>
            <w:r w:rsidR="007C37AF" w:rsidRPr="007C37AF">
              <w:rPr>
                <w:color w:val="000000" w:themeColor="text1"/>
                <w:szCs w:val="22"/>
              </w:rPr>
              <w:t>î</w:t>
            </w:r>
            <w:r w:rsidR="00E811C4">
              <w:rPr>
                <w:color w:val="000000" w:themeColor="text1"/>
                <w:szCs w:val="22"/>
              </w:rPr>
              <w:t>nzări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7C37AF">
              <w:rPr>
                <w:color w:val="000000" w:themeColor="text1"/>
                <w:szCs w:val="22"/>
              </w:rPr>
              <w:t>at</w:t>
            </w:r>
            <w:r w:rsidR="007C37AF" w:rsidRPr="007C37AF">
              <w:rPr>
                <w:color w:val="000000" w:themeColor="text1"/>
                <w:szCs w:val="22"/>
              </w:rPr>
              <w:t>î</w:t>
            </w:r>
            <w:r w:rsidRPr="007C37AF">
              <w:rPr>
                <w:color w:val="000000" w:themeColor="text1"/>
                <w:szCs w:val="22"/>
              </w:rPr>
              <w:t>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la nivel naţional </w:t>
            </w:r>
            <w:proofErr w:type="spellStart"/>
            <w:r w:rsidRPr="007C37AF">
              <w:rPr>
                <w:color w:val="000000" w:themeColor="text1"/>
                <w:szCs w:val="22"/>
              </w:rPr>
              <w:t>c</w:t>
            </w:r>
            <w:r w:rsidR="007C37AF" w:rsidRPr="007C37AF">
              <w:rPr>
                <w:color w:val="000000" w:themeColor="text1"/>
                <w:szCs w:val="22"/>
              </w:rPr>
              <w:t>î</w:t>
            </w:r>
            <w:r w:rsidRPr="007C37AF">
              <w:rPr>
                <w:color w:val="000000" w:themeColor="text1"/>
                <w:szCs w:val="22"/>
              </w:rPr>
              <w:t>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şi local;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nesemnificativă a segmentelor lanţului valoric a</w:t>
            </w:r>
            <w:r w:rsidR="00807773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produselor agricole cu valoare adăugată înaltă;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insuficienţa măsurilor de sporire a securităţii alimentare;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starea avariată a barajelor lacurilor de acumulare;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lipsa unei platforme moderne de comerţ creează dificultăţi în </w:t>
            </w:r>
            <w:proofErr w:type="spellStart"/>
            <w:r w:rsidRPr="007C37AF">
              <w:rPr>
                <w:color w:val="000000" w:themeColor="text1"/>
                <w:szCs w:val="22"/>
              </w:rPr>
              <w:t>v</w:t>
            </w:r>
            <w:r w:rsidR="007C37AF" w:rsidRPr="007C37AF">
              <w:rPr>
                <w:color w:val="000000" w:themeColor="text1"/>
                <w:szCs w:val="22"/>
              </w:rPr>
              <w:t>î</w:t>
            </w:r>
            <w:r w:rsidRPr="007C37AF">
              <w:rPr>
                <w:color w:val="000000" w:themeColor="text1"/>
                <w:szCs w:val="22"/>
              </w:rPr>
              <w:t>nzarea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produselor agroindustriale;</w:t>
            </w:r>
          </w:p>
          <w:p w:rsidR="00702791" w:rsidRPr="007C37AF" w:rsidRDefault="00807773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contribu</w:t>
            </w:r>
            <w:r>
              <w:rPr>
                <w:color w:val="000000" w:themeColor="text1"/>
                <w:szCs w:val="22"/>
              </w:rPr>
              <w:t>ţ</w:t>
            </w:r>
            <w:r w:rsidRPr="007C37AF">
              <w:rPr>
                <w:color w:val="000000" w:themeColor="text1"/>
                <w:szCs w:val="22"/>
              </w:rPr>
              <w:t>i</w:t>
            </w:r>
            <w:r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fragmentar</w:t>
            </w:r>
            <w:r>
              <w:rPr>
                <w:color w:val="000000" w:themeColor="text1"/>
                <w:szCs w:val="22"/>
              </w:rPr>
              <w:t>ă</w:t>
            </w:r>
            <w:r w:rsidR="00702791" w:rsidRPr="007C37AF">
              <w:rPr>
                <w:color w:val="000000" w:themeColor="text1"/>
                <w:szCs w:val="22"/>
              </w:rPr>
              <w:t xml:space="preserve"> excesivă a terenurilor agricole la scăderea randamentului producţiei prin nerespectarea tehnologiilor de cultivare şi degradare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a solului;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lacunele structurale din cadrul industriei vitivinicole </w:t>
            </w:r>
            <w:r w:rsidR="00E811C4" w:rsidRPr="007C37AF">
              <w:rPr>
                <w:color w:val="000000" w:themeColor="text1"/>
                <w:szCs w:val="22"/>
              </w:rPr>
              <w:t xml:space="preserve">nu permit </w:t>
            </w:r>
            <w:r w:rsidRPr="007C37AF">
              <w:rPr>
                <w:color w:val="000000" w:themeColor="text1"/>
                <w:szCs w:val="22"/>
              </w:rPr>
              <w:t>identificarea unor soluţii</w:t>
            </w:r>
            <w:r w:rsidR="00E811C4">
              <w:rPr>
                <w:color w:val="000000" w:themeColor="text1"/>
                <w:szCs w:val="22"/>
              </w:rPr>
              <w:t>,</w:t>
            </w:r>
            <w:r w:rsidRPr="007C37AF">
              <w:rPr>
                <w:color w:val="000000" w:themeColor="text1"/>
                <w:szCs w:val="22"/>
              </w:rPr>
              <w:t xml:space="preserve"> pe termen mediu şi lung</w:t>
            </w:r>
            <w:r w:rsidR="00E811C4">
              <w:rPr>
                <w:color w:val="000000" w:themeColor="text1"/>
                <w:szCs w:val="22"/>
              </w:rPr>
              <w:t>,</w:t>
            </w:r>
            <w:r w:rsidRPr="007C37AF">
              <w:rPr>
                <w:color w:val="000000" w:themeColor="text1"/>
                <w:szCs w:val="22"/>
              </w:rPr>
              <w:t xml:space="preserve"> de îmbunătăţire a calităţii producţiei vitivinicole;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lips</w:t>
            </w:r>
            <w:r w:rsidR="00807773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unei abordări integrate şi comprehensive cu privire la utilizarea eficientă a potenţialului deşeurilor agricole;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gradul insuficient de dezvoltare a pieţei de asigurări agricole;</w:t>
            </w:r>
          </w:p>
          <w:p w:rsidR="00702791" w:rsidRPr="007C37AF" w:rsidRDefault="00702791" w:rsidP="00807773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protecţia insuficientă a terenurilor agricole </w:t>
            </w:r>
            <w:r w:rsidR="00807773">
              <w:rPr>
                <w:color w:val="000000" w:themeColor="text1"/>
                <w:szCs w:val="22"/>
              </w:rPr>
              <w:t xml:space="preserve">împotriva </w:t>
            </w:r>
            <w:r w:rsidRPr="007C37AF">
              <w:rPr>
                <w:color w:val="000000" w:themeColor="text1"/>
                <w:szCs w:val="22"/>
              </w:rPr>
              <w:t>riscurilor naturale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modernizarea sectorului agricol şi diminuarea dependenţei acestuia de factorii climaterici adverşi;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armonizarea reglementărilor în domeniul alimentar cu cele ale UE în asigurarea inofensivităţii alimentare;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eficientizarea sistemului de subvenţionare a agriculturii şi promovarea programelor multianuale;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repunerea activelor din sectorul agricol în circuitul economic şi asigurarea accesului investitorilor la aceste active;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creşterea calităţii capitalului uman în agricultură prin stimularea instituţiilor de extensiune agricolă;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stoparea degradării resurselor funciare prin modernizarea şi extinderea sist</w:t>
            </w:r>
            <w:r w:rsidR="00807773">
              <w:rPr>
                <w:color w:val="000000" w:themeColor="text1"/>
                <w:szCs w:val="22"/>
              </w:rPr>
              <w:t>emului de îmbunătăţiri funciare;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majorarea suprafeţelor terenurilor agricole irigate;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reabilitarea sistemelor de irigare centralizate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Gospodăria apelor</w:t>
            </w:r>
          </w:p>
        </w:tc>
        <w:tc>
          <w:tcPr>
            <w:tcW w:w="5103" w:type="dxa"/>
          </w:tcPr>
          <w:p w:rsidR="00702791" w:rsidRPr="007C37AF" w:rsidRDefault="00807773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ineficien</w:t>
            </w:r>
            <w:r>
              <w:rPr>
                <w:color w:val="000000" w:themeColor="text1"/>
                <w:szCs w:val="22"/>
              </w:rPr>
              <w:t>ţa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politici</w:t>
            </w:r>
            <w:r>
              <w:rPr>
                <w:color w:val="000000" w:themeColor="text1"/>
                <w:szCs w:val="22"/>
              </w:rPr>
              <w:t>lor</w:t>
            </w:r>
            <w:r w:rsidR="00702791" w:rsidRPr="007C37AF">
              <w:rPr>
                <w:color w:val="000000" w:themeColor="text1"/>
                <w:szCs w:val="22"/>
              </w:rPr>
              <w:t xml:space="preserve"> sectoriale </w:t>
            </w:r>
            <w:r>
              <w:rPr>
                <w:color w:val="000000" w:themeColor="text1"/>
                <w:szCs w:val="22"/>
              </w:rPr>
              <w:t>privind</w:t>
            </w:r>
            <w:r w:rsidR="00702791" w:rsidRPr="007C37AF">
              <w:rPr>
                <w:color w:val="000000" w:themeColor="text1"/>
                <w:szCs w:val="22"/>
              </w:rPr>
              <w:t xml:space="preserve"> supravegherea, gestionarea și monitorizarea domeniului alimentării cu apă și sanitație;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responsabilitate fragmentată între instituțiile statului privind gestionarea sectorului de alimentare cu apă și sanitație, comunicare și coordonare ineficientă între acestea;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insuficiența capacităților în domeniul elaborării politicilor de alimentare cu apă și sanitație, precum și în domeniul absorbției fondurilor orientate în acest sector;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starea tehnică nesatisfăcătoare și degradarea continuă a infrastructurii de alimentare cu apă, de canalizare și de epurare a apelor uzate;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accesul redus al populaţiei (în special a</w:t>
            </w:r>
            <w:r w:rsidR="00807773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celei din mediul rural) la surse sigure de apă şi sisteme de canalizare;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calitatea  proastă a apei potabile și a serviciilor prestate consumatorilor;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insuficienţa investiţiilor, lipsa interesului sectorului privat de a investi în dezvoltarea infrastructurii de apr</w:t>
            </w:r>
            <w:r w:rsidR="00807773">
              <w:rPr>
                <w:color w:val="000000" w:themeColor="text1"/>
                <w:szCs w:val="22"/>
              </w:rPr>
              <w:t>ovizionare cu apă şi canalizare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capacităților și consolidarea instituțiilor implicate în gestionarea domeniului de alimentare cu apă și sanitație;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asigurarea graduală a accesului la apă sigură și sanitație adecvată pentru toate localitățile și populația R</w:t>
            </w:r>
            <w:r w:rsidR="00807773">
              <w:rPr>
                <w:color w:val="000000" w:themeColor="text1"/>
                <w:szCs w:val="22"/>
              </w:rPr>
              <w:t xml:space="preserve">epublicii </w:t>
            </w:r>
            <w:r w:rsidRPr="007C37AF">
              <w:rPr>
                <w:color w:val="000000" w:themeColor="text1"/>
                <w:szCs w:val="22"/>
              </w:rPr>
              <w:t>M</w:t>
            </w:r>
            <w:r w:rsidR="00807773">
              <w:rPr>
                <w:color w:val="000000" w:themeColor="text1"/>
                <w:szCs w:val="22"/>
              </w:rPr>
              <w:t>oldova</w:t>
            </w:r>
            <w:r w:rsidRPr="007C37AF">
              <w:rPr>
                <w:color w:val="000000" w:themeColor="text1"/>
                <w:szCs w:val="22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descentralizarea serviciilor publice de alimentare cu apă și sanitație și îmbunătățirea 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și extinderea sistemelor centralizate de alimentare cu apă și sanitație;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promovarea principiilor economiei de piață, a parteneriatelor publice-private  și atragerea investițiilor și capitalului privat;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reducerea deversărilor de apă uzată, poluată în corpurile de apă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807773">
        <w:trPr>
          <w:trHeight w:val="3104"/>
        </w:trPr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Protecția mediului</w:t>
            </w:r>
          </w:p>
        </w:tc>
        <w:tc>
          <w:tcPr>
            <w:tcW w:w="5103" w:type="dxa"/>
          </w:tcPr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necesitatea actualizării </w:t>
            </w:r>
            <w:r w:rsidR="00702791" w:rsidRPr="007C37AF">
              <w:rPr>
                <w:color w:val="000000" w:themeColor="text1"/>
                <w:szCs w:val="22"/>
              </w:rPr>
              <w:t>do</w:t>
            </w:r>
            <w:r w:rsidR="00807773">
              <w:rPr>
                <w:color w:val="000000" w:themeColor="text1"/>
                <w:szCs w:val="22"/>
              </w:rPr>
              <w:t>cumentel</w:t>
            </w:r>
            <w:r>
              <w:rPr>
                <w:color w:val="000000" w:themeColor="text1"/>
                <w:szCs w:val="22"/>
              </w:rPr>
              <w:t>or</w:t>
            </w:r>
            <w:r w:rsidR="00807773">
              <w:rPr>
                <w:color w:val="000000" w:themeColor="text1"/>
                <w:szCs w:val="22"/>
              </w:rPr>
              <w:t xml:space="preserve"> de politici </w:t>
            </w:r>
            <w:r>
              <w:rPr>
                <w:color w:val="000000" w:themeColor="text1"/>
                <w:szCs w:val="22"/>
              </w:rPr>
              <w:t xml:space="preserve"> şi lipsa lor în cazul unor </w:t>
            </w:r>
            <w:r w:rsidR="00702791" w:rsidRPr="007C37AF">
              <w:rPr>
                <w:color w:val="000000" w:themeColor="text1"/>
                <w:szCs w:val="22"/>
              </w:rPr>
              <w:t xml:space="preserve">componente; 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nivelul redus de educație și conștientizare ecologică în </w:t>
            </w:r>
            <w:proofErr w:type="spellStart"/>
            <w:r w:rsidRPr="007C37AF">
              <w:rPr>
                <w:color w:val="000000" w:themeColor="text1"/>
                <w:szCs w:val="22"/>
              </w:rPr>
              <w:t>rîndul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elevilor, studenților, angajaților și </w:t>
            </w:r>
            <w:r w:rsidR="00807773">
              <w:rPr>
                <w:color w:val="000000" w:themeColor="text1"/>
                <w:szCs w:val="22"/>
              </w:rPr>
              <w:t xml:space="preserve">al </w:t>
            </w:r>
            <w:r w:rsidRPr="007C37AF">
              <w:rPr>
                <w:color w:val="000000" w:themeColor="text1"/>
                <w:szCs w:val="22"/>
              </w:rPr>
              <w:t xml:space="preserve">populației;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ineficiența cadrului de reglementare și control a</w:t>
            </w:r>
            <w:r w:rsidR="00807773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activităților cu impact asupra mediului, </w:t>
            </w:r>
            <w:r w:rsidR="00807773">
              <w:rPr>
                <w:color w:val="000000" w:themeColor="text1"/>
                <w:szCs w:val="22"/>
              </w:rPr>
              <w:t xml:space="preserve">ineficienţa şi dezvoltarea slabă a </w:t>
            </w:r>
            <w:r w:rsidRPr="007C37AF">
              <w:rPr>
                <w:color w:val="000000" w:themeColor="text1"/>
                <w:szCs w:val="22"/>
              </w:rPr>
              <w:t>sistemul</w:t>
            </w:r>
            <w:r w:rsidR="00807773">
              <w:rPr>
                <w:color w:val="000000" w:themeColor="text1"/>
                <w:szCs w:val="22"/>
              </w:rPr>
              <w:t>ui</w:t>
            </w:r>
            <w:r w:rsidRPr="007C37AF">
              <w:rPr>
                <w:color w:val="000000" w:themeColor="text1"/>
                <w:szCs w:val="22"/>
              </w:rPr>
              <w:t xml:space="preserve"> de taxe de mediu și plăți pentru poluare, lipsa mecanismelor economice de stimulare </w:t>
            </w:r>
            <w:r w:rsidR="00807773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poluatori</w:t>
            </w:r>
            <w:r w:rsidR="00807773">
              <w:rPr>
                <w:color w:val="000000" w:themeColor="text1"/>
                <w:szCs w:val="22"/>
              </w:rPr>
              <w:t>lor</w:t>
            </w:r>
            <w:r w:rsidRPr="007C37AF">
              <w:rPr>
                <w:color w:val="000000" w:themeColor="text1"/>
                <w:szCs w:val="22"/>
              </w:rPr>
              <w:t xml:space="preserve"> de a întreprinde acțiuni de reducere a poluării;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lipsa unui monitoring integrat al calității componentelor de mediu</w:t>
            </w:r>
            <w:r w:rsidR="00807773">
              <w:rPr>
                <w:color w:val="000000" w:themeColor="text1"/>
                <w:szCs w:val="22"/>
              </w:rPr>
              <w:t xml:space="preserve"> şi dezvoltarea slabă a </w:t>
            </w:r>
            <w:r w:rsidRPr="007C37AF">
              <w:rPr>
                <w:color w:val="000000" w:themeColor="text1"/>
                <w:szCs w:val="22"/>
              </w:rPr>
              <w:t>rețe</w:t>
            </w:r>
            <w:r w:rsidR="00807773">
              <w:rPr>
                <w:color w:val="000000" w:themeColor="text1"/>
                <w:szCs w:val="22"/>
              </w:rPr>
              <w:t>lei</w:t>
            </w:r>
            <w:r w:rsidRPr="007C37AF">
              <w:rPr>
                <w:color w:val="000000" w:themeColor="text1"/>
                <w:szCs w:val="22"/>
              </w:rPr>
              <w:t xml:space="preserve"> de monitoring;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gestionare</w:t>
            </w:r>
            <w:r w:rsidR="00807773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defectuoasă, nerațională și inadecvată a resurselor de apă, sol, subsol;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degradarea continuă și poluarea resurselor de apă de suprafaţă (în special a </w:t>
            </w:r>
            <w:proofErr w:type="spellStart"/>
            <w:r w:rsidRPr="007C37AF">
              <w:rPr>
                <w:color w:val="000000" w:themeColor="text1"/>
                <w:szCs w:val="22"/>
              </w:rPr>
              <w:t>rîurilor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mici) şi subterane și reducerea nivelului de calitate a apei potabile;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activizarea continuă a proceselor de degradare a solurilor și de poluare a resurselor de sol;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valorificarea şi exploatarea ilegală şi iraţională a biodiversităţii;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intensificarea proceselor de pierdere a biodiversităţii și de degradare a </w:t>
            </w:r>
            <w:proofErr w:type="spellStart"/>
            <w:r w:rsidRPr="007C37AF">
              <w:rPr>
                <w:color w:val="000000" w:themeColor="text1"/>
                <w:szCs w:val="22"/>
              </w:rPr>
              <w:t>fîşiilor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forestiere de protecţie a terenurilor agricole, </w:t>
            </w:r>
            <w:proofErr w:type="spellStart"/>
            <w:r w:rsidRPr="007C37AF">
              <w:rPr>
                <w:color w:val="000000" w:themeColor="text1"/>
                <w:szCs w:val="22"/>
              </w:rPr>
              <w:t>rîurilor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şi bazinelor acvatice;</w:t>
            </w:r>
          </w:p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acoperirea cu păduri a unor </w:t>
            </w:r>
            <w:r w:rsidR="00702791" w:rsidRPr="007C37AF">
              <w:rPr>
                <w:color w:val="000000" w:themeColor="text1"/>
                <w:szCs w:val="22"/>
              </w:rPr>
              <w:t>suprafeţe foarte mici (doar 11,1% din teritoriul ţării) şi suprafeţe mici de arii naturale protejate de stat (doar 5</w:t>
            </w:r>
            <w:r w:rsidR="00807773">
              <w:rPr>
                <w:color w:val="000000" w:themeColor="text1"/>
                <w:szCs w:val="22"/>
              </w:rPr>
              <w:t>,</w:t>
            </w:r>
            <w:r w:rsidR="00702791" w:rsidRPr="007C37AF">
              <w:rPr>
                <w:color w:val="000000" w:themeColor="text1"/>
                <w:szCs w:val="22"/>
              </w:rPr>
              <w:t>62% din teritoriu);</w:t>
            </w:r>
          </w:p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ineficien</w:t>
            </w:r>
            <w:r>
              <w:rPr>
                <w:color w:val="000000" w:themeColor="text1"/>
                <w:szCs w:val="22"/>
              </w:rPr>
              <w:t>ţa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management</w:t>
            </w:r>
            <w:r>
              <w:rPr>
                <w:color w:val="000000" w:themeColor="text1"/>
                <w:szCs w:val="22"/>
              </w:rPr>
              <w:t>ului</w:t>
            </w:r>
            <w:r w:rsidR="00702791" w:rsidRPr="007C37AF">
              <w:rPr>
                <w:color w:val="000000" w:themeColor="text1"/>
                <w:szCs w:val="22"/>
              </w:rPr>
              <w:t xml:space="preserve"> pădurilor și ariilor </w:t>
            </w:r>
            <w:r w:rsidR="00702791" w:rsidRPr="007C37AF">
              <w:rPr>
                <w:color w:val="000000" w:themeColor="text1"/>
                <w:szCs w:val="22"/>
              </w:rPr>
              <w:lastRenderedPageBreak/>
              <w:t xml:space="preserve">naturale protejate de stat, al spaţiilor verzi, </w:t>
            </w:r>
            <w:r w:rsidR="00807773">
              <w:rPr>
                <w:color w:val="000000" w:themeColor="text1"/>
                <w:szCs w:val="22"/>
              </w:rPr>
              <w:t>a</w:t>
            </w:r>
            <w:r>
              <w:rPr>
                <w:color w:val="000000" w:themeColor="text1"/>
                <w:szCs w:val="22"/>
              </w:rPr>
              <w:t>l</w:t>
            </w:r>
            <w:r w:rsidR="00807773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păşunilor</w:t>
            </w:r>
            <w:r w:rsidR="00807773">
              <w:rPr>
                <w:color w:val="000000" w:themeColor="text1"/>
                <w:szCs w:val="22"/>
              </w:rPr>
              <w:t>, al</w:t>
            </w:r>
            <w:r w:rsidR="00702791" w:rsidRPr="007C37AF">
              <w:rPr>
                <w:color w:val="000000" w:themeColor="text1"/>
                <w:szCs w:val="22"/>
              </w:rPr>
              <w:t xml:space="preserve"> zonelor umede;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lipsa unui sistem de management integrat al deșeurilor, starea neadecvată a depozitelor de deşeuri, volumul mare de deşeuri formate pe teritoriul ţării;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implementarea și respectarea nesatisfăcătoare a legislaţiei de mediu,  numărul mare de încălcări a</w:t>
            </w:r>
            <w:r w:rsidR="00807773">
              <w:rPr>
                <w:color w:val="000000" w:themeColor="text1"/>
                <w:szCs w:val="22"/>
              </w:rPr>
              <w:t>le</w:t>
            </w:r>
            <w:r w:rsidRPr="007C37AF">
              <w:rPr>
                <w:color w:val="000000" w:themeColor="text1"/>
                <w:szCs w:val="22"/>
              </w:rPr>
              <w:t xml:space="preserve"> acesteia;</w:t>
            </w:r>
          </w:p>
          <w:p w:rsidR="00702791" w:rsidRPr="007C37AF" w:rsidRDefault="00702791" w:rsidP="00807773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pericol avansat de inundaţii din cauza stării avariate a barajelor lacurilor de acumul</w:t>
            </w:r>
            <w:r w:rsidR="00807773">
              <w:rPr>
                <w:color w:val="000000" w:themeColor="text1"/>
                <w:szCs w:val="22"/>
              </w:rPr>
              <w:t>are şi a digurilor de protecţie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asigurarea condițiilor de bună guvernare și eficientizarea potențialului instituțional și managerial în domeniul protecției mediului pentru atingerea obiectivelor de mediu;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sporirea nivelului de cunoştinţe privind protecția mediului în </w:t>
            </w:r>
            <w:proofErr w:type="spellStart"/>
            <w:r w:rsidRPr="007C37AF">
              <w:rPr>
                <w:color w:val="000000" w:themeColor="text1"/>
                <w:szCs w:val="22"/>
              </w:rPr>
              <w:t>rîndul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elevilor, studenților și angajaţilor și asigurarea accesului la informația de mediu;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reducerea impactului negativ al activității economice asupra mediului și îmbunătățirea măsurilor de prevenire a poluării  mediului;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sistemului de monitoring integrat și control al calității mediului;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asigurarea utilizării raționale, protecției și conservării resurselor naturale;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îmbunătățirea calității apelor de suprafață și implementarea sistemului de management al bazinelor hidrografice;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îmbunătățirea calității solurilor și reconstrucția ecologică a terenurilor degradate, afectate de alunecări și a </w:t>
            </w:r>
            <w:proofErr w:type="spellStart"/>
            <w:r w:rsidRPr="007C37AF">
              <w:rPr>
                <w:color w:val="000000" w:themeColor="text1"/>
                <w:szCs w:val="22"/>
              </w:rPr>
              <w:t>fîșiilor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de protecție a terenurilor agricole;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gestionarea durabilă și protecția resurselor minerale utile;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extinderea suprafețelor de păduri, a ariilor naturale protejate de stat și asigurarea managementului eficient și durabil </w:t>
            </w:r>
            <w:r w:rsidR="00807773">
              <w:rPr>
                <w:color w:val="000000" w:themeColor="text1"/>
                <w:szCs w:val="22"/>
              </w:rPr>
              <w:t xml:space="preserve">al </w:t>
            </w:r>
            <w:r w:rsidRPr="007C37AF">
              <w:rPr>
                <w:color w:val="000000" w:themeColor="text1"/>
                <w:szCs w:val="22"/>
              </w:rPr>
              <w:t>ecosistemelor naturale;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crearea sistemului de management integrat al calității aerului, reducerea emisiilor de poluanți în atmosferă și </w:t>
            </w:r>
            <w:r w:rsidR="00807773">
              <w:rPr>
                <w:color w:val="000000" w:themeColor="text1"/>
                <w:szCs w:val="22"/>
              </w:rPr>
              <w:t>de</w:t>
            </w:r>
            <w:r w:rsidRPr="007C37AF">
              <w:rPr>
                <w:color w:val="000000" w:themeColor="text1"/>
                <w:szCs w:val="22"/>
              </w:rPr>
              <w:t xml:space="preserve"> gaze cu efect de seră;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sistemelor integrate de gestionare a deşeurilor și substanţelor chimice</w:t>
            </w:r>
            <w:r w:rsidR="00807773">
              <w:rPr>
                <w:color w:val="000000" w:themeColor="text1"/>
                <w:szCs w:val="22"/>
              </w:rPr>
              <w:t>,</w:t>
            </w:r>
            <w:r w:rsidRPr="007C37AF">
              <w:rPr>
                <w:color w:val="000000" w:themeColor="text1"/>
                <w:szCs w:val="22"/>
              </w:rPr>
              <w:t xml:space="preserve"> care să contribuie la reducerea cantităților de deșeuri depozitate;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sporirea gradului de protecţie a localităţilor şi terenurilor agricole contra inundaţiilor;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asigurarea respectării legislaţiei de mediu şi utilizării raţionale, autorizate şi controlate a resurselor naturale;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reducerea numărului de contravenţii ecologice și înăsprirea sancţiunilor contravenţionale în domeniul utilizării şi protecţiei resurselor </w:t>
            </w:r>
            <w:r w:rsidR="00807773">
              <w:rPr>
                <w:color w:val="000000" w:themeColor="text1"/>
                <w:szCs w:val="22"/>
              </w:rPr>
              <w:t>naturale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Infrastructura calității și protecția consumatorilor</w:t>
            </w:r>
          </w:p>
        </w:tc>
        <w:tc>
          <w:tcPr>
            <w:tcW w:w="5103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dotarea insuficientă a Bazei </w:t>
            </w:r>
            <w:r w:rsidR="00807773">
              <w:rPr>
                <w:color w:val="000000" w:themeColor="text1"/>
                <w:szCs w:val="22"/>
              </w:rPr>
              <w:t>n</w:t>
            </w:r>
            <w:r w:rsidRPr="007C37AF">
              <w:rPr>
                <w:color w:val="000000" w:themeColor="text1"/>
                <w:szCs w:val="22"/>
              </w:rPr>
              <w:t xml:space="preserve">aţionale de </w:t>
            </w:r>
            <w:r w:rsidR="00807773">
              <w:rPr>
                <w:color w:val="000000" w:themeColor="text1"/>
                <w:szCs w:val="22"/>
              </w:rPr>
              <w:t>e</w:t>
            </w:r>
            <w:r w:rsidRPr="007C37AF">
              <w:rPr>
                <w:color w:val="000000" w:themeColor="text1"/>
                <w:szCs w:val="22"/>
              </w:rPr>
              <w:t>taloane cu etaloanele necesare economiei naţionale;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nerecunoaşterea </w:t>
            </w:r>
            <w:r w:rsidR="00807773" w:rsidRPr="007C37AF">
              <w:rPr>
                <w:color w:val="000000" w:themeColor="text1"/>
                <w:szCs w:val="22"/>
              </w:rPr>
              <w:t xml:space="preserve">de către statele Uniunii Europene </w:t>
            </w:r>
            <w:r w:rsidR="00807773">
              <w:rPr>
                <w:color w:val="000000" w:themeColor="text1"/>
                <w:szCs w:val="22"/>
              </w:rPr>
              <w:t xml:space="preserve">a </w:t>
            </w:r>
            <w:r w:rsidRPr="007C37AF">
              <w:rPr>
                <w:color w:val="000000" w:themeColor="text1"/>
                <w:szCs w:val="22"/>
              </w:rPr>
              <w:t>rezultatelor evaluării conformităţii efectuate în Republica Moldova;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lipsa comunicării </w:t>
            </w:r>
            <w:r w:rsidR="00AC3B26">
              <w:rPr>
                <w:color w:val="000000" w:themeColor="text1"/>
                <w:szCs w:val="22"/>
              </w:rPr>
              <w:t>di</w:t>
            </w:r>
            <w:r w:rsidRPr="007C37AF">
              <w:rPr>
                <w:color w:val="000000" w:themeColor="text1"/>
                <w:szCs w:val="22"/>
              </w:rPr>
              <w:t>ntre producător şi cumpărător;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plasarea pe piaţă a produselor neconforme cerinţelor;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ponderea redusă a standardelor europene şi internaţionale adoptate în calitate de </w:t>
            </w:r>
            <w:r w:rsidR="00AC3B26">
              <w:rPr>
                <w:color w:val="000000" w:themeColor="text1"/>
                <w:szCs w:val="22"/>
              </w:rPr>
              <w:t xml:space="preserve">standarde </w:t>
            </w:r>
            <w:r w:rsidRPr="007C37AF">
              <w:rPr>
                <w:color w:val="000000" w:themeColor="text1"/>
                <w:szCs w:val="22"/>
              </w:rPr>
              <w:t>naţionale;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gradul redus de implementare a standardelor europene şi internaţionale etc.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capacităţilor instituţionale durabile ale instituţiilor publice create în domeniul infrastructurii calităţii;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elaborarea şi armonizarea reglementărilor tehnice cu cele europene şi internaţionale;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dezvoltarea bazei de standarde şi documente normative naţionale armonizate cu cele europene şi internaţionale;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participarea activă la lucrările principalelor organizații europene și internaționale în domeniu;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capacităţilor în domeniul metrologie</w:t>
            </w:r>
            <w:r w:rsidR="00AC3B26">
              <w:rPr>
                <w:color w:val="000000" w:themeColor="text1"/>
                <w:szCs w:val="22"/>
              </w:rPr>
              <w:t>i</w:t>
            </w:r>
            <w:r w:rsidRPr="007C37AF">
              <w:rPr>
                <w:color w:val="000000" w:themeColor="text1"/>
                <w:szCs w:val="22"/>
              </w:rPr>
              <w:t xml:space="preserve">, inclusiv a bazei de etaloane şi a laboratoarelor metrologice; 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participarea la lucrările de </w:t>
            </w:r>
            <w:proofErr w:type="spellStart"/>
            <w:r w:rsidRPr="007C37AF">
              <w:rPr>
                <w:color w:val="000000" w:themeColor="text1"/>
                <w:szCs w:val="22"/>
              </w:rPr>
              <w:t>intercomparări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cu Baza </w:t>
            </w:r>
            <w:r w:rsidR="00AC3B26">
              <w:rPr>
                <w:color w:val="000000" w:themeColor="text1"/>
                <w:szCs w:val="22"/>
              </w:rPr>
              <w:t>n</w:t>
            </w:r>
            <w:r w:rsidRPr="007C37AF">
              <w:rPr>
                <w:color w:val="000000" w:themeColor="text1"/>
                <w:szCs w:val="22"/>
              </w:rPr>
              <w:t xml:space="preserve">aţională de </w:t>
            </w:r>
            <w:r w:rsidR="00AC3B26">
              <w:rPr>
                <w:color w:val="000000" w:themeColor="text1"/>
                <w:szCs w:val="22"/>
              </w:rPr>
              <w:t>e</w:t>
            </w:r>
            <w:r w:rsidRPr="007C37AF">
              <w:rPr>
                <w:color w:val="000000" w:themeColor="text1"/>
                <w:szCs w:val="22"/>
              </w:rPr>
              <w:t>taloane la nivel regional în vederea recunoaşterii  măsurărilor efectuate în Republica Moldova;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fortificarea capacităţilor decizionale şi stimularea capacităţilor de autoprotecţie individuală şi asociativă a consumatorilor prin educarea şi informarea acestora;</w:t>
            </w:r>
          </w:p>
          <w:p w:rsidR="00702791" w:rsidRPr="007C37AF" w:rsidRDefault="00702791" w:rsidP="00AC3B26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mecanismului funcţional de implementare a cerinţelor privind siguranţa produselor şi de colaborare a autorităţilor de supraveghere a pieţei</w:t>
            </w: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 xml:space="preserve">Dezvoltarea </w:t>
            </w: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lastRenderedPageBreak/>
              <w:t>sectorului privat</w:t>
            </w:r>
          </w:p>
        </w:tc>
        <w:tc>
          <w:tcPr>
            <w:tcW w:w="5103" w:type="dxa"/>
            <w:shd w:val="clear" w:color="auto" w:fill="auto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existența barierelor  administrative și a costurilor regulatorii exagerate;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povara fiscală și controale</w:t>
            </w:r>
            <w:r w:rsidR="00AC3B26">
              <w:rPr>
                <w:color w:val="000000" w:themeColor="text1"/>
                <w:szCs w:val="22"/>
              </w:rPr>
              <w:t>le</w:t>
            </w:r>
            <w:r w:rsidRPr="007C37AF">
              <w:rPr>
                <w:color w:val="000000" w:themeColor="text1"/>
                <w:szCs w:val="22"/>
              </w:rPr>
              <w:t xml:space="preserve"> frecvente;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dialog</w:t>
            </w:r>
            <w:r w:rsidR="00AC3B26">
              <w:rPr>
                <w:color w:val="000000" w:themeColor="text1"/>
                <w:szCs w:val="22"/>
              </w:rPr>
              <w:t>ul</w:t>
            </w:r>
            <w:r w:rsidRPr="007C37AF">
              <w:rPr>
                <w:color w:val="000000" w:themeColor="text1"/>
                <w:szCs w:val="22"/>
              </w:rPr>
              <w:t xml:space="preserve"> şi conlucrare</w:t>
            </w:r>
            <w:r w:rsidR="00AC3B26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ineficientă între întreprinzători şi autorităţile publice;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număr</w:t>
            </w:r>
            <w:r w:rsidR="00AC3B26">
              <w:rPr>
                <w:color w:val="000000" w:themeColor="text1"/>
                <w:szCs w:val="22"/>
              </w:rPr>
              <w:t>ul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AC3B26">
              <w:rPr>
                <w:color w:val="000000" w:themeColor="text1"/>
                <w:szCs w:val="22"/>
              </w:rPr>
              <w:t>întreprinderilor mici şi mijlocii</w:t>
            </w:r>
            <w:r w:rsidR="00AC3B26" w:rsidRPr="007C37AF">
              <w:rPr>
                <w:color w:val="000000" w:themeColor="text1"/>
                <w:szCs w:val="22"/>
              </w:rPr>
              <w:t xml:space="preserve"> </w:t>
            </w:r>
            <w:r w:rsidRPr="007C37AF">
              <w:rPr>
                <w:color w:val="000000" w:themeColor="text1"/>
                <w:szCs w:val="22"/>
              </w:rPr>
              <w:t>redus al programelor de susținere financiară, inclusiv a</w:t>
            </w:r>
            <w:r w:rsidR="00AC3B26">
              <w:rPr>
                <w:color w:val="000000" w:themeColor="text1"/>
                <w:szCs w:val="22"/>
              </w:rPr>
              <w:t>le</w:t>
            </w:r>
            <w:r w:rsidRPr="007C37AF">
              <w:rPr>
                <w:color w:val="000000" w:themeColor="text1"/>
                <w:szCs w:val="22"/>
              </w:rPr>
              <w:t xml:space="preserve"> celor regionale;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lipsa instrumentelor de susţinere financiară a proiectelor inovaţionale;</w:t>
            </w:r>
          </w:p>
          <w:p w:rsidR="00702791" w:rsidRPr="007C37AF" w:rsidRDefault="00AC3B26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subdezvolta</w:t>
            </w:r>
            <w:r>
              <w:rPr>
                <w:color w:val="000000" w:themeColor="text1"/>
                <w:szCs w:val="22"/>
              </w:rPr>
              <w:t>rea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infrastructur</w:t>
            </w:r>
            <w:r>
              <w:rPr>
                <w:color w:val="000000" w:themeColor="text1"/>
                <w:szCs w:val="22"/>
              </w:rPr>
              <w:t>ii</w:t>
            </w:r>
            <w:r w:rsidR="00702791" w:rsidRPr="007C37AF">
              <w:rPr>
                <w:color w:val="000000" w:themeColor="text1"/>
                <w:szCs w:val="22"/>
              </w:rPr>
              <w:t xml:space="preserve"> de suport în afaceri şi a pieţei de capital;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nivel</w:t>
            </w:r>
            <w:r w:rsidR="00AC3B26">
              <w:rPr>
                <w:color w:val="000000" w:themeColor="text1"/>
                <w:szCs w:val="22"/>
              </w:rPr>
              <w:t>ul</w:t>
            </w:r>
            <w:r w:rsidRPr="007C37AF">
              <w:rPr>
                <w:color w:val="000000" w:themeColor="text1"/>
                <w:szCs w:val="22"/>
              </w:rPr>
              <w:t xml:space="preserve"> scăzut a</w:t>
            </w:r>
            <w:r w:rsidR="00AC3B26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culturii antreprenoriale şi a</w:t>
            </w:r>
            <w:r w:rsidR="00AC3B26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formării profesionale;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cunoştințe</w:t>
            </w:r>
            <w:r w:rsidR="00E811C4">
              <w:rPr>
                <w:color w:val="000000" w:themeColor="text1"/>
                <w:szCs w:val="22"/>
              </w:rPr>
              <w:t>le</w:t>
            </w:r>
            <w:r w:rsidRPr="007C37AF">
              <w:rPr>
                <w:color w:val="000000" w:themeColor="text1"/>
                <w:szCs w:val="22"/>
              </w:rPr>
              <w:t xml:space="preserve"> insuficiente în domeniul tehnicilor de export/acces pe pieţe externe şi cota redusă a </w:t>
            </w:r>
            <w:r w:rsidR="00AC3B26">
              <w:rPr>
                <w:color w:val="000000" w:themeColor="text1"/>
                <w:szCs w:val="22"/>
              </w:rPr>
              <w:t>întreprinderilor mici şi mijlocii</w:t>
            </w:r>
            <w:r w:rsidRPr="007C37AF">
              <w:rPr>
                <w:color w:val="000000" w:themeColor="text1"/>
                <w:szCs w:val="22"/>
              </w:rPr>
              <w:t xml:space="preserve"> la export;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nivelul scăzut de competitivitate a</w:t>
            </w:r>
            <w:r w:rsidR="00AC3B26">
              <w:rPr>
                <w:color w:val="000000" w:themeColor="text1"/>
                <w:szCs w:val="22"/>
              </w:rPr>
              <w:t>l întreprinderilor mici şi mijlocii</w:t>
            </w:r>
            <w:r w:rsidRPr="007C37AF">
              <w:rPr>
                <w:color w:val="000000" w:themeColor="text1"/>
                <w:szCs w:val="22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valorificarea insuficientă a potenţialului la export;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informarea insuficientă a mediului de afaceri străin privind climatul investiţional al ţării și a</w:t>
            </w:r>
            <w:r w:rsidR="00AC3B26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celui autohton privind potenţialul pieţelor de desfacere, cerinţe specifice ale acestora;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lipsa proiectelor investiţionale autohtone calitative care ar asigura sporirea fluxului investiţiilor străine directe;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nivelul slab de dezvoltare a calităţii managementului şi marketingului companiilor autohtone ce urmăresc atrager</w:t>
            </w:r>
            <w:r w:rsidR="00AC3B26">
              <w:rPr>
                <w:color w:val="000000" w:themeColor="text1"/>
                <w:szCs w:val="22"/>
              </w:rPr>
              <w:t>ea</w:t>
            </w:r>
            <w:r w:rsidRPr="007C37AF">
              <w:rPr>
                <w:color w:val="000000" w:themeColor="text1"/>
                <w:szCs w:val="22"/>
              </w:rPr>
              <w:t xml:space="preserve"> investiţiilor şi promov</w:t>
            </w:r>
            <w:r w:rsidR="00AC3B26">
              <w:rPr>
                <w:color w:val="000000" w:themeColor="text1"/>
                <w:szCs w:val="22"/>
              </w:rPr>
              <w:t>area</w:t>
            </w:r>
            <w:r w:rsidRPr="007C37AF">
              <w:rPr>
                <w:color w:val="000000" w:themeColor="text1"/>
                <w:szCs w:val="22"/>
              </w:rPr>
              <w:t xml:space="preserve"> exportului;</w:t>
            </w:r>
          </w:p>
          <w:p w:rsidR="00702791" w:rsidRPr="007C37AF" w:rsidRDefault="00E811C4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insuficienţa </w:t>
            </w:r>
            <w:r w:rsidRPr="007C37AF">
              <w:rPr>
                <w:color w:val="000000" w:themeColor="text1"/>
                <w:szCs w:val="22"/>
              </w:rPr>
              <w:t xml:space="preserve"> </w:t>
            </w:r>
            <w:r w:rsidR="00702791" w:rsidRPr="007C37AF">
              <w:rPr>
                <w:color w:val="000000" w:themeColor="text1"/>
                <w:szCs w:val="22"/>
              </w:rPr>
              <w:t>dialogul</w:t>
            </w:r>
            <w:r>
              <w:rPr>
                <w:color w:val="000000" w:themeColor="text1"/>
                <w:szCs w:val="22"/>
              </w:rPr>
              <w:t>ui</w:t>
            </w:r>
            <w:r w:rsidR="00702791" w:rsidRPr="007C37AF">
              <w:rPr>
                <w:color w:val="000000" w:themeColor="text1"/>
                <w:szCs w:val="22"/>
              </w:rPr>
              <w:t xml:space="preserve"> public-privat în domeniu;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pondere</w:t>
            </w:r>
            <w:r w:rsidR="00AC3B26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minoră în sectorul industrial a ramurilor producătoare de mărfuri cu valoare adăugată înaltă;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progres</w:t>
            </w:r>
            <w:r w:rsidR="00AC3B26">
              <w:rPr>
                <w:color w:val="000000" w:themeColor="text1"/>
                <w:szCs w:val="22"/>
              </w:rPr>
              <w:t>ul</w:t>
            </w:r>
            <w:r w:rsidRPr="007C37AF">
              <w:rPr>
                <w:color w:val="000000" w:themeColor="text1"/>
                <w:szCs w:val="22"/>
              </w:rPr>
              <w:t xml:space="preserve"> insuficient la crearea formelor avansate de cooperare şi integrare (clustere, holdinguri, concerne);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diversificare</w:t>
            </w:r>
            <w:r w:rsidR="00AC3B26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redusă a pieţelor de desfacere a producţiei industriale autohtone;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grad</w:t>
            </w:r>
            <w:r w:rsidR="00AC3B26">
              <w:rPr>
                <w:color w:val="000000" w:themeColor="text1"/>
                <w:szCs w:val="22"/>
              </w:rPr>
              <w:t>ul</w:t>
            </w:r>
            <w:r w:rsidRPr="007C37AF">
              <w:rPr>
                <w:color w:val="000000" w:themeColor="text1"/>
                <w:szCs w:val="22"/>
              </w:rPr>
              <w:t xml:space="preserve"> înalt de uzură morală şi fizică a utilajului din întreprinderile industriale;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</w:t>
            </w:r>
            <w:r w:rsidR="00AC3B26">
              <w:rPr>
                <w:color w:val="000000" w:themeColor="text1"/>
                <w:szCs w:val="22"/>
              </w:rPr>
              <w:t>a</w:t>
            </w:r>
            <w:r w:rsidRPr="007C37AF">
              <w:rPr>
                <w:color w:val="000000" w:themeColor="text1"/>
                <w:szCs w:val="22"/>
              </w:rPr>
              <w:t xml:space="preserve"> insuficientă a serviciilor de consultanţă şi informaţionale</w:t>
            </w:r>
            <w:r w:rsidR="00AC3B26">
              <w:rPr>
                <w:color w:val="000000" w:themeColor="text1"/>
                <w:szCs w:val="22"/>
              </w:rPr>
              <w:t>,</w:t>
            </w:r>
            <w:r w:rsidRPr="007C37AF">
              <w:rPr>
                <w:color w:val="000000" w:themeColor="text1"/>
                <w:szCs w:val="22"/>
              </w:rPr>
              <w:t xml:space="preserve"> a activităţii de </w:t>
            </w:r>
            <w:proofErr w:type="spellStart"/>
            <w:r w:rsidRPr="007C37AF">
              <w:rPr>
                <w:color w:val="000000" w:themeColor="text1"/>
                <w:szCs w:val="22"/>
              </w:rPr>
              <w:t>antreprenoriat</w:t>
            </w:r>
            <w:proofErr w:type="spellEnd"/>
            <w:r w:rsidRPr="007C37AF">
              <w:rPr>
                <w:color w:val="000000" w:themeColor="text1"/>
                <w:szCs w:val="22"/>
              </w:rPr>
              <w:t xml:space="preserve"> în ramura industriei;</w:t>
            </w:r>
          </w:p>
          <w:p w:rsidR="00702791" w:rsidRPr="007C37AF" w:rsidRDefault="00702791" w:rsidP="00AC3B26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discordanţă accentuată </w:t>
            </w:r>
            <w:r w:rsidR="00AC3B26">
              <w:rPr>
                <w:color w:val="000000" w:themeColor="text1"/>
                <w:szCs w:val="22"/>
              </w:rPr>
              <w:t>di</w:t>
            </w:r>
            <w:r w:rsidRPr="007C37AF">
              <w:rPr>
                <w:color w:val="000000" w:themeColor="text1"/>
                <w:szCs w:val="22"/>
              </w:rPr>
              <w:t>ntre nivelul dezvoltării industriei în c</w:t>
            </w:r>
            <w:r w:rsidR="00AC3B26">
              <w:rPr>
                <w:color w:val="000000" w:themeColor="text1"/>
                <w:szCs w:val="22"/>
              </w:rPr>
              <w:t>apitală şi în restul regiunilor</w:t>
            </w: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dezvoltarea unui sistem de reglementare facilitator;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stimulentelor pentru implementarea efectivă a reformelor;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lastRenderedPageBreak/>
              <w:t>îmbunătăţirea comunicării şi creşterea participării părţilor interesate în reforme;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ajustarea cadrului normativ de reglementare la necesităţile dezvoltării </w:t>
            </w:r>
            <w:r w:rsidR="00AC3B26">
              <w:rPr>
                <w:color w:val="000000" w:themeColor="text1"/>
                <w:szCs w:val="22"/>
              </w:rPr>
              <w:t>întreprinderilor mici şi mijlocii</w:t>
            </w:r>
            <w:r w:rsidRPr="007C37AF">
              <w:rPr>
                <w:color w:val="000000" w:themeColor="text1"/>
                <w:szCs w:val="22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îmbunătăţirea accesului</w:t>
            </w:r>
            <w:r w:rsidR="00E811C4">
              <w:rPr>
                <w:color w:val="000000" w:themeColor="text1"/>
                <w:szCs w:val="22"/>
              </w:rPr>
              <w:t xml:space="preserve"> întreprinderilor mici şi mijlocii</w:t>
            </w:r>
            <w:r w:rsidRPr="007C37AF">
              <w:rPr>
                <w:color w:val="000000" w:themeColor="text1"/>
                <w:szCs w:val="22"/>
              </w:rPr>
              <w:t xml:space="preserve"> la finanţare;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capitalului uman prin promovarea competenţelor şi culturii antreprenoriale;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sporirea competitivităţii </w:t>
            </w:r>
            <w:r w:rsidR="00AC3B26">
              <w:rPr>
                <w:color w:val="000000" w:themeColor="text1"/>
                <w:szCs w:val="22"/>
              </w:rPr>
              <w:t>întreprinderilor mici şi mijlocii</w:t>
            </w:r>
            <w:r w:rsidR="00AC3B26" w:rsidRPr="007C37AF">
              <w:rPr>
                <w:color w:val="000000" w:themeColor="text1"/>
                <w:szCs w:val="22"/>
              </w:rPr>
              <w:t xml:space="preserve"> </w:t>
            </w:r>
            <w:r w:rsidRPr="007C37AF">
              <w:rPr>
                <w:color w:val="000000" w:themeColor="text1"/>
                <w:szCs w:val="22"/>
              </w:rPr>
              <w:t>şi încurajarea spiritului inovator;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facilitarea dezvoltării </w:t>
            </w:r>
            <w:r w:rsidR="00AC3B26">
              <w:rPr>
                <w:color w:val="000000" w:themeColor="text1"/>
                <w:szCs w:val="22"/>
              </w:rPr>
              <w:t>întreprinderilor mici şi mijlocii</w:t>
            </w:r>
            <w:r w:rsidR="00AC3B26" w:rsidRPr="007C37AF">
              <w:rPr>
                <w:color w:val="000000" w:themeColor="text1"/>
                <w:szCs w:val="22"/>
              </w:rPr>
              <w:t xml:space="preserve"> </w:t>
            </w:r>
            <w:r w:rsidRPr="007C37AF">
              <w:rPr>
                <w:color w:val="000000" w:themeColor="text1"/>
                <w:szCs w:val="22"/>
              </w:rPr>
              <w:t>în regiuni;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dezvoltarea parteneriatelor în afaceri;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sporirea competitivității întreprinderilor care exportă produse;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extinderea şi diversificarea pieţelor de desfacere la export;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atragerea investiţiilor în economia ţării</w:t>
            </w:r>
            <w:r w:rsidR="00AC3B26">
              <w:rPr>
                <w:color w:val="000000" w:themeColor="text1"/>
                <w:szCs w:val="22"/>
              </w:rPr>
              <w:t>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modernizarea ramurilor tradiţionale ale industriei;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şi dezv</w:t>
            </w:r>
            <w:r w:rsidR="00AC3B26">
              <w:rPr>
                <w:color w:val="000000" w:themeColor="text1"/>
                <w:szCs w:val="22"/>
              </w:rPr>
              <w:t>oltarea sectoarelor industriale</w:t>
            </w:r>
            <w:r w:rsidRPr="007C37AF">
              <w:rPr>
                <w:color w:val="000000" w:themeColor="text1"/>
                <w:szCs w:val="22"/>
              </w:rPr>
              <w:t xml:space="preserve"> bazate pe utilizarea tehnologiilor moderne, </w:t>
            </w:r>
            <w:proofErr w:type="spellStart"/>
            <w:r w:rsidRPr="007C37AF">
              <w:rPr>
                <w:color w:val="000000" w:themeColor="text1"/>
                <w:szCs w:val="22"/>
              </w:rPr>
              <w:t>scientointensive</w:t>
            </w:r>
            <w:proofErr w:type="spellEnd"/>
            <w:r w:rsidR="00AC3B26">
              <w:rPr>
                <w:color w:val="000000" w:themeColor="text1"/>
                <w:szCs w:val="22"/>
              </w:rPr>
              <w:t>,</w:t>
            </w:r>
            <w:r w:rsidRPr="007C37AF">
              <w:rPr>
                <w:color w:val="000000" w:themeColor="text1"/>
                <w:szCs w:val="22"/>
              </w:rPr>
              <w:t xml:space="preserve"> care să reprezinte centre de integrare industrială (de producere) a întreprinderilor mici şi mijlocii;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creşterea eficienţei utilizării resurselor umane, materiale şi financiare </w:t>
            </w:r>
            <w:r w:rsidR="00AC3B26">
              <w:rPr>
                <w:color w:val="000000" w:themeColor="text1"/>
                <w:szCs w:val="22"/>
              </w:rPr>
              <w:t>pe</w:t>
            </w:r>
            <w:r w:rsidRPr="007C37AF">
              <w:rPr>
                <w:color w:val="000000" w:themeColor="text1"/>
                <w:szCs w:val="22"/>
              </w:rPr>
              <w:t xml:space="preserve"> baza utilizării tehnologiilor avansate în pr</w:t>
            </w:r>
            <w:r w:rsidR="00AC3B26">
              <w:rPr>
                <w:color w:val="000000" w:themeColor="text1"/>
                <w:szCs w:val="22"/>
              </w:rPr>
              <w:t>ocesul de producţie industrială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</w:tr>
      <w:tr w:rsidR="00702791" w:rsidRPr="007C37AF" w:rsidTr="007C37AF">
        <w:tc>
          <w:tcPr>
            <w:tcW w:w="1844" w:type="dxa"/>
          </w:tcPr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</w:pPr>
          </w:p>
          <w:p w:rsidR="00702791" w:rsidRPr="007C37AF" w:rsidRDefault="00702791" w:rsidP="007C37A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C37A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ro-RO"/>
              </w:rPr>
              <w:t>Sectorul energetic</w:t>
            </w:r>
          </w:p>
        </w:tc>
        <w:tc>
          <w:tcPr>
            <w:tcW w:w="5103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dependenţa tot mai mare de importul resurselor energetice (95% din necesarul de energie al ţării este importat);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insuficienţa interconexiunilor electroenergetice cu ţările vecine;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 xml:space="preserve">reducerea sarcinii termice şi </w:t>
            </w:r>
            <w:r w:rsidR="00AC3B26">
              <w:rPr>
                <w:color w:val="000000" w:themeColor="text1"/>
                <w:szCs w:val="22"/>
              </w:rPr>
              <w:t xml:space="preserve">a </w:t>
            </w:r>
            <w:r w:rsidRPr="007C37AF">
              <w:rPr>
                <w:color w:val="000000" w:themeColor="text1"/>
                <w:szCs w:val="22"/>
              </w:rPr>
              <w:t>consumului de gaze naturale;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uzura fizică şi morală avansată a infrastructurii complexului energetic;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nivelul scăzut al eficienţei energetice și nivelul redus de valorificare a surselor regenerabile de energie etc.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0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</w:p>
        </w:tc>
        <w:tc>
          <w:tcPr>
            <w:tcW w:w="7229" w:type="dxa"/>
          </w:tcPr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interconectarea sistemelor de transport a</w:t>
            </w:r>
            <w:r w:rsidR="00AC3B26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gazelor naturale ale Rom</w:t>
            </w:r>
            <w:r w:rsidR="007C37AF">
              <w:rPr>
                <w:color w:val="000000" w:themeColor="text1"/>
                <w:szCs w:val="22"/>
              </w:rPr>
              <w:t>â</w:t>
            </w:r>
            <w:r w:rsidRPr="007C37AF">
              <w:rPr>
                <w:color w:val="000000" w:themeColor="text1"/>
                <w:szCs w:val="22"/>
              </w:rPr>
              <w:t xml:space="preserve">niei şi Republicii Moldova pe </w:t>
            </w:r>
            <w:r w:rsidR="00AC3B26">
              <w:rPr>
                <w:color w:val="000000" w:themeColor="text1"/>
                <w:szCs w:val="22"/>
              </w:rPr>
              <w:t>tronsonul</w:t>
            </w:r>
            <w:r w:rsidRPr="007C37AF">
              <w:rPr>
                <w:color w:val="000000" w:themeColor="text1"/>
                <w:szCs w:val="22"/>
              </w:rPr>
              <w:t xml:space="preserve"> Ungheni-Chişinău;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stimularea investiţiilor în dezvoltarea reţelei de transport a</w:t>
            </w:r>
            <w:r w:rsidR="00E811C4">
              <w:rPr>
                <w:color w:val="000000" w:themeColor="text1"/>
                <w:szCs w:val="22"/>
              </w:rPr>
              <w:t>l</w:t>
            </w:r>
            <w:bookmarkStart w:id="0" w:name="_GoBack"/>
            <w:bookmarkEnd w:id="0"/>
            <w:r w:rsidRPr="007C37AF">
              <w:rPr>
                <w:color w:val="000000" w:themeColor="text1"/>
                <w:szCs w:val="22"/>
              </w:rPr>
              <w:t xml:space="preserve"> energiei electrice, restabilirea şi modernizarea liniilor de interconexiune cu Ucraina; extinderea capacităţii de interconexiune cu Rom</w:t>
            </w:r>
            <w:r w:rsidR="007C37AF">
              <w:rPr>
                <w:color w:val="000000" w:themeColor="text1"/>
                <w:szCs w:val="22"/>
              </w:rPr>
              <w:t>â</w:t>
            </w:r>
            <w:r w:rsidRPr="007C37AF">
              <w:rPr>
                <w:color w:val="000000" w:themeColor="text1"/>
                <w:szCs w:val="22"/>
              </w:rPr>
              <w:t>nia, conectarea la reţeaua europeană a operatorilor de sistem şi de transport a</w:t>
            </w:r>
            <w:r w:rsidR="00AC3B26">
              <w:rPr>
                <w:color w:val="000000" w:themeColor="text1"/>
                <w:szCs w:val="22"/>
              </w:rPr>
              <w:t>l</w:t>
            </w:r>
            <w:r w:rsidRPr="007C37AF">
              <w:rPr>
                <w:color w:val="000000" w:themeColor="text1"/>
                <w:szCs w:val="22"/>
              </w:rPr>
              <w:t xml:space="preserve"> energiei electrice;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crearea unei platforme de generare a energiei electrice şi termice prin asigurarea retehnologizării şi încălzirii centralizate eficiente, cu utilizarea tehnologiei de cogenerare;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promovarea conservării energiei, în special prin elaborarea şi susţinerea financiară a programelor de reabilitare termică a edificiilor;</w:t>
            </w:r>
          </w:p>
          <w:p w:rsidR="00702791" w:rsidRPr="007C37AF" w:rsidRDefault="00702791" w:rsidP="007C37AF">
            <w:pPr>
              <w:pStyle w:val="Corptext"/>
              <w:numPr>
                <w:ilvl w:val="0"/>
                <w:numId w:val="2"/>
              </w:numPr>
              <w:spacing w:after="0"/>
              <w:ind w:left="124" w:hanging="142"/>
              <w:rPr>
                <w:color w:val="000000" w:themeColor="text1"/>
                <w:szCs w:val="22"/>
              </w:rPr>
            </w:pPr>
            <w:r w:rsidRPr="007C37AF">
              <w:rPr>
                <w:color w:val="000000" w:themeColor="text1"/>
                <w:szCs w:val="22"/>
              </w:rPr>
              <w:t>îmbunătăţirea eficienţei energetice şi creşterea utilizării s</w:t>
            </w:r>
            <w:r w:rsidR="00AC3B26">
              <w:rPr>
                <w:color w:val="000000" w:themeColor="text1"/>
                <w:szCs w:val="22"/>
              </w:rPr>
              <w:t>urselor regenerabile de energie</w:t>
            </w:r>
          </w:p>
        </w:tc>
      </w:tr>
    </w:tbl>
    <w:p w:rsidR="00F26F02" w:rsidRPr="007C37AF" w:rsidRDefault="00F26F02" w:rsidP="00F26F02">
      <w:pPr>
        <w:rPr>
          <w:rFonts w:ascii="Times New Roman" w:hAnsi="Times New Roman" w:cs="Times New Roman"/>
          <w:color w:val="000000" w:themeColor="text1"/>
          <w:lang w:val="ro-RO"/>
        </w:rPr>
      </w:pPr>
    </w:p>
    <w:p w:rsidR="00CE7BDC" w:rsidRPr="007C37AF" w:rsidRDefault="00CE7BDC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CE7BDC" w:rsidRPr="007C37AF" w:rsidSect="00AC3B26">
      <w:headerReference w:type="default" r:id="rId9"/>
      <w:footerReference w:type="default" r:id="rId10"/>
      <w:pgSz w:w="15840" w:h="12240" w:orient="landscape"/>
      <w:pgMar w:top="68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C4" w:rsidRDefault="00E811C4" w:rsidP="00B36AE4">
      <w:pPr>
        <w:spacing w:after="0" w:line="240" w:lineRule="auto"/>
      </w:pPr>
      <w:r>
        <w:separator/>
      </w:r>
    </w:p>
  </w:endnote>
  <w:endnote w:type="continuationSeparator" w:id="0">
    <w:p w:rsidR="00E811C4" w:rsidRDefault="00E811C4" w:rsidP="00B3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4" w:rsidRPr="00AC3B26" w:rsidRDefault="00E811C4">
    <w:pPr>
      <w:pStyle w:val="Subsol"/>
      <w:rPr>
        <w:rFonts w:ascii="Times New Roman" w:hAnsi="Times New Roman" w:cs="Times New Roman"/>
        <w:sz w:val="18"/>
        <w:szCs w:val="18"/>
      </w:rPr>
    </w:pPr>
    <w:r w:rsidRPr="00AC3B26">
      <w:rPr>
        <w:rFonts w:ascii="Times New Roman" w:hAnsi="Times New Roman" w:cs="Times New Roman"/>
        <w:sz w:val="18"/>
        <w:szCs w:val="18"/>
      </w:rPr>
      <w:fldChar w:fldCharType="begin"/>
    </w:r>
    <w:r w:rsidRPr="00AC3B26">
      <w:rPr>
        <w:rFonts w:ascii="Times New Roman" w:hAnsi="Times New Roman" w:cs="Times New Roman"/>
        <w:sz w:val="18"/>
        <w:szCs w:val="18"/>
      </w:rPr>
      <w:instrText xml:space="preserve"> FILENAME  \p  \* MERGEFORMAT </w:instrText>
    </w:r>
    <w:r w:rsidRPr="00AC3B26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Y:\Tatiana\Doc_2016\Anexe\An_9_cadru-bugetar.docx</w:t>
    </w:r>
    <w:r w:rsidRPr="00AC3B26">
      <w:rPr>
        <w:rFonts w:ascii="Times New Roman" w:hAnsi="Times New Roman" w:cs="Times New Roman"/>
        <w:sz w:val="18"/>
        <w:szCs w:val="18"/>
      </w:rPr>
      <w:fldChar w:fldCharType="end"/>
    </w:r>
  </w:p>
  <w:p w:rsidR="00E811C4" w:rsidRDefault="00E811C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C4" w:rsidRDefault="00E811C4" w:rsidP="00B36AE4">
      <w:pPr>
        <w:spacing w:after="0" w:line="240" w:lineRule="auto"/>
      </w:pPr>
      <w:r>
        <w:separator/>
      </w:r>
    </w:p>
  </w:footnote>
  <w:footnote w:type="continuationSeparator" w:id="0">
    <w:p w:rsidR="00E811C4" w:rsidRDefault="00E811C4" w:rsidP="00B3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967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11C4" w:rsidRDefault="00E811C4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0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11C4" w:rsidRDefault="00E811C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4FEF"/>
    <w:multiLevelType w:val="hybridMultilevel"/>
    <w:tmpl w:val="850A6348"/>
    <w:lvl w:ilvl="0" w:tplc="D79274A6">
      <w:start w:val="1"/>
      <w:numFmt w:val="bullet"/>
      <w:lvlText w:val=""/>
      <w:lvlJc w:val="left"/>
      <w:pPr>
        <w:ind w:left="-53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</w:abstractNum>
  <w:abstractNum w:abstractNumId="1">
    <w:nsid w:val="76533175"/>
    <w:multiLevelType w:val="hybridMultilevel"/>
    <w:tmpl w:val="2382B5C2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7E322837"/>
    <w:multiLevelType w:val="hybridMultilevel"/>
    <w:tmpl w:val="44444508"/>
    <w:lvl w:ilvl="0" w:tplc="C8E8E6D6">
      <w:start w:val="1"/>
      <w:numFmt w:val="bullet"/>
      <w:pStyle w:val="Corptext"/>
      <w:lvlText w:val=""/>
      <w:lvlJc w:val="left"/>
      <w:pPr>
        <w:tabs>
          <w:tab w:val="num" w:pos="1352"/>
        </w:tabs>
        <w:ind w:left="1135" w:firstLine="0"/>
      </w:pPr>
      <w:rPr>
        <w:rFonts w:ascii="Symbol" w:hAnsi="Symbol" w:hint="default"/>
        <w:b/>
        <w:i w:val="0"/>
        <w:strike w:val="0"/>
        <w:dstrike w:val="0"/>
        <w:color w:val="auto"/>
        <w:sz w:val="20"/>
        <w:szCs w:val="20"/>
        <w:lang w:val="ro-R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</w:lvl>
    <w:lvl w:ilvl="3" w:tplc="0409000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</w:lvl>
    <w:lvl w:ilvl="4" w:tplc="41025432">
      <w:start w:val="1"/>
      <w:numFmt w:val="decimal"/>
      <w:lvlText w:val="(%5)"/>
      <w:lvlJc w:val="left"/>
      <w:pPr>
        <w:ind w:left="2645" w:hanging="375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C"/>
    <w:rsid w:val="0002589E"/>
    <w:rsid w:val="00027FA9"/>
    <w:rsid w:val="00032D65"/>
    <w:rsid w:val="000551E4"/>
    <w:rsid w:val="00062330"/>
    <w:rsid w:val="00070113"/>
    <w:rsid w:val="000730DA"/>
    <w:rsid w:val="00082CC2"/>
    <w:rsid w:val="00093E90"/>
    <w:rsid w:val="000B4005"/>
    <w:rsid w:val="000C4D75"/>
    <w:rsid w:val="000D7050"/>
    <w:rsid w:val="000E1BC1"/>
    <w:rsid w:val="00102A1C"/>
    <w:rsid w:val="00107859"/>
    <w:rsid w:val="001170C3"/>
    <w:rsid w:val="00121896"/>
    <w:rsid w:val="00140B5C"/>
    <w:rsid w:val="00142B8D"/>
    <w:rsid w:val="00143388"/>
    <w:rsid w:val="0014430A"/>
    <w:rsid w:val="0014695D"/>
    <w:rsid w:val="00170DA6"/>
    <w:rsid w:val="00183BCF"/>
    <w:rsid w:val="00196572"/>
    <w:rsid w:val="00196B68"/>
    <w:rsid w:val="001A15FC"/>
    <w:rsid w:val="001A4F7E"/>
    <w:rsid w:val="001A5DB3"/>
    <w:rsid w:val="001A695A"/>
    <w:rsid w:val="001B1168"/>
    <w:rsid w:val="001C3812"/>
    <w:rsid w:val="001C42CE"/>
    <w:rsid w:val="001D70DE"/>
    <w:rsid w:val="00224D67"/>
    <w:rsid w:val="00232756"/>
    <w:rsid w:val="002401FC"/>
    <w:rsid w:val="00240BAB"/>
    <w:rsid w:val="00254149"/>
    <w:rsid w:val="00261133"/>
    <w:rsid w:val="002A2BA1"/>
    <w:rsid w:val="002B0910"/>
    <w:rsid w:val="002D3C18"/>
    <w:rsid w:val="002D3DD6"/>
    <w:rsid w:val="002F1E3D"/>
    <w:rsid w:val="002F7F2C"/>
    <w:rsid w:val="00323D3D"/>
    <w:rsid w:val="003347C1"/>
    <w:rsid w:val="00353112"/>
    <w:rsid w:val="0036518F"/>
    <w:rsid w:val="00382A2E"/>
    <w:rsid w:val="00387BE6"/>
    <w:rsid w:val="003900BC"/>
    <w:rsid w:val="00392153"/>
    <w:rsid w:val="0039219D"/>
    <w:rsid w:val="003C2314"/>
    <w:rsid w:val="003C4E9A"/>
    <w:rsid w:val="003D709A"/>
    <w:rsid w:val="003E1A6B"/>
    <w:rsid w:val="00447963"/>
    <w:rsid w:val="004848FE"/>
    <w:rsid w:val="004856B0"/>
    <w:rsid w:val="00486FF5"/>
    <w:rsid w:val="004B0A8E"/>
    <w:rsid w:val="004C04A3"/>
    <w:rsid w:val="004F2D49"/>
    <w:rsid w:val="004F32D5"/>
    <w:rsid w:val="00526E07"/>
    <w:rsid w:val="005527E0"/>
    <w:rsid w:val="00565A6C"/>
    <w:rsid w:val="00591A75"/>
    <w:rsid w:val="005A0E8A"/>
    <w:rsid w:val="005B1D81"/>
    <w:rsid w:val="005B2A62"/>
    <w:rsid w:val="005B4120"/>
    <w:rsid w:val="005D5F20"/>
    <w:rsid w:val="00604606"/>
    <w:rsid w:val="00604D27"/>
    <w:rsid w:val="00605F01"/>
    <w:rsid w:val="00645A0C"/>
    <w:rsid w:val="00645DEE"/>
    <w:rsid w:val="006479B1"/>
    <w:rsid w:val="00663A50"/>
    <w:rsid w:val="00671662"/>
    <w:rsid w:val="00680DEC"/>
    <w:rsid w:val="00681602"/>
    <w:rsid w:val="00681CB7"/>
    <w:rsid w:val="0068298F"/>
    <w:rsid w:val="006A0AFA"/>
    <w:rsid w:val="006A4BC7"/>
    <w:rsid w:val="006E336D"/>
    <w:rsid w:val="006E5314"/>
    <w:rsid w:val="00702791"/>
    <w:rsid w:val="00702AE0"/>
    <w:rsid w:val="00702FA1"/>
    <w:rsid w:val="00704B2E"/>
    <w:rsid w:val="00717449"/>
    <w:rsid w:val="00723D3A"/>
    <w:rsid w:val="00732BA4"/>
    <w:rsid w:val="0073600D"/>
    <w:rsid w:val="007718C8"/>
    <w:rsid w:val="00776E8E"/>
    <w:rsid w:val="00783CEA"/>
    <w:rsid w:val="0079288E"/>
    <w:rsid w:val="007B0344"/>
    <w:rsid w:val="007B1409"/>
    <w:rsid w:val="007C37AF"/>
    <w:rsid w:val="007D29B6"/>
    <w:rsid w:val="007D3884"/>
    <w:rsid w:val="007D3986"/>
    <w:rsid w:val="00805BC2"/>
    <w:rsid w:val="00807773"/>
    <w:rsid w:val="00812692"/>
    <w:rsid w:val="00812DF3"/>
    <w:rsid w:val="00887F3C"/>
    <w:rsid w:val="00892112"/>
    <w:rsid w:val="008C37F4"/>
    <w:rsid w:val="008C416F"/>
    <w:rsid w:val="008E66E0"/>
    <w:rsid w:val="009015B6"/>
    <w:rsid w:val="00907880"/>
    <w:rsid w:val="00916598"/>
    <w:rsid w:val="00922C21"/>
    <w:rsid w:val="00926055"/>
    <w:rsid w:val="00937CB4"/>
    <w:rsid w:val="009411F3"/>
    <w:rsid w:val="0094224A"/>
    <w:rsid w:val="0095133B"/>
    <w:rsid w:val="00956129"/>
    <w:rsid w:val="0097262A"/>
    <w:rsid w:val="009B31F6"/>
    <w:rsid w:val="009E6BD6"/>
    <w:rsid w:val="009F5668"/>
    <w:rsid w:val="00A17FC9"/>
    <w:rsid w:val="00A47444"/>
    <w:rsid w:val="00A52F3B"/>
    <w:rsid w:val="00A7567D"/>
    <w:rsid w:val="00A9455B"/>
    <w:rsid w:val="00AB6AB0"/>
    <w:rsid w:val="00AC3B26"/>
    <w:rsid w:val="00AD3D88"/>
    <w:rsid w:val="00AD58BA"/>
    <w:rsid w:val="00AE3BAC"/>
    <w:rsid w:val="00B0252A"/>
    <w:rsid w:val="00B157C5"/>
    <w:rsid w:val="00B15830"/>
    <w:rsid w:val="00B36AE4"/>
    <w:rsid w:val="00B566E1"/>
    <w:rsid w:val="00B56851"/>
    <w:rsid w:val="00B60710"/>
    <w:rsid w:val="00B61B0E"/>
    <w:rsid w:val="00B62AB2"/>
    <w:rsid w:val="00B96E01"/>
    <w:rsid w:val="00BA2970"/>
    <w:rsid w:val="00BB524D"/>
    <w:rsid w:val="00BF6F51"/>
    <w:rsid w:val="00C12A6D"/>
    <w:rsid w:val="00C20FA0"/>
    <w:rsid w:val="00C328DC"/>
    <w:rsid w:val="00C521EA"/>
    <w:rsid w:val="00C60399"/>
    <w:rsid w:val="00CA4DE7"/>
    <w:rsid w:val="00CE2455"/>
    <w:rsid w:val="00CE7AAC"/>
    <w:rsid w:val="00CE7BDC"/>
    <w:rsid w:val="00CF4C1E"/>
    <w:rsid w:val="00D40BDF"/>
    <w:rsid w:val="00D42478"/>
    <w:rsid w:val="00D520B0"/>
    <w:rsid w:val="00DE6B08"/>
    <w:rsid w:val="00DF0AC3"/>
    <w:rsid w:val="00DF48A3"/>
    <w:rsid w:val="00E16F52"/>
    <w:rsid w:val="00E4519B"/>
    <w:rsid w:val="00E4593F"/>
    <w:rsid w:val="00E53A75"/>
    <w:rsid w:val="00E772B5"/>
    <w:rsid w:val="00E811C4"/>
    <w:rsid w:val="00E9687A"/>
    <w:rsid w:val="00EA233A"/>
    <w:rsid w:val="00EB21B6"/>
    <w:rsid w:val="00EB682A"/>
    <w:rsid w:val="00EC07E1"/>
    <w:rsid w:val="00ED1FFD"/>
    <w:rsid w:val="00ED56CA"/>
    <w:rsid w:val="00F05B62"/>
    <w:rsid w:val="00F26F02"/>
    <w:rsid w:val="00F609FF"/>
    <w:rsid w:val="00F7023A"/>
    <w:rsid w:val="00F74C23"/>
    <w:rsid w:val="00F818CC"/>
    <w:rsid w:val="00F846E0"/>
    <w:rsid w:val="00F95B76"/>
    <w:rsid w:val="00FC71FB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970"/>
    <w:pPr>
      <w:tabs>
        <w:tab w:val="center" w:pos="4844"/>
        <w:tab w:val="right" w:pos="9689"/>
      </w:tabs>
      <w:spacing w:after="0" w:line="240" w:lineRule="auto"/>
    </w:pPr>
    <w:rPr>
      <w:rFonts w:ascii="Calibri" w:hAnsi="Calibri" w:cs="Calibri"/>
    </w:rPr>
  </w:style>
  <w:style w:type="character" w:customStyle="1" w:styleId="AntetCaracter">
    <w:name w:val="Antet Caracter"/>
    <w:basedOn w:val="Fontdeparagrafimplicit"/>
    <w:link w:val="Antet"/>
    <w:uiPriority w:val="99"/>
    <w:rsid w:val="00BA2970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BA2970"/>
    <w:pPr>
      <w:tabs>
        <w:tab w:val="center" w:pos="4844"/>
        <w:tab w:val="right" w:pos="9689"/>
      </w:tabs>
      <w:spacing w:after="0" w:line="240" w:lineRule="auto"/>
    </w:pPr>
    <w:rPr>
      <w:rFonts w:ascii="Calibri" w:hAnsi="Calibri" w:cs="Calibri"/>
    </w:rPr>
  </w:style>
  <w:style w:type="character" w:customStyle="1" w:styleId="SubsolCaracter">
    <w:name w:val="Subsol Caracter"/>
    <w:basedOn w:val="Fontdeparagrafimplicit"/>
    <w:link w:val="Subsol"/>
    <w:uiPriority w:val="99"/>
    <w:rsid w:val="00BA2970"/>
    <w:rPr>
      <w:rFonts w:ascii="Calibri" w:hAnsi="Calibri" w:cs="Calibri"/>
    </w:rPr>
  </w:style>
  <w:style w:type="table" w:styleId="GrilTabel">
    <w:name w:val="Table Grid"/>
    <w:basedOn w:val="TabelNormal"/>
    <w:uiPriority w:val="59"/>
    <w:rsid w:val="00CE7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CE7BDC"/>
    <w:pPr>
      <w:numPr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E7BDC"/>
    <w:rPr>
      <w:rFonts w:ascii="Times New Roman" w:eastAsia="Times New Roman" w:hAnsi="Times New Roman" w:cs="Times New Roman"/>
      <w:szCs w:val="20"/>
      <w:lang w:val="ro-RO"/>
    </w:rPr>
  </w:style>
  <w:style w:type="character" w:styleId="Hyperlink">
    <w:name w:val="Hyperlink"/>
    <w:basedOn w:val="Fontdeparagrafimplicit"/>
    <w:uiPriority w:val="99"/>
    <w:rsid w:val="00EB21B6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EB21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486FF5"/>
    <w:pPr>
      <w:ind w:left="720"/>
      <w:contextualSpacing/>
    </w:pPr>
  </w:style>
  <w:style w:type="paragraph" w:customStyle="1" w:styleId="Default">
    <w:name w:val="Default"/>
    <w:rsid w:val="00EA2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970"/>
    <w:pPr>
      <w:tabs>
        <w:tab w:val="center" w:pos="4844"/>
        <w:tab w:val="right" w:pos="9689"/>
      </w:tabs>
      <w:spacing w:after="0" w:line="240" w:lineRule="auto"/>
    </w:pPr>
    <w:rPr>
      <w:rFonts w:ascii="Calibri" w:hAnsi="Calibri" w:cs="Calibri"/>
    </w:rPr>
  </w:style>
  <w:style w:type="character" w:customStyle="1" w:styleId="AntetCaracter">
    <w:name w:val="Antet Caracter"/>
    <w:basedOn w:val="Fontdeparagrafimplicit"/>
    <w:link w:val="Antet"/>
    <w:uiPriority w:val="99"/>
    <w:rsid w:val="00BA2970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BA2970"/>
    <w:pPr>
      <w:tabs>
        <w:tab w:val="center" w:pos="4844"/>
        <w:tab w:val="right" w:pos="9689"/>
      </w:tabs>
      <w:spacing w:after="0" w:line="240" w:lineRule="auto"/>
    </w:pPr>
    <w:rPr>
      <w:rFonts w:ascii="Calibri" w:hAnsi="Calibri" w:cs="Calibri"/>
    </w:rPr>
  </w:style>
  <w:style w:type="character" w:customStyle="1" w:styleId="SubsolCaracter">
    <w:name w:val="Subsol Caracter"/>
    <w:basedOn w:val="Fontdeparagrafimplicit"/>
    <w:link w:val="Subsol"/>
    <w:uiPriority w:val="99"/>
    <w:rsid w:val="00BA2970"/>
    <w:rPr>
      <w:rFonts w:ascii="Calibri" w:hAnsi="Calibri" w:cs="Calibri"/>
    </w:rPr>
  </w:style>
  <w:style w:type="table" w:styleId="GrilTabel">
    <w:name w:val="Table Grid"/>
    <w:basedOn w:val="TabelNormal"/>
    <w:uiPriority w:val="59"/>
    <w:rsid w:val="00CE7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CE7BDC"/>
    <w:pPr>
      <w:numPr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E7BDC"/>
    <w:rPr>
      <w:rFonts w:ascii="Times New Roman" w:eastAsia="Times New Roman" w:hAnsi="Times New Roman" w:cs="Times New Roman"/>
      <w:szCs w:val="20"/>
      <w:lang w:val="ro-RO"/>
    </w:rPr>
  </w:style>
  <w:style w:type="character" w:styleId="Hyperlink">
    <w:name w:val="Hyperlink"/>
    <w:basedOn w:val="Fontdeparagrafimplicit"/>
    <w:uiPriority w:val="99"/>
    <w:rsid w:val="00EB21B6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EB21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34"/>
    <w:qFormat/>
    <w:rsid w:val="00486FF5"/>
    <w:pPr>
      <w:ind w:left="720"/>
      <w:contextualSpacing/>
    </w:pPr>
  </w:style>
  <w:style w:type="paragraph" w:customStyle="1" w:styleId="Default">
    <w:name w:val="Default"/>
    <w:rsid w:val="00EA2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490C-A1CE-4194-8693-7445613A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4608</Words>
  <Characters>26271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 Dina</dc:creator>
  <cp:lastModifiedBy>operator</cp:lastModifiedBy>
  <cp:revision>4</cp:revision>
  <cp:lastPrinted>2016-09-13T13:17:00Z</cp:lastPrinted>
  <dcterms:created xsi:type="dcterms:W3CDTF">2016-09-12T11:43:00Z</dcterms:created>
  <dcterms:modified xsi:type="dcterms:W3CDTF">2016-09-13T13:18:00Z</dcterms:modified>
</cp:coreProperties>
</file>