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6" w:rsidRPr="005D3F73" w:rsidRDefault="00476556" w:rsidP="00476556">
      <w:pPr>
        <w:spacing w:after="0"/>
        <w:ind w:left="10620"/>
        <w:rPr>
          <w:rFonts w:eastAsia="Calibri"/>
          <w:sz w:val="16"/>
          <w:szCs w:val="16"/>
          <w:lang w:val="ru-RU" w:eastAsia="en-US"/>
        </w:rPr>
      </w:pPr>
      <w:r w:rsidRPr="005D3F73">
        <w:rPr>
          <w:rFonts w:eastAsia="Calibri"/>
          <w:sz w:val="16"/>
          <w:szCs w:val="16"/>
          <w:lang w:val="ru-RU" w:eastAsia="en-US"/>
        </w:rPr>
        <w:t xml:space="preserve">                Приложение № 3</w:t>
      </w:r>
    </w:p>
    <w:p w:rsidR="00476556" w:rsidRPr="00DE39BF" w:rsidRDefault="00476556" w:rsidP="00476556">
      <w:pPr>
        <w:spacing w:after="0"/>
        <w:ind w:left="10620"/>
        <w:contextualSpacing/>
        <w:rPr>
          <w:sz w:val="16"/>
          <w:szCs w:val="16"/>
          <w:lang w:val="ru-RU"/>
        </w:rPr>
      </w:pPr>
      <w:r w:rsidRPr="005D3F73">
        <w:rPr>
          <w:sz w:val="16"/>
          <w:szCs w:val="16"/>
        </w:rPr>
        <w:t>к Постановлению Правительства</w:t>
      </w:r>
      <w:r w:rsidRPr="005D3F73">
        <w:rPr>
          <w:sz w:val="16"/>
          <w:szCs w:val="16"/>
          <w:lang w:val="ru-RU"/>
        </w:rPr>
        <w:t xml:space="preserve"> </w:t>
      </w:r>
    </w:p>
    <w:p w:rsidR="00476556" w:rsidRPr="005D3F73" w:rsidRDefault="00476556" w:rsidP="00476556">
      <w:pPr>
        <w:spacing w:after="0"/>
        <w:ind w:left="10620"/>
        <w:contextualSpacing/>
        <w:rPr>
          <w:sz w:val="16"/>
          <w:szCs w:val="16"/>
          <w:lang w:val="ru-RU"/>
        </w:rPr>
      </w:pPr>
      <w:r w:rsidRPr="005D3F73">
        <w:rPr>
          <w:sz w:val="16"/>
          <w:szCs w:val="16"/>
          <w:lang w:val="ru-RU"/>
        </w:rPr>
        <w:t>№</w:t>
      </w:r>
      <w:r w:rsidRPr="00DE39BF">
        <w:rPr>
          <w:sz w:val="16"/>
          <w:szCs w:val="16"/>
          <w:lang w:val="ru-RU"/>
        </w:rPr>
        <w:t xml:space="preserve"> 1160 </w:t>
      </w:r>
      <w:r w:rsidRPr="005D3F73">
        <w:rPr>
          <w:sz w:val="16"/>
          <w:szCs w:val="16"/>
        </w:rPr>
        <w:t>от</w:t>
      </w:r>
      <w:r>
        <w:rPr>
          <w:sz w:val="16"/>
          <w:szCs w:val="16"/>
        </w:rPr>
        <w:t xml:space="preserve"> 20 октября</w:t>
      </w:r>
      <w:r w:rsidRPr="005D3F73">
        <w:rPr>
          <w:sz w:val="16"/>
          <w:szCs w:val="16"/>
        </w:rPr>
        <w:t xml:space="preserve"> 2016 г</w:t>
      </w:r>
      <w:r w:rsidRPr="005D3F73">
        <w:rPr>
          <w:sz w:val="16"/>
          <w:szCs w:val="16"/>
          <w:lang w:val="ru-RU"/>
        </w:rPr>
        <w:t>.</w:t>
      </w:r>
    </w:p>
    <w:tbl>
      <w:tblPr>
        <w:tblStyle w:val="TableGrid1"/>
        <w:tblpPr w:leftFromText="180" w:rightFromText="180" w:vertAnchor="page" w:horzAnchor="margin" w:tblpY="1941"/>
        <w:tblW w:w="15080" w:type="dxa"/>
        <w:tblLayout w:type="fixed"/>
        <w:tblLook w:val="04A0"/>
      </w:tblPr>
      <w:tblGrid>
        <w:gridCol w:w="534"/>
        <w:gridCol w:w="1107"/>
        <w:gridCol w:w="1246"/>
        <w:gridCol w:w="1181"/>
        <w:gridCol w:w="990"/>
        <w:gridCol w:w="900"/>
        <w:gridCol w:w="726"/>
        <w:gridCol w:w="984"/>
        <w:gridCol w:w="900"/>
        <w:gridCol w:w="1710"/>
        <w:gridCol w:w="1224"/>
        <w:gridCol w:w="743"/>
        <w:gridCol w:w="567"/>
        <w:gridCol w:w="567"/>
        <w:gridCol w:w="567"/>
        <w:gridCol w:w="567"/>
        <w:gridCol w:w="567"/>
      </w:tblGrid>
      <w:tr w:rsidR="00476556" w:rsidRPr="005D3F73" w:rsidTr="0032302E">
        <w:tc>
          <w:tcPr>
            <w:tcW w:w="15080" w:type="dxa"/>
            <w:gridSpan w:val="17"/>
            <w:tcBorders>
              <w:top w:val="nil"/>
              <w:left w:val="nil"/>
              <w:right w:val="nil"/>
            </w:tcBorders>
          </w:tcPr>
          <w:p w:rsidR="00476556" w:rsidRPr="005D3F73" w:rsidRDefault="00476556" w:rsidP="0032302E">
            <w:pPr>
              <w:spacing w:after="0"/>
              <w:ind w:left="1080"/>
              <w:contextualSpacing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92311C">
              <w:rPr>
                <w:rFonts w:eastAsia="Calibri"/>
                <w:b/>
                <w:lang w:val="ru-RU" w:eastAsia="en-US"/>
              </w:rPr>
              <w:t xml:space="preserve">Показатели деятельности  по мониторингу, оценке и отчетности  Программы </w:t>
            </w:r>
          </w:p>
        </w:tc>
      </w:tr>
      <w:tr w:rsidR="00476556" w:rsidRPr="005D3F73" w:rsidTr="0032302E">
        <w:tc>
          <w:tcPr>
            <w:tcW w:w="15080" w:type="dxa"/>
            <w:gridSpan w:val="17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en-US" w:eastAsia="en-US"/>
              </w:rPr>
              <w:t>I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.  Показатели воздействия и результата</w:t>
            </w:r>
          </w:p>
        </w:tc>
      </w:tr>
      <w:tr w:rsidR="00476556" w:rsidRPr="005D3F73" w:rsidTr="0032302E">
        <w:tc>
          <w:tcPr>
            <w:tcW w:w="534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№</w:t>
            </w:r>
          </w:p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п/п</w:t>
            </w:r>
          </w:p>
        </w:tc>
        <w:tc>
          <w:tcPr>
            <w:tcW w:w="110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Наименова-ние п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оказател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я</w:t>
            </w:r>
          </w:p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Числитель</w:t>
            </w:r>
          </w:p>
        </w:tc>
        <w:tc>
          <w:tcPr>
            <w:tcW w:w="1181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Знаменатель</w:t>
            </w:r>
          </w:p>
        </w:tc>
        <w:tc>
          <w:tcPr>
            <w:tcW w:w="990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Уровни разбивки данных</w:t>
            </w:r>
          </w:p>
        </w:tc>
        <w:tc>
          <w:tcPr>
            <w:tcW w:w="900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Инстру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мент сбора данных/</w:t>
            </w:r>
          </w:p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сточ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ник</w:t>
            </w:r>
          </w:p>
        </w:tc>
        <w:tc>
          <w:tcPr>
            <w:tcW w:w="726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Периодич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ность отчет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ности</w:t>
            </w:r>
          </w:p>
        </w:tc>
        <w:tc>
          <w:tcPr>
            <w:tcW w:w="984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Ответ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ст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венность за сбор данных</w:t>
            </w:r>
          </w:p>
        </w:tc>
        <w:tc>
          <w:tcPr>
            <w:tcW w:w="900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Партне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ры</w:t>
            </w:r>
          </w:p>
        </w:tc>
        <w:tc>
          <w:tcPr>
            <w:tcW w:w="1710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Интерпретация дан</w:t>
            </w:r>
            <w:bookmarkStart w:id="0" w:name="_GoBack"/>
            <w:bookmarkEnd w:id="0"/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ных</w:t>
            </w:r>
          </w:p>
        </w:tc>
        <w:tc>
          <w:tcPr>
            <w:tcW w:w="1224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Примени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мость данных</w:t>
            </w:r>
          </w:p>
        </w:tc>
        <w:tc>
          <w:tcPr>
            <w:tcW w:w="743" w:type="dxa"/>
            <w:shd w:val="clear" w:color="auto" w:fill="auto"/>
          </w:tcPr>
          <w:p w:rsidR="00476556" w:rsidRPr="004354ED" w:rsidRDefault="00476556" w:rsidP="0032302E">
            <w:pPr>
              <w:spacing w:after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4354ED">
              <w:rPr>
                <w:rFonts w:eastAsia="Calibri"/>
                <w:b/>
                <w:sz w:val="14"/>
                <w:szCs w:val="14"/>
                <w:lang w:val="ru-RU" w:eastAsia="en-US"/>
              </w:rPr>
              <w:t>Исход</w:t>
            </w:r>
            <w:r>
              <w:rPr>
                <w:rFonts w:eastAsia="Calibri"/>
                <w:b/>
                <w:sz w:val="14"/>
                <w:szCs w:val="14"/>
                <w:lang w:val="ru-RU" w:eastAsia="en-US"/>
              </w:rPr>
              <w:t>-</w:t>
            </w:r>
            <w:r w:rsidRPr="004354ED">
              <w:rPr>
                <w:rFonts w:eastAsia="Calibri"/>
                <w:b/>
                <w:sz w:val="14"/>
                <w:szCs w:val="14"/>
                <w:lang w:val="ru-RU" w:eastAsia="en-US"/>
              </w:rPr>
              <w:t>ная велич</w:t>
            </w:r>
            <w:r>
              <w:rPr>
                <w:rFonts w:eastAsia="Calibri"/>
                <w:b/>
                <w:sz w:val="14"/>
                <w:szCs w:val="14"/>
                <w:lang w:val="ru-RU" w:eastAsia="en-US"/>
              </w:rPr>
              <w:t>-</w:t>
            </w:r>
            <w:r w:rsidRPr="004354ED">
              <w:rPr>
                <w:rFonts w:eastAsia="Calibri"/>
                <w:b/>
                <w:sz w:val="14"/>
                <w:szCs w:val="14"/>
                <w:lang w:val="ru-RU" w:eastAsia="en-US"/>
              </w:rPr>
              <w:t>ина и отчет</w:t>
            </w:r>
            <w:r>
              <w:rPr>
                <w:rFonts w:eastAsia="Calibri"/>
                <w:b/>
                <w:sz w:val="14"/>
                <w:szCs w:val="14"/>
                <w:lang w:val="ru-RU" w:eastAsia="en-US"/>
              </w:rPr>
              <w:t>-</w:t>
            </w:r>
            <w:r w:rsidRPr="004354ED">
              <w:rPr>
                <w:rFonts w:eastAsia="Calibri"/>
                <w:b/>
                <w:sz w:val="14"/>
                <w:szCs w:val="14"/>
                <w:lang w:val="ru-RU" w:eastAsia="en-US"/>
              </w:rPr>
              <w:t>ный период</w:t>
            </w:r>
          </w:p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2020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Общая заболеваемость туберкулезом (на 100 000 населения) 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новых случаев и рецидивов туберкулеза,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сообщенных в отчетный период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* 100 000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Средняя численность населения за отчетный период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территориальный,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бремя туберкулеза в стране 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Смертность от туберкулеза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(на 100 тыс.  населения) 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смертельных исходов в результате прогрессирующего туберкулеза за отчетный период * 100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000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Средняя численность населения за отчетный период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территориальный,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Национальное бюро статистики 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 доступа к диагностике, медицинским услугам и лечению. Высокие значения свидетельствуют о позднем выявлении, низком качестве медицинских услуг и недостаточной эффективности лечения туберкулеза 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12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9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Частота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ыявления случаев заболевания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случаев заболевания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мостью, диагностированных за отчетный период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случаев заболевания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мостью за отчетный год по оценкам ВОЗ 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ВОЗ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Бюро по стране ВОЗ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обеспечение всеобщего доступа к быстрой диагностике туберкулеза и применение быстрых методов лабораторной диагностики 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62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68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73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78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83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случаев туберкулезом с множественной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среди новых выявленных случаев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новых выявленных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случаев заболевания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туберкулезом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мостью, диагностированных за отчетный период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*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новых выявленных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случаев туберкулеза с положительн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ой культурой и результатами теста лекарственной чувствительности к препаратам 1 линии за отчетный период 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нальный, районный, место жительства, пол,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Информационная система  менеджмента и оценки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98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степень контроля инфекции, применение методов быстрой лабораторной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диагностики  и долю случаев успешного лечения туберкулеза с лекарственной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чувствительностью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Используется  на международ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ном уровне, позволяет сделать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24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22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19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17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16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случаев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среди больных, получавших лечение ранее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случаев повторного лечения больных, у которых диагностирован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 за отчетный период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случаев повторного лечения туберкулеза с положительным мазком и результатами теста лекарственной чувствительности к препаратам 1 линии за отчетный период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степень контроля инфекции, применения методов быстрой лабораторной диагностики и показатель случаев успешного лечения лекарственно-чувствительного туберкулеза.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62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58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53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51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48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успешного  лечения среди новых случаев легочного  туберкулеза с бактериологическим подтверждением 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новых </w:t>
            </w:r>
          </w:p>
          <w:p w:rsidR="00476556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пациентов с легочным, лекарственно чувствительным туберкулезом  с бактериологическим подтверждением на момент начала лечения,  выявленных в последние 12-15 месяцев и которые успешно завершили курс терапии туберкулеза * 100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новых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пациентов с легочным, лекарственно чувствительным туберкулезом с бактериологическим подтверждением на момент начала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лечения, зарегистрированных в последние 12-15 месяцев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лечению. Позволяет оценить качество и эффективность Национальной программы контроля туберкулеза в лечении туберкулеза. Позволяет косвенно оценить бремя туберкулеза в стране. Позволяет оценить экономическую эффективность реализуемых мер. Динамика по достижению рекомендуемого ВОЗ уровня в 85%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Используется 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76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(2013)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78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82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84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успешного лечения новых выявленных случаев туберкулеза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ственной зависи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мостью, которые начали курс лечения 21-24 месяца назад и которые его успешно  завершили 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мостью, которые начали курс лечения 21-24 месяца назад.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лечению. Позволяет оценить качество и эффективность Национальной программы контроля туберкулеза  в лечении туберкулеза. Позволяет косвенно оценить бремя туберкулеза в стране. Позволяет оценить экономическую эффективность реализуемых мер. Динамика по достижению рекомендуемого ВОЗ уровня в 75%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71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(2012)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72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73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74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 с туберкулезом, тестируемых на маркеры ВИЧ 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туберкулезом, пошедших тестирование на ВИЧ, выявленных за отчетный период 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выявленных за отчетный период  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услугам. Показатель позволяет следить за числом случаев сочетанной инфекции ВИЧ/туберкулеза среди больных туберкулезом. Демонстрирует  реализацию совместных мероприятий по контролю коинфекции туберкулеза/ВИЧ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Распространенность</w:t>
            </w:r>
            <w:r w:rsidRPr="005D3F73" w:rsidDel="00CE42E5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коинфекции (туберкулеза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/ВИЧ) среди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случаев заболевания</w:t>
            </w:r>
            <w:r w:rsidRPr="005D3F73" w:rsidDel="00CE42E5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ВИЧ/туберкулеза, выявленных за отчетный период 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выявленных за отчетный период  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контроль распространения инфекции ВИЧ среди пациентов с туберкулезом. Оценка распространения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ВИЧ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инфекции  среди больных туберкулезом  - важный шаг в планировании и реализации комплекса мер 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контролю туберкулеза и ВИЧ, а также для мониторинга эффективности этих мер во времени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7,3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6,5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5,5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</w:t>
            </w:r>
          </w:p>
        </w:tc>
      </w:tr>
    </w:tbl>
    <w:tbl>
      <w:tblPr>
        <w:tblStyle w:val="TableGrid1"/>
        <w:tblW w:w="15063" w:type="dxa"/>
        <w:tblLayout w:type="fixed"/>
        <w:tblLook w:val="04A0"/>
      </w:tblPr>
      <w:tblGrid>
        <w:gridCol w:w="534"/>
        <w:gridCol w:w="1101"/>
        <w:gridCol w:w="1239"/>
        <w:gridCol w:w="1244"/>
        <w:gridCol w:w="810"/>
        <w:gridCol w:w="40"/>
        <w:gridCol w:w="90"/>
        <w:gridCol w:w="720"/>
        <w:gridCol w:w="39"/>
        <w:gridCol w:w="141"/>
        <w:gridCol w:w="671"/>
        <w:gridCol w:w="36"/>
        <w:gridCol w:w="103"/>
        <w:gridCol w:w="90"/>
        <w:gridCol w:w="654"/>
        <w:gridCol w:w="66"/>
        <w:gridCol w:w="90"/>
        <w:gridCol w:w="695"/>
        <w:gridCol w:w="115"/>
        <w:gridCol w:w="1800"/>
        <w:gridCol w:w="62"/>
        <w:gridCol w:w="1133"/>
        <w:gridCol w:w="738"/>
        <w:gridCol w:w="137"/>
        <w:gridCol w:w="432"/>
        <w:gridCol w:w="108"/>
        <w:gridCol w:w="461"/>
        <w:gridCol w:w="79"/>
        <w:gridCol w:w="490"/>
        <w:gridCol w:w="50"/>
        <w:gridCol w:w="519"/>
        <w:gridCol w:w="569"/>
        <w:gridCol w:w="7"/>
      </w:tblGrid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lastRenderedPageBreak/>
              <w:t xml:space="preserve">2. 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Показатели прогресса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Задача 1. Обеспечение всеобщего доступа к ранней диагностике всех форм туберкулеза с достижением к концу 2020 года выявления не менее 85%.случаев туберкулеза с формами, устойчивыми к римфапицину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бактериоло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гического подтверждения случаев легочного 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легочным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ом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 положительным результатом теста  Gene Xpert и/или микроскопии и/или посева, выявленных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легочным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ом,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выявленных за отчетный период 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жительства, пол, возрастная группа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диагностике, применение методов лабораторной диагностики и правильность соблюдения алгоритма диагностики в соответствии с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программой 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взрослых» и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детей»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на международном уровне, позволяет сделать сравнение с другими странами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65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референс-лабораторий/центров микроскопии, которые соответствуют стандартам лабораторий по микробио-логическим исследованиям для диагностики туберкулеза 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референс-лабораторий/центров микроскопии, которые соответствуют стандартам лабораторий по диагностике туберкулеза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референс-лабораторий/центров микроскопии за отчетный период  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совет по оценке и аккредитации в здравоохранении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Косвенно свидетельствует о качестве лабораторных услуг и обеспеч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ении биобезопасности и биозащиты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референс-лабораторий/центров микроскопии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на национальном уровне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референс-лаборатори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я, аккредитованная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в соответствии с международ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ными стандартами ISO 15981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Отчет об аккреди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ации 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здравоохранения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sz w:val="16"/>
                <w:szCs w:val="16"/>
                <w:lang w:val="ru-RU" w:eastAsia="en-US"/>
              </w:rPr>
              <w:lastRenderedPageBreak/>
              <w:t xml:space="preserve">Публичное </w:t>
            </w:r>
            <w:r w:rsidRPr="005D3F73">
              <w:rPr>
                <w:sz w:val="16"/>
                <w:szCs w:val="16"/>
                <w:lang w:val="ru-RU" w:eastAsia="en-US"/>
              </w:rPr>
              <w:lastRenderedPageBreak/>
              <w:t xml:space="preserve">учреждение </w:t>
            </w:r>
            <w:r>
              <w:rPr>
                <w:sz w:val="16"/>
                <w:szCs w:val="16"/>
                <w:lang w:val="ru-RU" w:eastAsia="en-US"/>
              </w:rPr>
              <w:t xml:space="preserve">подразделение  по координированию, внедрению и мониторингу  проекта  по реструктуризации системы здравоохранения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соответствие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Национальной референс-лаборатории международным стандартам 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национальном уровне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1.4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случаев внелегочного туберкулеза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случаев внелегочного туберкулеза, выявленных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случаев туберкулеза, выявленных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ства, пол, возрастная группа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Показывает применение радиографических и параклинических методов в диагностике туберкулеза.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Используется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национальном уровне, и позволяет сделать сравнение на уровне районов 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лиц, находившихся в контакте с больным  туберкулеза и прошедших осмотр от общего числа лиц, находившихся в контакте, в том числе детей  до 5 лет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лиц, прошедших осмотр из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находившихся в контакте с больным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лиц, находившихся в контакте с больным  за отчетный период 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возрастная группа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Административная стати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стика,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по мониторингу и оценке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ab/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Определяет качество принимаемых мер в отношении вспышек туберкулеза, раннего выявления различных форм туберкулеза, соблюдение положений 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ы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взрослых» и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 у детей», межведомственное взаимодействие, качество специальных профилактических мер. Показывает число больных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нуждающихся в  химиопрофилактике, и может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использова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ться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для оценки финансовых ресурсов, требуемых для реализации мер по борьбе с туберкулезом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на национальном уровне и позволяет сделать сравнение на уровне районов 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1.6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 случаев туберкулеза, выявленного среди заключенных на момент поступления в пенитенциарную систему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лиц с установленным диагнозом туберкулеза на момент поступления в пенитенциарную систему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новых случаев и рецидивов туберкулеза, выявленных в пенитенциарной системе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туберкулеза, административная статистика 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ab/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Департамент пенитенциарных учреждений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соблюдение положений 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инической программой  «туберкулеза у взрослых» и «туберкулеза у детей», показывает долю лиц из группы с повышенным риском туберкулеза,  проходящих обследование. Косвенно свидетельствует об эффективности мер по контролю туберкулеза в гражданском секторе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Используется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национальном уровне 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22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19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18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16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12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Заболеваемость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в  пенитенциарных учреждениях (на 100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тыс.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населения)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новых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случаев,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выявленных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 пенитенциарной системе за отчетный период  * 100 000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Среднее число заключенных в пенитенциарной системе за отчетный период 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по полу, по возрастной группе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Департамент пенитенциарных учреждений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число больных, требующих лечения, может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использова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ться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для оценки финансовых ресурсов, необходимых для реализации мер по борьбе с туберкулезом.  Косвенно свидетельствует о мерах по контролю туберкулеза, реализуемых в пенитенциарной системе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на международном уровне, позволяет сделать сравнение с другими странами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525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475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450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новых случаев туберкулеза, выявленных семейным врачом и утвержденных Национальн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компани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медицинского страхования в виде показателей эффективности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новых случаев туберкулеза, выявленных семейным врачом и утвержденных Национальн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компани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медицинского страхования в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виде показателей эффективности за отчетный период * 100 000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новых случаев туберкулеза, выявленных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статистик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а  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соблюдение положений 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программой 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взрослых» и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детей», показывает долю лиц из группы с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повышенным риском туберкулеза,  проходящих обследование в рамках оказания первичной медико-санитарной помощи. Показывает раннюю диагностику туберкулеза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национальном уровне 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N/A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lastRenderedPageBreak/>
              <w:t>Задача 2. 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легочного туберкулеза с положительной микроскопией не менее 85% и новых случаев туберкулезом с множественной лекар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мостью  - не менее 75%.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Средний процент времени отсутствия противотуберкулезных препаратов  (в медико- 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 на центральном уровне)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дней отсутствия противотуберкулезных препаратов  (в медико-санитарны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 на центральном уровне)*100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количество противотуберкулезных препаратов в одном наборе  *365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Агентство по лекарствам и медицинским изделиям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sz w:val="16"/>
                <w:szCs w:val="16"/>
                <w:lang w:val="ru-RU" w:eastAsia="en-US"/>
              </w:rPr>
              <w:t xml:space="preserve">Публичное учреждение </w:t>
            </w:r>
            <w:r>
              <w:rPr>
                <w:sz w:val="16"/>
                <w:szCs w:val="16"/>
                <w:lang w:val="ru-RU" w:eastAsia="en-US"/>
              </w:rPr>
              <w:t>Подразделение  по координированию, внедрению и мониторингу проекта по реструктуризации  системы здравоохранения</w:t>
            </w:r>
            <w:r w:rsidRPr="005D3F73">
              <w:rPr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Значение «0» - оптимальный результат. Значения близкие к нулю свидетельствуют о том, что неполное наличие противомикробных препаратов – это административная и  решаемая проблема. Значения выше 10% говорят о проблеме в системе распределения противотуберкулезных медикаментов, что, в свою очередь, влияет на лечение пациентов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 с формами туберкулеза  с широкой лекарственной устойчивостью,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начали лечение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новыми противотуберкулезными препаратами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больных с формами туберкулеза  с широкой лекарственной устойчивостью,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начали лечение новыми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противотуберкулезными препаратами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больных с формами туберкулеза  с широкой лекарственной устойчивостью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 отчетный период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Национальный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свидетельствует о качестве социальной поддержки (информационной, эмоциональной, участие, материальная помощь) для пациентов с формами туберкулеза  с широкой лекарственной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устойчивостью,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доступе к лечению, наличие наборов лекарственных препаратов для лечения туберкулеза, наличие списка ожидания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Используется на международном уровне, позволяет сделать сравнение с другими странами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2.3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пациентов, принимающих препараты для прекращения побочных реакций в период лечения туберкулеза (как в больнице, так и амбулаторно)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пациентов, принимающих препараты для  прекращения  побочных реакций в период лечения туберкулеза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выявленных за отчетный период, у которых отмечались побочные реакции на противотуберкулезные препараты 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рганы местного публичного 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лечению, доступность наборов медикаментов для  прекращения  побочных реакций  и соблюдение положений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программой . Также позволяет оценить финансовые ресурсы, необходимые для закупки препаратов, снижающих побочные реакции. Косвенно показывает частоту отказа от лечения, и долю пациентов, контроль над лечением которых  утерян.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пациентов с туберкулезом, получивших консультирование психолога (как в стационаре, так и амбулаторно)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туберкулезом, получивших как минимум одно консультирование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психолога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туберкулезом, получавших противо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туберкулезное лечение за отчетный период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статистика 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профилактику неадаптивного поведения больных проходящих лечение против туберкулеза, приверженность лечению, улучшение знаний о туберкулезе. Свидетельствует о качестве методов вмешательства, учитывающих потребности пациентов и косвенно влияющих на успешность лечения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пациентов с туберкулезом, получающих социальную (материальную) помощь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пациентов с туберкулезом, как минимум одиножды получивших социальную помощь за отчетный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пациентов с туберкулезом, проходящих противотуберкулезное лечение, стоящих на учете 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проходящих оценку в системе социальной помощи за отчетный период 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Национальный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административная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статистика 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 труда, социальной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защиты и семьи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еправительственная  организация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органы местного публичного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Показывает степень охвата услугами социальной (материальной) помощи для пациентов, проходящих противотуберкулезное лечение.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и позволяет делать сравнение с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другими районами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2.6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 пациентов с туберкулезом, перенаправленных в систему  социальной помощи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пациентов, перенаправленных в систему социальной помощи 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находящихся на лечении за отчетный период 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статистика 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 труда, социальной защиты и семьи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еправительственная  организация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степень направлений в систему социальной помощи пациентов, находящихся на лечении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и позволяет делать сравнение с другими районами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больных туберкулезом, получающих мотивационную поддержку на протяжении периода лечения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пациентов, получивших мотивационную поддержку на протяжении периода противотуберкулезного лечения в амбулаторных условиях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больных туберкулезом, находящихся на лечении за отчетный период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кулеза, административная статис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тика 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степень охвата мотивационной поддержки  пациентов, проходящих противотуберкулезное лечение.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и позволяет делать сравнение с другими районами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Задача 3. Реализация совместных действий с другими национальными программами в области здравоохранения и сокращение бремени туберкулеза/ВИЧ до 5% 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Протокол по сочетанной инфекции туберкулеза/ВИЧ разработан и утвержден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Протокол по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коинфекции туберкулеза/ВИЧ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 в два года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Центр “PAS”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программного документа, определяющего механизм внедрения и реализации совместных и межведомственных действий по вопросам туберкулеза/ВИЧ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70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Показатель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которые прошли скрининг на туберкулеза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от всего числа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 находящихся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учете по ВИЧ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находящихся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учете и прошедших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радиологическое обследование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находящихся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учете за отчетный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период 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услугам здравоохранения, соблюдение положений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линической программой  «туберкулеза у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взрослых» и «туберкулеза у детей», уровень скрининга лиц из группы повышенного риска туберкулеза, межведомственное сотрудничество и участие местного сообщества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Данный показатель используется на национальном уровне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3.3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вставших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учет по ВИЧ и получивших профилактическое лечение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против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вставших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учет по ВИЧ и получивших профилактическое лечение против туберкулеза с  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изониазидом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вставших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учет по ВИЧ за отчетный период 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услугам здравоохранения, специальным мерам по профилактике туберкулеза среди лиц с повышенным риском заболеваемости.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 пациентов с туберкулезом/ВИЧ получивших профилактическое лечение </w:t>
            </w:r>
            <w:r>
              <w:rPr>
                <w:rFonts w:eastAsia="Calibri"/>
                <w:i/>
                <w:sz w:val="16"/>
                <w:szCs w:val="16"/>
                <w:lang w:val="ru-RU" w:eastAsia="en-US"/>
              </w:rPr>
              <w:t>котримокса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золом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 протяжении лечения 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пациентов, с туберкулезом/ВИЧ получивших профилактическое лечение 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котримоксазолом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пациентов, с туберкулезом/ВИЧ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Адм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услугам здравоохранения, специальным мерам по профилактике  развития СПИДа среди лиц с сочетанной инфекцией туберкулеза/ВИЧ. Косвенно показывает уровень смертности в результате прогрессирующего туберкулеза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международном уровне и позволяет сделать сравнение с 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 пациентов с туберкулезом/ВИЧ начавших  лечение туберкулеза  от общего числа пациентов с туберкулезом/ВИЧ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пациентов, стёб/ВИЧ начавших  лечение туберкулеза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пациентов, с туберкулезом/ВИЧ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уровень, место жительства, возрастная группа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лечению туберкулеза, наличие противотуберкулезных препаратов, наличие списка ожидания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 пациентов с туберкулезом/ВИЧ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получающих противотуберкулезную и антиретровирусную терапию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пациентов с туберкулезом/ВИЧ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получающих противотуберкулезную и антиретровирусную терапию за отчетный период*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пациентов, с туберкулезом/ВИЧ за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Национальный, районный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Административная статисти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лечению АРВ, в том числе для пациентов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туберкулеза/ВИЧ, наличие необходимых препаратов для лечения АРВ,  наличие списка ожидания и качество совместных мер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на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международном уровне и позволяет сделать сравнение с 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48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3.7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Регламент по применению совместных мер в отношении неинфекционных заболеваний и туберкулеза  разработан и утвержден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уровень 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Регламент утвержден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Позволяет принимать меры и внедрять процедуры по контролю туберкулеза для групп лиц с другой патологией (неинфекционными заболеваниями)  и/или социальных детерминант. Также отражает доступ к медицинским услугам.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больных сахарным диабетом прошедших скрининг на туберкулез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больных сахарным диабетом прошедших радиологическое обследование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больных сахарным диабетом на учете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указывает на наличие доступа к медицинским услугам, ранее выявление различных форм туберкулеза, соблюдение положений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программой, а также межведомственное сотрудничество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3.9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лиц  с психическими и поведенческими нарушениями, связанными с потреблением алкоголя и наркотических веществ, прошедших скрининг на туберкулеза на этапе постановки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 медицинский учет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лиц с психическими и поведенческими нарушениями, прошедших радиологическое обследование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лиц с психическими и поведенческими нарушениями, стоящих на учете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демонстрирует наличие доступа к медицинским услугам, раннему выявлению различных форм туберкулеза , соблюдение положений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программой , а также межведомственное сотрудничество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3.10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пациентов, получающих противотуберкулезное лечение и фармакотерапию </w:t>
            </w:r>
            <w:r w:rsidRPr="0043256A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метадоном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пациентов получающих противотуберкулезное лечение и фармакотерапию </w:t>
            </w:r>
            <w:r w:rsidRPr="0043256A">
              <w:rPr>
                <w:rFonts w:eastAsia="Calibri"/>
                <w:i/>
                <w:sz w:val="16"/>
                <w:szCs w:val="16"/>
                <w:lang w:val="ru-RU" w:eastAsia="en-US"/>
              </w:rPr>
              <w:t>метадоном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 с туберкулезом, нуждающихся в фармакотерапии</w:t>
            </w:r>
            <w:r w:rsidRPr="0043256A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метадоном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 стоящих на учете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демонстрирует наличие доступа к медицинским услугам, включая фармакотерапию </w:t>
            </w:r>
            <w:r w:rsidRPr="0043256A">
              <w:rPr>
                <w:rFonts w:eastAsia="Calibri"/>
                <w:i/>
                <w:sz w:val="16"/>
                <w:szCs w:val="16"/>
                <w:lang w:val="ru-RU" w:eastAsia="en-US"/>
              </w:rPr>
              <w:t>метадоном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 межведомственное сотрудничество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3.11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Механизм реализации стратегии ВОЗ «Практические подходы к здоровью легких» /Стратегия ВОЗ «Практические  подходы к здоровью легких» разработан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Разработанный механизм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Департамент  пенитенциарных учреждений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Позволит внедрить на практике стратегию ВОЗ «Практические подходы к здоровью легких»/Стратегия ВОЗ «Практические  подходы к здоровью легких» для контроля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международном уровне и позволяет сделать сравнение с 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Задача 4. Обеспечение профилактических мер по контролю туберкулеза и сохранение уровня охвата вакцинацией БЦЖ при рождении не ниже 95%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территориальных учреждений (муниципальных, районных), реализующих мероприятия ежегодно во Всемирный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день борьбы с туберкулезом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Число территориальных учреждений (муниципальных, районных), реализующих мероприятия ежегодно во Всемирный день борьбы с туберкулезом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Число террито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риальных учреждений (муниципальных, районных) в Республике Молдова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уровень 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рганы местного публичного управления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Департа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мент  пенитенциарных учреждений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Косвенно свидетельствует о мерах по формированию общественного мнения, обучению и информированию. Косвенно демонстрирует межведомственное сотрудничество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4.2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Уровень вакцинации БЦЖ 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возрасте 12 недель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Общее 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исло новорожденных, вакцинированных БЦЖ при рождении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новорожденных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свидетельствует о специализированных мерах по профилактике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международном уровне и позволяет сделать сравнение с 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Доля   детей, охваченных медика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ментозной профилактикой </w:t>
            </w:r>
            <w:r>
              <w:rPr>
                <w:rFonts w:eastAsia="Calibri"/>
                <w:i/>
                <w:sz w:val="16"/>
                <w:szCs w:val="16"/>
                <w:lang w:val="ru-RU" w:eastAsia="en-US"/>
              </w:rPr>
              <w:t>изониазидом,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от общего числа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нуждающихся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детей, состоящих в контакте, которые получили профилактическое лечение  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>изониазидом</w:t>
            </w:r>
            <w:r>
              <w:rPr>
                <w:rFonts w:eastAsia="Calibri"/>
                <w:i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детей, состоящих в контакте, нуждающихся в профила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тической терапии 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>изониазидом</w:t>
            </w:r>
            <w:r>
              <w:rPr>
                <w:rFonts w:eastAsia="Calibri"/>
                <w:i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нистра-тивная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свидетельствует о специализированных мерах по профилактике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Задача  5. 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Консолидация потенциала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 системы здравоохранения для обеспечения эффективного контроля туберкулеза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персонала фтизиопульмонологической службы, наб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равшего не менее 25 баллов ежегодно в рамках курсов по подготовке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медицинского персонала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фтизиопульмонологической служб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ы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набравш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не менее 25 баллов в рамках курсов по подготовке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медицинского персонала в фтизиопульмонологической службе за отчетный период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Администра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Департамент  пенитенциарных учрежд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ений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 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профессиональный рост персонала фтизиопульмонологической службы, обновление или развитие профессиональной компетенции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 персонала других медицинских специальностей, ежегодно про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ходящ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их подготовку по контролю 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 персонала других медицинских специальностей, ежегодно про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ходящ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их подготовку по контролю туберкулеза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 персонала других медицинских специальностей</w:t>
            </w:r>
            <w:r w:rsidRPr="005D3F73" w:rsidDel="00384A59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уровень, по 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пециа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лизации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 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Департамент  пенитенциарных учреждений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профессиональный рост  персонала других медицинских специальностей</w:t>
            </w:r>
            <w:r w:rsidRPr="005D3F73" w:rsidDel="00384A59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 вопросам контроля туберкулеза, обновление или развитие профессиональной компетенции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Уровень знаний в области туберкулеза среди прошедшего подготовку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ицинского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персонала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сотрудников, прошедших подготовку по контролю туберкулеза  с оценочным показателем не менее 80% по результатам итоговой оценки знаний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персонала, прошедшего подготовку по вопросам контроля туберкулеза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уровень, по специа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лизации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Департамент  пенитенциарных учреждений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усовершенствование проведения подготовки и личного развития персонала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Стратегический план по кадровым ресурсам, участвующим в обеспечении контроля туберкулеза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разработан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Разработанный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план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Департамент  пенитенциарных учреждений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планирование кадровых ресурсов, участвующих в обеспечении контроля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аккредитованных стационаров и профильных фтизиопульмонологических подразделений, в том числе 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пенитенциарной системе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республи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канских/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городских больниц, фтизиопульмонологических подразделений при районных больницах и в пенитенциарной системе, аккредитованных в соответствии с требованиями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республиканских/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городских больниц, фтизиопульмо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нологических  подразделений при районных больницах и в пенитенциарной системе,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Администра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совет по оценке и аккредитации в здравоохранении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свидетельствует о качестве медицинских услуг, предоставляемых населению, соблюдении мер по контролю распространения инфекции, качестве услуг, оказываемых пациентам, госпитализированным с туберкулезом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план по контролю инфекции разработан и утвержден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утвержден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Государственный университет медицины и фармации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Свидетельствует о наличии документа об административных мерах,  инженерных решениях и индивидуальной защите, позволяющей снизить риск инфицирования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посредством: быстрого выявления случаев с подозрением на туберкулез,  их изоляции, лечения и эффективной профилактики заболевания, а также других действий по контролю туберкулеза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на международном уровне и позволяет сделать сравнение с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 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Доля территори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альных учреждений (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муниципии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/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район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ы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), в которых действуют многопрофильные комиссии по внедрению Национального плана по контролю инфекции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Число террито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риальных учреждений (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муниципии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/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район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ы), в которых действуют многопрофильные комиссии по контролю инфекции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Число территориальных учреждений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(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р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айон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/муниципий)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Косвенно демонстрирует реализацию территориальных планов по контролю инфекции, применение административных мер,  инженерны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 решений, индивидуальной защиты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а также других действий по обеспечению эффективного контроля туберкулеза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случаев туберкулеза, зарегистрированных среди персонала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учреждений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лиц, работающих во всех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учреждениях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 заболевших туберкулезом в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лиц, работающих во всех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учреждениях, в отчетный период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 уровне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Департамент  пенитенциарных учреждений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Косвенно демонстрирует реализацию планов учреждений по контролю инфекции, применение административных мер,  инженерных решений, индивидуальной защите, а также других действий по обеспечению эффективного контроля туберкулеза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5.9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оптимизи-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рованных больничных коек  фтизио-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пульмонологического профиля в специализированных учреждениях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Администра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тивна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Департамент 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пенитенциарных учреждений Министерства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возможности 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обеспечению/оптимизации профильных больничных услуг в соответствии с международными рекомендациями и текущей эпидемиологической ситуацией. Позволяет косвенно оценить степень применения мер, ориентированны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на потребности пациента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5.10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 с лекарственно чувствительным туберкулезом, которые прошли и успешно завершили лечение в амбулаторных условиях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лекарственно чувствительным туберкулезом, которые начали лечение 12-15 месяцев назад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 амбулаторных условиях и успешно завершили лечение в амбулаторных условиях за от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лекарственно чувствительным туберкулезом, которые начали лечение 12-15 месяцев назад за от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районный уровень, место жительства, возрастная группа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менеджмента  и оценки туберкулеза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лечению. Позволяет оценить качество и эффективность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в реализации противотуберкулезного лечения. Позволяет косвенно оценить степень применения мер, ориентированных на потребности пациента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78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82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84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пациентов с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прошли и успешно завершили лечение в амбулаторных условиях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ом с множественной лекарственной зависимостью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которые начали лечение 21-24 месяца назад и в амбулаторных условиях и успешно завершили лечение в амбулаторных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условиях за от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пациентов с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ом с множественной лекарственной зависимостью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которые начали лечение 21-24 месяца назад за ответный период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 уровень, место жительства, возрастная группа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менеджмента  и оценки туберкулеза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лечению. Позволяет оценить качество и эффективность Национальной программы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в реализации противотуберкулезного лечения. Позволяет косвенно оценить степень применения мер, ориентированных на потребности пациента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63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66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69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72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5.12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Руководство по паллиативному уходу за больными туберкулезом  разработано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Разработанное руковод-ство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Обеспечит доступ к услугам паллиативной помощи больным туберкулезом.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Стандарты применения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неправительственной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организаци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простых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процедур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 уходу за пациентами с туберкулезом  разработаны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Разработанные стандарты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страхования,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тельственная  организация</w:t>
            </w:r>
          </w:p>
        </w:tc>
        <w:tc>
          <w:tcPr>
            <w:tcW w:w="1915" w:type="dxa"/>
            <w:gridSpan w:val="2"/>
          </w:tcPr>
          <w:p w:rsidR="00476556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Позволит неправительственн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организаци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принимать простые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процедуры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 уходу за пациентами с туберкулёзом и повысит степень уча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стия всего местного сообщества </w:t>
            </w:r>
          </w:p>
          <w:p w:rsidR="00476556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5.14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Методические инструкции по внедрению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ю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 разработаны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Приказ Министерства здравоохранения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методических норм по выполнению и повышению эффективности мероприятий по контролю туберкулеза посредством межведомственного и многопрофильного сотрудничества. Данный документ будет разработан на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основе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международных и национальных  рекомендаций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Национальные клинические протоколы «Туберкулез у детей» и «Туберкулез у взрослых»  обновлены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Приказ 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здравоохранения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 в два года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Служит основой для разработки протоколов отдельных ведомств. Данный документ будет разработан на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основе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международных и национальных  рекомендаций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Подразделение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 координации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ю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реорганизован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в том числе,  механизм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финансирования разработан и внедрен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Приказ министра  здравоохранения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П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озволит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реорганизацию центрального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подразделения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мониторингу и оценке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Национальной программы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по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туберкулеза,  его должностные обязанности и механизм финансирования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5.17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Число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медико-санитарны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учреждени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которые выполнили не менее 85% рекомендаций, предложенных в рамках посещений 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мониторингу и оценке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(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медико-санитарны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учреждени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й,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которые выполнили не менее 85% рекомендаций, предложенных в рамках посещений 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мониторингу и оценке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*100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медико-санитарны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Административная статистика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Позволит выполнить оценку реализации рекомендаций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по мониторингу и оценке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. Косвенно демо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нстрирует  выявленные проблемные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области на уровне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менеджмента случая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лекарственных препаратов, отчетности и в системе лабораторий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&gt;85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&gt;85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Формы и регистры, необходимые для реализации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программы контроля туберкулеза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отредактированы и размножены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жегодно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форм и регистров, необходимых для реализации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туберкулеза, редактируемых и размножаемых ежегодно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форм и регистров, необходимых для реализации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 туберкулеза 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жегодно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Административная статистика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пакета форм и регистров, необходимых для реализации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5.19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Информационная 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истема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мониторингу и оценке 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обновлена и функциональна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Функциональная система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если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адаптирована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 новым национальным и/или международным требованиям отчетности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Задача 6. Разработка и внедрение новых инструментов и инновационных подходов в области контроля туберкулеза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по реализации научных исследований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атываемый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утвержден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Академия наук Молдовы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Позволит определить исследования в соответствии с приоритетными направлениями по контролю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6.2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по реализации опера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циональных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исследований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разраб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атываемый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утвержден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Позволит планировать исследования в соответствии с приоритетными направлениями по контролю туберкулеза. Внедрение ежегодного планирования оперативных исследований на национальном уровне позволит избежать дублирования действий и будет способствовать предоставлению результатов для использования при принятии решений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реализованных научных исследований  из всех запланированных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научных исследований, реализованных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научных исследований, запланированный к реализации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в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отчетн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ом периоде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Академия наук Молдовы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Позволит распределить исследования в соответстви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 приоритетными направлениями по контролю туберкулеза. Демонстрирует степень выполнения ежегодного плана исследований 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рекомендаций по результатам проведенных исследований/научных работ, примененных в рамках национальной политики  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рекомендаций по результатам проведенных исследований/научных работ, примененных в рамках национальной политики за отчетный период*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научных исследований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проведённых за отчетный период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Академия наук Молдовы,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Центр  “PAS”</w:t>
            </w:r>
          </w:p>
          <w:p w:rsidR="00476556" w:rsidRPr="005D3F73" w:rsidRDefault="00476556" w:rsidP="0032302E">
            <w:pPr>
              <w:spacing w:after="0" w:line="259" w:lineRule="auto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sz w:val="16"/>
                <w:szCs w:val="16"/>
                <w:lang w:val="ru-RU" w:eastAsia="en-US"/>
              </w:rPr>
              <w:t xml:space="preserve">Публичное учреждение </w:t>
            </w:r>
            <w:r>
              <w:rPr>
                <w:sz w:val="16"/>
                <w:szCs w:val="16"/>
                <w:lang w:val="ru-RU" w:eastAsia="en-US"/>
              </w:rPr>
              <w:t>Подразделение  по координированию, внедрению и мониторингу Проекта реструктуризации систем</w:t>
            </w:r>
            <w:r>
              <w:rPr>
                <w:sz w:val="16"/>
                <w:szCs w:val="16"/>
                <w:lang w:val="ru-RU" w:eastAsia="en-US"/>
              </w:rPr>
              <w:lastRenderedPageBreak/>
              <w:t xml:space="preserve">ы здравоохранения   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Социологические кампании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применение научных исследований и операционных исследований в национальной политике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6.5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Сборник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ые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надлежащие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практик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изда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ваемый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раз в два года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Сборник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ые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надлежащие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практик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»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 в два года</w:t>
            </w:r>
          </w:p>
        </w:tc>
        <w:tc>
          <w:tcPr>
            <w:tcW w:w="949" w:type="dxa"/>
            <w:gridSpan w:val="5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Всемирная организации здравоохранения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Позволит производить обмен опытом по использованию «передовой практики» в сфере контроля туберкулеза на уровне страны. На уров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не районов позволит применять надлежащую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практику и осуществлять обмен опытом 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выполняемым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мероприятиям по контролю туберкулеза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trHeight w:val="145"/>
        </w:trPr>
        <w:tc>
          <w:tcPr>
            <w:tcW w:w="15063" w:type="dxa"/>
            <w:gridSpan w:val="3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Задача 7. Повышение участия местных сообществ и организаций гражданского общества в контроле туберкулеза, используя подходы, ориентированные на нужды пациента 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пациентов с туберкулезом, которым неправительственная  организация оказывают помощь в приверженности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лечению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 с туберкулезом, которым неправительственная  организация оказывают помощь в приверженности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лечению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 с туберкулезом, находящихся на лечении за отчетный период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Административная статистика,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 система менеджмента и оценки туберкулеза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Позволяет оценить применение мер, направленных на повышение приверженности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лечению среди пациентов с туберкулезом. Косвенно показывает барьеры, препятствующие обеспечению приверженности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лечению и готовность пациентов сотрудничать. Косвенно определяет уровень успешности 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ечения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районных программ по контролю туберкулеза, предусматривающих партнерство, а также совместное финансиров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ание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Число территориальных отделений (районных, городских), реализующих районные программы по контролю туберкулеза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предусматрив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ающих партнерство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Число территориальных отделений (районных, городских),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Администра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Позволит оценить реализацию территориальных программ по контролю туберкулеза, применение мер по контролю туберкулеза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7.3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бывших заключенных,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направленных для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продолжени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лечения 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туберкулезом, освобожденных из пенитенциарной системы и находящихся на лечении от туберкулеза, продолж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ающих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лечени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за отчетный период*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освобожденных из пенитенциарной системы и находящихся на лечении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за отчетный период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нальный, районный уровень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 система менеджмента и оценки туберкулеза,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Департамент пенитенциарных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юстиции 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демонстрирует профилактику неадаптивного поведения пациентов к лечению, а также приверженность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лечению. Косвенно показывает степень успеха лечения, а также применение методов вмешательств, основанных на потребностях пациента 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территориальных учреждений, (районных, городских), охваченных мероприятиями коммунитарный центр поддержки пациентов  с туберкулезом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территориальных учреждений, (районных, городских), охваченных мероприятиями коммунитарный центр поддержки пациентов  с туберкулезом за отчетный период*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территориальных учреждений, (районных, городских)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FE51AF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Центр </w:t>
            </w:r>
            <w:r w:rsidRPr="00FE51AF">
              <w:rPr>
                <w:rFonts w:eastAsia="Calibri"/>
                <w:sz w:val="16"/>
                <w:szCs w:val="16"/>
                <w:lang w:val="ru-RU" w:eastAsia="en-US"/>
              </w:rPr>
              <w:t>“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PAS</w:t>
            </w:r>
            <w:r w:rsidRPr="00FE51AF">
              <w:rPr>
                <w:rFonts w:eastAsia="Calibri"/>
                <w:sz w:val="16"/>
                <w:szCs w:val="16"/>
                <w:lang w:val="ru-RU" w:eastAsia="en-US"/>
              </w:rPr>
              <w:t>”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применение вмешательств, основанных на потребностях пациента 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22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персонала  коммунитарны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центр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поддержки пациентов  с туберкулезом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прошедшего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подготовку 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персонала  коммунитарн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центр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поддержки пациентов  с туберкулезом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 прошедшего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подготовку по вопросу контроля туберкулеза за отчетный период *100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персонала  коммунитарн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центр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поддержки пациентов  с туберкулезом 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9378EA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Центр 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“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PAS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”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улучшение возможностей по контролю туберкулеза среди персонала   общинных (коммунитарных) центров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пациентов, выпавших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из наблюдения среди случаев лекарственно чувствительного туберкулеза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Число пациентов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с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лекарственно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чувствительным туберкулезом, выпавших из наблюдения среди всех зарегистрированных в период последних 2-15 месяцев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Число пациентов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с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лекарственно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чувствительным туберкулезом зарегистрированных в период последних 2-15 месяцев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Национальный, районный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уровень, место жительства, возрастная группа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Информационная  система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менеджмента и оценки туберкулеза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-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приверженность лечению. Позволит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оценить качество и эффективность Национальной программы контроля туберкулеза в реализации противотуберкулезного лечения. Косвенно поможет оце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нить бремя туберкулеза в стране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6,8 (2013)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7.7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пациентов, выпавших из наблюдения среди случаев 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 с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 множествен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ной лекарственной зависимостью,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выпавших из наблюдения,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начали лечение от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такой формы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24 месяца назад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 с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начали лечение от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этой формы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24 месяца назад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уровень, районный, место жительства, возрастная группа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 система менеджмента и оценки туберкулеза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приверженность лечению. Позволит оценить качество и эффективность Национальной программы контроля туберкулеза в реализации противотуберкулезного лечения. Косвенно поможет оценить бремя туберкулеза в стране.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20 (2012)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18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16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12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</w:tr>
      <w:tr w:rsidR="00476556" w:rsidRPr="005D3F73" w:rsidTr="0032302E">
        <w:trPr>
          <w:trHeight w:val="1661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пациентов, выпавших из наблюдения и возобновивших повторное лечение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пациентов, выпавших из наблюдения и возобновивших повторное лечение 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 пациентов, выпавших из наблюдения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нальный, районный, место жительства, возрастная группа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 система менеджмента и оценки туберкулеза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применение мер, основанных на потребностях пациента. Позволит оценить качество и эффективность Национальной программы контроля туберкулеза в реализации противотуберкулезного лечения. Косвенно поможет оценить бремя туберкулеза в стране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trHeight w:val="1472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7.9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Стратегия пропаганды,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коммуникации 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социальной мобилизации по контролю туберкулеза разработана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Разработанная стратегия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Центр </w:t>
            </w:r>
          </w:p>
          <w:p w:rsidR="00476556" w:rsidRPr="009378EA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“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PAS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”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стратегии информационного взаимодействия и социальной мобилизации 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trHeight w:val="1283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7.10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«Хартия пациента с туберкулезом» доступна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Исполь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зуется «Хартия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пациента с туберкулезом»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«Хартии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пациента» в Республике Молдова. Позволит использовать такую хартию для соблюдения прав пациентов с туберкулезом 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trHeight w:val="2038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7.11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разработанных инновационных инструментов информационного взаимодействия с использованием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информационных технологий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для снижения стигматизации и дискриминации в обществе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у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Разработанный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нструмент 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.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Центр  “PAS”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неправительственная  организация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Другие партнеры 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и доступность различных инструментов для снижения стигматизации и дискриминации в обществе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7.12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Механизм мониторинга качества предоставляемых услуг по контролю туберкулеза с соблюдением прав пациента разработан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 уровень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Разработанный механизм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возможность мониторинга качества предоставляемых услуг по контролю туберкулеза с соблюдением прав пациента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</w:tbl>
    <w:p w:rsidR="00476556" w:rsidRPr="005D3F73" w:rsidRDefault="00476556" w:rsidP="00476556">
      <w:pPr>
        <w:rPr>
          <w:sz w:val="16"/>
          <w:szCs w:val="16"/>
        </w:rPr>
      </w:pPr>
    </w:p>
    <w:p w:rsidR="00476556" w:rsidRPr="005D3F73" w:rsidRDefault="00476556" w:rsidP="00476556">
      <w:pPr>
        <w:rPr>
          <w:sz w:val="16"/>
          <w:szCs w:val="16"/>
        </w:rPr>
      </w:pPr>
    </w:p>
    <w:p w:rsidR="00B16009" w:rsidRDefault="00B16009"/>
    <w:sectPr w:rsidR="00B16009" w:rsidSect="00180872">
      <w:headerReference w:type="default" r:id="rId7"/>
      <w:footerReference w:type="even" r:id="rId8"/>
      <w:pgSz w:w="16838" w:h="11906" w:orient="landscape" w:code="9"/>
      <w:pgMar w:top="851" w:right="964" w:bottom="851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7E" w:rsidRDefault="002B727E" w:rsidP="00476556">
      <w:pPr>
        <w:spacing w:after="0"/>
      </w:pPr>
      <w:r>
        <w:separator/>
      </w:r>
    </w:p>
  </w:endnote>
  <w:endnote w:type="continuationSeparator" w:id="1">
    <w:p w:rsidR="002B727E" w:rsidRDefault="002B727E" w:rsidP="004765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A" w:rsidRPr="00F97D1A" w:rsidRDefault="006D754A">
    <w:pPr>
      <w:pStyle w:val="Subsol"/>
      <w:rPr>
        <w:sz w:val="16"/>
        <w:szCs w:val="16"/>
      </w:rPr>
    </w:pPr>
    <w:fldSimple w:instr=" FILENAME  \p  \* MERGEFORMAT ">
      <w:r w:rsidR="00923ED0">
        <w:rPr>
          <w:noProof/>
          <w:sz w:val="16"/>
          <w:szCs w:val="16"/>
        </w:rPr>
        <w:t>D:\MONITOR 2016\RUS\368-\TEXT\PARTEA II\1160\control_tuberculez_3.docx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7E" w:rsidRDefault="002B727E" w:rsidP="00476556">
      <w:pPr>
        <w:spacing w:after="0"/>
      </w:pPr>
      <w:r>
        <w:separator/>
      </w:r>
    </w:p>
  </w:footnote>
  <w:footnote w:type="continuationSeparator" w:id="1">
    <w:p w:rsidR="002B727E" w:rsidRDefault="002B727E" w:rsidP="004765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855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11DC" w:rsidRPr="00AE30DB" w:rsidRDefault="006D754A">
        <w:pPr>
          <w:pStyle w:val="Antet"/>
          <w:jc w:val="center"/>
          <w:rPr>
            <w:sz w:val="20"/>
            <w:szCs w:val="20"/>
          </w:rPr>
        </w:pPr>
        <w:r w:rsidRPr="00AE30DB">
          <w:rPr>
            <w:sz w:val="20"/>
            <w:szCs w:val="20"/>
          </w:rPr>
          <w:fldChar w:fldCharType="begin"/>
        </w:r>
        <w:r w:rsidR="00923ED0" w:rsidRPr="00AE30DB">
          <w:rPr>
            <w:sz w:val="20"/>
            <w:szCs w:val="20"/>
          </w:rPr>
          <w:instrText>PAGE   \* MERGEFORMAT</w:instrText>
        </w:r>
        <w:r w:rsidRPr="00AE30DB">
          <w:rPr>
            <w:sz w:val="20"/>
            <w:szCs w:val="20"/>
          </w:rPr>
          <w:fldChar w:fldCharType="separate"/>
        </w:r>
        <w:r w:rsidR="004607DF" w:rsidRPr="004607DF">
          <w:rPr>
            <w:noProof/>
            <w:sz w:val="20"/>
            <w:szCs w:val="20"/>
            <w:lang w:val="ru-RU"/>
          </w:rPr>
          <w:t>25</w:t>
        </w:r>
        <w:r w:rsidRPr="00AE30DB">
          <w:rPr>
            <w:sz w:val="20"/>
            <w:szCs w:val="20"/>
          </w:rPr>
          <w:fldChar w:fldCharType="end"/>
        </w:r>
      </w:p>
    </w:sdtContent>
  </w:sdt>
  <w:p w:rsidR="00E211DC" w:rsidRDefault="002B727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5A0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620B37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8B7476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5040BD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BC1703"/>
    <w:multiLevelType w:val="multilevel"/>
    <w:tmpl w:val="29ECCD48"/>
    <w:styleLink w:val="5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A054C1"/>
    <w:multiLevelType w:val="hybridMultilevel"/>
    <w:tmpl w:val="498A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556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B727E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07DF"/>
    <w:rsid w:val="0046446F"/>
    <w:rsid w:val="00465135"/>
    <w:rsid w:val="004664BA"/>
    <w:rsid w:val="004702A3"/>
    <w:rsid w:val="00470565"/>
    <w:rsid w:val="00471BD9"/>
    <w:rsid w:val="00475004"/>
    <w:rsid w:val="004756E3"/>
    <w:rsid w:val="00476556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D754A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3ED0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76556"/>
    <w:pPr>
      <w:spacing w:after="0" w:line="240" w:lineRule="auto"/>
      <w:ind w:left="714" w:hanging="357"/>
      <w:jc w:val="both"/>
    </w:pPr>
    <w:rPr>
      <w:rFonts w:eastAsia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76556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476556"/>
  </w:style>
  <w:style w:type="character" w:styleId="Accentuat">
    <w:name w:val="Emphasis"/>
    <w:basedOn w:val="Fontdeparagrafimplicit"/>
    <w:uiPriority w:val="20"/>
    <w:qFormat/>
    <w:rsid w:val="00476556"/>
    <w:rPr>
      <w:i/>
      <w:iCs/>
    </w:rPr>
  </w:style>
  <w:style w:type="paragraph" w:styleId="Titlu">
    <w:name w:val="Title"/>
    <w:basedOn w:val="Normal"/>
    <w:link w:val="TitluCaracter"/>
    <w:uiPriority w:val="99"/>
    <w:qFormat/>
    <w:rsid w:val="00476556"/>
    <w:pPr>
      <w:spacing w:after="0"/>
      <w:jc w:val="center"/>
    </w:pPr>
    <w:rPr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47655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pple-style-span">
    <w:name w:val="apple-style-span"/>
    <w:basedOn w:val="Fontdeparagrafimplicit"/>
    <w:rsid w:val="00476556"/>
  </w:style>
  <w:style w:type="numbering" w:customStyle="1" w:styleId="1">
    <w:name w:val="Стиль1"/>
    <w:uiPriority w:val="99"/>
    <w:rsid w:val="00476556"/>
    <w:pPr>
      <w:numPr>
        <w:numId w:val="1"/>
      </w:numPr>
    </w:pPr>
  </w:style>
  <w:style w:type="numbering" w:customStyle="1" w:styleId="2">
    <w:name w:val="Стиль2"/>
    <w:uiPriority w:val="99"/>
    <w:rsid w:val="00476556"/>
    <w:pPr>
      <w:numPr>
        <w:numId w:val="2"/>
      </w:numPr>
    </w:pPr>
  </w:style>
  <w:style w:type="numbering" w:customStyle="1" w:styleId="3">
    <w:name w:val="Стиль3"/>
    <w:uiPriority w:val="99"/>
    <w:rsid w:val="00476556"/>
    <w:pPr>
      <w:numPr>
        <w:numId w:val="3"/>
      </w:numPr>
    </w:pPr>
  </w:style>
  <w:style w:type="numbering" w:customStyle="1" w:styleId="4">
    <w:name w:val="Стиль4"/>
    <w:uiPriority w:val="99"/>
    <w:rsid w:val="00476556"/>
    <w:pPr>
      <w:numPr>
        <w:numId w:val="4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76556"/>
    <w:pPr>
      <w:spacing w:after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6556"/>
    <w:rPr>
      <w:rFonts w:ascii="Tahoma" w:eastAsia="Calibri" w:hAnsi="Tahoma" w:cs="Times New Roman"/>
      <w:sz w:val="16"/>
      <w:szCs w:val="16"/>
      <w:lang w:val="ro-RO"/>
    </w:rPr>
  </w:style>
  <w:style w:type="numbering" w:customStyle="1" w:styleId="5">
    <w:name w:val="Стиль5"/>
    <w:uiPriority w:val="99"/>
    <w:rsid w:val="00476556"/>
    <w:pPr>
      <w:numPr>
        <w:numId w:val="5"/>
      </w:numPr>
    </w:pPr>
  </w:style>
  <w:style w:type="paragraph" w:styleId="Antet">
    <w:name w:val="header"/>
    <w:basedOn w:val="Normal"/>
    <w:link w:val="AntetCaracter"/>
    <w:uiPriority w:val="99"/>
    <w:unhideWhenUsed/>
    <w:rsid w:val="00476556"/>
    <w:pPr>
      <w:tabs>
        <w:tab w:val="center" w:pos="4677"/>
        <w:tab w:val="right" w:pos="9355"/>
      </w:tabs>
      <w:spacing w:after="160" w:line="259" w:lineRule="auto"/>
      <w:jc w:val="left"/>
    </w:pPr>
    <w:rPr>
      <w:rFonts w:eastAsia="Calibri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76556"/>
    <w:rPr>
      <w:rFonts w:ascii="Times New Roman" w:eastAsia="Calibri" w:hAnsi="Times New Roman" w:cs="Times New Roman"/>
      <w:sz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476556"/>
    <w:pPr>
      <w:tabs>
        <w:tab w:val="center" w:pos="4677"/>
        <w:tab w:val="right" w:pos="9355"/>
      </w:tabs>
      <w:spacing w:after="160" w:line="259" w:lineRule="auto"/>
      <w:jc w:val="left"/>
    </w:pPr>
    <w:rPr>
      <w:rFonts w:eastAsia="Calibri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76556"/>
    <w:rPr>
      <w:rFonts w:ascii="Times New Roman" w:eastAsia="Calibri" w:hAnsi="Times New Roman" w:cs="Times New Roman"/>
      <w:sz w:val="24"/>
      <w:lang w:val="ro-RO"/>
    </w:rPr>
  </w:style>
  <w:style w:type="character" w:styleId="Referincomentariu">
    <w:name w:val="annotation reference"/>
    <w:uiPriority w:val="99"/>
    <w:semiHidden/>
    <w:unhideWhenUsed/>
    <w:rsid w:val="0047655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76556"/>
    <w:pPr>
      <w:spacing w:after="160" w:line="259" w:lineRule="auto"/>
      <w:jc w:val="left"/>
    </w:pPr>
    <w:rPr>
      <w:rFonts w:eastAsia="Calibri"/>
      <w:sz w:val="20"/>
      <w:szCs w:val="20"/>
      <w:lang w:val="ru-RU"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76556"/>
    <w:rPr>
      <w:rFonts w:ascii="Times New Roman" w:eastAsia="Calibri" w:hAnsi="Times New Roman" w:cs="Times New Roman"/>
      <w:sz w:val="20"/>
      <w:szCs w:val="20"/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7655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76556"/>
    <w:rPr>
      <w:b/>
      <w:bCs/>
    </w:rPr>
  </w:style>
  <w:style w:type="paragraph" w:styleId="Frspaiere">
    <w:name w:val="No Spacing"/>
    <w:uiPriority w:val="1"/>
    <w:qFormat/>
    <w:rsid w:val="00476556"/>
    <w:pPr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numbering" w:customStyle="1" w:styleId="NoList1">
    <w:name w:val="No List1"/>
    <w:next w:val="FrListare"/>
    <w:uiPriority w:val="99"/>
    <w:semiHidden/>
    <w:unhideWhenUsed/>
    <w:rsid w:val="00476556"/>
  </w:style>
  <w:style w:type="table" w:customStyle="1" w:styleId="TableGrid1">
    <w:name w:val="Table Grid1"/>
    <w:basedOn w:val="TabelNormal"/>
    <w:next w:val="GrilTabel"/>
    <w:uiPriority w:val="39"/>
    <w:rsid w:val="004765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8499</Words>
  <Characters>48447</Characters>
  <Application>Microsoft Office Word</Application>
  <DocSecurity>0</DocSecurity>
  <Lines>403</Lines>
  <Paragraphs>113</Paragraphs>
  <ScaleCrop>false</ScaleCrop>
  <Company/>
  <LinksUpToDate>false</LinksUpToDate>
  <CharactersWithSpaces>56833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2016-11-01T07:59:00Z</dcterms:created>
  <dcterms:modified xsi:type="dcterms:W3CDTF">2016-11-01T08:03:00Z</dcterms:modified>
</cp:coreProperties>
</file>