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2" w:rsidRPr="00C179DF" w:rsidRDefault="00B10E52" w:rsidP="00B10E52">
      <w:pPr>
        <w:pStyle w:val="IASBTitle"/>
        <w:rPr>
          <w:lang w:val="ru-RU"/>
        </w:rPr>
      </w:pPr>
      <w:r w:rsidRPr="00C179DF">
        <w:rPr>
          <w:lang w:val="ru-RU"/>
        </w:rPr>
        <w:t xml:space="preserve">Разъяснение КРМФО (IFRIC) 21 </w:t>
      </w:r>
      <w:r>
        <w:rPr>
          <w:lang w:val="ru-RU"/>
        </w:rPr>
        <w:br/>
      </w:r>
      <w:r w:rsidRPr="00C179DF">
        <w:rPr>
          <w:lang w:val="ru-RU"/>
        </w:rPr>
        <w:t>«</w:t>
      </w:r>
      <w:r w:rsidRPr="00C179DF">
        <w:rPr>
          <w:i/>
          <w:lang w:val="ru-RU"/>
        </w:rPr>
        <w:t>Обязательные платежи»</w:t>
      </w:r>
    </w:p>
    <w:p w:rsidR="00B10E52" w:rsidRPr="00C179DF" w:rsidRDefault="00B10E52" w:rsidP="00B10E52">
      <w:pPr>
        <w:pStyle w:val="IASBSectionTitleU"/>
        <w:rPr>
          <w:lang w:val="ru-RU"/>
        </w:rPr>
      </w:pPr>
      <w:r w:rsidRPr="00C179DF">
        <w:rPr>
          <w:lang w:val="ru-RU"/>
        </w:rPr>
        <w:t>Ссылки</w:t>
      </w:r>
    </w:p>
    <w:p w:rsidR="00B10E52" w:rsidRPr="00C179DF" w:rsidRDefault="00B10E52" w:rsidP="00B10E52">
      <w:pPr>
        <w:pStyle w:val="IASBNormal"/>
        <w:rPr>
          <w:lang w:val="ru-RU"/>
        </w:rPr>
      </w:pP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•</w:t>
      </w:r>
      <w:r w:rsidRPr="00C179DF">
        <w:rPr>
          <w:lang w:val="ru-RU"/>
        </w:rPr>
        <w:tab/>
        <w:t>МСФО (IAS) 1 «</w:t>
      </w:r>
      <w:r w:rsidRPr="00C179DF">
        <w:rPr>
          <w:i/>
          <w:lang w:val="ru-RU"/>
        </w:rPr>
        <w:t>Представление финансовой отчетности»</w:t>
      </w:r>
      <w:r>
        <w:rPr>
          <w:i/>
          <w:lang w:val="ru-RU"/>
        </w:rPr>
        <w:t>,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•</w:t>
      </w:r>
      <w:r w:rsidRPr="00C179DF">
        <w:rPr>
          <w:lang w:val="ru-RU"/>
        </w:rPr>
        <w:tab/>
        <w:t>МСФО (IAS) 8 «</w:t>
      </w:r>
      <w:r w:rsidRPr="00C179DF">
        <w:rPr>
          <w:i/>
          <w:lang w:val="ru-RU"/>
        </w:rPr>
        <w:t>Учетная политика,</w:t>
      </w:r>
      <w:r>
        <w:rPr>
          <w:i/>
          <w:lang w:val="ru-RU"/>
        </w:rPr>
        <w:t xml:space="preserve"> изменения в бухгалтерских оценках</w:t>
      </w:r>
      <w:r w:rsidRPr="00C179DF">
        <w:rPr>
          <w:i/>
          <w:lang w:val="ru-RU"/>
        </w:rPr>
        <w:t xml:space="preserve"> и ошибки»</w:t>
      </w:r>
      <w:r>
        <w:rPr>
          <w:i/>
          <w:lang w:val="ru-RU"/>
        </w:rPr>
        <w:t>,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•</w:t>
      </w:r>
      <w:r w:rsidRPr="00C179DF">
        <w:rPr>
          <w:lang w:val="ru-RU"/>
        </w:rPr>
        <w:tab/>
        <w:t>МСФО (IAS) 12 «</w:t>
      </w:r>
      <w:r w:rsidRPr="00C179DF">
        <w:rPr>
          <w:i/>
          <w:lang w:val="ru-RU"/>
        </w:rPr>
        <w:t>Налоги на прибыль»</w:t>
      </w:r>
      <w:r>
        <w:rPr>
          <w:i/>
          <w:lang w:val="ru-RU"/>
        </w:rPr>
        <w:t>,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•</w:t>
      </w:r>
      <w:r w:rsidRPr="00C179DF">
        <w:rPr>
          <w:lang w:val="ru-RU"/>
        </w:rPr>
        <w:tab/>
        <w:t>МСФО (IAS) 20 «</w:t>
      </w:r>
      <w:r w:rsidRPr="00C179DF">
        <w:rPr>
          <w:i/>
          <w:lang w:val="ru-RU"/>
        </w:rPr>
        <w:t>Учет государственных субсидий и раскрытие информации о государственной помощи»</w:t>
      </w:r>
      <w:r>
        <w:rPr>
          <w:i/>
          <w:lang w:val="ru-RU"/>
        </w:rPr>
        <w:t>,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•</w:t>
      </w:r>
      <w:r w:rsidRPr="00C179DF">
        <w:rPr>
          <w:lang w:val="ru-RU"/>
        </w:rPr>
        <w:tab/>
        <w:t>МСФО (IAS) 24 «</w:t>
      </w:r>
      <w:r w:rsidRPr="00C179DF">
        <w:rPr>
          <w:i/>
          <w:lang w:val="ru-RU"/>
        </w:rPr>
        <w:t>Раскрытие информации о связанных сторонах»</w:t>
      </w:r>
      <w:r>
        <w:rPr>
          <w:i/>
          <w:lang w:val="ru-RU"/>
        </w:rPr>
        <w:t>,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•</w:t>
      </w:r>
      <w:r w:rsidRPr="00C179DF">
        <w:rPr>
          <w:lang w:val="ru-RU"/>
        </w:rPr>
        <w:tab/>
        <w:t>МСФО (IAS) 34 «</w:t>
      </w:r>
      <w:r w:rsidRPr="00C179DF">
        <w:rPr>
          <w:i/>
          <w:lang w:val="ru-RU"/>
        </w:rPr>
        <w:t>Промежуточная финансовая отчетность»</w:t>
      </w:r>
      <w:r>
        <w:rPr>
          <w:i/>
          <w:lang w:val="ru-RU"/>
        </w:rPr>
        <w:t>,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•</w:t>
      </w:r>
      <w:r w:rsidRPr="00C179DF">
        <w:rPr>
          <w:lang w:val="ru-RU"/>
        </w:rPr>
        <w:tab/>
        <w:t>МСФО (IAS) 37 «</w:t>
      </w:r>
      <w:r w:rsidRPr="00C179DF">
        <w:rPr>
          <w:i/>
          <w:lang w:val="ru-RU"/>
        </w:rPr>
        <w:t>Оценочные обязательства, условные обязательства и условные активы»</w:t>
      </w:r>
      <w:r>
        <w:rPr>
          <w:i/>
          <w:lang w:val="ru-RU"/>
        </w:rPr>
        <w:t>,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•</w:t>
      </w:r>
      <w:r w:rsidRPr="00C179DF">
        <w:rPr>
          <w:lang w:val="ru-RU"/>
        </w:rPr>
        <w:tab/>
        <w:t>Разъяснение КРМФО (IFRIC) 6 «</w:t>
      </w:r>
      <w:r w:rsidRPr="00C179DF">
        <w:rPr>
          <w:i/>
          <w:lang w:val="ru-RU"/>
        </w:rPr>
        <w:t>Обязательства, возникающие в связи с деятельностью на специфическом рынке – отработанное электрическое и электронное оборудование»</w:t>
      </w:r>
      <w:r>
        <w:rPr>
          <w:i/>
          <w:lang w:val="ru-RU"/>
        </w:rPr>
        <w:t>.</w:t>
      </w:r>
    </w:p>
    <w:p w:rsidR="00B10E52" w:rsidRPr="00C179DF" w:rsidRDefault="00B10E52" w:rsidP="00B10E52">
      <w:pPr>
        <w:pStyle w:val="IASBSectionTitleU"/>
        <w:rPr>
          <w:lang w:val="ru-RU"/>
        </w:rPr>
      </w:pPr>
      <w:r w:rsidRPr="00C179DF">
        <w:rPr>
          <w:lang w:val="ru-RU"/>
        </w:rPr>
        <w:t>Исходная информация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1</w:t>
      </w:r>
      <w:r w:rsidRPr="00C179DF">
        <w:rPr>
          <w:lang w:val="ru-RU"/>
        </w:rPr>
        <w:tab/>
        <w:t xml:space="preserve">Государство может устанавливать для организации обязательные платежи. В Комитет по разъяснениям международной финансовой отчетности поступили запросы на предоставление указаний по учету обязательных платежей в финансовой отчетности организации, являющейся их плательщиком. Вопрос состоит в определении момента признания обязательства по уплате обязательного платежа, которое отражается в учете в соответствии с МСФО (IAS) 37 </w:t>
      </w:r>
      <w:r w:rsidRPr="00C179DF">
        <w:rPr>
          <w:i/>
          <w:lang w:val="ru-RU"/>
        </w:rPr>
        <w:t>«Оценочные обязательства, условные обязательства и условные активы»</w:t>
      </w:r>
      <w:r w:rsidRPr="00C179DF">
        <w:rPr>
          <w:lang w:val="ru-RU"/>
        </w:rPr>
        <w:t>.</w:t>
      </w:r>
    </w:p>
    <w:p w:rsidR="00B10E52" w:rsidRPr="00C179DF" w:rsidRDefault="00B10E52" w:rsidP="00B10E52">
      <w:pPr>
        <w:pStyle w:val="IASBSectionTitleU"/>
        <w:rPr>
          <w:lang w:val="ru-RU"/>
        </w:rPr>
      </w:pPr>
      <w:r w:rsidRPr="00C179DF">
        <w:rPr>
          <w:lang w:val="ru-RU"/>
        </w:rPr>
        <w:t>Сфера применения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2</w:t>
      </w:r>
      <w:r w:rsidRPr="00C179DF">
        <w:rPr>
          <w:lang w:val="ru-RU"/>
        </w:rPr>
        <w:tab/>
        <w:t>Настоящее разъяснение рассматривает порядок учета обязательства по уплате обязательного платежа, если такое обязательство входит в сферу применения МСФО (IAS) 37. Настоящее разъяснение также рассматривает порядок учета обязательства по уплате обязательного платежа, сроки и сумма которого являются определенными.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3</w:t>
      </w:r>
      <w:r w:rsidRPr="00C179DF">
        <w:rPr>
          <w:lang w:val="ru-RU"/>
        </w:rPr>
        <w:tab/>
        <w:t>Настоящее разъяснение не рассматривает порядок учета затрат, обусловленных признанием обязательства по уплате обязательного платежа. Организации должны применять другие МСФО для определения того, приводит ли признание обязательства по уплате обязательного платежа к возникновению актива или расхода.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4</w:t>
      </w:r>
      <w:proofErr w:type="gramStart"/>
      <w:r w:rsidRPr="00C179DF">
        <w:rPr>
          <w:lang w:val="ru-RU"/>
        </w:rPr>
        <w:tab/>
        <w:t>Д</w:t>
      </w:r>
      <w:proofErr w:type="gramEnd"/>
      <w:r w:rsidRPr="00C179DF">
        <w:rPr>
          <w:lang w:val="ru-RU"/>
        </w:rPr>
        <w:t>ля целей настоящего разъяснения под обязательным платежом понимается выбытие ресурсов, содержащих экономические выгоды, налагаемое на организации государством в соответствии с законодательством (т. е. законами и иными нормативно-правовыми актами) и не являющееся: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(a)</w:t>
      </w:r>
      <w:r w:rsidRPr="00C179DF">
        <w:rPr>
          <w:lang w:val="ru-RU"/>
        </w:rPr>
        <w:tab/>
        <w:t xml:space="preserve">выбытием ресурсов, </w:t>
      </w:r>
      <w:r>
        <w:rPr>
          <w:lang w:val="ru-RU"/>
        </w:rPr>
        <w:t>входящим</w:t>
      </w:r>
      <w:r w:rsidRPr="00C179DF">
        <w:rPr>
          <w:lang w:val="ru-RU"/>
        </w:rPr>
        <w:t xml:space="preserve"> в сферу применения других МСФО (например, в части налогов на прибыль, входящих в сферу применения МСФО (IAS) 12 </w:t>
      </w:r>
      <w:r w:rsidRPr="00C179DF">
        <w:rPr>
          <w:i/>
          <w:lang w:val="ru-RU"/>
        </w:rPr>
        <w:t>«Налоги на прибыль»</w:t>
      </w:r>
      <w:r w:rsidRPr="00C179DF">
        <w:rPr>
          <w:lang w:val="ru-RU"/>
        </w:rPr>
        <w:t>); и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(b)</w:t>
      </w:r>
      <w:r w:rsidRPr="00C179DF">
        <w:rPr>
          <w:lang w:val="ru-RU"/>
        </w:rPr>
        <w:tab/>
        <w:t>штрафами или иными взысканиями, налагаемыми за нарушение законодательства.</w:t>
      </w:r>
    </w:p>
    <w:p w:rsidR="00B10E52" w:rsidRPr="00C179DF" w:rsidRDefault="00B10E52" w:rsidP="00B10E52">
      <w:pPr>
        <w:pStyle w:val="IASBNormal"/>
        <w:ind w:left="780"/>
        <w:rPr>
          <w:lang w:val="ru-RU"/>
        </w:rPr>
      </w:pPr>
      <w:r w:rsidRPr="00C179DF">
        <w:rPr>
          <w:lang w:val="ru-RU"/>
        </w:rPr>
        <w:t>Под «государством» понимается правительство, министерства, ведомства и иные органы государственной власти, независимо от того, являются ли они местными, национальными или международными.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5</w:t>
      </w:r>
      <w:r w:rsidRPr="00C179DF">
        <w:rPr>
          <w:lang w:val="ru-RU"/>
        </w:rPr>
        <w:tab/>
        <w:t>Платеж, осуществляемый организацией за приобретенные активы или за оказанные услуги</w:t>
      </w:r>
      <w:r>
        <w:rPr>
          <w:lang w:val="ru-RU"/>
        </w:rPr>
        <w:t xml:space="preserve"> по договору</w:t>
      </w:r>
      <w:r w:rsidRPr="00C179DF">
        <w:rPr>
          <w:lang w:val="ru-RU"/>
        </w:rPr>
        <w:t xml:space="preserve"> с государством, не соответствует определению обязательного платежа.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6</w:t>
      </w:r>
      <w:r w:rsidRPr="00C179DF">
        <w:rPr>
          <w:lang w:val="ru-RU"/>
        </w:rPr>
        <w:tab/>
        <w:t xml:space="preserve">Организация не обязана применять настоящее разъяснение к обязательствам, возникающим в связи с </w:t>
      </w:r>
      <w:r>
        <w:rPr>
          <w:lang w:val="ru-RU"/>
        </w:rPr>
        <w:t xml:space="preserve">системой </w:t>
      </w:r>
      <w:r w:rsidRPr="00C179DF">
        <w:rPr>
          <w:lang w:val="ru-RU"/>
        </w:rPr>
        <w:t>торговл</w:t>
      </w:r>
      <w:r>
        <w:rPr>
          <w:lang w:val="ru-RU"/>
        </w:rPr>
        <w:t>и</w:t>
      </w:r>
      <w:r w:rsidRPr="00C179DF">
        <w:rPr>
          <w:lang w:val="ru-RU"/>
        </w:rPr>
        <w:t xml:space="preserve"> </w:t>
      </w:r>
      <w:r>
        <w:rPr>
          <w:lang w:val="ru-RU"/>
        </w:rPr>
        <w:t>квотами</w:t>
      </w:r>
      <w:r w:rsidRPr="00C179DF">
        <w:rPr>
          <w:lang w:val="ru-RU"/>
        </w:rPr>
        <w:t xml:space="preserve"> на </w:t>
      </w:r>
      <w:r>
        <w:rPr>
          <w:lang w:val="ru-RU"/>
        </w:rPr>
        <w:t>выбросы</w:t>
      </w:r>
      <w:r w:rsidRPr="00C179DF">
        <w:rPr>
          <w:lang w:val="ru-RU"/>
        </w:rPr>
        <w:t>.</w:t>
      </w:r>
    </w:p>
    <w:p w:rsidR="00B10E52" w:rsidRPr="00C179DF" w:rsidRDefault="00B10E52" w:rsidP="00B10E52">
      <w:pPr>
        <w:pStyle w:val="IASBSectionTitleU"/>
        <w:rPr>
          <w:lang w:val="ru-RU"/>
        </w:rPr>
      </w:pPr>
      <w:r w:rsidRPr="00C179DF">
        <w:rPr>
          <w:lang w:val="ru-RU"/>
        </w:rPr>
        <w:lastRenderedPageBreak/>
        <w:t>Вопросы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7</w:t>
      </w:r>
      <w:proofErr w:type="gramStart"/>
      <w:r w:rsidRPr="00C179DF">
        <w:rPr>
          <w:lang w:val="ru-RU"/>
        </w:rPr>
        <w:tab/>
        <w:t>В</w:t>
      </w:r>
      <w:proofErr w:type="gramEnd"/>
      <w:r w:rsidRPr="00C179DF">
        <w:rPr>
          <w:lang w:val="ru-RU"/>
        </w:rPr>
        <w:t xml:space="preserve"> целях разъяснения порядка учета обязательства по уплате обязательного платежа, в настоящем разъяснении рассматриваются следующие вопросы: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(a)</w:t>
      </w:r>
      <w:r w:rsidRPr="00C179DF">
        <w:rPr>
          <w:lang w:val="ru-RU"/>
        </w:rPr>
        <w:tab/>
        <w:t xml:space="preserve">Что </w:t>
      </w:r>
      <w:r>
        <w:rPr>
          <w:lang w:val="ru-RU"/>
        </w:rPr>
        <w:t>является</w:t>
      </w:r>
      <w:r w:rsidRPr="00C179DF">
        <w:rPr>
          <w:lang w:val="ru-RU"/>
        </w:rPr>
        <w:t xml:space="preserve"> обязывающ</w:t>
      </w:r>
      <w:r>
        <w:rPr>
          <w:lang w:val="ru-RU"/>
        </w:rPr>
        <w:t>им</w:t>
      </w:r>
      <w:r w:rsidRPr="00C179DF">
        <w:rPr>
          <w:lang w:val="ru-RU"/>
        </w:rPr>
        <w:t xml:space="preserve"> событие</w:t>
      </w:r>
      <w:r>
        <w:rPr>
          <w:lang w:val="ru-RU"/>
        </w:rPr>
        <w:t>м</w:t>
      </w:r>
      <w:r w:rsidRPr="00C179DF">
        <w:rPr>
          <w:lang w:val="ru-RU"/>
        </w:rPr>
        <w:t>, приводящ</w:t>
      </w:r>
      <w:r>
        <w:rPr>
          <w:lang w:val="ru-RU"/>
        </w:rPr>
        <w:t>им</w:t>
      </w:r>
      <w:r w:rsidRPr="00C179DF">
        <w:rPr>
          <w:lang w:val="ru-RU"/>
        </w:rPr>
        <w:t xml:space="preserve"> к признанию обязательства по уплате обязательного платежа?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(b)</w:t>
      </w:r>
      <w:r w:rsidRPr="00C179DF">
        <w:rPr>
          <w:lang w:val="ru-RU"/>
        </w:rPr>
        <w:tab/>
        <w:t>Создает ли экономическая необходимость продолжения деятельности в будущем периоде обусловленн</w:t>
      </w:r>
      <w:r>
        <w:rPr>
          <w:lang w:val="ru-RU"/>
        </w:rPr>
        <w:t>ое</w:t>
      </w:r>
      <w:r w:rsidRPr="00C179DF">
        <w:rPr>
          <w:lang w:val="ru-RU"/>
        </w:rPr>
        <w:t xml:space="preserve"> практикой обяза</w:t>
      </w:r>
      <w:r>
        <w:rPr>
          <w:lang w:val="ru-RU"/>
        </w:rPr>
        <w:t>тельство</w:t>
      </w:r>
      <w:r w:rsidRPr="00C179DF">
        <w:rPr>
          <w:lang w:val="ru-RU"/>
        </w:rPr>
        <w:t xml:space="preserve"> в отношении уплаты обязательного платежа</w:t>
      </w:r>
      <w:r>
        <w:rPr>
          <w:lang w:val="ru-RU"/>
        </w:rPr>
        <w:t>, возникающее</w:t>
      </w:r>
      <w:r w:rsidRPr="00C179DF">
        <w:rPr>
          <w:lang w:val="ru-RU"/>
        </w:rPr>
        <w:t xml:space="preserve"> в</w:t>
      </w:r>
      <w:r>
        <w:rPr>
          <w:lang w:val="ru-RU"/>
        </w:rPr>
        <w:t xml:space="preserve"> связи</w:t>
      </w:r>
      <w:r w:rsidRPr="00C179DF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C179DF">
        <w:rPr>
          <w:lang w:val="ru-RU"/>
        </w:rPr>
        <w:t>осуществлени</w:t>
      </w:r>
      <w:r>
        <w:rPr>
          <w:lang w:val="ru-RU"/>
        </w:rPr>
        <w:t>ем</w:t>
      </w:r>
      <w:r w:rsidRPr="00C179DF">
        <w:rPr>
          <w:lang w:val="ru-RU"/>
        </w:rPr>
        <w:t xml:space="preserve"> деятельности в </w:t>
      </w:r>
      <w:r>
        <w:rPr>
          <w:lang w:val="ru-RU"/>
        </w:rPr>
        <w:t>таком</w:t>
      </w:r>
      <w:r w:rsidRPr="00C179DF">
        <w:rPr>
          <w:lang w:val="ru-RU"/>
        </w:rPr>
        <w:t xml:space="preserve"> будущем периоде?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(c)</w:t>
      </w:r>
      <w:r w:rsidRPr="00C179DF">
        <w:rPr>
          <w:lang w:val="ru-RU"/>
        </w:rPr>
        <w:tab/>
        <w:t xml:space="preserve">Подразумевает ли допущение о непрерывности деятельности </w:t>
      </w:r>
      <w:r>
        <w:rPr>
          <w:lang w:val="ru-RU"/>
        </w:rPr>
        <w:t>существование</w:t>
      </w:r>
      <w:r w:rsidRPr="00C179DF">
        <w:rPr>
          <w:lang w:val="ru-RU"/>
        </w:rPr>
        <w:t xml:space="preserve"> у организации обязанности в отношении уплаты обязательного платежа</w:t>
      </w:r>
      <w:r>
        <w:rPr>
          <w:lang w:val="ru-RU"/>
        </w:rPr>
        <w:t>, возникающей в связи с</w:t>
      </w:r>
      <w:r w:rsidRPr="00C179DF">
        <w:rPr>
          <w:lang w:val="ru-RU"/>
        </w:rPr>
        <w:t xml:space="preserve"> осуществлени</w:t>
      </w:r>
      <w:r>
        <w:rPr>
          <w:lang w:val="ru-RU"/>
        </w:rPr>
        <w:t>ем</w:t>
      </w:r>
      <w:r w:rsidRPr="00C179DF">
        <w:rPr>
          <w:lang w:val="ru-RU"/>
        </w:rPr>
        <w:t xml:space="preserve"> деятельности в будущем периоде?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(d)</w:t>
      </w:r>
      <w:r w:rsidRPr="00C179DF">
        <w:rPr>
          <w:lang w:val="ru-RU"/>
        </w:rPr>
        <w:tab/>
        <w:t>Должно ли признание обязательства по уплате обязательного платежа производиться единовременно или, в некоторых случаях, постепенно, на протяжении периода времени?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(e)</w:t>
      </w:r>
      <w:r w:rsidRPr="00C179DF">
        <w:rPr>
          <w:lang w:val="ru-RU"/>
        </w:rPr>
        <w:tab/>
        <w:t xml:space="preserve">Что </w:t>
      </w:r>
      <w:r>
        <w:rPr>
          <w:lang w:val="ru-RU"/>
        </w:rPr>
        <w:t>является</w:t>
      </w:r>
      <w:r w:rsidRPr="00C179DF">
        <w:rPr>
          <w:lang w:val="ru-RU"/>
        </w:rPr>
        <w:t xml:space="preserve"> обязывающ</w:t>
      </w:r>
      <w:r>
        <w:rPr>
          <w:lang w:val="ru-RU"/>
        </w:rPr>
        <w:t>им</w:t>
      </w:r>
      <w:r w:rsidRPr="00C179DF">
        <w:rPr>
          <w:lang w:val="ru-RU"/>
        </w:rPr>
        <w:t xml:space="preserve"> событие</w:t>
      </w:r>
      <w:r>
        <w:rPr>
          <w:lang w:val="ru-RU"/>
        </w:rPr>
        <w:t>м</w:t>
      </w:r>
      <w:r w:rsidRPr="00C179DF">
        <w:rPr>
          <w:lang w:val="ru-RU"/>
        </w:rPr>
        <w:t>, приводящ</w:t>
      </w:r>
      <w:r>
        <w:rPr>
          <w:lang w:val="ru-RU"/>
        </w:rPr>
        <w:t>им</w:t>
      </w:r>
      <w:r w:rsidRPr="00C179DF">
        <w:rPr>
          <w:lang w:val="ru-RU"/>
        </w:rPr>
        <w:t xml:space="preserve"> к признанию обязательства по уплате обязательного платежа</w:t>
      </w:r>
      <w:r>
        <w:rPr>
          <w:lang w:val="ru-RU"/>
        </w:rPr>
        <w:t>, возникающего</w:t>
      </w:r>
      <w:r w:rsidRPr="00C179DF">
        <w:rPr>
          <w:lang w:val="ru-RU"/>
        </w:rPr>
        <w:t xml:space="preserve"> по достижении некоторого минимального порогового значения? 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(f)</w:t>
      </w:r>
      <w:r w:rsidRPr="00C179DF">
        <w:rPr>
          <w:lang w:val="ru-RU"/>
        </w:rPr>
        <w:tab/>
        <w:t>Одинаковы ли принципы признания обязательства по уплате обязательного платежа в годовой отчетности и в промежуточном финансовом отчете?</w:t>
      </w:r>
    </w:p>
    <w:p w:rsidR="00B10E52" w:rsidRPr="00C179DF" w:rsidRDefault="00B10E52" w:rsidP="00B10E52">
      <w:pPr>
        <w:pStyle w:val="IASBSectionTitleU"/>
        <w:rPr>
          <w:lang w:val="ru-RU"/>
        </w:rPr>
      </w:pPr>
      <w:r w:rsidRPr="00C179DF">
        <w:rPr>
          <w:lang w:val="ru-RU"/>
        </w:rPr>
        <w:t>Консенсус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8</w:t>
      </w:r>
      <w:r w:rsidRPr="00C179DF">
        <w:rPr>
          <w:lang w:val="ru-RU"/>
        </w:rPr>
        <w:tab/>
        <w:t>Обязывающим событием, приводящим к признанию обязательства по уплате обязательного платежа, является деятельность, вследствие которой возникает обязанность уплаты обязательного платежа в соответствии с законодательством. Например, если деятельностью, вследствие осуществления которой возникает обязанность уплаты обязательного платежа, является получение выручки в текущем периоде, а расчет такого обязательного платежа основан на выручке, полученной в предыдущем периоде, обязывающим событием для такого обязательного платежа является получение выручки в текущем периоде. Получение выручки в предыдущем периоде является необходимым, но не достаточным условием возникновения существующей обязанности.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9</w:t>
      </w:r>
      <w:r w:rsidRPr="00C179DF">
        <w:rPr>
          <w:lang w:val="ru-RU"/>
        </w:rPr>
        <w:tab/>
        <w:t>Экономическая необходимость в продолжени</w:t>
      </w:r>
      <w:proofErr w:type="gramStart"/>
      <w:r w:rsidRPr="00C179DF">
        <w:rPr>
          <w:lang w:val="ru-RU"/>
        </w:rPr>
        <w:t>и</w:t>
      </w:r>
      <w:proofErr w:type="gramEnd"/>
      <w:r w:rsidRPr="00C179DF">
        <w:rPr>
          <w:lang w:val="ru-RU"/>
        </w:rPr>
        <w:t xml:space="preserve"> деятельности организации в будущем периоде не приводит к возникновению у такой организации обусловленной практикой обязанности в отношении уплаты обязательного платежа</w:t>
      </w:r>
      <w:r>
        <w:rPr>
          <w:lang w:val="ru-RU"/>
        </w:rPr>
        <w:t xml:space="preserve">, возникающей в связи с </w:t>
      </w:r>
      <w:r w:rsidRPr="00C179DF">
        <w:rPr>
          <w:lang w:val="ru-RU"/>
        </w:rPr>
        <w:t>осуществлени</w:t>
      </w:r>
      <w:r>
        <w:rPr>
          <w:lang w:val="ru-RU"/>
        </w:rPr>
        <w:t>ем</w:t>
      </w:r>
      <w:r w:rsidRPr="00C179DF">
        <w:rPr>
          <w:lang w:val="ru-RU"/>
        </w:rPr>
        <w:t xml:space="preserve"> деятельности в таком будущем периоде.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10</w:t>
      </w:r>
      <w:r w:rsidRPr="00C179DF">
        <w:rPr>
          <w:lang w:val="ru-RU"/>
        </w:rPr>
        <w:tab/>
        <w:t xml:space="preserve">Составление финансовой отчетности на основе допущения о непрерывности деятельности не подразумевает </w:t>
      </w:r>
      <w:r>
        <w:rPr>
          <w:lang w:val="ru-RU"/>
        </w:rPr>
        <w:t>существования</w:t>
      </w:r>
      <w:r w:rsidRPr="00C179DF">
        <w:rPr>
          <w:lang w:val="ru-RU"/>
        </w:rPr>
        <w:t xml:space="preserve"> у организации обязанности в отношении уплаты обязательного платежа, </w:t>
      </w:r>
      <w:r>
        <w:rPr>
          <w:lang w:val="ru-RU"/>
        </w:rPr>
        <w:t>возникающей</w:t>
      </w:r>
      <w:r w:rsidRPr="00C179DF">
        <w:rPr>
          <w:lang w:val="ru-RU"/>
        </w:rPr>
        <w:t xml:space="preserve"> вследствие осуществления деятельности в будущем периоде.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11</w:t>
      </w:r>
      <w:r w:rsidRPr="00C179DF">
        <w:rPr>
          <w:lang w:val="ru-RU"/>
        </w:rPr>
        <w:tab/>
        <w:t>Обязательство по уплате обязательного платежа признается постепенно, если обязывающее событие происходит на</w:t>
      </w:r>
      <w:r>
        <w:rPr>
          <w:lang w:val="ru-RU"/>
        </w:rPr>
        <w:t xml:space="preserve"> протяжении периода времени (т. </w:t>
      </w:r>
      <w:r w:rsidRPr="00C179DF">
        <w:rPr>
          <w:lang w:val="ru-RU"/>
        </w:rPr>
        <w:t>е. если деятельность, вследствие которой возникает обязанность уплаты обязательного платежа в соответствии с законодательством, осуществляется на протяжении периода времени). Например, если обязывающим событием является получение выручки на протяжении периода времени, соответствующее обязательство признается по мере того, как организация получает такую выручку.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12</w:t>
      </w:r>
      <w:proofErr w:type="gramStart"/>
      <w:r w:rsidRPr="00C179DF">
        <w:rPr>
          <w:lang w:val="ru-RU"/>
        </w:rPr>
        <w:tab/>
        <w:t>Е</w:t>
      </w:r>
      <w:proofErr w:type="gramEnd"/>
      <w:r w:rsidRPr="00C179DF">
        <w:rPr>
          <w:lang w:val="ru-RU"/>
        </w:rPr>
        <w:t>сли обязанность в отношении уплаты обязательного платежа возникает вследствие достижения некоторого минимального порогового значения, учет обязательства, обусловленного такой обязанностью, должен соответствовать принц</w:t>
      </w:r>
      <w:r>
        <w:rPr>
          <w:lang w:val="ru-RU"/>
        </w:rPr>
        <w:t>ипам, установленным в пунктах 8–</w:t>
      </w:r>
      <w:r w:rsidRPr="00C179DF">
        <w:rPr>
          <w:lang w:val="ru-RU"/>
        </w:rPr>
        <w:t>14 настоящего разъяснения (в частности, в пунктах 8 и 11). Например, если обязывающим событием является достижение минимального порогового значения деятельности (такого как минимальная величина полученной выручки или осуществленных продаж</w:t>
      </w:r>
      <w:r>
        <w:rPr>
          <w:lang w:val="ru-RU"/>
        </w:rPr>
        <w:t>,</w:t>
      </w:r>
      <w:r w:rsidRPr="00C179DF">
        <w:rPr>
          <w:lang w:val="ru-RU"/>
        </w:rPr>
        <w:t xml:space="preserve"> либо минимальное количество произведенной продукции), соответствующее обязательство признается при достижении такого минимального порогового значения.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13</w:t>
      </w:r>
      <w:proofErr w:type="gramStart"/>
      <w:r w:rsidRPr="00C179DF">
        <w:rPr>
          <w:lang w:val="ru-RU"/>
        </w:rPr>
        <w:tab/>
        <w:t>В</w:t>
      </w:r>
      <w:proofErr w:type="gramEnd"/>
      <w:r w:rsidRPr="00C179DF">
        <w:rPr>
          <w:lang w:val="ru-RU"/>
        </w:rPr>
        <w:t xml:space="preserve"> промежуточном финансовом отчете организация применяет те же принципы признания, что и в годовой финансовой отчетности. Вследствие этого в промежуточном финансовом отчете обязательство по уплате обязательного платежа: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t>(a)</w:t>
      </w:r>
      <w:r w:rsidRPr="00C179DF">
        <w:rPr>
          <w:lang w:val="ru-RU"/>
        </w:rPr>
        <w:tab/>
        <w:t xml:space="preserve">не должно признаваться </w:t>
      </w:r>
      <w:r>
        <w:rPr>
          <w:lang w:val="ru-RU"/>
        </w:rPr>
        <w:t>при</w:t>
      </w:r>
      <w:r w:rsidRPr="00C179DF">
        <w:rPr>
          <w:lang w:val="ru-RU"/>
        </w:rPr>
        <w:t xml:space="preserve"> отсутстви</w:t>
      </w:r>
      <w:r>
        <w:rPr>
          <w:lang w:val="ru-RU"/>
        </w:rPr>
        <w:t>и</w:t>
      </w:r>
      <w:r w:rsidRPr="00C179DF">
        <w:rPr>
          <w:lang w:val="ru-RU"/>
        </w:rPr>
        <w:t xml:space="preserve"> на конец промежуточного отчетного периода </w:t>
      </w:r>
      <w:r>
        <w:rPr>
          <w:lang w:val="ru-RU"/>
        </w:rPr>
        <w:t xml:space="preserve">существующей </w:t>
      </w:r>
      <w:r w:rsidRPr="00C179DF">
        <w:rPr>
          <w:lang w:val="ru-RU"/>
        </w:rPr>
        <w:t>обязанности в отношении его уплаты; и</w:t>
      </w:r>
    </w:p>
    <w:p w:rsidR="00B10E52" w:rsidRPr="00C179DF" w:rsidRDefault="00B10E52" w:rsidP="00B10E52">
      <w:pPr>
        <w:pStyle w:val="IASBNormal"/>
        <w:ind w:left="1560" w:hanging="780"/>
        <w:rPr>
          <w:lang w:val="ru-RU"/>
        </w:rPr>
      </w:pPr>
      <w:r w:rsidRPr="00C179DF">
        <w:rPr>
          <w:lang w:val="ru-RU"/>
        </w:rPr>
        <w:lastRenderedPageBreak/>
        <w:t>(b)</w:t>
      </w:r>
      <w:r w:rsidRPr="00C179DF">
        <w:rPr>
          <w:lang w:val="ru-RU"/>
        </w:rPr>
        <w:tab/>
        <w:t xml:space="preserve">должно признаваться при </w:t>
      </w:r>
      <w:r>
        <w:rPr>
          <w:lang w:val="ru-RU"/>
        </w:rPr>
        <w:t>наличии</w:t>
      </w:r>
      <w:r w:rsidRPr="00C179DF">
        <w:rPr>
          <w:lang w:val="ru-RU"/>
        </w:rPr>
        <w:t xml:space="preserve"> на конец промежуточного отчетного периода </w:t>
      </w:r>
      <w:r>
        <w:rPr>
          <w:lang w:val="ru-RU"/>
        </w:rPr>
        <w:t xml:space="preserve">существующей </w:t>
      </w:r>
      <w:r w:rsidRPr="00C179DF">
        <w:rPr>
          <w:lang w:val="ru-RU"/>
        </w:rPr>
        <w:t>обязанности в отношении его уплаты.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14</w:t>
      </w:r>
      <w:r w:rsidRPr="00C179DF">
        <w:rPr>
          <w:lang w:val="ru-RU"/>
        </w:rPr>
        <w:tab/>
        <w:t xml:space="preserve">Организация должна признать актив, если она </w:t>
      </w:r>
      <w:r>
        <w:rPr>
          <w:lang w:val="ru-RU"/>
        </w:rPr>
        <w:t xml:space="preserve">сделала предоплату </w:t>
      </w:r>
      <w:r w:rsidRPr="00C179DF">
        <w:rPr>
          <w:lang w:val="ru-RU"/>
        </w:rPr>
        <w:t>обязательн</w:t>
      </w:r>
      <w:r>
        <w:rPr>
          <w:lang w:val="ru-RU"/>
        </w:rPr>
        <w:t>ого</w:t>
      </w:r>
      <w:r w:rsidRPr="00C179DF">
        <w:rPr>
          <w:lang w:val="ru-RU"/>
        </w:rPr>
        <w:t xml:space="preserve"> платеж</w:t>
      </w:r>
      <w:r>
        <w:rPr>
          <w:lang w:val="ru-RU"/>
        </w:rPr>
        <w:t>а</w:t>
      </w:r>
      <w:r w:rsidRPr="00C179DF">
        <w:rPr>
          <w:lang w:val="ru-RU"/>
        </w:rPr>
        <w:t xml:space="preserve"> в отсутствие у нее существующей обязанности в отношении его уплаты.</w:t>
      </w:r>
    </w:p>
    <w:p w:rsidR="00B10E52" w:rsidRPr="00C179DF" w:rsidRDefault="00B10E52" w:rsidP="00B10E52">
      <w:pPr>
        <w:pStyle w:val="IASBNormal"/>
        <w:rPr>
          <w:lang w:val="ru-RU"/>
        </w:rPr>
        <w:sectPr w:rsidR="00B10E52" w:rsidRPr="00C179DF">
          <w:headerReference w:type="even" r:id="rId5"/>
          <w:headerReference w:type="default" r:id="rId6"/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1418" w:right="1418" w:bottom="1418" w:left="1134" w:header="709" w:footer="709" w:gutter="0"/>
          <w:cols w:space="708"/>
          <w:docGrid w:linePitch="360"/>
        </w:sectPr>
      </w:pPr>
    </w:p>
    <w:p w:rsidR="00B10E52" w:rsidRPr="00C179DF" w:rsidRDefault="00B10E52" w:rsidP="00B10E52">
      <w:pPr>
        <w:pStyle w:val="IASBTitle"/>
        <w:rPr>
          <w:lang w:val="ru-RU"/>
        </w:rPr>
      </w:pPr>
      <w:r w:rsidRPr="00C179DF">
        <w:rPr>
          <w:lang w:val="ru-RU"/>
        </w:rPr>
        <w:lastRenderedPageBreak/>
        <w:t>Приложение A</w:t>
      </w:r>
    </w:p>
    <w:p w:rsidR="00B10E52" w:rsidRPr="00C179DF" w:rsidRDefault="00B10E52" w:rsidP="00B10E52">
      <w:pPr>
        <w:pStyle w:val="IASBSectionTitlenU"/>
        <w:rPr>
          <w:lang w:val="ru-RU"/>
        </w:rPr>
      </w:pPr>
      <w:r w:rsidRPr="00C179DF">
        <w:rPr>
          <w:lang w:val="ru-RU"/>
        </w:rPr>
        <w:t>Дата вступления в силу и переходные положения</w:t>
      </w:r>
    </w:p>
    <w:p w:rsidR="00B10E52" w:rsidRPr="00C179DF" w:rsidRDefault="00B10E52" w:rsidP="00B10E52">
      <w:pPr>
        <w:pStyle w:val="IASBNormal"/>
        <w:rPr>
          <w:i/>
          <w:lang w:val="ru-RU"/>
        </w:rPr>
      </w:pPr>
      <w:r w:rsidRPr="00C179DF">
        <w:rPr>
          <w:i/>
          <w:lang w:val="ru-RU"/>
        </w:rPr>
        <w:t>Настоящее приложение является неотъемлемой частью настоящего разъяснения и имеет такую же силу, как и другие его составляющие.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A1</w:t>
      </w:r>
      <w:r w:rsidRPr="00C179DF">
        <w:rPr>
          <w:lang w:val="ru-RU"/>
        </w:rPr>
        <w:tab/>
        <w:t>Организация должна применять настоящее разъяснение для годовых периодов, начинающихся 1 января 2014 г</w:t>
      </w:r>
      <w:r>
        <w:rPr>
          <w:lang w:val="ru-RU"/>
        </w:rPr>
        <w:t>ода</w:t>
      </w:r>
      <w:r w:rsidRPr="00C179DF">
        <w:rPr>
          <w:lang w:val="ru-RU"/>
        </w:rPr>
        <w:t xml:space="preserve"> или после этой даты. Допускается досрочное приме</w:t>
      </w:r>
      <w:r>
        <w:rPr>
          <w:lang w:val="ru-RU"/>
        </w:rPr>
        <w:t>нение. Если организация примени</w:t>
      </w:r>
      <w:r w:rsidRPr="00C179DF">
        <w:rPr>
          <w:lang w:val="ru-RU"/>
        </w:rPr>
        <w:t>т настоящее разъяснение для бо</w:t>
      </w:r>
      <w:r>
        <w:rPr>
          <w:lang w:val="ru-RU"/>
        </w:rPr>
        <w:t>лее раннего периода, она</w:t>
      </w:r>
      <w:r w:rsidRPr="00C179DF">
        <w:rPr>
          <w:lang w:val="ru-RU"/>
        </w:rPr>
        <w:t xml:space="preserve"> должна раскрыть этот факт.</w:t>
      </w:r>
    </w:p>
    <w:p w:rsidR="00B10E52" w:rsidRPr="00C179DF" w:rsidRDefault="00B10E52" w:rsidP="00B10E52">
      <w:pPr>
        <w:pStyle w:val="IASBNormal"/>
        <w:ind w:left="780" w:hanging="780"/>
        <w:rPr>
          <w:lang w:val="ru-RU"/>
        </w:rPr>
      </w:pPr>
      <w:r w:rsidRPr="00C179DF">
        <w:rPr>
          <w:lang w:val="ru-RU"/>
        </w:rPr>
        <w:t>A2</w:t>
      </w:r>
      <w:r w:rsidRPr="00C179DF">
        <w:rPr>
          <w:lang w:val="ru-RU"/>
        </w:rPr>
        <w:tab/>
        <w:t>Изменения в учетной политике, обусловленные первоначальным применением настоящего разъяснения, должны учитываться ретроспективно в соответствии с МСФО (IAS) 8 «</w:t>
      </w:r>
      <w:r w:rsidRPr="00C179DF">
        <w:rPr>
          <w:i/>
          <w:lang w:val="ru-RU"/>
        </w:rPr>
        <w:t xml:space="preserve">Учетная политика, изменения в </w:t>
      </w:r>
      <w:r>
        <w:rPr>
          <w:i/>
          <w:lang w:val="ru-RU"/>
        </w:rPr>
        <w:t>бухгалтерских оценках</w:t>
      </w:r>
      <w:r w:rsidRPr="00C179DF">
        <w:rPr>
          <w:i/>
          <w:lang w:val="ru-RU"/>
        </w:rPr>
        <w:t xml:space="preserve"> и ошибки</w:t>
      </w:r>
      <w:r w:rsidRPr="00C179DF">
        <w:rPr>
          <w:lang w:val="ru-RU"/>
        </w:rPr>
        <w:t xml:space="preserve">». </w:t>
      </w:r>
    </w:p>
    <w:p w:rsidR="00B10E52" w:rsidRPr="00B10E52" w:rsidRDefault="00B10E52">
      <w:pPr>
        <w:rPr>
          <w:lang w:val="ru-RU"/>
        </w:rPr>
      </w:pPr>
      <w:bookmarkStart w:id="0" w:name="_GoBack"/>
      <w:bookmarkEnd w:id="0"/>
    </w:p>
    <w:sectPr w:rsidR="00B10E52" w:rsidRPr="00B10E52" w:rsidSect="00A62E6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C179DF" w:rsidRDefault="00B10E52">
    <w:pPr>
      <w:pStyle w:val="IASBFooter"/>
      <w:rPr>
        <w:lang w:val="ru-RU"/>
      </w:rPr>
    </w:pPr>
    <w:r w:rsidRPr="00C179DF">
      <w:rPr>
        <w:rStyle w:val="IASBPageNumber"/>
        <w:lang w:val="ru-RU"/>
      </w:rPr>
      <w:fldChar w:fldCharType="begin"/>
    </w:r>
    <w:r w:rsidRPr="00C179DF">
      <w:rPr>
        <w:rStyle w:val="IASBPageNumber"/>
        <w:lang w:val="ru-RU"/>
      </w:rPr>
      <w:instrText xml:space="preserve"> PAGE </w:instrText>
    </w:r>
    <w:r w:rsidRPr="00C179DF">
      <w:rPr>
        <w:rStyle w:val="IASBPageNumber"/>
        <w:lang w:val="ru-RU"/>
      </w:rPr>
      <w:fldChar w:fldCharType="separate"/>
    </w:r>
    <w:r>
      <w:rPr>
        <w:rStyle w:val="IASBPageNumber"/>
        <w:noProof/>
        <w:lang w:val="ru-RU"/>
      </w:rPr>
      <w:t>2</w:t>
    </w:r>
    <w:r w:rsidRPr="00C179DF">
      <w:rPr>
        <w:rStyle w:val="IASBPageNumber"/>
        <w:lang w:val="ru-RU"/>
      </w:rPr>
      <w:fldChar w:fldCharType="end"/>
    </w:r>
    <w:r w:rsidRPr="00C179DF">
      <w:rPr>
        <w:rStyle w:val="IASBPageNumber"/>
        <w:lang w:val="ru-RU"/>
      </w:rPr>
      <w:tab/>
      <w:t xml:space="preserve">© IFRS </w:t>
    </w:r>
    <w:proofErr w:type="spellStart"/>
    <w:r w:rsidRPr="00C179DF">
      <w:rPr>
        <w:rStyle w:val="IASBPageNumber"/>
        <w:lang w:val="ru-RU"/>
      </w:rPr>
      <w:t>Foundation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C179DF" w:rsidRDefault="00B10E52">
    <w:pPr>
      <w:pStyle w:val="IASBFooter"/>
      <w:rPr>
        <w:lang w:val="ru-RU"/>
      </w:rPr>
    </w:pPr>
    <w:r w:rsidRPr="00C179DF">
      <w:rPr>
        <w:rStyle w:val="IASBPageNumber"/>
        <w:lang w:val="ru-RU"/>
      </w:rPr>
      <w:tab/>
      <w:t xml:space="preserve">© IFRS </w:t>
    </w:r>
    <w:proofErr w:type="spellStart"/>
    <w:r w:rsidRPr="00C179DF">
      <w:rPr>
        <w:rStyle w:val="IASBPageNumber"/>
        <w:lang w:val="ru-RU"/>
      </w:rPr>
      <w:t>Foundation</w:t>
    </w:r>
    <w:proofErr w:type="spellEnd"/>
    <w:r w:rsidRPr="00C179DF">
      <w:rPr>
        <w:rStyle w:val="IASBPageNumber"/>
        <w:lang w:val="ru-RU"/>
      </w:rPr>
      <w:tab/>
    </w:r>
    <w:r w:rsidRPr="00C179DF">
      <w:rPr>
        <w:rStyle w:val="IASBPageNumber"/>
        <w:lang w:val="ru-RU"/>
      </w:rPr>
      <w:fldChar w:fldCharType="begin"/>
    </w:r>
    <w:r w:rsidRPr="00C179DF">
      <w:rPr>
        <w:rStyle w:val="IASBPageNumber"/>
        <w:lang w:val="ru-RU"/>
      </w:rPr>
      <w:instrText xml:space="preserve"> PAGE </w:instrText>
    </w:r>
    <w:r w:rsidRPr="00C179DF">
      <w:rPr>
        <w:rStyle w:val="IASBPageNumber"/>
        <w:lang w:val="ru-RU"/>
      </w:rPr>
      <w:fldChar w:fldCharType="separate"/>
    </w:r>
    <w:r>
      <w:rPr>
        <w:rStyle w:val="IASBPageNumber"/>
        <w:noProof/>
        <w:lang w:val="ru-RU"/>
      </w:rPr>
      <w:t>1</w:t>
    </w:r>
    <w:r w:rsidRPr="00C179DF">
      <w:rPr>
        <w:rStyle w:val="IASBPageNumber"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C179DF" w:rsidRDefault="00B10E52">
    <w:pPr>
      <w:pStyle w:val="IASBFooter"/>
      <w:rPr>
        <w:lang w:val="ru-RU"/>
      </w:rPr>
    </w:pPr>
    <w:r w:rsidRPr="00C179DF">
      <w:rPr>
        <w:rStyle w:val="IASBPageNumber"/>
        <w:lang w:val="ru-RU"/>
      </w:rPr>
      <w:fldChar w:fldCharType="begin"/>
    </w:r>
    <w:r w:rsidRPr="00C179DF">
      <w:rPr>
        <w:rStyle w:val="IASBPageNumber"/>
        <w:lang w:val="ru-RU"/>
      </w:rPr>
      <w:instrText xml:space="preserve"> PAG</w:instrText>
    </w:r>
    <w:r w:rsidRPr="00C179DF">
      <w:rPr>
        <w:rStyle w:val="IASBPageNumber"/>
        <w:lang w:val="ru-RU"/>
      </w:rPr>
      <w:instrText xml:space="preserve">E </w:instrText>
    </w:r>
    <w:r w:rsidRPr="00C179DF">
      <w:rPr>
        <w:rStyle w:val="IASBPageNumber"/>
        <w:lang w:val="ru-RU"/>
      </w:rPr>
      <w:fldChar w:fldCharType="separate"/>
    </w:r>
    <w:r>
      <w:rPr>
        <w:rStyle w:val="IASBPageNumber"/>
        <w:noProof/>
        <w:lang w:val="ru-RU"/>
      </w:rPr>
      <w:t>4</w:t>
    </w:r>
    <w:r w:rsidRPr="00C179DF">
      <w:rPr>
        <w:rStyle w:val="IASBPageNumber"/>
        <w:lang w:val="ru-RU"/>
      </w:rPr>
      <w:fldChar w:fldCharType="end"/>
    </w:r>
    <w:r w:rsidRPr="00C179DF">
      <w:rPr>
        <w:rStyle w:val="IASBPageNumber"/>
        <w:lang w:val="ru-RU"/>
      </w:rPr>
      <w:tab/>
      <w:t xml:space="preserve">© IFRS </w:t>
    </w:r>
    <w:proofErr w:type="spellStart"/>
    <w:r w:rsidRPr="00C179DF">
      <w:rPr>
        <w:rStyle w:val="IASBPageNumber"/>
        <w:lang w:val="ru-RU"/>
      </w:rPr>
      <w:t>Foundation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C179DF" w:rsidRDefault="00B10E52">
    <w:pPr>
      <w:pStyle w:val="IASBFooter"/>
      <w:rPr>
        <w:lang w:val="ru-RU"/>
      </w:rPr>
    </w:pPr>
    <w:r w:rsidRPr="00C179DF">
      <w:rPr>
        <w:rStyle w:val="IASBPageNumber"/>
        <w:lang w:val="ru-RU"/>
      </w:rPr>
      <w:tab/>
      <w:t xml:space="preserve">© IFRS </w:t>
    </w:r>
    <w:proofErr w:type="spellStart"/>
    <w:r w:rsidRPr="00C179DF">
      <w:rPr>
        <w:rStyle w:val="IASBPageNumber"/>
        <w:lang w:val="ru-RU"/>
      </w:rPr>
      <w:t>Foundation</w:t>
    </w:r>
    <w:proofErr w:type="spellEnd"/>
    <w:r w:rsidRPr="00C179DF">
      <w:rPr>
        <w:rStyle w:val="IASBPageNumber"/>
        <w:lang w:val="ru-RU"/>
      </w:rPr>
      <w:tab/>
    </w:r>
    <w:r w:rsidRPr="00C179DF">
      <w:rPr>
        <w:rStyle w:val="IASBPageNumber"/>
        <w:lang w:val="ru-RU"/>
      </w:rPr>
      <w:fldChar w:fldCharType="begin"/>
    </w:r>
    <w:r w:rsidRPr="00C179DF">
      <w:rPr>
        <w:rStyle w:val="IASBPageNumber"/>
        <w:lang w:val="ru-RU"/>
      </w:rPr>
      <w:instrText xml:space="preserve"> PAGE </w:instrText>
    </w:r>
    <w:r w:rsidRPr="00C179DF">
      <w:rPr>
        <w:rStyle w:val="IASBPageNumber"/>
        <w:lang w:val="ru-RU"/>
      </w:rPr>
      <w:fldChar w:fldCharType="separate"/>
    </w:r>
    <w:r>
      <w:rPr>
        <w:rStyle w:val="IASBPageNumber"/>
        <w:noProof/>
        <w:lang w:val="ru-RU"/>
      </w:rPr>
      <w:t>4</w:t>
    </w:r>
    <w:r w:rsidRPr="00C179DF">
      <w:rPr>
        <w:rStyle w:val="IASBPageNumber"/>
        <w:lang w:val="ru-RU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C179DF" w:rsidRDefault="00B10E52">
    <w:pPr>
      <w:pStyle w:val="IASBHeader"/>
      <w:rPr>
        <w:lang w:val="ru-RU"/>
      </w:rPr>
    </w:pPr>
    <w:r w:rsidRPr="00C179DF">
      <w:rPr>
        <w:lang w:val="ru-RU"/>
      </w:rPr>
      <w:t xml:space="preserve">КРМФО (IFRIC) 21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C179DF" w:rsidRDefault="00B10E52">
    <w:pPr>
      <w:pStyle w:val="IASBHeader"/>
      <w:rPr>
        <w:lang w:val="ru-RU"/>
      </w:rPr>
    </w:pPr>
    <w:r w:rsidRPr="00C179DF">
      <w:rPr>
        <w:lang w:val="ru-RU"/>
      </w:rPr>
      <w:tab/>
      <w:t xml:space="preserve">КРМФО (IFRIC) 21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C179DF" w:rsidRDefault="00B10E52">
    <w:pPr>
      <w:pStyle w:val="IASB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2" w:rsidRPr="00C179DF" w:rsidRDefault="00B10E52">
    <w:pPr>
      <w:pStyle w:val="IASBHeader"/>
      <w:rPr>
        <w:lang w:val="ru-RU"/>
      </w:rPr>
    </w:pPr>
    <w:r w:rsidRPr="00C179DF"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52"/>
    <w:rsid w:val="00B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rsid w:val="00B10E5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GB"/>
    </w:rPr>
  </w:style>
  <w:style w:type="paragraph" w:customStyle="1" w:styleId="IASBTitle">
    <w:name w:val="IASB Title"/>
    <w:basedOn w:val="IASBNormal"/>
    <w:rsid w:val="00B10E52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B10E52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SectionTitlenU">
    <w:name w:val="IASB Section Title nU"/>
    <w:basedOn w:val="IASBTitle"/>
    <w:rsid w:val="00B10E52"/>
    <w:pPr>
      <w:spacing w:before="400" w:after="200"/>
    </w:pPr>
    <w:rPr>
      <w:sz w:val="26"/>
    </w:rPr>
  </w:style>
  <w:style w:type="paragraph" w:customStyle="1" w:styleId="IASBHeader">
    <w:name w:val="IASB Header"/>
    <w:rsid w:val="00B10E52"/>
    <w:pPr>
      <w:tabs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ASBFooter">
    <w:name w:val="IASB Footer"/>
    <w:rsid w:val="00B10E52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IASBPageNumber">
    <w:name w:val="IASB Page Number"/>
    <w:rsid w:val="00B10E52"/>
    <w:rPr>
      <w:rFonts w:ascii="Times New Roman" w:hAnsi="Times New Roman" w:cs="Times New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rsid w:val="00B10E5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GB"/>
    </w:rPr>
  </w:style>
  <w:style w:type="paragraph" w:customStyle="1" w:styleId="IASBTitle">
    <w:name w:val="IASB Title"/>
    <w:basedOn w:val="IASBNormal"/>
    <w:rsid w:val="00B10E52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B10E52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SectionTitlenU">
    <w:name w:val="IASB Section Title nU"/>
    <w:basedOn w:val="IASBTitle"/>
    <w:rsid w:val="00B10E52"/>
    <w:pPr>
      <w:spacing w:before="400" w:after="200"/>
    </w:pPr>
    <w:rPr>
      <w:sz w:val="26"/>
    </w:rPr>
  </w:style>
  <w:style w:type="paragraph" w:customStyle="1" w:styleId="IASBHeader">
    <w:name w:val="IASB Header"/>
    <w:rsid w:val="00B10E52"/>
    <w:pPr>
      <w:tabs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ASBFooter">
    <w:name w:val="IASB Footer"/>
    <w:rsid w:val="00B10E52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IASBPageNumber">
    <w:name w:val="IASB Page Number"/>
    <w:rsid w:val="00B10E52"/>
    <w:rPr>
      <w:rFonts w:ascii="Times New Roman" w:hAnsi="Times New Roman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2016-12-26T17:10:00Z</dcterms:created>
  <dcterms:modified xsi:type="dcterms:W3CDTF">2016-12-26T17:12:00Z</dcterms:modified>
</cp:coreProperties>
</file>