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EE" w:rsidRPr="002130C0" w:rsidRDefault="007E12EE" w:rsidP="007E12EE">
      <w:pPr>
        <w:keepNext/>
        <w:spacing w:before="240"/>
        <w:ind w:left="5664"/>
        <w:jc w:val="both"/>
        <w:outlineLvl w:val="0"/>
        <w:rPr>
          <w:kern w:val="32"/>
          <w:sz w:val="28"/>
          <w:szCs w:val="28"/>
          <w:lang w:eastAsia="x-none"/>
        </w:rPr>
      </w:pPr>
      <w:r>
        <w:rPr>
          <w:kern w:val="32"/>
          <w:sz w:val="28"/>
          <w:szCs w:val="28"/>
          <w:lang w:val="ro-RO" w:eastAsia="x-none"/>
        </w:rPr>
        <w:t xml:space="preserve">      </w:t>
      </w:r>
      <w:r w:rsidRPr="002130C0">
        <w:rPr>
          <w:kern w:val="32"/>
          <w:sz w:val="28"/>
          <w:szCs w:val="28"/>
          <w:lang w:eastAsia="x-none"/>
        </w:rPr>
        <w:t>Приложение № 3</w:t>
      </w:r>
    </w:p>
    <w:p w:rsidR="007E12EE" w:rsidRPr="002130C0" w:rsidRDefault="007E12EE" w:rsidP="007E12EE">
      <w:pPr>
        <w:keepNext/>
        <w:ind w:left="5664"/>
        <w:jc w:val="both"/>
        <w:outlineLvl w:val="0"/>
        <w:rPr>
          <w:kern w:val="32"/>
          <w:sz w:val="28"/>
          <w:szCs w:val="28"/>
          <w:lang w:eastAsia="x-none"/>
        </w:rPr>
      </w:pPr>
      <w:r w:rsidRPr="002130C0">
        <w:rPr>
          <w:kern w:val="32"/>
          <w:sz w:val="28"/>
          <w:szCs w:val="28"/>
          <w:lang w:eastAsia="x-none"/>
        </w:rPr>
        <w:t xml:space="preserve">к Стратегии развития системы </w:t>
      </w:r>
    </w:p>
    <w:p w:rsidR="007E12EE" w:rsidRPr="002130C0" w:rsidRDefault="007E12EE" w:rsidP="007E12EE">
      <w:pPr>
        <w:keepNext/>
        <w:ind w:left="5664"/>
        <w:jc w:val="both"/>
        <w:outlineLvl w:val="0"/>
        <w:rPr>
          <w:kern w:val="32"/>
          <w:sz w:val="28"/>
          <w:szCs w:val="28"/>
          <w:lang w:eastAsia="x-none"/>
        </w:rPr>
      </w:pPr>
      <w:r w:rsidRPr="002130C0">
        <w:rPr>
          <w:kern w:val="32"/>
          <w:sz w:val="28"/>
          <w:szCs w:val="28"/>
          <w:lang w:eastAsia="x-none"/>
        </w:rPr>
        <w:t xml:space="preserve">государственных  закупок  </w:t>
      </w:r>
    </w:p>
    <w:p w:rsidR="007E12EE" w:rsidRPr="002130C0" w:rsidRDefault="007E12EE" w:rsidP="007E12EE">
      <w:pPr>
        <w:keepNext/>
        <w:ind w:left="5664"/>
        <w:jc w:val="both"/>
        <w:outlineLvl w:val="0"/>
        <w:rPr>
          <w:kern w:val="32"/>
          <w:sz w:val="28"/>
          <w:szCs w:val="28"/>
          <w:lang w:eastAsia="x-none"/>
        </w:rPr>
      </w:pPr>
      <w:r w:rsidRPr="002130C0">
        <w:rPr>
          <w:kern w:val="32"/>
          <w:sz w:val="28"/>
          <w:szCs w:val="28"/>
          <w:lang w:eastAsia="x-none"/>
        </w:rPr>
        <w:t>на 2016-2020 годы</w:t>
      </w:r>
    </w:p>
    <w:p w:rsidR="007E12EE" w:rsidRPr="002130C0" w:rsidRDefault="007E12EE" w:rsidP="007E12EE">
      <w:pPr>
        <w:keepNext/>
        <w:jc w:val="center"/>
        <w:outlineLvl w:val="0"/>
        <w:rPr>
          <w:b/>
          <w:kern w:val="32"/>
          <w:sz w:val="28"/>
          <w:szCs w:val="28"/>
          <w:lang w:eastAsia="x-none"/>
        </w:rPr>
      </w:pPr>
    </w:p>
    <w:p w:rsidR="007E12EE" w:rsidRPr="002130C0" w:rsidRDefault="007E12EE" w:rsidP="007E12EE">
      <w:pPr>
        <w:keepNext/>
        <w:jc w:val="center"/>
        <w:outlineLvl w:val="0"/>
        <w:rPr>
          <w:b/>
          <w:kern w:val="32"/>
          <w:sz w:val="28"/>
          <w:szCs w:val="28"/>
          <w:lang w:eastAsia="x-none"/>
        </w:rPr>
      </w:pPr>
      <w:r w:rsidRPr="002130C0">
        <w:rPr>
          <w:b/>
          <w:kern w:val="32"/>
          <w:sz w:val="28"/>
          <w:szCs w:val="28"/>
          <w:lang w:eastAsia="x-none"/>
        </w:rPr>
        <w:t>Оценка расходов</w:t>
      </w:r>
    </w:p>
    <w:p w:rsidR="007E12EE" w:rsidRPr="002130C0" w:rsidRDefault="007E12EE" w:rsidP="007E12EE">
      <w:pPr>
        <w:spacing w:after="200" w:line="276" w:lineRule="auto"/>
        <w:rPr>
          <w:rFonts w:ascii="Calibri" w:hAnsi="Calibri"/>
          <w:sz w:val="22"/>
          <w:szCs w:val="22"/>
          <w:lang w:eastAsia="x-none"/>
        </w:rPr>
      </w:pPr>
    </w:p>
    <w:p w:rsidR="007E12EE" w:rsidRPr="002130C0" w:rsidRDefault="007E12EE" w:rsidP="007E12E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30C0">
        <w:rPr>
          <w:sz w:val="28"/>
          <w:szCs w:val="28"/>
        </w:rPr>
        <w:t>Приблизительные расходы, необходимые для финансирования внедрения Стратегии, представлены ниже. Расходы по внедрению будут покрываться за счет:</w:t>
      </w:r>
    </w:p>
    <w:p w:rsidR="007E12EE" w:rsidRPr="002130C0" w:rsidRDefault="007E12EE" w:rsidP="007E12E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30C0">
        <w:rPr>
          <w:sz w:val="28"/>
          <w:szCs w:val="28"/>
        </w:rPr>
        <w:t xml:space="preserve">1) отчислений из государственного бюджета в пределах, установленных Бюджетным прогнозом  на среднесрочный период  (БПСП) и законом о годовом бюджете; </w:t>
      </w:r>
    </w:p>
    <w:p w:rsidR="007E12EE" w:rsidRPr="002130C0" w:rsidRDefault="007E12EE" w:rsidP="007E12E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30C0">
        <w:rPr>
          <w:sz w:val="28"/>
          <w:szCs w:val="28"/>
        </w:rPr>
        <w:t xml:space="preserve">2) гранты, предоставленные международными партнерами. </w:t>
      </w:r>
    </w:p>
    <w:p w:rsidR="007E12EE" w:rsidRPr="002130C0" w:rsidRDefault="007E12EE" w:rsidP="007E12EE">
      <w:pPr>
        <w:jc w:val="center"/>
        <w:rPr>
          <w:b/>
          <w:bCs/>
          <w:sz w:val="28"/>
          <w:szCs w:val="28"/>
        </w:rPr>
      </w:pPr>
    </w:p>
    <w:p w:rsidR="007E12EE" w:rsidRPr="002130C0" w:rsidRDefault="007E12EE" w:rsidP="007E12EE">
      <w:pPr>
        <w:jc w:val="center"/>
        <w:rPr>
          <w:b/>
          <w:bCs/>
          <w:sz w:val="28"/>
          <w:szCs w:val="28"/>
        </w:rPr>
      </w:pPr>
      <w:r w:rsidRPr="002130C0">
        <w:rPr>
          <w:b/>
          <w:bCs/>
          <w:sz w:val="28"/>
          <w:szCs w:val="28"/>
        </w:rPr>
        <w:t xml:space="preserve">Приблизительные расходы по внедрению Стратегии </w:t>
      </w:r>
    </w:p>
    <w:p w:rsidR="007E12EE" w:rsidRPr="002130C0" w:rsidRDefault="007E12EE" w:rsidP="007E12EE">
      <w:pPr>
        <w:spacing w:after="200"/>
        <w:jc w:val="center"/>
        <w:rPr>
          <w:rFonts w:ascii="Calibri" w:hAnsi="Calibri"/>
          <w:sz w:val="22"/>
          <w:szCs w:val="22"/>
        </w:rPr>
      </w:pPr>
      <w:r w:rsidRPr="002130C0"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2130C0">
        <w:rPr>
          <w:bCs/>
          <w:sz w:val="28"/>
          <w:szCs w:val="28"/>
        </w:rPr>
        <w:t>(</w:t>
      </w:r>
      <w:proofErr w:type="spellStart"/>
      <w:r w:rsidRPr="002130C0">
        <w:rPr>
          <w:sz w:val="28"/>
          <w:szCs w:val="28"/>
        </w:rPr>
        <w:t>млн</w:t>
      </w:r>
      <w:proofErr w:type="gramStart"/>
      <w:r w:rsidRPr="002130C0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 w:rsidRPr="002130C0">
        <w:rPr>
          <w:sz w:val="28"/>
          <w:szCs w:val="28"/>
        </w:rPr>
        <w:t>еев</w:t>
      </w:r>
      <w:proofErr w:type="spellEnd"/>
      <w:r w:rsidRPr="002130C0">
        <w:rPr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96"/>
        <w:gridCol w:w="696"/>
        <w:gridCol w:w="696"/>
        <w:gridCol w:w="696"/>
        <w:gridCol w:w="696"/>
        <w:gridCol w:w="819"/>
        <w:gridCol w:w="1303"/>
        <w:gridCol w:w="1085"/>
      </w:tblGrid>
      <w:tr w:rsidR="007E12EE" w:rsidRPr="002130C0" w:rsidTr="000A472D">
        <w:trPr>
          <w:trHeight w:val="223"/>
        </w:trPr>
        <w:tc>
          <w:tcPr>
            <w:tcW w:w="1507" w:type="pct"/>
            <w:vMerge w:val="restart"/>
          </w:tcPr>
          <w:p w:rsidR="007E12EE" w:rsidRPr="002130C0" w:rsidRDefault="007E12EE" w:rsidP="000A472D">
            <w:pPr>
              <w:spacing w:after="200"/>
            </w:pPr>
          </w:p>
        </w:tc>
        <w:tc>
          <w:tcPr>
            <w:tcW w:w="364" w:type="pct"/>
            <w:vMerge w:val="restart"/>
          </w:tcPr>
          <w:p w:rsidR="007E12EE" w:rsidRPr="002130C0" w:rsidRDefault="007E12EE" w:rsidP="000A472D">
            <w:pPr>
              <w:rPr>
                <w:b/>
                <w:lang w:val="en-GB"/>
              </w:rPr>
            </w:pPr>
            <w:r w:rsidRPr="002130C0">
              <w:rPr>
                <w:b/>
                <w:lang w:val="en-GB"/>
              </w:rPr>
              <w:t>2016</w:t>
            </w:r>
          </w:p>
        </w:tc>
        <w:tc>
          <w:tcPr>
            <w:tcW w:w="364" w:type="pct"/>
            <w:vMerge w:val="restart"/>
          </w:tcPr>
          <w:p w:rsidR="007E12EE" w:rsidRPr="002130C0" w:rsidRDefault="007E12EE" w:rsidP="000A472D">
            <w:pPr>
              <w:rPr>
                <w:b/>
                <w:lang w:val="en-GB"/>
              </w:rPr>
            </w:pPr>
            <w:r w:rsidRPr="002130C0">
              <w:rPr>
                <w:b/>
                <w:lang w:val="en-GB"/>
              </w:rPr>
              <w:t>2017</w:t>
            </w:r>
          </w:p>
        </w:tc>
        <w:tc>
          <w:tcPr>
            <w:tcW w:w="364" w:type="pct"/>
            <w:vMerge w:val="restart"/>
          </w:tcPr>
          <w:p w:rsidR="007E12EE" w:rsidRPr="002130C0" w:rsidRDefault="007E12EE" w:rsidP="000A472D">
            <w:pPr>
              <w:rPr>
                <w:b/>
                <w:lang w:val="en-GB"/>
              </w:rPr>
            </w:pPr>
            <w:r w:rsidRPr="002130C0">
              <w:rPr>
                <w:b/>
                <w:lang w:val="en-GB"/>
              </w:rPr>
              <w:t>2018</w:t>
            </w:r>
          </w:p>
        </w:tc>
        <w:tc>
          <w:tcPr>
            <w:tcW w:w="364" w:type="pct"/>
            <w:vMerge w:val="restart"/>
          </w:tcPr>
          <w:p w:rsidR="007E12EE" w:rsidRPr="002130C0" w:rsidRDefault="007E12EE" w:rsidP="000A472D">
            <w:pPr>
              <w:rPr>
                <w:b/>
                <w:lang w:val="en-GB"/>
              </w:rPr>
            </w:pPr>
            <w:r w:rsidRPr="002130C0">
              <w:rPr>
                <w:b/>
                <w:lang w:val="en-GB"/>
              </w:rPr>
              <w:t>2019</w:t>
            </w:r>
          </w:p>
        </w:tc>
        <w:tc>
          <w:tcPr>
            <w:tcW w:w="364" w:type="pct"/>
            <w:vMerge w:val="restart"/>
          </w:tcPr>
          <w:p w:rsidR="007E12EE" w:rsidRPr="002130C0" w:rsidRDefault="007E12EE" w:rsidP="000A472D">
            <w:pPr>
              <w:rPr>
                <w:b/>
                <w:lang w:val="en-GB"/>
              </w:rPr>
            </w:pPr>
            <w:r w:rsidRPr="002130C0">
              <w:rPr>
                <w:b/>
                <w:lang w:val="en-GB"/>
              </w:rPr>
              <w:t>2020</w:t>
            </w:r>
          </w:p>
        </w:tc>
        <w:tc>
          <w:tcPr>
            <w:tcW w:w="428" w:type="pct"/>
            <w:vMerge w:val="restart"/>
          </w:tcPr>
          <w:p w:rsidR="007E12EE" w:rsidRPr="002130C0" w:rsidRDefault="007E12EE" w:rsidP="000A472D">
            <w:pPr>
              <w:rPr>
                <w:b/>
                <w:lang w:val="en-GB"/>
              </w:rPr>
            </w:pPr>
            <w:proofErr w:type="spellStart"/>
            <w:r w:rsidRPr="002130C0">
              <w:rPr>
                <w:b/>
                <w:lang w:val="en-GB"/>
              </w:rPr>
              <w:t>Всего</w:t>
            </w:r>
            <w:proofErr w:type="spellEnd"/>
          </w:p>
        </w:tc>
        <w:tc>
          <w:tcPr>
            <w:tcW w:w="1248" w:type="pct"/>
            <w:gridSpan w:val="2"/>
          </w:tcPr>
          <w:p w:rsidR="007E12EE" w:rsidRPr="002130C0" w:rsidRDefault="007E12EE" w:rsidP="000A472D">
            <w:pPr>
              <w:jc w:val="center"/>
              <w:rPr>
                <w:b/>
                <w:lang w:val="en-GB"/>
              </w:rPr>
            </w:pPr>
            <w:proofErr w:type="spellStart"/>
            <w:r w:rsidRPr="002130C0">
              <w:rPr>
                <w:b/>
                <w:lang w:val="en-GB"/>
              </w:rPr>
              <w:t>Включая</w:t>
            </w:r>
            <w:proofErr w:type="spellEnd"/>
            <w:r w:rsidRPr="002130C0">
              <w:rPr>
                <w:b/>
                <w:lang w:val="en-GB"/>
              </w:rPr>
              <w:t xml:space="preserve"> </w:t>
            </w:r>
            <w:proofErr w:type="spellStart"/>
            <w:r w:rsidRPr="002130C0">
              <w:rPr>
                <w:b/>
                <w:lang w:val="en-GB"/>
              </w:rPr>
              <w:t>отчисления</w:t>
            </w:r>
            <w:proofErr w:type="spellEnd"/>
            <w:r w:rsidRPr="002130C0">
              <w:rPr>
                <w:b/>
                <w:lang w:val="en-GB"/>
              </w:rPr>
              <w:t>:</w:t>
            </w:r>
          </w:p>
        </w:tc>
      </w:tr>
      <w:tr w:rsidR="007E12EE" w:rsidRPr="002130C0" w:rsidTr="000A472D">
        <w:trPr>
          <w:trHeight w:val="606"/>
        </w:trPr>
        <w:tc>
          <w:tcPr>
            <w:tcW w:w="1507" w:type="pct"/>
            <w:vMerge/>
          </w:tcPr>
          <w:p w:rsidR="007E12EE" w:rsidRPr="002130C0" w:rsidRDefault="007E12EE" w:rsidP="000A472D">
            <w:pPr>
              <w:spacing w:after="200"/>
              <w:rPr>
                <w:lang w:val="en-GB"/>
              </w:rPr>
            </w:pPr>
          </w:p>
        </w:tc>
        <w:tc>
          <w:tcPr>
            <w:tcW w:w="364" w:type="pct"/>
            <w:vMerge/>
          </w:tcPr>
          <w:p w:rsidR="007E12EE" w:rsidRPr="002130C0" w:rsidRDefault="007E12EE" w:rsidP="000A472D">
            <w:pPr>
              <w:rPr>
                <w:lang w:val="en-GB"/>
              </w:rPr>
            </w:pPr>
          </w:p>
        </w:tc>
        <w:tc>
          <w:tcPr>
            <w:tcW w:w="364" w:type="pct"/>
            <w:vMerge/>
          </w:tcPr>
          <w:p w:rsidR="007E12EE" w:rsidRPr="002130C0" w:rsidRDefault="007E12EE" w:rsidP="000A472D">
            <w:pPr>
              <w:rPr>
                <w:lang w:val="en-GB"/>
              </w:rPr>
            </w:pPr>
          </w:p>
        </w:tc>
        <w:tc>
          <w:tcPr>
            <w:tcW w:w="364" w:type="pct"/>
            <w:vMerge/>
          </w:tcPr>
          <w:p w:rsidR="007E12EE" w:rsidRPr="002130C0" w:rsidRDefault="007E12EE" w:rsidP="000A472D">
            <w:pPr>
              <w:rPr>
                <w:lang w:val="en-GB"/>
              </w:rPr>
            </w:pPr>
          </w:p>
        </w:tc>
        <w:tc>
          <w:tcPr>
            <w:tcW w:w="364" w:type="pct"/>
            <w:vMerge/>
          </w:tcPr>
          <w:p w:rsidR="007E12EE" w:rsidRPr="002130C0" w:rsidRDefault="007E12EE" w:rsidP="000A472D">
            <w:pPr>
              <w:rPr>
                <w:lang w:val="en-GB"/>
              </w:rPr>
            </w:pPr>
          </w:p>
        </w:tc>
        <w:tc>
          <w:tcPr>
            <w:tcW w:w="364" w:type="pct"/>
            <w:vMerge/>
          </w:tcPr>
          <w:p w:rsidR="007E12EE" w:rsidRPr="002130C0" w:rsidRDefault="007E12EE" w:rsidP="000A472D">
            <w:pPr>
              <w:rPr>
                <w:lang w:val="en-GB"/>
              </w:rPr>
            </w:pPr>
          </w:p>
        </w:tc>
        <w:tc>
          <w:tcPr>
            <w:tcW w:w="428" w:type="pct"/>
            <w:vMerge/>
          </w:tcPr>
          <w:p w:rsidR="007E12EE" w:rsidRPr="002130C0" w:rsidRDefault="007E12EE" w:rsidP="000A472D">
            <w:pPr>
              <w:rPr>
                <w:b/>
                <w:lang w:val="en-GB"/>
              </w:rPr>
            </w:pPr>
          </w:p>
        </w:tc>
        <w:tc>
          <w:tcPr>
            <w:tcW w:w="681" w:type="pct"/>
          </w:tcPr>
          <w:p w:rsidR="007E12EE" w:rsidRPr="002130C0" w:rsidRDefault="007E12EE" w:rsidP="000A472D">
            <w:pPr>
              <w:jc w:val="center"/>
              <w:rPr>
                <w:b/>
                <w:lang w:val="en-GB"/>
              </w:rPr>
            </w:pPr>
            <w:proofErr w:type="spellStart"/>
            <w:r w:rsidRPr="002130C0">
              <w:rPr>
                <w:b/>
                <w:lang w:val="en-GB"/>
              </w:rPr>
              <w:t>из</w:t>
            </w:r>
            <w:proofErr w:type="spellEnd"/>
            <w:r w:rsidRPr="002130C0">
              <w:rPr>
                <w:b/>
                <w:lang w:val="en-GB"/>
              </w:rPr>
              <w:t xml:space="preserve"> </w:t>
            </w:r>
            <w:proofErr w:type="spellStart"/>
            <w:r w:rsidRPr="002130C0">
              <w:rPr>
                <w:b/>
                <w:lang w:val="en-GB"/>
              </w:rPr>
              <w:t>государ-ственного</w:t>
            </w:r>
            <w:proofErr w:type="spellEnd"/>
          </w:p>
          <w:p w:rsidR="007E12EE" w:rsidRPr="002130C0" w:rsidRDefault="007E12EE" w:rsidP="000A472D">
            <w:pPr>
              <w:jc w:val="center"/>
              <w:rPr>
                <w:b/>
                <w:lang w:val="en-GB"/>
              </w:rPr>
            </w:pPr>
            <w:proofErr w:type="spellStart"/>
            <w:r w:rsidRPr="002130C0">
              <w:rPr>
                <w:b/>
                <w:lang w:val="en-GB"/>
              </w:rPr>
              <w:t>бюджета</w:t>
            </w:r>
            <w:proofErr w:type="spellEnd"/>
          </w:p>
        </w:tc>
        <w:tc>
          <w:tcPr>
            <w:tcW w:w="567" w:type="pct"/>
          </w:tcPr>
          <w:p w:rsidR="007E12EE" w:rsidRPr="002130C0" w:rsidRDefault="007E12EE" w:rsidP="000A472D">
            <w:pPr>
              <w:jc w:val="center"/>
              <w:rPr>
                <w:b/>
                <w:lang w:val="en-GB"/>
              </w:rPr>
            </w:pPr>
            <w:proofErr w:type="spellStart"/>
            <w:r w:rsidRPr="002130C0">
              <w:rPr>
                <w:b/>
                <w:lang w:val="en-GB"/>
              </w:rPr>
              <w:t>из</w:t>
            </w:r>
            <w:proofErr w:type="spellEnd"/>
            <w:r w:rsidRPr="002130C0">
              <w:rPr>
                <w:b/>
                <w:lang w:val="en-GB"/>
              </w:rPr>
              <w:t xml:space="preserve"> </w:t>
            </w:r>
            <w:proofErr w:type="spellStart"/>
            <w:r w:rsidRPr="002130C0">
              <w:rPr>
                <w:b/>
                <w:lang w:val="en-GB"/>
              </w:rPr>
              <w:t>грантов</w:t>
            </w:r>
            <w:proofErr w:type="spellEnd"/>
          </w:p>
        </w:tc>
      </w:tr>
      <w:tr w:rsidR="007E12EE" w:rsidRPr="002130C0" w:rsidTr="000A472D">
        <w:trPr>
          <w:trHeight w:val="537"/>
        </w:trPr>
        <w:tc>
          <w:tcPr>
            <w:tcW w:w="1507" w:type="pct"/>
            <w:vAlign w:val="center"/>
          </w:tcPr>
          <w:p w:rsidR="007E12EE" w:rsidRPr="002130C0" w:rsidRDefault="007E12EE" w:rsidP="000A472D">
            <w:pPr>
              <w:spacing w:after="200"/>
            </w:pPr>
            <w:r w:rsidRPr="002130C0">
              <w:t xml:space="preserve">Создание и обеспечение функционирования Национального агентства по разрешению споров  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1.2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3.5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3.7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3.7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3.7</w:t>
            </w:r>
          </w:p>
        </w:tc>
        <w:tc>
          <w:tcPr>
            <w:tcW w:w="428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b/>
                <w:lang w:val="en-GB"/>
              </w:rPr>
            </w:pPr>
            <w:r w:rsidRPr="002130C0">
              <w:rPr>
                <w:b/>
                <w:lang w:val="en-GB"/>
              </w:rPr>
              <w:t>15.8</w:t>
            </w:r>
          </w:p>
        </w:tc>
        <w:tc>
          <w:tcPr>
            <w:tcW w:w="681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15.8</w:t>
            </w:r>
          </w:p>
        </w:tc>
        <w:tc>
          <w:tcPr>
            <w:tcW w:w="567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-</w:t>
            </w:r>
          </w:p>
        </w:tc>
      </w:tr>
      <w:tr w:rsidR="007E12EE" w:rsidRPr="002130C0" w:rsidTr="000A472D">
        <w:trPr>
          <w:trHeight w:val="172"/>
        </w:trPr>
        <w:tc>
          <w:tcPr>
            <w:tcW w:w="1507" w:type="pct"/>
            <w:vAlign w:val="bottom"/>
          </w:tcPr>
          <w:p w:rsidR="007E12EE" w:rsidRPr="002130C0" w:rsidRDefault="007E12EE" w:rsidP="000A472D">
            <w:pPr>
              <w:spacing w:after="200"/>
              <w:rPr>
                <w:lang w:val="en-GB"/>
              </w:rPr>
            </w:pPr>
            <w:proofErr w:type="spellStart"/>
            <w:r w:rsidRPr="002130C0">
              <w:rPr>
                <w:i/>
                <w:lang w:val="en-GB"/>
              </w:rPr>
              <w:t>включая</w:t>
            </w:r>
            <w:proofErr w:type="spellEnd"/>
            <w:r w:rsidRPr="002130C0">
              <w:rPr>
                <w:i/>
                <w:lang w:val="en-GB"/>
              </w:rPr>
              <w:t xml:space="preserve"> </w:t>
            </w:r>
            <w:proofErr w:type="spellStart"/>
            <w:r w:rsidRPr="002130C0">
              <w:rPr>
                <w:i/>
                <w:lang w:val="en-GB"/>
              </w:rPr>
              <w:t>расходы</w:t>
            </w:r>
            <w:proofErr w:type="spellEnd"/>
            <w:r w:rsidRPr="002130C0">
              <w:rPr>
                <w:i/>
                <w:lang w:val="en-GB"/>
              </w:rPr>
              <w:t xml:space="preserve"> </w:t>
            </w:r>
            <w:proofErr w:type="spellStart"/>
            <w:r w:rsidRPr="002130C0">
              <w:rPr>
                <w:i/>
                <w:lang w:val="en-GB"/>
              </w:rPr>
              <w:t>на</w:t>
            </w:r>
            <w:proofErr w:type="spellEnd"/>
            <w:r w:rsidRPr="002130C0">
              <w:rPr>
                <w:i/>
                <w:lang w:val="en-GB"/>
              </w:rPr>
              <w:t xml:space="preserve"> </w:t>
            </w:r>
            <w:proofErr w:type="spellStart"/>
            <w:r w:rsidRPr="002130C0">
              <w:rPr>
                <w:i/>
                <w:lang w:val="en-GB"/>
              </w:rPr>
              <w:t>функционирование</w:t>
            </w:r>
            <w:proofErr w:type="spellEnd"/>
            <w:r w:rsidRPr="002130C0">
              <w:rPr>
                <w:i/>
                <w:lang w:val="en-GB"/>
              </w:rPr>
              <w:t xml:space="preserve"> 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-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3.5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3.7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3.7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3.7</w:t>
            </w:r>
          </w:p>
        </w:tc>
        <w:tc>
          <w:tcPr>
            <w:tcW w:w="428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14.6</w:t>
            </w:r>
          </w:p>
        </w:tc>
        <w:tc>
          <w:tcPr>
            <w:tcW w:w="681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14.6</w:t>
            </w:r>
          </w:p>
        </w:tc>
        <w:tc>
          <w:tcPr>
            <w:tcW w:w="567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</w:p>
        </w:tc>
      </w:tr>
      <w:tr w:rsidR="007E12EE" w:rsidRPr="002130C0" w:rsidTr="000A472D">
        <w:trPr>
          <w:trHeight w:val="270"/>
        </w:trPr>
        <w:tc>
          <w:tcPr>
            <w:tcW w:w="1507" w:type="pct"/>
          </w:tcPr>
          <w:p w:rsidR="007E12EE" w:rsidRPr="002130C0" w:rsidRDefault="007E12EE" w:rsidP="000A472D">
            <w:pPr>
              <w:spacing w:after="200"/>
            </w:pPr>
            <w:r w:rsidRPr="002130C0">
              <w:t xml:space="preserve">Законодательная реформа в области государственных закупок 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0.3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0.8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0.3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0.3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0.2</w:t>
            </w:r>
          </w:p>
        </w:tc>
        <w:tc>
          <w:tcPr>
            <w:tcW w:w="428" w:type="pct"/>
          </w:tcPr>
          <w:p w:rsidR="007E12EE" w:rsidRPr="002130C0" w:rsidRDefault="007E12EE" w:rsidP="000A472D">
            <w:pPr>
              <w:spacing w:after="200"/>
              <w:jc w:val="right"/>
              <w:rPr>
                <w:b/>
                <w:lang w:val="en-GB"/>
              </w:rPr>
            </w:pPr>
            <w:r w:rsidRPr="002130C0">
              <w:rPr>
                <w:b/>
                <w:lang w:val="en-GB"/>
              </w:rPr>
              <w:t>1.9</w:t>
            </w:r>
          </w:p>
        </w:tc>
        <w:tc>
          <w:tcPr>
            <w:tcW w:w="681" w:type="pct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-</w:t>
            </w:r>
          </w:p>
        </w:tc>
        <w:tc>
          <w:tcPr>
            <w:tcW w:w="567" w:type="pct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1.9</w:t>
            </w:r>
          </w:p>
        </w:tc>
      </w:tr>
      <w:tr w:rsidR="007E12EE" w:rsidRPr="002130C0" w:rsidTr="000A472D">
        <w:trPr>
          <w:trHeight w:val="537"/>
        </w:trPr>
        <w:tc>
          <w:tcPr>
            <w:tcW w:w="1507" w:type="pct"/>
            <w:vAlign w:val="bottom"/>
          </w:tcPr>
          <w:p w:rsidR="007E12EE" w:rsidRPr="002130C0" w:rsidRDefault="007E12EE" w:rsidP="000A472D">
            <w:pPr>
              <w:spacing w:after="200"/>
            </w:pPr>
            <w:r w:rsidRPr="002130C0">
              <w:t xml:space="preserve">Реформирование и обеспечение функционирования Агентства государственных закупок  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4.5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4.5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3.7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3.8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4.0</w:t>
            </w:r>
          </w:p>
        </w:tc>
        <w:tc>
          <w:tcPr>
            <w:tcW w:w="428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b/>
                <w:lang w:val="en-GB"/>
              </w:rPr>
            </w:pPr>
            <w:r w:rsidRPr="002130C0">
              <w:rPr>
                <w:b/>
                <w:lang w:val="en-GB"/>
              </w:rPr>
              <w:t>20.5</w:t>
            </w:r>
          </w:p>
        </w:tc>
        <w:tc>
          <w:tcPr>
            <w:tcW w:w="681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20.5</w:t>
            </w:r>
          </w:p>
        </w:tc>
        <w:tc>
          <w:tcPr>
            <w:tcW w:w="567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-</w:t>
            </w:r>
          </w:p>
        </w:tc>
      </w:tr>
      <w:tr w:rsidR="007E12EE" w:rsidRPr="002130C0" w:rsidTr="000A472D">
        <w:trPr>
          <w:trHeight w:val="253"/>
        </w:trPr>
        <w:tc>
          <w:tcPr>
            <w:tcW w:w="1507" w:type="pct"/>
          </w:tcPr>
          <w:p w:rsidR="007E12EE" w:rsidRPr="002130C0" w:rsidRDefault="007E12EE" w:rsidP="000A472D">
            <w:pPr>
              <w:spacing w:after="200"/>
            </w:pPr>
            <w:r w:rsidRPr="002130C0">
              <w:t>Развитие и обеспечение функционирования системы электронных закупок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0.4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10.8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6.5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2.2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jc w:val="right"/>
              <w:rPr>
                <w:lang w:val="en-GB"/>
              </w:rPr>
            </w:pPr>
            <w:r w:rsidRPr="002130C0">
              <w:rPr>
                <w:lang w:val="en-GB"/>
              </w:rPr>
              <w:t>2.2</w:t>
            </w:r>
          </w:p>
        </w:tc>
        <w:tc>
          <w:tcPr>
            <w:tcW w:w="428" w:type="pct"/>
          </w:tcPr>
          <w:p w:rsidR="007E12EE" w:rsidRPr="002130C0" w:rsidRDefault="007E12EE" w:rsidP="000A472D">
            <w:pPr>
              <w:spacing w:after="200"/>
              <w:jc w:val="right"/>
              <w:rPr>
                <w:b/>
                <w:lang w:val="en-GB"/>
              </w:rPr>
            </w:pPr>
            <w:r w:rsidRPr="002130C0">
              <w:rPr>
                <w:b/>
                <w:lang w:val="en-GB"/>
              </w:rPr>
              <w:t>22.1</w:t>
            </w:r>
          </w:p>
        </w:tc>
        <w:tc>
          <w:tcPr>
            <w:tcW w:w="681" w:type="pct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7.0</w:t>
            </w:r>
          </w:p>
        </w:tc>
        <w:tc>
          <w:tcPr>
            <w:tcW w:w="567" w:type="pct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15.1</w:t>
            </w:r>
          </w:p>
        </w:tc>
      </w:tr>
    </w:tbl>
    <w:p w:rsidR="007E12EE" w:rsidRPr="002130C0" w:rsidRDefault="007E12EE" w:rsidP="007E12EE">
      <w:pPr>
        <w:spacing w:after="200" w:line="276" w:lineRule="auto"/>
        <w:rPr>
          <w:rFonts w:ascii="Calibri" w:hAnsi="Calibr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697"/>
        <w:gridCol w:w="697"/>
        <w:gridCol w:w="697"/>
        <w:gridCol w:w="697"/>
        <w:gridCol w:w="697"/>
        <w:gridCol w:w="819"/>
        <w:gridCol w:w="1303"/>
        <w:gridCol w:w="1079"/>
      </w:tblGrid>
      <w:tr w:rsidR="007E12EE" w:rsidRPr="002130C0" w:rsidTr="000A472D">
        <w:trPr>
          <w:trHeight w:val="172"/>
        </w:trPr>
        <w:tc>
          <w:tcPr>
            <w:tcW w:w="1507" w:type="pct"/>
          </w:tcPr>
          <w:p w:rsidR="007E12EE" w:rsidRPr="002130C0" w:rsidRDefault="007E12EE" w:rsidP="000A472D">
            <w:pPr>
              <w:spacing w:after="200"/>
              <w:rPr>
                <w:lang w:val="en-GB"/>
              </w:rPr>
            </w:pPr>
            <w:proofErr w:type="spellStart"/>
            <w:r w:rsidRPr="002130C0">
              <w:rPr>
                <w:i/>
                <w:lang w:val="en-GB"/>
              </w:rPr>
              <w:lastRenderedPageBreak/>
              <w:t>включая</w:t>
            </w:r>
            <w:proofErr w:type="spellEnd"/>
            <w:r w:rsidRPr="002130C0">
              <w:rPr>
                <w:i/>
                <w:lang w:val="en-GB"/>
              </w:rPr>
              <w:t xml:space="preserve"> </w:t>
            </w:r>
            <w:proofErr w:type="spellStart"/>
            <w:r w:rsidRPr="002130C0">
              <w:rPr>
                <w:i/>
                <w:lang w:val="en-GB"/>
              </w:rPr>
              <w:t>расходы</w:t>
            </w:r>
            <w:proofErr w:type="spellEnd"/>
            <w:r w:rsidRPr="002130C0">
              <w:rPr>
                <w:i/>
                <w:lang w:val="en-GB"/>
              </w:rPr>
              <w:t xml:space="preserve"> </w:t>
            </w:r>
            <w:proofErr w:type="spellStart"/>
            <w:r w:rsidRPr="002130C0">
              <w:rPr>
                <w:i/>
                <w:lang w:val="en-GB"/>
              </w:rPr>
              <w:t>на</w:t>
            </w:r>
            <w:proofErr w:type="spellEnd"/>
            <w:r w:rsidRPr="002130C0">
              <w:rPr>
                <w:i/>
                <w:lang w:val="en-GB"/>
              </w:rPr>
              <w:t xml:space="preserve"> </w:t>
            </w:r>
            <w:proofErr w:type="spellStart"/>
            <w:r w:rsidRPr="002130C0">
              <w:rPr>
                <w:i/>
                <w:lang w:val="en-GB"/>
              </w:rPr>
              <w:t>функционирование</w:t>
            </w:r>
            <w:proofErr w:type="spellEnd"/>
            <w:r w:rsidRPr="002130C0">
              <w:rPr>
                <w:i/>
                <w:lang w:val="en-GB"/>
              </w:rPr>
              <w:t xml:space="preserve"> 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-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rPr>
                <w:i/>
                <w:lang w:val="en-GB"/>
              </w:rPr>
            </w:pP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2.2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2.2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2.2</w:t>
            </w:r>
          </w:p>
        </w:tc>
        <w:tc>
          <w:tcPr>
            <w:tcW w:w="428" w:type="pct"/>
          </w:tcPr>
          <w:p w:rsidR="007E12EE" w:rsidRPr="002130C0" w:rsidRDefault="007E12EE" w:rsidP="000A472D">
            <w:pPr>
              <w:spacing w:after="200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6.6</w:t>
            </w:r>
          </w:p>
        </w:tc>
        <w:tc>
          <w:tcPr>
            <w:tcW w:w="681" w:type="pct"/>
          </w:tcPr>
          <w:p w:rsidR="007E12EE" w:rsidRPr="002130C0" w:rsidRDefault="007E12EE" w:rsidP="000A472D">
            <w:pPr>
              <w:spacing w:after="200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6.6</w:t>
            </w:r>
          </w:p>
        </w:tc>
        <w:tc>
          <w:tcPr>
            <w:tcW w:w="567" w:type="pct"/>
          </w:tcPr>
          <w:p w:rsidR="007E12EE" w:rsidRPr="002130C0" w:rsidRDefault="007E12EE" w:rsidP="000A472D">
            <w:pPr>
              <w:spacing w:after="200"/>
              <w:rPr>
                <w:i/>
                <w:lang w:val="en-GB"/>
              </w:rPr>
            </w:pPr>
          </w:p>
        </w:tc>
      </w:tr>
      <w:tr w:rsidR="007E12EE" w:rsidRPr="002130C0" w:rsidTr="000A472D">
        <w:trPr>
          <w:trHeight w:val="401"/>
        </w:trPr>
        <w:tc>
          <w:tcPr>
            <w:tcW w:w="1507" w:type="pct"/>
            <w:vAlign w:val="bottom"/>
          </w:tcPr>
          <w:p w:rsidR="007E12EE" w:rsidRPr="002130C0" w:rsidRDefault="007E12EE" w:rsidP="000A472D">
            <w:pPr>
              <w:spacing w:after="200"/>
              <w:rPr>
                <w:b/>
              </w:rPr>
            </w:pPr>
            <w:r w:rsidRPr="002130C0">
              <w:t xml:space="preserve">Укрепление потенциала  закупающих органов (семинары, система электронного обучения, сертификация) 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b/>
                <w:lang w:val="en-GB"/>
              </w:rPr>
            </w:pPr>
            <w:r w:rsidRPr="002130C0">
              <w:rPr>
                <w:lang w:val="en-GB"/>
              </w:rPr>
              <w:t>0.6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b/>
                <w:lang w:val="en-GB"/>
              </w:rPr>
            </w:pPr>
            <w:r w:rsidRPr="002130C0">
              <w:rPr>
                <w:lang w:val="en-GB"/>
              </w:rPr>
              <w:t>0.8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b/>
                <w:lang w:val="en-GB"/>
              </w:rPr>
            </w:pPr>
            <w:r w:rsidRPr="002130C0">
              <w:rPr>
                <w:lang w:val="en-GB"/>
              </w:rPr>
              <w:t>0.6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b/>
                <w:lang w:val="en-GB"/>
              </w:rPr>
            </w:pPr>
            <w:r w:rsidRPr="002130C0">
              <w:rPr>
                <w:lang w:val="en-GB"/>
              </w:rPr>
              <w:t>0.4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b/>
                <w:lang w:val="en-GB"/>
              </w:rPr>
            </w:pPr>
            <w:r w:rsidRPr="002130C0">
              <w:rPr>
                <w:lang w:val="en-GB"/>
              </w:rPr>
              <w:t>0.4</w:t>
            </w:r>
          </w:p>
        </w:tc>
        <w:tc>
          <w:tcPr>
            <w:tcW w:w="428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b/>
                <w:lang w:val="en-GB"/>
              </w:rPr>
            </w:pPr>
            <w:r w:rsidRPr="002130C0">
              <w:rPr>
                <w:b/>
                <w:lang w:val="en-GB"/>
              </w:rPr>
              <w:t>2.8</w:t>
            </w:r>
          </w:p>
        </w:tc>
        <w:tc>
          <w:tcPr>
            <w:tcW w:w="681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b/>
                <w:i/>
                <w:lang w:val="en-GB"/>
              </w:rPr>
            </w:pPr>
            <w:r w:rsidRPr="002130C0">
              <w:rPr>
                <w:i/>
                <w:lang w:val="en-GB"/>
              </w:rPr>
              <w:t>2.0</w:t>
            </w:r>
          </w:p>
        </w:tc>
        <w:tc>
          <w:tcPr>
            <w:tcW w:w="567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b/>
                <w:i/>
                <w:lang w:val="en-GB"/>
              </w:rPr>
            </w:pPr>
            <w:r w:rsidRPr="002130C0">
              <w:rPr>
                <w:i/>
                <w:lang w:val="en-GB"/>
              </w:rPr>
              <w:t>0.8</w:t>
            </w:r>
          </w:p>
        </w:tc>
      </w:tr>
      <w:tr w:rsidR="007E12EE" w:rsidRPr="002130C0" w:rsidTr="000A472D">
        <w:trPr>
          <w:trHeight w:val="335"/>
        </w:trPr>
        <w:tc>
          <w:tcPr>
            <w:tcW w:w="1507" w:type="pct"/>
          </w:tcPr>
          <w:p w:rsidR="007E12EE" w:rsidRPr="002130C0" w:rsidRDefault="007E12EE" w:rsidP="000A472D">
            <w:pPr>
              <w:spacing w:after="200"/>
              <w:rPr>
                <w:i/>
                <w:lang w:val="en-GB"/>
              </w:rPr>
            </w:pPr>
            <w:proofErr w:type="spellStart"/>
            <w:r w:rsidRPr="002130C0">
              <w:rPr>
                <w:b/>
                <w:lang w:val="en-GB"/>
              </w:rPr>
              <w:t>Всего</w:t>
            </w:r>
            <w:proofErr w:type="spellEnd"/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b/>
                <w:lang w:val="en-GB"/>
              </w:rPr>
              <w:t>7.0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b/>
                <w:lang w:val="en-GB"/>
              </w:rPr>
              <w:t>20.4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b/>
                <w:lang w:val="en-GB"/>
              </w:rPr>
              <w:t>14.8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b/>
                <w:lang w:val="en-GB"/>
              </w:rPr>
              <w:t>10.4</w:t>
            </w:r>
          </w:p>
        </w:tc>
        <w:tc>
          <w:tcPr>
            <w:tcW w:w="364" w:type="pct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b/>
                <w:lang w:val="en-GB"/>
              </w:rPr>
              <w:t>10.5</w:t>
            </w:r>
          </w:p>
        </w:tc>
        <w:tc>
          <w:tcPr>
            <w:tcW w:w="428" w:type="pct"/>
          </w:tcPr>
          <w:p w:rsidR="007E12EE" w:rsidRPr="002130C0" w:rsidRDefault="007E12EE" w:rsidP="000A472D">
            <w:pPr>
              <w:spacing w:after="200"/>
              <w:jc w:val="right"/>
              <w:rPr>
                <w:b/>
                <w:i/>
                <w:lang w:val="en-GB"/>
              </w:rPr>
            </w:pPr>
            <w:r w:rsidRPr="002130C0">
              <w:rPr>
                <w:b/>
                <w:lang w:val="en-GB"/>
              </w:rPr>
              <w:t>63.1</w:t>
            </w:r>
          </w:p>
        </w:tc>
        <w:tc>
          <w:tcPr>
            <w:tcW w:w="681" w:type="pct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b/>
                <w:i/>
                <w:lang w:val="en-GB"/>
              </w:rPr>
              <w:t>45.3</w:t>
            </w:r>
          </w:p>
        </w:tc>
        <w:tc>
          <w:tcPr>
            <w:tcW w:w="567" w:type="pct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b/>
                <w:i/>
                <w:lang w:val="en-GB"/>
              </w:rPr>
              <w:t>17.8</w:t>
            </w:r>
          </w:p>
        </w:tc>
      </w:tr>
      <w:tr w:rsidR="007E12EE" w:rsidRPr="002130C0" w:rsidTr="000A472D">
        <w:trPr>
          <w:trHeight w:val="217"/>
        </w:trPr>
        <w:tc>
          <w:tcPr>
            <w:tcW w:w="1507" w:type="pct"/>
            <w:tcBorders>
              <w:bottom w:val="nil"/>
            </w:tcBorders>
          </w:tcPr>
          <w:p w:rsidR="007E12EE" w:rsidRPr="002130C0" w:rsidRDefault="007E12EE" w:rsidP="000A472D">
            <w:pPr>
              <w:spacing w:after="200"/>
              <w:rPr>
                <w:i/>
                <w:lang w:val="en-GB"/>
              </w:rPr>
            </w:pPr>
            <w:proofErr w:type="spellStart"/>
            <w:r w:rsidRPr="002130C0">
              <w:rPr>
                <w:i/>
                <w:lang w:val="en-GB"/>
              </w:rPr>
              <w:t>Из</w:t>
            </w:r>
            <w:proofErr w:type="spellEnd"/>
            <w:r w:rsidRPr="002130C0">
              <w:rPr>
                <w:i/>
                <w:lang w:val="en-GB"/>
              </w:rPr>
              <w:t xml:space="preserve"> </w:t>
            </w:r>
            <w:r w:rsidRPr="002130C0">
              <w:rPr>
                <w:i/>
              </w:rPr>
              <w:t>них:</w:t>
            </w:r>
          </w:p>
        </w:tc>
        <w:tc>
          <w:tcPr>
            <w:tcW w:w="364" w:type="pct"/>
            <w:tcBorders>
              <w:bottom w:val="nil"/>
            </w:tcBorders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color w:val="000000"/>
                <w:lang w:val="en-GB"/>
              </w:rPr>
            </w:pPr>
          </w:p>
        </w:tc>
        <w:tc>
          <w:tcPr>
            <w:tcW w:w="364" w:type="pct"/>
            <w:tcBorders>
              <w:bottom w:val="nil"/>
            </w:tcBorders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color w:val="000000"/>
                <w:lang w:val="en-GB"/>
              </w:rPr>
            </w:pPr>
          </w:p>
        </w:tc>
        <w:tc>
          <w:tcPr>
            <w:tcW w:w="364" w:type="pct"/>
            <w:tcBorders>
              <w:bottom w:val="nil"/>
            </w:tcBorders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color w:val="000000"/>
                <w:lang w:val="en-GB"/>
              </w:rPr>
            </w:pPr>
          </w:p>
        </w:tc>
        <w:tc>
          <w:tcPr>
            <w:tcW w:w="364" w:type="pct"/>
            <w:tcBorders>
              <w:bottom w:val="nil"/>
            </w:tcBorders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color w:val="000000"/>
                <w:lang w:val="en-GB"/>
              </w:rPr>
            </w:pPr>
          </w:p>
        </w:tc>
        <w:tc>
          <w:tcPr>
            <w:tcW w:w="364" w:type="pct"/>
            <w:tcBorders>
              <w:bottom w:val="nil"/>
            </w:tcBorders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color w:val="000000"/>
                <w:lang w:val="en-GB"/>
              </w:rPr>
            </w:pPr>
          </w:p>
        </w:tc>
        <w:tc>
          <w:tcPr>
            <w:tcW w:w="428" w:type="pct"/>
            <w:tcBorders>
              <w:bottom w:val="nil"/>
            </w:tcBorders>
          </w:tcPr>
          <w:p w:rsidR="007E12EE" w:rsidRPr="002130C0" w:rsidRDefault="007E12EE" w:rsidP="000A472D">
            <w:pPr>
              <w:spacing w:after="200"/>
              <w:jc w:val="right"/>
              <w:rPr>
                <w:b/>
                <w:i/>
                <w:color w:val="000000"/>
                <w:lang w:val="en-GB"/>
              </w:rPr>
            </w:pPr>
          </w:p>
        </w:tc>
        <w:tc>
          <w:tcPr>
            <w:tcW w:w="681" w:type="pct"/>
            <w:tcBorders>
              <w:bottom w:val="nil"/>
            </w:tcBorders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</w:p>
        </w:tc>
        <w:tc>
          <w:tcPr>
            <w:tcW w:w="567" w:type="pct"/>
            <w:tcBorders>
              <w:bottom w:val="nil"/>
            </w:tcBorders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</w:p>
        </w:tc>
      </w:tr>
      <w:tr w:rsidR="007E12EE" w:rsidRPr="002130C0" w:rsidTr="000A472D">
        <w:trPr>
          <w:trHeight w:val="345"/>
        </w:trPr>
        <w:tc>
          <w:tcPr>
            <w:tcW w:w="1507" w:type="pct"/>
            <w:tcBorders>
              <w:top w:val="nil"/>
            </w:tcBorders>
          </w:tcPr>
          <w:p w:rsidR="007E12EE" w:rsidRPr="002130C0" w:rsidRDefault="007E12EE" w:rsidP="000A472D">
            <w:pPr>
              <w:spacing w:after="200"/>
              <w:rPr>
                <w:i/>
                <w:lang w:val="en-GB"/>
              </w:rPr>
            </w:pPr>
            <w:proofErr w:type="spellStart"/>
            <w:r w:rsidRPr="002130C0">
              <w:rPr>
                <w:i/>
                <w:lang w:val="en-GB"/>
              </w:rPr>
              <w:t>Отчисления</w:t>
            </w:r>
            <w:proofErr w:type="spellEnd"/>
            <w:r w:rsidRPr="002130C0">
              <w:rPr>
                <w:i/>
                <w:lang w:val="en-GB"/>
              </w:rPr>
              <w:t xml:space="preserve"> </w:t>
            </w:r>
            <w:proofErr w:type="spellStart"/>
            <w:r w:rsidRPr="002130C0">
              <w:rPr>
                <w:i/>
                <w:lang w:val="en-GB"/>
              </w:rPr>
              <w:t>из</w:t>
            </w:r>
            <w:proofErr w:type="spellEnd"/>
            <w:r w:rsidRPr="002130C0">
              <w:rPr>
                <w:i/>
                <w:lang w:val="en-GB"/>
              </w:rPr>
              <w:t xml:space="preserve"> </w:t>
            </w:r>
            <w:r w:rsidRPr="002130C0">
              <w:rPr>
                <w:i/>
              </w:rPr>
              <w:t>г</w:t>
            </w:r>
            <w:proofErr w:type="spellStart"/>
            <w:r w:rsidRPr="002130C0">
              <w:rPr>
                <w:i/>
                <w:lang w:val="en-GB"/>
              </w:rPr>
              <w:t>осударственного</w:t>
            </w:r>
            <w:proofErr w:type="spellEnd"/>
            <w:r w:rsidRPr="002130C0">
              <w:rPr>
                <w:i/>
                <w:lang w:val="en-GB"/>
              </w:rPr>
              <w:t xml:space="preserve"> </w:t>
            </w:r>
            <w:proofErr w:type="spellStart"/>
            <w:r w:rsidRPr="002130C0">
              <w:rPr>
                <w:i/>
                <w:lang w:val="en-GB"/>
              </w:rPr>
              <w:t>бюджета</w:t>
            </w:r>
            <w:proofErr w:type="spellEnd"/>
            <w:r w:rsidRPr="002130C0">
              <w:rPr>
                <w:i/>
                <w:lang w:val="en-GB"/>
              </w:rPr>
              <w:t xml:space="preserve"> </w:t>
            </w:r>
          </w:p>
        </w:tc>
        <w:tc>
          <w:tcPr>
            <w:tcW w:w="364" w:type="pct"/>
            <w:tcBorders>
              <w:top w:val="nil"/>
            </w:tcBorders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color w:val="000000"/>
                <w:lang w:val="en-GB"/>
              </w:rPr>
            </w:pPr>
            <w:r w:rsidRPr="002130C0">
              <w:rPr>
                <w:i/>
                <w:color w:val="000000"/>
                <w:lang w:val="en-GB"/>
              </w:rPr>
              <w:t>5.6</w:t>
            </w:r>
          </w:p>
        </w:tc>
        <w:tc>
          <w:tcPr>
            <w:tcW w:w="364" w:type="pct"/>
            <w:tcBorders>
              <w:top w:val="nil"/>
            </w:tcBorders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color w:val="000000"/>
                <w:lang w:val="en-GB"/>
              </w:rPr>
            </w:pPr>
            <w:r w:rsidRPr="002130C0">
              <w:rPr>
                <w:i/>
                <w:color w:val="000000"/>
                <w:lang w:val="en-GB"/>
              </w:rPr>
              <w:t>8.1</w:t>
            </w:r>
          </w:p>
        </w:tc>
        <w:tc>
          <w:tcPr>
            <w:tcW w:w="364" w:type="pct"/>
            <w:tcBorders>
              <w:top w:val="nil"/>
            </w:tcBorders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color w:val="000000"/>
                <w:lang w:val="en-GB"/>
              </w:rPr>
            </w:pPr>
            <w:r w:rsidRPr="002130C0">
              <w:rPr>
                <w:i/>
                <w:color w:val="000000"/>
                <w:lang w:val="en-GB"/>
              </w:rPr>
              <w:t>11.2</w:t>
            </w:r>
          </w:p>
        </w:tc>
        <w:tc>
          <w:tcPr>
            <w:tcW w:w="364" w:type="pct"/>
            <w:tcBorders>
              <w:top w:val="nil"/>
            </w:tcBorders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color w:val="000000"/>
                <w:lang w:val="en-GB"/>
              </w:rPr>
            </w:pPr>
            <w:r w:rsidRPr="002130C0">
              <w:rPr>
                <w:i/>
                <w:color w:val="000000"/>
                <w:lang w:val="en-GB"/>
              </w:rPr>
              <w:t>10.1</w:t>
            </w:r>
          </w:p>
        </w:tc>
        <w:tc>
          <w:tcPr>
            <w:tcW w:w="364" w:type="pct"/>
            <w:tcBorders>
              <w:top w:val="nil"/>
            </w:tcBorders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color w:val="000000"/>
                <w:lang w:val="en-GB"/>
              </w:rPr>
            </w:pPr>
            <w:r w:rsidRPr="002130C0">
              <w:rPr>
                <w:i/>
                <w:color w:val="000000"/>
                <w:lang w:val="en-GB"/>
              </w:rPr>
              <w:t>10.3</w:t>
            </w:r>
          </w:p>
        </w:tc>
        <w:tc>
          <w:tcPr>
            <w:tcW w:w="428" w:type="pct"/>
            <w:tcBorders>
              <w:top w:val="nil"/>
            </w:tcBorders>
          </w:tcPr>
          <w:p w:rsidR="007E12EE" w:rsidRPr="002130C0" w:rsidRDefault="007E12EE" w:rsidP="000A472D">
            <w:pPr>
              <w:spacing w:after="200"/>
              <w:jc w:val="right"/>
              <w:rPr>
                <w:b/>
                <w:i/>
                <w:color w:val="000000"/>
                <w:lang w:val="en-GB"/>
              </w:rPr>
            </w:pPr>
            <w:r w:rsidRPr="002130C0">
              <w:rPr>
                <w:b/>
                <w:i/>
                <w:color w:val="000000"/>
                <w:lang w:val="en-GB"/>
              </w:rPr>
              <w:t>45.3</w:t>
            </w:r>
          </w:p>
        </w:tc>
        <w:tc>
          <w:tcPr>
            <w:tcW w:w="681" w:type="pct"/>
            <w:tcBorders>
              <w:top w:val="nil"/>
            </w:tcBorders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X</w:t>
            </w:r>
          </w:p>
        </w:tc>
        <w:tc>
          <w:tcPr>
            <w:tcW w:w="567" w:type="pct"/>
            <w:tcBorders>
              <w:top w:val="nil"/>
            </w:tcBorders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X</w:t>
            </w:r>
          </w:p>
        </w:tc>
      </w:tr>
      <w:tr w:rsidR="007E12EE" w:rsidRPr="002130C0" w:rsidTr="000A472D">
        <w:trPr>
          <w:trHeight w:val="345"/>
        </w:trPr>
        <w:tc>
          <w:tcPr>
            <w:tcW w:w="1507" w:type="pct"/>
            <w:vAlign w:val="bottom"/>
          </w:tcPr>
          <w:p w:rsidR="007E12EE" w:rsidRPr="002130C0" w:rsidRDefault="007E12EE" w:rsidP="000A472D">
            <w:pPr>
              <w:spacing w:after="200"/>
              <w:rPr>
                <w:i/>
                <w:lang w:val="en-GB"/>
              </w:rPr>
            </w:pPr>
            <w:proofErr w:type="spellStart"/>
            <w:r w:rsidRPr="002130C0">
              <w:rPr>
                <w:i/>
                <w:lang w:val="en-GB"/>
              </w:rPr>
              <w:t>Гранты</w:t>
            </w:r>
            <w:proofErr w:type="spellEnd"/>
            <w:r w:rsidRPr="002130C0">
              <w:rPr>
                <w:i/>
                <w:lang w:val="en-GB"/>
              </w:rPr>
              <w:t xml:space="preserve">, </w:t>
            </w:r>
            <w:proofErr w:type="spellStart"/>
            <w:r w:rsidRPr="002130C0">
              <w:rPr>
                <w:i/>
                <w:lang w:val="en-GB"/>
              </w:rPr>
              <w:t>предоставленные</w:t>
            </w:r>
            <w:proofErr w:type="spellEnd"/>
            <w:r w:rsidRPr="002130C0">
              <w:rPr>
                <w:i/>
                <w:lang w:val="en-GB"/>
              </w:rPr>
              <w:t xml:space="preserve"> </w:t>
            </w:r>
            <w:proofErr w:type="spellStart"/>
            <w:r w:rsidRPr="002130C0">
              <w:rPr>
                <w:i/>
                <w:lang w:val="en-GB"/>
              </w:rPr>
              <w:t>международными</w:t>
            </w:r>
            <w:proofErr w:type="spellEnd"/>
            <w:r w:rsidRPr="002130C0">
              <w:rPr>
                <w:i/>
                <w:lang w:val="en-GB"/>
              </w:rPr>
              <w:t xml:space="preserve"> </w:t>
            </w:r>
            <w:proofErr w:type="spellStart"/>
            <w:r w:rsidRPr="002130C0">
              <w:rPr>
                <w:i/>
                <w:lang w:val="en-GB"/>
              </w:rPr>
              <w:t>партнерами</w:t>
            </w:r>
            <w:proofErr w:type="spellEnd"/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color w:val="000000"/>
                <w:lang w:val="en-GB"/>
              </w:rPr>
            </w:pPr>
            <w:r w:rsidRPr="002130C0">
              <w:rPr>
                <w:i/>
                <w:color w:val="000000"/>
                <w:lang w:val="en-GB"/>
              </w:rPr>
              <w:t>1.4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color w:val="000000"/>
                <w:lang w:val="en-GB"/>
              </w:rPr>
            </w:pPr>
            <w:r w:rsidRPr="002130C0">
              <w:rPr>
                <w:i/>
                <w:color w:val="000000"/>
                <w:lang w:val="en-GB"/>
              </w:rPr>
              <w:t>12.3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color w:val="000000"/>
                <w:lang w:val="en-GB"/>
              </w:rPr>
            </w:pPr>
            <w:r w:rsidRPr="002130C0">
              <w:rPr>
                <w:i/>
                <w:color w:val="000000"/>
                <w:lang w:val="en-GB"/>
              </w:rPr>
              <w:t>3.6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color w:val="000000"/>
                <w:lang w:val="en-GB"/>
              </w:rPr>
            </w:pPr>
            <w:r w:rsidRPr="002130C0">
              <w:rPr>
                <w:i/>
                <w:color w:val="000000"/>
                <w:lang w:val="en-GB"/>
              </w:rPr>
              <w:t>0.3</w:t>
            </w:r>
          </w:p>
        </w:tc>
        <w:tc>
          <w:tcPr>
            <w:tcW w:w="364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color w:val="000000"/>
                <w:lang w:val="en-GB"/>
              </w:rPr>
            </w:pPr>
            <w:r w:rsidRPr="002130C0">
              <w:rPr>
                <w:i/>
                <w:color w:val="000000"/>
                <w:lang w:val="en-GB"/>
              </w:rPr>
              <w:t>0.2</w:t>
            </w:r>
          </w:p>
        </w:tc>
        <w:tc>
          <w:tcPr>
            <w:tcW w:w="428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b/>
                <w:i/>
                <w:color w:val="000000"/>
                <w:lang w:val="en-GB"/>
              </w:rPr>
            </w:pPr>
            <w:r w:rsidRPr="002130C0">
              <w:rPr>
                <w:b/>
                <w:i/>
                <w:color w:val="000000"/>
                <w:lang w:val="en-GB"/>
              </w:rPr>
              <w:t>17.8</w:t>
            </w:r>
          </w:p>
        </w:tc>
        <w:tc>
          <w:tcPr>
            <w:tcW w:w="681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X</w:t>
            </w:r>
          </w:p>
        </w:tc>
        <w:tc>
          <w:tcPr>
            <w:tcW w:w="567" w:type="pct"/>
            <w:vAlign w:val="bottom"/>
          </w:tcPr>
          <w:p w:rsidR="007E12EE" w:rsidRPr="002130C0" w:rsidRDefault="007E12EE" w:rsidP="000A472D">
            <w:pPr>
              <w:spacing w:after="200"/>
              <w:jc w:val="right"/>
              <w:rPr>
                <w:i/>
                <w:lang w:val="en-GB"/>
              </w:rPr>
            </w:pPr>
            <w:r w:rsidRPr="002130C0">
              <w:rPr>
                <w:i/>
                <w:lang w:val="en-GB"/>
              </w:rPr>
              <w:t>X</w:t>
            </w:r>
          </w:p>
        </w:tc>
      </w:tr>
    </w:tbl>
    <w:p w:rsidR="007E12EE" w:rsidRPr="007E12EE" w:rsidRDefault="007E12EE" w:rsidP="007E12EE">
      <w:pPr>
        <w:rPr>
          <w:sz w:val="28"/>
          <w:szCs w:val="28"/>
        </w:rPr>
        <w:sectPr w:rsidR="007E12EE" w:rsidRPr="007E12EE" w:rsidSect="00FE7A77">
          <w:headerReference w:type="default" r:id="rId7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7E12EE" w:rsidRDefault="007E12EE"/>
    <w:sectPr w:rsidR="007E12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27" w:rsidRDefault="00283927" w:rsidP="007E12EE">
      <w:r>
        <w:separator/>
      </w:r>
    </w:p>
  </w:endnote>
  <w:endnote w:type="continuationSeparator" w:id="0">
    <w:p w:rsidR="00283927" w:rsidRDefault="00283927" w:rsidP="007E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27" w:rsidRDefault="00283927" w:rsidP="007E12EE">
      <w:r>
        <w:separator/>
      </w:r>
    </w:p>
  </w:footnote>
  <w:footnote w:type="continuationSeparator" w:id="0">
    <w:p w:rsidR="00283927" w:rsidRDefault="00283927" w:rsidP="007E1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8A" w:rsidRDefault="00283927" w:rsidP="007E12E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EE"/>
    <w:rsid w:val="00283927"/>
    <w:rsid w:val="007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2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2E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rsid w:val="007E12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2E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2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2EE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rsid w:val="007E12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2EE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2017-02-06T09:02:00Z</dcterms:created>
  <dcterms:modified xsi:type="dcterms:W3CDTF">2017-02-06T09:05:00Z</dcterms:modified>
</cp:coreProperties>
</file>