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6" w:rsidRPr="00AA75F7" w:rsidRDefault="00111456" w:rsidP="00111456">
      <w:pPr>
        <w:jc w:val="center"/>
        <w:rPr>
          <w:rFonts w:ascii="Times New Roman" w:hAnsi="Times New Roman"/>
          <w:b/>
          <w:sz w:val="28"/>
          <w:szCs w:val="28"/>
        </w:rPr>
      </w:pPr>
      <w:r w:rsidRPr="00AA75F7">
        <w:rPr>
          <w:rFonts w:ascii="Times New Roman" w:hAnsi="Times New Roman"/>
          <w:b/>
          <w:sz w:val="28"/>
          <w:szCs w:val="28"/>
        </w:rPr>
        <w:t xml:space="preserve">ACORD  </w:t>
      </w:r>
    </w:p>
    <w:p w:rsidR="00111456" w:rsidRPr="00AA75F7" w:rsidRDefault="00111456" w:rsidP="00111456">
      <w:pPr>
        <w:jc w:val="center"/>
        <w:rPr>
          <w:rFonts w:ascii="Times New Roman" w:hAnsi="Times New Roman"/>
          <w:b/>
          <w:sz w:val="28"/>
          <w:szCs w:val="28"/>
          <w:lang w:val="ro-RO"/>
        </w:rPr>
      </w:pPr>
      <w:r w:rsidRPr="00AA75F7">
        <w:rPr>
          <w:rFonts w:ascii="Times New Roman" w:hAnsi="Times New Roman"/>
          <w:b/>
          <w:sz w:val="28"/>
          <w:szCs w:val="28"/>
          <w:lang w:val="ro-RO"/>
        </w:rPr>
        <w:t>ÎNTRE GUVERNUL REPUBLICII MOLDOVA ȘI GUVERNUL REPUBLICII LETONIA  PRIVIND COOPERAREA ÎN DOMENIILE EDUCAȚIEI, CULTURII, ȘTIINȚEI, TINERETULUI ȘI SPORTULUI</w:t>
      </w:r>
    </w:p>
    <w:p w:rsidR="00111456" w:rsidRPr="00AA75F7" w:rsidRDefault="00111456" w:rsidP="00111456">
      <w:pP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Guvernul Republicii Moldova și Guvernul Republicii Letonia, denumite în continuare ’’Părți”;</w:t>
      </w:r>
    </w:p>
    <w:p w:rsidR="00111456" w:rsidRPr="00C77D17" w:rsidRDefault="00111456" w:rsidP="00111456">
      <w:pPr>
        <w:spacing w:after="0" w:line="240" w:lineRule="auto"/>
        <w:jc w:val="both"/>
        <w:rPr>
          <w:rFonts w:ascii="Times New Roman" w:hAnsi="Times New Roman"/>
          <w:sz w:val="20"/>
          <w:szCs w:val="20"/>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Remarcând intenţia Părţilor să consolideze cooperarea, să dezvolte şi să diversifice relațiile de prietenie care există între  Părți;</w:t>
      </w:r>
    </w:p>
    <w:p w:rsidR="00111456" w:rsidRPr="00C77D17" w:rsidRDefault="00111456" w:rsidP="00111456">
      <w:pPr>
        <w:spacing w:after="0" w:line="240" w:lineRule="auto"/>
        <w:jc w:val="both"/>
        <w:rPr>
          <w:rFonts w:ascii="Times New Roman" w:hAnsi="Times New Roman"/>
          <w:sz w:val="20"/>
          <w:szCs w:val="20"/>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având la bază inițiativele Uniunii Europene pentru Europa de Sud-Est;</w:t>
      </w:r>
    </w:p>
    <w:p w:rsidR="00111456" w:rsidRPr="00C77D17" w:rsidRDefault="00111456" w:rsidP="00111456">
      <w:pPr>
        <w:spacing w:after="0" w:line="240" w:lineRule="auto"/>
        <w:jc w:val="both"/>
        <w:rPr>
          <w:rFonts w:ascii="Times New Roman" w:hAnsi="Times New Roman"/>
          <w:sz w:val="20"/>
          <w:szCs w:val="20"/>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conştientizând că colaborarea în domeniile educației, culturii, științei, tineretului și sportului contribuie la o înțelegere mai bună între popoare;</w:t>
      </w:r>
    </w:p>
    <w:p w:rsidR="00111456" w:rsidRPr="00C77D17" w:rsidRDefault="00111456" w:rsidP="00111456">
      <w:pPr>
        <w:spacing w:after="0" w:line="240" w:lineRule="auto"/>
        <w:jc w:val="both"/>
        <w:rPr>
          <w:rFonts w:ascii="Times New Roman" w:hAnsi="Times New Roman"/>
          <w:sz w:val="20"/>
          <w:szCs w:val="20"/>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au convenit asupra următoarelor:</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1</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Părțile vor susține diverse forme de cooperare în domeniile educației, culturii, științei, tineretului și sportului în baza principiilor de respect reciproc, interes și parteneriat.</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2</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Părțile vor susține schimbul de informații, acte legislative şi normative în vigoare, informaţii privind  reformele planificate și implementate, precum și alte informații relevante în domeniile educației, culturii, științei, tineretului și sportului, necesare pentru promovarea unei cooperări fructuoase între ambele Părți.</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3</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jc w:val="both"/>
        <w:rPr>
          <w:rFonts w:ascii="Times New Roman" w:hAnsi="Times New Roman"/>
          <w:sz w:val="28"/>
          <w:szCs w:val="28"/>
          <w:lang w:val="ro-RO"/>
        </w:rPr>
      </w:pPr>
      <w:r w:rsidRPr="00AA75F7">
        <w:rPr>
          <w:rFonts w:ascii="Times New Roman" w:hAnsi="Times New Roman"/>
          <w:sz w:val="28"/>
          <w:szCs w:val="28"/>
          <w:lang w:val="ro-RO"/>
        </w:rPr>
        <w:t>Părțile vor sprijini cooperarea directă între instituțiile de învățământ general, învățământ profesional tehnic, învățământ superior și instituții de formare a adulților, între instituții de cercetare și alte părți interesate, în baza necesității și interesului reciproc.</w:t>
      </w: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4</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Părțile vor continua cooperarea în vederea implementării prevederilor Procesului de la Bologna, programelor și proiectelor Organizației Națiunilor </w:t>
      </w:r>
      <w:r w:rsidRPr="00AA75F7">
        <w:rPr>
          <w:rFonts w:ascii="Times New Roman" w:hAnsi="Times New Roman"/>
          <w:sz w:val="28"/>
          <w:szCs w:val="28"/>
          <w:lang w:val="ro-RO"/>
        </w:rPr>
        <w:lastRenderedPageBreak/>
        <w:t>Unite pentru Educație, Știință și Cultură (UNESCO), Uniunii Europene, precum și altor programe și proiecte internaționale disponibile Părților.</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5</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Părțile își vor acorda anual burse pentru studii superioare la toate ciclurile (licență, master, doctorat) în cadrul instituțiilor de învățământ superior și programelor de studii recunoscute de stat, precum și burse de cercetare în instituțiile de învățământ superior și pentru participare la școli internaționale de vară. </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6</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Părțile vor coopera în vederea sporirii competenței profesionale a specialiștilor din domeniul educațional, capacității personalului academic și de cercetare, precum și experților de înaltă calificare. </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7</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Părțile vor facilita accesul la studierea limbii, culturii, literaturii, istoriei și la informaţiile privind educația civică a celeilalte Părți.</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8</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Părțile vor susține la scară largă, cooperarea directă în toate domeniile culturii și artei, sectorului audiovizual și mass media. Părțile vor promova interesul pentru patrimoniul cultural, precum și realizările culturale contemporane ale celeilalte Părți.</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9</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În scopul promovării culturii celeilalte țări, Părțile vor susține:</w:t>
      </w:r>
    </w:p>
    <w:p w:rsidR="00111456" w:rsidRPr="00AA75F7" w:rsidRDefault="00111456" w:rsidP="00111456">
      <w:pPr>
        <w:pStyle w:val="ListParagraph"/>
        <w:numPr>
          <w:ilvl w:val="0"/>
          <w:numId w:val="1"/>
        </w:num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schimbul de vizite ale artiștilor, trupelor de artiști, precum și delegațiilor asociațiilor artistice, și schimb de materiale și informații din domeniul culturii şi patrimoniului cultural;</w:t>
      </w:r>
    </w:p>
    <w:p w:rsidR="00111456" w:rsidRPr="00AA75F7" w:rsidRDefault="00111456" w:rsidP="00111456">
      <w:pPr>
        <w:pStyle w:val="ListParagraph"/>
        <w:numPr>
          <w:ilvl w:val="0"/>
          <w:numId w:val="1"/>
        </w:num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Participarea reciprocă a experților și artiștilor (actori, scriitori, muzicieni, pictori, dansatori și alți reprezentanți ai domeniului cultural și artistic) la seminare, expoziții, concursuri, cursuri de măiestrie, festivaluri, conferințe și simpozioane științifice organizate de către Părți;</w:t>
      </w:r>
    </w:p>
    <w:p w:rsidR="00111456" w:rsidRPr="00AA75F7" w:rsidRDefault="00111456" w:rsidP="00111456">
      <w:pPr>
        <w:pStyle w:val="ListParagraph"/>
        <w:numPr>
          <w:ilvl w:val="0"/>
          <w:numId w:val="1"/>
        </w:num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cooperarea între instituțiile arhivistice, muzee și biblioteci din subordinea statului sau autorităților locale;</w:t>
      </w:r>
    </w:p>
    <w:p w:rsidR="00111456" w:rsidRPr="00AA75F7" w:rsidRDefault="00111456" w:rsidP="00111456">
      <w:pPr>
        <w:pStyle w:val="ListParagraph"/>
        <w:numPr>
          <w:ilvl w:val="0"/>
          <w:numId w:val="1"/>
        </w:num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cooperarea directă între instituțiile aferente domeniului cinematografiei ale ambelor țări;</w:t>
      </w:r>
    </w:p>
    <w:p w:rsidR="00111456" w:rsidRPr="00AA75F7" w:rsidRDefault="00111456" w:rsidP="00111456">
      <w:pPr>
        <w:pStyle w:val="ListParagraph"/>
        <w:numPr>
          <w:ilvl w:val="0"/>
          <w:numId w:val="1"/>
        </w:num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lastRenderedPageBreak/>
        <w:t>cooperarea între asociațiile de creație și alte organizații non-guvernamentale din cele două țări, în domeniile prevăzute de prezentul Acord.</w:t>
      </w:r>
    </w:p>
    <w:p w:rsidR="00111456" w:rsidRDefault="00111456" w:rsidP="00111456">
      <w:pPr>
        <w:pStyle w:val="ListParagraph"/>
        <w:spacing w:after="0" w:line="240" w:lineRule="auto"/>
        <w:jc w:val="both"/>
        <w:rPr>
          <w:rFonts w:ascii="Times New Roman" w:hAnsi="Times New Roman"/>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10</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În conformitate cu legislaţia şi actele normative naţionale, precum și obligațiile internaționale ale respectivelor țări, Părțile vor coopera în vederea prevenirii importului, exportului și transferului ilicit de bunuri de proprietate culturală, parte a propriului patrimoniu cultural, precum și vor realiza schimb de informații în acest domeniu. </w:t>
      </w:r>
    </w:p>
    <w:p w:rsidR="00111456"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11</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Părțile vor contribui la dezvoltarea cooperării în domeniul politicilor de tineret prin dezvoltarea colaborării între actorii implicaţi în elaborarea politicilor de tineret, organizaţiile de tineret şi instituţiile responsabile pentru implementarea politicilor de tineret, precum şi actorii implicaţi în activităţile de tineret. </w:t>
      </w:r>
    </w:p>
    <w:p w:rsidR="00111456"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12</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Părţile vor promova cooperarea în domeniul sportului. Cooperarea respectivă va include consultările pe domenii de interes comun şi schimbul de bune practici precum anti-doping şi manipularea competiţiilor sportive, prevenirea violenţei în cadrul evenimentelor sportive, promovarea sportului de masă şi dezvoltarea infrastructurii sportive. </w:t>
      </w:r>
    </w:p>
    <w:p w:rsidR="00111456" w:rsidRDefault="00111456" w:rsidP="00111456">
      <w:pPr>
        <w:spacing w:after="0" w:line="240" w:lineRule="auto"/>
        <w:jc w:val="both"/>
        <w:rPr>
          <w:rFonts w:ascii="Times New Roman" w:hAnsi="Times New Roman"/>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Părţile vor facilita stabilirea relaţiilor directe între organizaţiile naţionale sportive, bazându-se pe domeniile de activitate, precum şi cooperarea instituţiilor de profil sportiv pe segmentul educaţional, ştiinţific şi medical, in baza unor condiţii reciproc avantajoase. </w:t>
      </w: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13</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 xml:space="preserve"> </w:t>
      </w: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Activitățile prevăzute în prezentul Acord se vor efectua în limita disponibilităților financiare ale Părților și se vor realiza în conformitate cu prevederile legislației şi reglementărilor naționale și obligațiilor internaționale ale ţărilor respective.  </w:t>
      </w:r>
    </w:p>
    <w:p w:rsidR="00111456" w:rsidRPr="00AA75F7" w:rsidRDefault="00111456" w:rsidP="00111456">
      <w:pPr>
        <w:pStyle w:val="ListParagraph"/>
        <w:spacing w:after="0" w:line="240" w:lineRule="auto"/>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14</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Părțile vor crea o Comisie mixtă în vederea implementării și evaluării prezentului Acord. Comisia mixtă se va întruni în sesiuni, după necesitate, dar nu mai rar de o dată la trei ani, pe principiul alternanței, în Republica Letonia și </w:t>
      </w:r>
      <w:r w:rsidRPr="00AA75F7">
        <w:rPr>
          <w:rFonts w:ascii="Times New Roman" w:hAnsi="Times New Roman"/>
          <w:sz w:val="28"/>
          <w:szCs w:val="28"/>
          <w:lang w:val="ro-RO"/>
        </w:rPr>
        <w:lastRenderedPageBreak/>
        <w:t>în Republica Moldova. Rezultatele întrunirilor Comisiei mixte  vor fi redactate în Procese verbale, separat pentru fiecare sesiune.</w:t>
      </w:r>
    </w:p>
    <w:p w:rsidR="00111456"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15</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Prezentul Acord nu va prejudicia drepturile și obligațiile Părților asumate in temeiul altor tratate internaționale la care sunt parte. </w:t>
      </w:r>
    </w:p>
    <w:p w:rsidR="00111456" w:rsidRPr="00AA75F7" w:rsidRDefault="00111456" w:rsidP="00111456">
      <w:pPr>
        <w:pStyle w:val="ListParagraph"/>
        <w:spacing w:after="0" w:line="240" w:lineRule="auto"/>
        <w:jc w:val="center"/>
        <w:rPr>
          <w:rFonts w:ascii="Times New Roman" w:hAnsi="Times New Roman"/>
          <w:b/>
          <w:sz w:val="28"/>
          <w:szCs w:val="28"/>
          <w:lang w:val="ro-RO"/>
        </w:rPr>
      </w:pPr>
    </w:p>
    <w:p w:rsidR="00111456" w:rsidRDefault="00111456" w:rsidP="00111456">
      <w:pPr>
        <w:pStyle w:val="ListParagraph"/>
        <w:spacing w:after="0" w:line="240" w:lineRule="auto"/>
        <w:ind w:left="0"/>
        <w:jc w:val="center"/>
        <w:rPr>
          <w:rFonts w:ascii="Times New Roman" w:hAnsi="Times New Roman"/>
          <w:b/>
          <w:sz w:val="28"/>
          <w:szCs w:val="28"/>
          <w:lang w:val="ro-RO"/>
        </w:rPr>
      </w:pPr>
      <w:r w:rsidRPr="00AA75F7">
        <w:rPr>
          <w:rFonts w:ascii="Times New Roman" w:hAnsi="Times New Roman"/>
          <w:b/>
          <w:sz w:val="28"/>
          <w:szCs w:val="28"/>
          <w:lang w:val="ro-RO"/>
        </w:rPr>
        <w:t>Articolul 16</w:t>
      </w:r>
    </w:p>
    <w:p w:rsidR="00111456" w:rsidRPr="00AA75F7" w:rsidRDefault="00111456" w:rsidP="00111456">
      <w:pPr>
        <w:pStyle w:val="ListParagraph"/>
        <w:spacing w:after="0" w:line="240" w:lineRule="auto"/>
        <w:ind w:left="0"/>
        <w:jc w:val="center"/>
        <w:rPr>
          <w:rFonts w:ascii="Times New Roman" w:hAnsi="Times New Roman"/>
          <w:b/>
          <w:sz w:val="28"/>
          <w:szCs w:val="28"/>
          <w:lang w:val="ro-RO"/>
        </w:rPr>
      </w:pPr>
    </w:p>
    <w:p w:rsidR="00111456"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Orice dispută apărută pe parcursul implementării și interpretării</w:t>
      </w:r>
      <w:r>
        <w:rPr>
          <w:rFonts w:ascii="Times New Roman" w:hAnsi="Times New Roman"/>
          <w:sz w:val="28"/>
          <w:szCs w:val="28"/>
          <w:lang w:val="ro-RO"/>
        </w:rPr>
        <w:t xml:space="preserve"> prevederilor prezentului Acord va fi soluţionată prin consultări şi negocieri dintre Părţ</w:t>
      </w:r>
      <w:r w:rsidRPr="00AA75F7">
        <w:rPr>
          <w:rFonts w:ascii="Times New Roman" w:hAnsi="Times New Roman"/>
          <w:sz w:val="28"/>
          <w:szCs w:val="28"/>
          <w:lang w:val="ro-RO"/>
        </w:rPr>
        <w:t>i.</w:t>
      </w:r>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17</w:t>
      </w:r>
    </w:p>
    <w:p w:rsidR="00111456" w:rsidRPr="00AA75F7"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Prezentul Acord poate fi modificat, la înțelegerea reciprocă a Părților, prin încheierea unor protocoale adiționale, care sunt parte integrantă a prezentului Acord. Respectivele modificări vor intra în vigoare în conformitate cu prevederile Articolului 18, paragraf</w:t>
      </w:r>
      <w:r>
        <w:rPr>
          <w:rFonts w:ascii="Times New Roman" w:hAnsi="Times New Roman"/>
          <w:sz w:val="28"/>
          <w:szCs w:val="28"/>
          <w:lang w:val="ro-RO"/>
        </w:rPr>
        <w:t>ul</w:t>
      </w:r>
      <w:r w:rsidRPr="00AA75F7">
        <w:rPr>
          <w:rFonts w:ascii="Times New Roman" w:hAnsi="Times New Roman"/>
          <w:sz w:val="28"/>
          <w:szCs w:val="28"/>
          <w:lang w:val="ro-RO"/>
        </w:rPr>
        <w:t xml:space="preserve"> 1</w:t>
      </w:r>
      <w:r>
        <w:rPr>
          <w:rFonts w:ascii="Times New Roman" w:hAnsi="Times New Roman"/>
          <w:sz w:val="28"/>
          <w:szCs w:val="28"/>
          <w:lang w:val="ro-RO"/>
        </w:rPr>
        <w:t>,</w:t>
      </w:r>
      <w:r w:rsidRPr="00AA75F7">
        <w:rPr>
          <w:rFonts w:ascii="Times New Roman" w:hAnsi="Times New Roman"/>
          <w:sz w:val="28"/>
          <w:szCs w:val="28"/>
          <w:lang w:val="ro-RO"/>
        </w:rPr>
        <w:t xml:space="preserve"> al prezentului Acord.</w:t>
      </w:r>
      <w:bookmarkStart w:id="0" w:name="_GoBack"/>
      <w:bookmarkEnd w:id="0"/>
    </w:p>
    <w:p w:rsidR="00111456" w:rsidRDefault="00111456" w:rsidP="00111456">
      <w:pPr>
        <w:spacing w:after="0" w:line="240" w:lineRule="auto"/>
        <w:jc w:val="center"/>
        <w:rPr>
          <w:rFonts w:ascii="Times New Roman" w:hAnsi="Times New Roman"/>
          <w:b/>
          <w:sz w:val="28"/>
          <w:szCs w:val="28"/>
          <w:lang w:val="ro-RO"/>
        </w:rPr>
      </w:pPr>
    </w:p>
    <w:p w:rsidR="00111456" w:rsidRDefault="00111456" w:rsidP="00111456">
      <w:pPr>
        <w:spacing w:after="0" w:line="240" w:lineRule="auto"/>
        <w:jc w:val="center"/>
        <w:rPr>
          <w:rFonts w:ascii="Times New Roman" w:hAnsi="Times New Roman"/>
          <w:b/>
          <w:sz w:val="28"/>
          <w:szCs w:val="28"/>
          <w:lang w:val="ro-RO"/>
        </w:rPr>
      </w:pPr>
      <w:r w:rsidRPr="00AA75F7">
        <w:rPr>
          <w:rFonts w:ascii="Times New Roman" w:hAnsi="Times New Roman"/>
          <w:b/>
          <w:sz w:val="28"/>
          <w:szCs w:val="28"/>
          <w:lang w:val="ro-RO"/>
        </w:rPr>
        <w:t>Articolul 18</w:t>
      </w:r>
    </w:p>
    <w:p w:rsidR="00111456" w:rsidRPr="00AA75F7" w:rsidRDefault="00111456" w:rsidP="00111456">
      <w:pPr>
        <w:spacing w:after="0" w:line="240" w:lineRule="auto"/>
        <w:jc w:val="center"/>
        <w:rPr>
          <w:rFonts w:ascii="Times New Roman" w:hAnsi="Times New Roman"/>
          <w:b/>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Prezentul Acord este încheiat pentru o perioadă nelimitată de timp. Acordul va intra în vigoare la data </w:t>
      </w:r>
      <w:r>
        <w:rPr>
          <w:rFonts w:ascii="Times New Roman" w:hAnsi="Times New Roman"/>
          <w:sz w:val="28"/>
          <w:szCs w:val="28"/>
          <w:lang w:val="ro-RO"/>
        </w:rPr>
        <w:t xml:space="preserve">recepţionării </w:t>
      </w:r>
      <w:r w:rsidRPr="00AA75F7">
        <w:rPr>
          <w:rFonts w:ascii="Times New Roman" w:hAnsi="Times New Roman"/>
          <w:sz w:val="28"/>
          <w:szCs w:val="28"/>
          <w:lang w:val="ro-RO"/>
        </w:rPr>
        <w:t>ultimei notificări în scris, prin canale diplomatice</w:t>
      </w:r>
      <w:r>
        <w:rPr>
          <w:rFonts w:ascii="Times New Roman" w:hAnsi="Times New Roman"/>
          <w:sz w:val="28"/>
          <w:szCs w:val="28"/>
          <w:lang w:val="ro-RO"/>
        </w:rPr>
        <w:t>,</w:t>
      </w:r>
      <w:r w:rsidRPr="00AA75F7">
        <w:rPr>
          <w:rFonts w:ascii="Times New Roman" w:hAnsi="Times New Roman"/>
          <w:sz w:val="28"/>
          <w:szCs w:val="28"/>
          <w:lang w:val="ro-RO"/>
        </w:rPr>
        <w:t xml:space="preserve"> despre îndeplinirea procedurilor interne necesare intrării în vigoare a Acordului.</w:t>
      </w:r>
    </w:p>
    <w:p w:rsidR="00111456" w:rsidRDefault="00111456" w:rsidP="00111456">
      <w:pPr>
        <w:spacing w:after="0" w:line="240" w:lineRule="auto"/>
        <w:jc w:val="both"/>
        <w:rPr>
          <w:rFonts w:ascii="Times New Roman" w:hAnsi="Times New Roman"/>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Fiecare Parte poate </w:t>
      </w:r>
      <w:r>
        <w:rPr>
          <w:rFonts w:ascii="Times New Roman" w:hAnsi="Times New Roman"/>
          <w:sz w:val="28"/>
          <w:szCs w:val="28"/>
          <w:lang w:val="ro-RO"/>
        </w:rPr>
        <w:t>înceta</w:t>
      </w:r>
      <w:r w:rsidRPr="00AA75F7">
        <w:rPr>
          <w:rFonts w:ascii="Times New Roman" w:hAnsi="Times New Roman"/>
          <w:sz w:val="28"/>
          <w:szCs w:val="28"/>
          <w:lang w:val="ro-RO"/>
        </w:rPr>
        <w:t xml:space="preserve"> prezentul Acord printr-o notificare scrisă adresată celeilalte Părți prin canale diplomatice, cu 6 (șase)  luni până la data expirării termenului. </w:t>
      </w:r>
    </w:p>
    <w:p w:rsidR="00111456" w:rsidRDefault="00111456" w:rsidP="00111456">
      <w:pPr>
        <w:spacing w:after="0" w:line="240" w:lineRule="auto"/>
        <w:jc w:val="both"/>
        <w:rPr>
          <w:rFonts w:ascii="Times New Roman" w:hAnsi="Times New Roman"/>
          <w:sz w:val="28"/>
          <w:szCs w:val="28"/>
          <w:lang w:val="ro-RO"/>
        </w:rPr>
      </w:pPr>
    </w:p>
    <w:p w:rsidR="00111456" w:rsidRPr="00AA75F7" w:rsidRDefault="00111456" w:rsidP="00111456">
      <w:pPr>
        <w:spacing w:after="0" w:line="240" w:lineRule="auto"/>
        <w:jc w:val="both"/>
        <w:rPr>
          <w:rFonts w:ascii="Times New Roman" w:hAnsi="Times New Roman"/>
          <w:sz w:val="28"/>
          <w:szCs w:val="28"/>
          <w:lang w:val="ro-RO"/>
        </w:rPr>
      </w:pPr>
      <w:r>
        <w:rPr>
          <w:rFonts w:ascii="Times New Roman" w:hAnsi="Times New Roman"/>
          <w:sz w:val="28"/>
          <w:szCs w:val="28"/>
          <w:lang w:val="ro-RO"/>
        </w:rPr>
        <w:t>Încetarea</w:t>
      </w:r>
      <w:r w:rsidRPr="00AA75F7">
        <w:rPr>
          <w:rFonts w:ascii="Times New Roman" w:hAnsi="Times New Roman"/>
          <w:sz w:val="28"/>
          <w:szCs w:val="28"/>
          <w:lang w:val="ro-RO"/>
        </w:rPr>
        <w:t xml:space="preserve"> prezentului Acord nu va prejudicia proiectele sau programele în</w:t>
      </w:r>
      <w:r>
        <w:rPr>
          <w:rFonts w:ascii="Times New Roman" w:hAnsi="Times New Roman"/>
          <w:sz w:val="28"/>
          <w:szCs w:val="28"/>
          <w:lang w:val="ro-RO"/>
        </w:rPr>
        <w:t xml:space="preserve"> curs de desfăşurare, realizate î</w:t>
      </w:r>
      <w:r w:rsidRPr="00AA75F7">
        <w:rPr>
          <w:rFonts w:ascii="Times New Roman" w:hAnsi="Times New Roman"/>
          <w:sz w:val="28"/>
          <w:szCs w:val="28"/>
          <w:lang w:val="ro-RO"/>
        </w:rPr>
        <w:t>n conformitate cu prevederile prezentului Acord.</w:t>
      </w:r>
    </w:p>
    <w:p w:rsidR="00111456" w:rsidRPr="00AA75F7" w:rsidRDefault="00111456" w:rsidP="00111456">
      <w:pPr>
        <w:spacing w:after="0" w:line="240" w:lineRule="auto"/>
        <w:ind w:left="810"/>
        <w:jc w:val="both"/>
        <w:rPr>
          <w:rFonts w:ascii="Times New Roman" w:hAnsi="Times New Roman"/>
          <w:sz w:val="28"/>
          <w:szCs w:val="28"/>
          <w:lang w:val="ro-RO"/>
        </w:rPr>
      </w:pPr>
    </w:p>
    <w:p w:rsidR="00111456" w:rsidRDefault="00111456" w:rsidP="00111456">
      <w:pPr>
        <w:spacing w:after="0" w:line="240" w:lineRule="auto"/>
        <w:jc w:val="both"/>
        <w:rPr>
          <w:rFonts w:ascii="Times New Roman" w:hAnsi="Times New Roman"/>
          <w:sz w:val="28"/>
          <w:szCs w:val="28"/>
          <w:lang w:val="ro-RO"/>
        </w:rPr>
      </w:pPr>
      <w:r w:rsidRPr="00AA75F7">
        <w:rPr>
          <w:rFonts w:ascii="Times New Roman" w:hAnsi="Times New Roman"/>
          <w:sz w:val="28"/>
          <w:szCs w:val="28"/>
          <w:lang w:val="ro-RO"/>
        </w:rPr>
        <w:t xml:space="preserve">Întocmit la </w:t>
      </w:r>
      <w:r w:rsidRPr="00B719BB">
        <w:rPr>
          <w:rFonts w:ascii="Times New Roman" w:hAnsi="Times New Roman"/>
          <w:i/>
          <w:sz w:val="28"/>
          <w:szCs w:val="28"/>
          <w:u w:val="single"/>
          <w:lang w:val="ro-RO"/>
        </w:rPr>
        <w:t>Chişinău</w:t>
      </w:r>
      <w:r w:rsidRPr="00AA75F7">
        <w:rPr>
          <w:rFonts w:ascii="Times New Roman" w:hAnsi="Times New Roman"/>
          <w:sz w:val="28"/>
          <w:szCs w:val="28"/>
          <w:lang w:val="ro-RO"/>
        </w:rPr>
        <w:t xml:space="preserve"> la </w:t>
      </w:r>
      <w:r w:rsidRPr="00B719BB">
        <w:rPr>
          <w:rFonts w:ascii="Times New Roman" w:hAnsi="Times New Roman"/>
          <w:i/>
          <w:sz w:val="28"/>
          <w:szCs w:val="28"/>
          <w:u w:val="single"/>
          <w:lang w:val="ro-RO"/>
        </w:rPr>
        <w:t>6 noiembrie 2017</w:t>
      </w:r>
      <w:r>
        <w:rPr>
          <w:rFonts w:ascii="Times New Roman" w:hAnsi="Times New Roman"/>
          <w:sz w:val="28"/>
          <w:szCs w:val="28"/>
          <w:lang w:val="ro-RO"/>
        </w:rPr>
        <w:t xml:space="preserve"> </w:t>
      </w:r>
      <w:r w:rsidRPr="00AA75F7">
        <w:rPr>
          <w:rFonts w:ascii="Times New Roman" w:hAnsi="Times New Roman"/>
          <w:sz w:val="28"/>
          <w:szCs w:val="28"/>
          <w:lang w:val="ro-RO"/>
        </w:rPr>
        <w:t>în două exemplare în limbile</w:t>
      </w:r>
      <w:r w:rsidRPr="00C77D17">
        <w:rPr>
          <w:rFonts w:ascii="Times New Roman" w:hAnsi="Times New Roman"/>
          <w:sz w:val="28"/>
          <w:szCs w:val="28"/>
          <w:lang w:val="ro-RO"/>
        </w:rPr>
        <w:t xml:space="preserve"> </w:t>
      </w:r>
      <w:r w:rsidRPr="00AA75F7">
        <w:rPr>
          <w:rFonts w:ascii="Times New Roman" w:hAnsi="Times New Roman"/>
          <w:sz w:val="28"/>
          <w:szCs w:val="28"/>
          <w:lang w:val="ro-RO"/>
        </w:rPr>
        <w:t>română, letonă, și engleză, toate textele fiind egal autentice. În cazul apariției unor divergențe de interpretare a Acordului, textul în limba engleză va fi de referinţă.</w:t>
      </w:r>
    </w:p>
    <w:p w:rsidR="00111456" w:rsidRDefault="00111456" w:rsidP="00111456">
      <w:pPr>
        <w:spacing w:after="0" w:line="240" w:lineRule="auto"/>
        <w:jc w:val="both"/>
        <w:rPr>
          <w:rFonts w:ascii="Times New Roman" w:hAnsi="Times New Roman"/>
          <w:sz w:val="28"/>
          <w:szCs w:val="28"/>
          <w:lang w:val="ro-RO"/>
        </w:rPr>
      </w:pPr>
    </w:p>
    <w:p w:rsidR="00111456" w:rsidRDefault="00111456" w:rsidP="00111456">
      <w:pPr>
        <w:spacing w:after="0" w:line="240" w:lineRule="auto"/>
        <w:jc w:val="both"/>
        <w:rPr>
          <w:rFonts w:ascii="Times New Roman" w:hAnsi="Times New Roman"/>
          <w:sz w:val="28"/>
          <w:szCs w:val="28"/>
          <w:lang w:val="ro-RO"/>
        </w:rPr>
      </w:pPr>
    </w:p>
    <w:tbl>
      <w:tblPr>
        <w:tblW w:w="0" w:type="auto"/>
        <w:tblLook w:val="04A0"/>
      </w:tblPr>
      <w:tblGrid>
        <w:gridCol w:w="4615"/>
        <w:gridCol w:w="4627"/>
      </w:tblGrid>
      <w:tr w:rsidR="00111456" w:rsidRPr="007142F8" w:rsidTr="00FC0EEF">
        <w:tc>
          <w:tcPr>
            <w:tcW w:w="4788" w:type="dxa"/>
          </w:tcPr>
          <w:p w:rsidR="00111456" w:rsidRPr="007142F8" w:rsidRDefault="00111456" w:rsidP="00FC0EEF">
            <w:pPr>
              <w:spacing w:after="0"/>
              <w:jc w:val="center"/>
              <w:rPr>
                <w:rFonts w:ascii="Times New Roman" w:hAnsi="Times New Roman"/>
                <w:sz w:val="28"/>
                <w:szCs w:val="28"/>
                <w:lang w:val="ro-RO"/>
              </w:rPr>
            </w:pPr>
          </w:p>
          <w:p w:rsidR="00111456" w:rsidRPr="007142F8" w:rsidRDefault="00111456" w:rsidP="00FC0EEF">
            <w:pPr>
              <w:spacing w:after="0"/>
              <w:jc w:val="center"/>
              <w:rPr>
                <w:rFonts w:ascii="Times New Roman" w:hAnsi="Times New Roman"/>
                <w:sz w:val="28"/>
                <w:szCs w:val="28"/>
                <w:lang w:val="ro-RO"/>
              </w:rPr>
            </w:pPr>
            <w:r w:rsidRPr="007142F8">
              <w:rPr>
                <w:rFonts w:ascii="Times New Roman" w:hAnsi="Times New Roman"/>
                <w:sz w:val="28"/>
                <w:szCs w:val="28"/>
                <w:lang w:val="ro-RO"/>
              </w:rPr>
              <w:t>___________________</w:t>
            </w:r>
          </w:p>
          <w:p w:rsidR="00111456" w:rsidRPr="007142F8" w:rsidRDefault="00111456" w:rsidP="00FC0EEF">
            <w:pPr>
              <w:spacing w:after="0"/>
              <w:jc w:val="center"/>
              <w:rPr>
                <w:rFonts w:ascii="Times New Roman" w:hAnsi="Times New Roman"/>
                <w:sz w:val="28"/>
                <w:szCs w:val="28"/>
                <w:lang w:val="ro-RO"/>
              </w:rPr>
            </w:pPr>
            <w:r w:rsidRPr="007142F8">
              <w:rPr>
                <w:rFonts w:ascii="Times New Roman" w:hAnsi="Times New Roman"/>
                <w:sz w:val="28"/>
                <w:szCs w:val="28"/>
                <w:lang w:val="ro-RO"/>
              </w:rPr>
              <w:t>Pentru Guvernul</w:t>
            </w:r>
          </w:p>
          <w:p w:rsidR="00111456" w:rsidRPr="007142F8" w:rsidRDefault="00111456" w:rsidP="00FC0EEF">
            <w:pPr>
              <w:jc w:val="center"/>
              <w:rPr>
                <w:rFonts w:ascii="Times New Roman" w:hAnsi="Times New Roman"/>
                <w:sz w:val="28"/>
                <w:szCs w:val="28"/>
                <w:lang w:val="ro-RO"/>
              </w:rPr>
            </w:pPr>
            <w:r w:rsidRPr="007142F8">
              <w:rPr>
                <w:rFonts w:ascii="Times New Roman" w:hAnsi="Times New Roman"/>
                <w:sz w:val="28"/>
                <w:szCs w:val="28"/>
                <w:lang w:val="ro-RO"/>
              </w:rPr>
              <w:t>Republicii Moldova</w:t>
            </w:r>
          </w:p>
        </w:tc>
        <w:tc>
          <w:tcPr>
            <w:tcW w:w="4788" w:type="dxa"/>
          </w:tcPr>
          <w:p w:rsidR="00111456" w:rsidRPr="007142F8" w:rsidRDefault="00111456" w:rsidP="00FC0EEF">
            <w:pPr>
              <w:spacing w:after="0"/>
              <w:ind w:left="810" w:hanging="810"/>
              <w:jc w:val="center"/>
              <w:rPr>
                <w:rFonts w:ascii="Times New Roman" w:hAnsi="Times New Roman"/>
                <w:sz w:val="28"/>
                <w:szCs w:val="28"/>
                <w:lang w:val="ro-RO"/>
              </w:rPr>
            </w:pPr>
          </w:p>
          <w:p w:rsidR="00111456" w:rsidRPr="007142F8" w:rsidRDefault="00111456" w:rsidP="00FC0EEF">
            <w:pPr>
              <w:spacing w:after="0"/>
              <w:ind w:left="810" w:hanging="810"/>
              <w:jc w:val="center"/>
              <w:rPr>
                <w:rFonts w:ascii="Times New Roman" w:hAnsi="Times New Roman"/>
                <w:sz w:val="28"/>
                <w:szCs w:val="28"/>
                <w:lang w:val="ro-RO"/>
              </w:rPr>
            </w:pPr>
            <w:r w:rsidRPr="007142F8">
              <w:rPr>
                <w:rFonts w:ascii="Times New Roman" w:hAnsi="Times New Roman"/>
                <w:sz w:val="28"/>
                <w:szCs w:val="28"/>
                <w:lang w:val="ro-RO"/>
              </w:rPr>
              <w:t>____________________</w:t>
            </w:r>
          </w:p>
          <w:p w:rsidR="00111456" w:rsidRPr="007142F8" w:rsidRDefault="00111456" w:rsidP="00FC0EEF">
            <w:pPr>
              <w:spacing w:after="0"/>
              <w:ind w:left="810" w:hanging="810"/>
              <w:jc w:val="center"/>
              <w:rPr>
                <w:rFonts w:ascii="Times New Roman" w:hAnsi="Times New Roman"/>
                <w:sz w:val="28"/>
                <w:szCs w:val="28"/>
                <w:lang w:val="ro-RO"/>
              </w:rPr>
            </w:pPr>
            <w:r w:rsidRPr="007142F8">
              <w:rPr>
                <w:rFonts w:ascii="Times New Roman" w:hAnsi="Times New Roman"/>
                <w:sz w:val="28"/>
                <w:szCs w:val="28"/>
                <w:lang w:val="ro-RO"/>
              </w:rPr>
              <w:t>Pentru Guvernul</w:t>
            </w:r>
          </w:p>
          <w:p w:rsidR="00111456" w:rsidRPr="007142F8" w:rsidRDefault="00111456" w:rsidP="00FC0EEF">
            <w:pPr>
              <w:spacing w:after="0"/>
              <w:ind w:left="810" w:hanging="810"/>
              <w:jc w:val="center"/>
              <w:rPr>
                <w:rFonts w:ascii="Times New Roman" w:hAnsi="Times New Roman"/>
                <w:sz w:val="28"/>
                <w:szCs w:val="28"/>
                <w:lang w:val="ro-RO"/>
              </w:rPr>
            </w:pPr>
            <w:r w:rsidRPr="007142F8">
              <w:rPr>
                <w:rFonts w:ascii="Times New Roman" w:hAnsi="Times New Roman"/>
                <w:sz w:val="28"/>
                <w:szCs w:val="28"/>
                <w:lang w:val="ro-RO"/>
              </w:rPr>
              <w:t>Republicii Letonia</w:t>
            </w:r>
          </w:p>
          <w:p w:rsidR="00111456" w:rsidRPr="007142F8" w:rsidRDefault="00111456" w:rsidP="00FC0EEF">
            <w:pPr>
              <w:jc w:val="both"/>
              <w:rPr>
                <w:rFonts w:ascii="Times New Roman" w:hAnsi="Times New Roman"/>
                <w:sz w:val="28"/>
                <w:szCs w:val="28"/>
                <w:lang w:val="ro-RO"/>
              </w:rPr>
            </w:pPr>
          </w:p>
        </w:tc>
      </w:tr>
    </w:tbl>
    <w:p w:rsidR="00F5481B" w:rsidRDefault="00F5481B" w:rsidP="00111456"/>
    <w:sectPr w:rsidR="00F5481B" w:rsidSect="00111456">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6EC" w:rsidRDefault="00B026EC" w:rsidP="00111456">
      <w:pPr>
        <w:spacing w:after="0" w:line="240" w:lineRule="auto"/>
      </w:pPr>
      <w:r>
        <w:separator/>
      </w:r>
    </w:p>
  </w:endnote>
  <w:endnote w:type="continuationSeparator" w:id="1">
    <w:p w:rsidR="00B026EC" w:rsidRDefault="00B026EC" w:rsidP="00111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6EC" w:rsidRDefault="00B026EC" w:rsidP="00111456">
      <w:pPr>
        <w:spacing w:after="0" w:line="240" w:lineRule="auto"/>
      </w:pPr>
      <w:r>
        <w:separator/>
      </w:r>
    </w:p>
  </w:footnote>
  <w:footnote w:type="continuationSeparator" w:id="1">
    <w:p w:rsidR="00B026EC" w:rsidRDefault="00B026EC" w:rsidP="00111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A4461"/>
    <w:multiLevelType w:val="hybridMultilevel"/>
    <w:tmpl w:val="BC80EE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11456"/>
    <w:rsid w:val="00111456"/>
    <w:rsid w:val="00B026EC"/>
    <w:rsid w:val="00F54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56"/>
    <w:pPr>
      <w:spacing w:after="160" w:line="259"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56"/>
    <w:pPr>
      <w:ind w:left="720"/>
      <w:contextualSpacing/>
    </w:pPr>
  </w:style>
  <w:style w:type="paragraph" w:styleId="Header">
    <w:name w:val="header"/>
    <w:basedOn w:val="Normal"/>
    <w:link w:val="HeaderChar"/>
    <w:uiPriority w:val="99"/>
    <w:semiHidden/>
    <w:unhideWhenUsed/>
    <w:rsid w:val="001114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11456"/>
    <w:rPr>
      <w:rFonts w:ascii="Calibri" w:eastAsia="Times New Roman" w:hAnsi="Calibri" w:cs="Times New Roman"/>
      <w:lang w:val="en-US"/>
    </w:rPr>
  </w:style>
  <w:style w:type="paragraph" w:styleId="Footer">
    <w:name w:val="footer"/>
    <w:basedOn w:val="Normal"/>
    <w:link w:val="FooterChar"/>
    <w:uiPriority w:val="99"/>
    <w:semiHidden/>
    <w:unhideWhenUsed/>
    <w:rsid w:val="0011145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11456"/>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7B11-45C3-41A5-AD8B-9EEEE4BD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2017-12-27T06:25:00Z</dcterms:created>
  <dcterms:modified xsi:type="dcterms:W3CDTF">2017-12-27T06:26:00Z</dcterms:modified>
</cp:coreProperties>
</file>