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C" w:rsidRPr="008D36F5" w:rsidRDefault="00A43C1C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Приложение №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2</w:t>
      </w:r>
    </w:p>
    <w:p w:rsidR="00A43C1C" w:rsidRPr="008D36F5" w:rsidRDefault="00A43C1C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 xml:space="preserve">к Инструкции об отчетности </w:t>
      </w:r>
      <w:proofErr w:type="gramStart"/>
      <w:r w:rsidRPr="008D36F5">
        <w:rPr>
          <w:rFonts w:ascii="Times New Roman" w:hAnsi="Times New Roman"/>
          <w:sz w:val="24"/>
          <w:szCs w:val="24"/>
          <w:lang w:val="ru-RU" w:eastAsia="ru-RU"/>
        </w:rPr>
        <w:t>лицензированных</w:t>
      </w:r>
      <w:proofErr w:type="gramEnd"/>
      <w:r w:rsidRPr="008D36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43C1C" w:rsidRPr="008D36F5" w:rsidRDefault="00A43C1C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банков по некоторым валютным операциям</w:t>
      </w:r>
    </w:p>
    <w:p w:rsidR="00A43C1C" w:rsidRPr="008D36F5" w:rsidRDefault="00A43C1C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color w:val="3333FF"/>
          <w:sz w:val="24"/>
          <w:szCs w:val="24"/>
          <w:lang w:val="ru-RU" w:eastAsia="ru-RU"/>
        </w:rPr>
      </w:pPr>
    </w:p>
    <w:p w:rsidR="00A43C1C" w:rsidRPr="008D36F5" w:rsidRDefault="00A43C1C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color w:val="3333FF"/>
          <w:sz w:val="24"/>
          <w:szCs w:val="24"/>
          <w:lang w:val="ru-RU" w:eastAsia="ru-RU"/>
        </w:rPr>
      </w:pPr>
    </w:p>
    <w:p w:rsidR="00A43C1C" w:rsidRPr="008D36F5" w:rsidRDefault="00A43C1C" w:rsidP="00284EDB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ORD 4.8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Операции по покупке и продаже иностранной валюты, </w:t>
      </w:r>
    </w:p>
    <w:p w:rsidR="00A43C1C" w:rsidRPr="008D36F5" w:rsidRDefault="00A43C1C" w:rsidP="00284EDB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</w:t>
      </w:r>
      <w:proofErr w:type="gramStart"/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>осуществленные</w:t>
      </w:r>
      <w:proofErr w:type="gramEnd"/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лицензированным банком</w:t>
      </w:r>
    </w:p>
    <w:p w:rsidR="00A43C1C" w:rsidRPr="008D36F5" w:rsidRDefault="00A43C1C" w:rsidP="00284EDB">
      <w:pPr>
        <w:jc w:val="center"/>
        <w:rPr>
          <w:rFonts w:ascii="Times New Roman" w:hAnsi="Times New Roman"/>
          <w:b/>
          <w:sz w:val="20"/>
          <w:highlight w:val="magenta"/>
          <w:lang w:val="ru-RU" w:eastAsia="ru-RU"/>
        </w:rPr>
      </w:pPr>
    </w:p>
    <w:p w:rsidR="00A43C1C" w:rsidRPr="008D36F5" w:rsidRDefault="00A43C1C" w:rsidP="00284EDB">
      <w:pPr>
        <w:jc w:val="center"/>
        <w:rPr>
          <w:rFonts w:ascii="Times New Roman" w:hAnsi="Times New Roman"/>
          <w:sz w:val="20"/>
          <w:lang w:val="ro-RO" w:eastAsia="ru-RU"/>
        </w:rPr>
      </w:pPr>
      <w:r w:rsidRPr="008D36F5">
        <w:rPr>
          <w:rFonts w:ascii="Times New Roman" w:hAnsi="Times New Roman"/>
          <w:b/>
          <w:sz w:val="20"/>
          <w:lang w:val="ro-RO" w:eastAsia="ru-RU"/>
        </w:rPr>
        <w:t>ORD0408</w:t>
      </w:r>
    </w:p>
    <w:p w:rsidR="00A43C1C" w:rsidRPr="008D36F5" w:rsidRDefault="00A43C1C" w:rsidP="00284EDB">
      <w:pPr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0"/>
          <w:lang w:val="ru-RU" w:eastAsia="ru-RU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A43C1C" w:rsidRPr="005D01E6" w:rsidTr="00DF69AB">
        <w:trPr>
          <w:trHeight w:val="283"/>
        </w:trPr>
        <w:tc>
          <w:tcPr>
            <w:tcW w:w="1701" w:type="dxa"/>
          </w:tcPr>
          <w:p w:rsidR="00A43C1C" w:rsidRPr="008D36F5" w:rsidRDefault="00A43C1C" w:rsidP="00DF69AB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A43C1C" w:rsidRPr="008D36F5" w:rsidRDefault="00A43C1C" w:rsidP="00284EDB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Cs/>
          <w:sz w:val="20"/>
          <w:lang w:val="ru-RU" w:eastAsia="ru-RU"/>
        </w:rPr>
        <w:t>код банка</w:t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</w:p>
    <w:p w:rsidR="00A43C1C" w:rsidRPr="008D36F5" w:rsidRDefault="00A43C1C" w:rsidP="00284EDB">
      <w:pPr>
        <w:jc w:val="center"/>
        <w:rPr>
          <w:rFonts w:ascii="Times New Roman" w:hAnsi="Times New Roman"/>
          <w:b/>
          <w:bCs/>
          <w:color w:val="3333FF"/>
          <w:sz w:val="24"/>
          <w:szCs w:val="24"/>
          <w:lang w:val="ru-RU" w:eastAsia="ru-RU"/>
        </w:rPr>
      </w:pPr>
    </w:p>
    <w:p w:rsidR="00A43C1C" w:rsidRPr="008D36F5" w:rsidRDefault="00A43C1C" w:rsidP="00284EDB">
      <w:pPr>
        <w:ind w:left="1276" w:hanging="1276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ORD </w:t>
      </w:r>
      <w:smartTag w:uri="urn:schemas-microsoft-com:office:smarttags" w:element="metricconverter">
        <w:smartTagPr>
          <w:attr w:name="ProductID" w:val="4.8 A"/>
        </w:smartTagPr>
        <w:r w:rsidRPr="008D36F5">
          <w:rPr>
            <w:rFonts w:ascii="Times New Roman" w:hAnsi="Times New Roman"/>
            <w:b/>
            <w:bCs/>
            <w:sz w:val="24"/>
            <w:szCs w:val="24"/>
            <w:lang w:val="ru-RU" w:eastAsia="ru-RU"/>
          </w:rPr>
          <w:t>4.8 A</w:t>
        </w:r>
      </w:smartTag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>. Операции по покупке и продаже иностранной валюты за молдавские леи,               осуществленные лицензированным банком</w:t>
      </w:r>
    </w:p>
    <w:p w:rsidR="00A43C1C" w:rsidRPr="008D36F5" w:rsidRDefault="00A43C1C" w:rsidP="00284EDB">
      <w:pPr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за месяц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 xml:space="preserve"> ____________20___</w:t>
      </w: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</w:p>
    <w:p w:rsidR="00A43C1C" w:rsidRPr="008D36F5" w:rsidRDefault="00A43C1C" w:rsidP="00284EDB">
      <w:pPr>
        <w:ind w:right="-234"/>
        <w:jc w:val="right"/>
        <w:rPr>
          <w:rFonts w:ascii="Times New Roman" w:hAnsi="Times New Roman"/>
          <w:b/>
          <w:sz w:val="22"/>
          <w:szCs w:val="22"/>
          <w:lang w:val="ro-RO" w:eastAsia="ru-RU"/>
        </w:rPr>
      </w:pPr>
      <w:r w:rsidRPr="008D36F5">
        <w:rPr>
          <w:rFonts w:ascii="Times New Roman" w:hAnsi="Times New Roman"/>
          <w:b/>
          <w:sz w:val="22"/>
          <w:szCs w:val="22"/>
          <w:lang w:val="ru-RU" w:eastAsia="ru-RU"/>
        </w:rPr>
        <w:t>в оригинальной валюте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A43C1C" w:rsidRPr="008D36F5" w:rsidTr="00DF69AB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Покупка</w:t>
            </w: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/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продажа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Код </w:t>
            </w: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иностран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-ной валюты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Источники покупки/ направления продажи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Резидент/</w:t>
            </w:r>
          </w:p>
          <w:p w:rsidR="00A43C1C" w:rsidRPr="008D36F5" w:rsidRDefault="00A43C1C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нерезидент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Тип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операции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Количес-тво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операций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43C1C" w:rsidRPr="008D36F5" w:rsidTr="00DF69AB">
        <w:tc>
          <w:tcPr>
            <w:tcW w:w="530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A43C1C" w:rsidRPr="008D36F5" w:rsidTr="00DF69AB">
        <w:tc>
          <w:tcPr>
            <w:tcW w:w="530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  <w:tr w:rsidR="00A43C1C" w:rsidRPr="008D36F5" w:rsidTr="00DF69AB">
        <w:tc>
          <w:tcPr>
            <w:tcW w:w="530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</w:tbl>
    <w:p w:rsidR="00A43C1C" w:rsidRPr="008D36F5" w:rsidRDefault="00A43C1C" w:rsidP="00284EDB">
      <w:pPr>
        <w:ind w:firstLine="567"/>
        <w:rPr>
          <w:rFonts w:ascii="Times New Roman" w:hAnsi="Times New Roman"/>
          <w:color w:val="3333FF"/>
          <w:sz w:val="24"/>
          <w:szCs w:val="24"/>
          <w:lang w:val="ro-RO" w:eastAsia="ru-RU"/>
        </w:rPr>
      </w:pPr>
    </w:p>
    <w:p w:rsidR="00A43C1C" w:rsidRPr="008D36F5" w:rsidRDefault="00A43C1C" w:rsidP="00284EDB">
      <w:pPr>
        <w:ind w:firstLine="567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Исполнитель и номер телефона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</w:t>
      </w:r>
    </w:p>
    <w:p w:rsidR="00A43C1C" w:rsidRPr="008D36F5" w:rsidRDefault="00A43C1C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o-RO" w:eastAsia="ru-RU"/>
        </w:rPr>
        <w:t>___________________</w:t>
      </w:r>
      <w:r w:rsidRPr="008D36F5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_____</w:t>
      </w:r>
    </w:p>
    <w:p w:rsidR="00A43C1C" w:rsidRPr="008D36F5" w:rsidRDefault="00A43C1C" w:rsidP="00284EDB">
      <w:pPr>
        <w:tabs>
          <w:tab w:val="left" w:pos="450"/>
        </w:tabs>
        <w:ind w:left="45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ПРИМЕЧАНИЕ: Отчет составлен в соответствии с:</w:t>
      </w:r>
    </w:p>
    <w:p w:rsidR="00A43C1C" w:rsidRPr="008D36F5" w:rsidRDefault="00A43C1C" w:rsidP="00284EDB">
      <w:pPr>
        <w:tabs>
          <w:tab w:val="left" w:pos="284"/>
          <w:tab w:val="left" w:pos="1134"/>
        </w:tabs>
        <w:ind w:left="1276" w:hanging="425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  1. Инструкцией об отчетности лицензированных банков по некоторым валютным операциям, приложение №2</w:t>
      </w:r>
    </w:p>
    <w:p w:rsidR="00A43C1C" w:rsidRPr="005D01E6" w:rsidRDefault="00A43C1C" w:rsidP="00284EDB">
      <w:pPr>
        <w:tabs>
          <w:tab w:val="left" w:pos="284"/>
          <w:tab w:val="left" w:pos="1134"/>
        </w:tabs>
        <w:ind w:left="1134" w:hanging="283"/>
        <w:jc w:val="both"/>
        <w:rPr>
          <w:rFonts w:ascii="Times New Roman" w:hAnsi="Times New Roman"/>
          <w:sz w:val="18"/>
          <w:szCs w:val="18"/>
          <w:lang w:val="en-GB" w:eastAsia="ru-RU"/>
        </w:rPr>
      </w:pPr>
      <w:r w:rsidRPr="005D01E6">
        <w:rPr>
          <w:rFonts w:ascii="Times New Roman" w:hAnsi="Times New Roman"/>
          <w:sz w:val="18"/>
          <w:szCs w:val="18"/>
          <w:lang w:val="en-GB" w:eastAsia="ru-RU"/>
        </w:rPr>
        <w:t>(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ПАСНБМ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№11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от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22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января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5D01E6">
          <w:rPr>
            <w:rFonts w:ascii="Times New Roman" w:hAnsi="Times New Roman"/>
            <w:sz w:val="18"/>
            <w:szCs w:val="18"/>
            <w:lang w:val="en-GB" w:eastAsia="ru-RU"/>
          </w:rPr>
          <w:t xml:space="preserve">2009 </w:t>
        </w:r>
        <w:r w:rsidRPr="008D36F5">
          <w:rPr>
            <w:rFonts w:ascii="Times New Roman" w:hAnsi="Times New Roman"/>
            <w:sz w:val="18"/>
            <w:szCs w:val="18"/>
            <w:lang w:val="ru-RU" w:eastAsia="ru-RU"/>
          </w:rPr>
          <w:t>г</w:t>
        </w:r>
      </w:smartTag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.,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MonitorulOficial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eastAsia="ru-RU"/>
        </w:rPr>
        <w:t>al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Republicii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eastAsia="ru-RU"/>
        </w:rPr>
        <w:t>Moldova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5D01E6">
          <w:rPr>
            <w:rFonts w:ascii="Times New Roman" w:hAnsi="Times New Roman"/>
            <w:sz w:val="18"/>
            <w:szCs w:val="18"/>
            <w:lang w:val="en-GB" w:eastAsia="ru-RU"/>
          </w:rPr>
          <w:t xml:space="preserve">2009 </w:t>
        </w:r>
        <w:r w:rsidRPr="008D36F5">
          <w:rPr>
            <w:rFonts w:ascii="Times New Roman" w:hAnsi="Times New Roman"/>
            <w:sz w:val="18"/>
            <w:szCs w:val="18"/>
            <w:lang w:val="ru-RU" w:eastAsia="ru-RU"/>
          </w:rPr>
          <w:t>г</w:t>
        </w:r>
      </w:smartTag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., №.47-48, </w:t>
      </w:r>
      <w:proofErr w:type="spellStart"/>
      <w:r w:rsidRPr="008D36F5">
        <w:rPr>
          <w:rFonts w:ascii="Times New Roman" w:hAnsi="Times New Roman"/>
          <w:sz w:val="18"/>
          <w:szCs w:val="18"/>
          <w:lang w:val="ru-RU" w:eastAsia="ru-RU"/>
        </w:rPr>
        <w:t>ст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>.178).</w:t>
      </w:r>
    </w:p>
    <w:p w:rsidR="00A43C1C" w:rsidRPr="005D01E6" w:rsidRDefault="00A43C1C" w:rsidP="00284EDB">
      <w:pPr>
        <w:jc w:val="center"/>
        <w:rPr>
          <w:rFonts w:ascii="Times New Roman" w:hAnsi="Times New Roman"/>
          <w:b/>
          <w:sz w:val="20"/>
          <w:lang w:val="en-GB" w:eastAsia="ru-RU"/>
        </w:rPr>
      </w:pPr>
    </w:p>
    <w:p w:rsidR="00A43C1C" w:rsidRPr="005D01E6" w:rsidRDefault="00A43C1C" w:rsidP="00284EDB">
      <w:pPr>
        <w:jc w:val="center"/>
        <w:rPr>
          <w:rFonts w:ascii="Times New Roman" w:hAnsi="Times New Roman"/>
          <w:b/>
          <w:sz w:val="20"/>
          <w:lang w:val="en-GB" w:eastAsia="ru-RU"/>
        </w:rPr>
      </w:pPr>
    </w:p>
    <w:p w:rsidR="00A43C1C" w:rsidRPr="008D36F5" w:rsidRDefault="00A43C1C" w:rsidP="00284EDB">
      <w:pPr>
        <w:jc w:val="center"/>
        <w:rPr>
          <w:rFonts w:ascii="Times New Roman" w:hAnsi="Times New Roman"/>
          <w:sz w:val="20"/>
          <w:lang w:val="ro-RO" w:eastAsia="ru-RU"/>
        </w:rPr>
      </w:pPr>
      <w:r w:rsidRPr="008D36F5">
        <w:rPr>
          <w:rFonts w:ascii="Times New Roman" w:hAnsi="Times New Roman"/>
          <w:b/>
          <w:sz w:val="20"/>
          <w:lang w:val="ro-RO" w:eastAsia="ru-RU"/>
        </w:rPr>
        <w:t>ORD0408</w:t>
      </w:r>
    </w:p>
    <w:p w:rsidR="00A43C1C" w:rsidRPr="008D36F5" w:rsidRDefault="00A43C1C" w:rsidP="00284EDB">
      <w:pPr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0"/>
          <w:lang w:val="ru-RU" w:eastAsia="ru-RU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A43C1C" w:rsidRPr="008D36F5" w:rsidTr="00DF69AB">
        <w:trPr>
          <w:trHeight w:val="283"/>
        </w:trPr>
        <w:tc>
          <w:tcPr>
            <w:tcW w:w="1701" w:type="dxa"/>
          </w:tcPr>
          <w:p w:rsidR="00A43C1C" w:rsidRPr="008D36F5" w:rsidRDefault="00A43C1C" w:rsidP="00DF69AB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A43C1C" w:rsidRPr="008D36F5" w:rsidRDefault="00A43C1C" w:rsidP="00284EDB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Cs/>
          <w:sz w:val="20"/>
          <w:lang w:val="ru-RU" w:eastAsia="ru-RU"/>
        </w:rPr>
        <w:t>код банка</w:t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</w:p>
    <w:p w:rsidR="00A43C1C" w:rsidRPr="008D36F5" w:rsidRDefault="00A43C1C" w:rsidP="00284EDB">
      <w:pPr>
        <w:rPr>
          <w:rFonts w:ascii="Times New Roman" w:hAnsi="Times New Roman"/>
          <w:b/>
          <w:bCs/>
          <w:color w:val="3333FF"/>
          <w:sz w:val="24"/>
          <w:szCs w:val="24"/>
          <w:lang w:eastAsia="ru-RU"/>
        </w:rPr>
      </w:pPr>
    </w:p>
    <w:p w:rsidR="00A43C1C" w:rsidRPr="007040D2" w:rsidRDefault="00A43C1C" w:rsidP="00284EDB">
      <w:pPr>
        <w:rPr>
          <w:rFonts w:ascii="Times New Roman" w:hAnsi="Times New Roman"/>
          <w:b/>
          <w:bCs/>
          <w:color w:val="3333FF"/>
          <w:sz w:val="24"/>
          <w:szCs w:val="24"/>
          <w:lang w:eastAsia="ru-RU"/>
        </w:rPr>
      </w:pPr>
    </w:p>
    <w:p w:rsidR="00A43C1C" w:rsidRPr="008D36F5" w:rsidRDefault="00A43C1C" w:rsidP="00284EDB">
      <w:pPr>
        <w:ind w:left="1276" w:hanging="1276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ORD 4.8 B.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Операции по покупке и продаже иностранной </w:t>
      </w:r>
      <w:proofErr w:type="spellStart"/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>валютыза</w:t>
      </w:r>
      <w:proofErr w:type="spellEnd"/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другие             иностранные валюты, осуществленные лицензированным банком</w:t>
      </w:r>
    </w:p>
    <w:p w:rsidR="00A43C1C" w:rsidRPr="008D36F5" w:rsidRDefault="00A43C1C" w:rsidP="00284EDB">
      <w:pPr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за месяц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>____________20___</w:t>
      </w: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</w:p>
    <w:p w:rsidR="00A43C1C" w:rsidRPr="008D36F5" w:rsidRDefault="00A43C1C" w:rsidP="00284EDB">
      <w:pPr>
        <w:ind w:right="-234"/>
        <w:jc w:val="right"/>
        <w:rPr>
          <w:rFonts w:ascii="Times New Roman" w:hAnsi="Times New Roman"/>
          <w:sz w:val="22"/>
          <w:szCs w:val="22"/>
          <w:lang w:val="ro-RO" w:eastAsia="ru-RU"/>
        </w:rPr>
      </w:pPr>
      <w:r w:rsidRPr="008D36F5">
        <w:rPr>
          <w:rFonts w:ascii="Times New Roman" w:hAnsi="Times New Roman"/>
          <w:b/>
          <w:sz w:val="22"/>
          <w:szCs w:val="22"/>
          <w:lang w:val="ru-RU" w:eastAsia="ru-RU"/>
        </w:rPr>
        <w:t>в оригинальной валюте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A43C1C" w:rsidRPr="008D36F5" w:rsidTr="00DF69AB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Покупка</w:t>
            </w: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/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продажа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Код </w:t>
            </w: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иностран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-ной валюты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Источники покупки/ направления продажи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Резидент/</w:t>
            </w:r>
          </w:p>
          <w:p w:rsidR="00A43C1C" w:rsidRPr="008D36F5" w:rsidRDefault="00A43C1C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нерезидент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Тип</w:t>
            </w:r>
          </w:p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операции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Количес-тво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операций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43C1C" w:rsidRPr="008D36F5" w:rsidTr="00DF69AB">
        <w:tc>
          <w:tcPr>
            <w:tcW w:w="530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A43C1C" w:rsidRPr="008D36F5" w:rsidRDefault="00A43C1C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A43C1C" w:rsidRPr="008D36F5" w:rsidTr="00DF69AB">
        <w:tc>
          <w:tcPr>
            <w:tcW w:w="530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  <w:tr w:rsidR="00A43C1C" w:rsidRPr="008D36F5" w:rsidTr="00DF69AB">
        <w:tc>
          <w:tcPr>
            <w:tcW w:w="530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A43C1C" w:rsidRPr="008D36F5" w:rsidRDefault="00A43C1C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</w:tbl>
    <w:p w:rsidR="00A43C1C" w:rsidRPr="008D36F5" w:rsidRDefault="00A43C1C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A43C1C" w:rsidRPr="008D36F5" w:rsidRDefault="00A43C1C" w:rsidP="00284EDB">
      <w:pPr>
        <w:ind w:firstLine="567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Исполнитель и номер телефона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</w:t>
      </w:r>
    </w:p>
    <w:p w:rsidR="00A43C1C" w:rsidRPr="008D36F5" w:rsidRDefault="00A43C1C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o-RO" w:eastAsia="ru-RU"/>
        </w:rPr>
        <w:t>_______________________</w:t>
      </w:r>
      <w:r w:rsidRPr="008D36F5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_</w:t>
      </w:r>
    </w:p>
    <w:p w:rsidR="00A43C1C" w:rsidRPr="008D36F5" w:rsidRDefault="00A43C1C" w:rsidP="00284EDB">
      <w:pPr>
        <w:tabs>
          <w:tab w:val="left" w:pos="450"/>
        </w:tabs>
        <w:ind w:left="45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ПРИМЕЧАНИЕ: Отчет составлен в соответствии с:</w:t>
      </w:r>
    </w:p>
    <w:p w:rsidR="00A43C1C" w:rsidRPr="008D36F5" w:rsidRDefault="00A43C1C" w:rsidP="00284EDB">
      <w:pPr>
        <w:tabs>
          <w:tab w:val="left" w:pos="284"/>
          <w:tab w:val="left" w:pos="1134"/>
        </w:tabs>
        <w:ind w:left="1276" w:hanging="425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  1. Инструкцией об отчетности лицензированных банков по некоторым валютным операциям, приложение №2</w:t>
      </w:r>
    </w:p>
    <w:p w:rsidR="00A43C1C" w:rsidRPr="005D01E6" w:rsidRDefault="00A43C1C" w:rsidP="00284EDB">
      <w:pPr>
        <w:rPr>
          <w:rFonts w:ascii="Times New Roman" w:hAnsi="Times New Roman"/>
          <w:sz w:val="18"/>
          <w:szCs w:val="18"/>
          <w:lang w:val="en-GB" w:eastAsia="ru-RU"/>
        </w:rPr>
      </w:pPr>
      <w:r w:rsidRPr="005D01E6">
        <w:rPr>
          <w:rFonts w:ascii="Times New Roman" w:hAnsi="Times New Roman"/>
          <w:sz w:val="18"/>
          <w:szCs w:val="18"/>
          <w:lang w:val="en-GB" w:eastAsia="ru-RU"/>
        </w:rPr>
        <w:t>(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ПАСНБМ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№11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от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22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января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5D01E6">
          <w:rPr>
            <w:rFonts w:ascii="Times New Roman" w:hAnsi="Times New Roman"/>
            <w:sz w:val="18"/>
            <w:szCs w:val="18"/>
            <w:lang w:val="en-GB" w:eastAsia="ru-RU"/>
          </w:rPr>
          <w:t xml:space="preserve">2009 </w:t>
        </w:r>
        <w:r w:rsidRPr="008D36F5">
          <w:rPr>
            <w:rFonts w:ascii="Times New Roman" w:hAnsi="Times New Roman"/>
            <w:sz w:val="18"/>
            <w:szCs w:val="18"/>
            <w:lang w:val="ru-RU" w:eastAsia="ru-RU"/>
          </w:rPr>
          <w:t>г</w:t>
        </w:r>
      </w:smartTag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.,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MonitorulOficial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eastAsia="ru-RU"/>
        </w:rPr>
        <w:t>al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Republicii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eastAsia="ru-RU"/>
        </w:rPr>
        <w:t>Moldova</w:t>
      </w:r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5D01E6">
          <w:rPr>
            <w:rFonts w:ascii="Times New Roman" w:hAnsi="Times New Roman"/>
            <w:sz w:val="18"/>
            <w:szCs w:val="18"/>
            <w:lang w:val="en-GB" w:eastAsia="ru-RU"/>
          </w:rPr>
          <w:t xml:space="preserve">2009 </w:t>
        </w:r>
        <w:r w:rsidRPr="008D36F5">
          <w:rPr>
            <w:rFonts w:ascii="Times New Roman" w:hAnsi="Times New Roman"/>
            <w:sz w:val="18"/>
            <w:szCs w:val="18"/>
            <w:lang w:val="ru-RU" w:eastAsia="ru-RU"/>
          </w:rPr>
          <w:t>г</w:t>
        </w:r>
      </w:smartTag>
      <w:r w:rsidRPr="005D01E6">
        <w:rPr>
          <w:rFonts w:ascii="Times New Roman" w:hAnsi="Times New Roman"/>
          <w:sz w:val="18"/>
          <w:szCs w:val="18"/>
          <w:lang w:val="en-GB" w:eastAsia="ru-RU"/>
        </w:rPr>
        <w:t xml:space="preserve">., №.47-48, </w:t>
      </w:r>
      <w:proofErr w:type="spellStart"/>
      <w:r w:rsidRPr="008D36F5">
        <w:rPr>
          <w:rFonts w:ascii="Times New Roman" w:hAnsi="Times New Roman"/>
          <w:sz w:val="18"/>
          <w:szCs w:val="18"/>
          <w:lang w:val="ru-RU" w:eastAsia="ru-RU"/>
        </w:rPr>
        <w:t>ст</w:t>
      </w:r>
      <w:proofErr w:type="spellEnd"/>
      <w:r w:rsidRPr="005D01E6">
        <w:rPr>
          <w:rFonts w:ascii="Times New Roman" w:hAnsi="Times New Roman"/>
          <w:sz w:val="18"/>
          <w:szCs w:val="18"/>
          <w:lang w:val="en-GB" w:eastAsia="ru-RU"/>
        </w:rPr>
        <w:t>.178).</w:t>
      </w:r>
    </w:p>
    <w:p w:rsidR="00A43C1C" w:rsidRPr="005D01E6" w:rsidRDefault="00A43C1C" w:rsidP="00284EDB">
      <w:pPr>
        <w:rPr>
          <w:rFonts w:ascii="Times New Roman" w:hAnsi="Times New Roman"/>
          <w:sz w:val="18"/>
          <w:szCs w:val="18"/>
          <w:lang w:val="en-GB" w:eastAsia="ru-RU"/>
        </w:rPr>
      </w:pPr>
    </w:p>
    <w:p w:rsidR="00A43C1C" w:rsidRPr="00EB5521" w:rsidRDefault="00A43C1C" w:rsidP="00EB5521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Порядок составления </w:t>
      </w: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 xml:space="preserve">отчета „Операции по покупке и продаже иностранной валюты, </w:t>
      </w: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>осуществленные лицензированным банком”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1. В отчете отражается информация об операциях по покупке и операциях по продаже иностранной валюты, осуществленных лицензированн</w:t>
      </w:r>
      <w:r>
        <w:rPr>
          <w:rFonts w:ascii="Times New Roman" w:hAnsi="Times New Roman"/>
          <w:sz w:val="24"/>
          <w:szCs w:val="24"/>
          <w:lang w:val="ru-RU" w:eastAsia="ru-RU"/>
        </w:rPr>
        <w:t>ым банком в отчетном периоде: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a) за молдавские леи и з</w:t>
      </w:r>
      <w:r>
        <w:rPr>
          <w:rFonts w:ascii="Times New Roman" w:hAnsi="Times New Roman"/>
          <w:sz w:val="24"/>
          <w:szCs w:val="24"/>
          <w:lang w:val="ru-RU" w:eastAsia="ru-RU"/>
        </w:rPr>
        <w:t>а другие иностранные валюты;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b) наличным или безналичным путем, в том числе с использова</w:t>
      </w:r>
      <w:r>
        <w:rPr>
          <w:rFonts w:ascii="Times New Roman" w:hAnsi="Times New Roman"/>
          <w:sz w:val="24"/>
          <w:szCs w:val="24"/>
          <w:lang w:val="ru-RU" w:eastAsia="ru-RU"/>
        </w:rPr>
        <w:t>нием платежных инструментов;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c) за счет собственных средств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за счет средств клиентов.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2. Информация об операциях покупки/продажи включается в отчет в соответстви</w:t>
      </w:r>
      <w:r>
        <w:rPr>
          <w:rFonts w:ascii="Times New Roman" w:hAnsi="Times New Roman"/>
          <w:sz w:val="24"/>
          <w:szCs w:val="24"/>
          <w:lang w:val="ru-RU" w:eastAsia="ru-RU"/>
        </w:rPr>
        <w:t>и с датой заключения сделки.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3. Информация, включенная в 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тчет, делится на две части: 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a) таблица A – „Операции по покупке и продаже иностранной валюты за молдавские леи, осуществлен</w:t>
      </w:r>
      <w:r>
        <w:rPr>
          <w:rFonts w:ascii="Times New Roman" w:hAnsi="Times New Roman"/>
          <w:sz w:val="24"/>
          <w:szCs w:val="24"/>
          <w:lang w:val="ru-RU" w:eastAsia="ru-RU"/>
        </w:rPr>
        <w:t>ные лицензированным банком”;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b) таблица B – „Операции по покупке и продаже иностранной валюты за другие иностранные валюты, осуществлен</w:t>
      </w:r>
      <w:r>
        <w:rPr>
          <w:rFonts w:ascii="Times New Roman" w:hAnsi="Times New Roman"/>
          <w:sz w:val="24"/>
          <w:szCs w:val="24"/>
          <w:lang w:val="ru-RU" w:eastAsia="ru-RU"/>
        </w:rPr>
        <w:t>ные лицензированным банком”.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4. Информация отражается в отчете по каждой иностранной валюте, в которой банк осуществил операции покупки/продажи. Операции покупки/продажи одной иностранной валюты за другую иностранную валюту отражаются в таблице B отчета как покупка одной иностран</w:t>
      </w:r>
      <w:r>
        <w:rPr>
          <w:rFonts w:ascii="Times New Roman" w:hAnsi="Times New Roman"/>
          <w:sz w:val="24"/>
          <w:szCs w:val="24"/>
          <w:lang w:val="ru-RU" w:eastAsia="ru-RU"/>
        </w:rPr>
        <w:t>ной валюты и продажа другой.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5. В графе A „№ п/п” указывается порядковый номер каждой стр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оки, заполненной в таблице. 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6. В графе B „Покупка/продажа” указываются следующие коды, от</w:t>
      </w:r>
      <w:r>
        <w:rPr>
          <w:rFonts w:ascii="Times New Roman" w:hAnsi="Times New Roman"/>
          <w:sz w:val="24"/>
          <w:szCs w:val="24"/>
          <w:lang w:val="ru-RU" w:eastAsia="ru-RU"/>
        </w:rPr>
        <w:t>ражающие категорию операции: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a) C – для операций по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покупке иностранной валюты; 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b) V – для операций по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продаже иностранной валюты;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9F12C9">
        <w:rPr>
          <w:rFonts w:ascii="Times New Roman" w:hAnsi="Times New Roman"/>
          <w:sz w:val="24"/>
          <w:szCs w:val="24"/>
          <w:lang w:val="ru-RU" w:eastAsia="ru-RU"/>
        </w:rPr>
        <w:t>c) RC – для операций по покупке иностранной валюты, отозванных через обменные валютные бюро лицензированного банка;</w:t>
      </w:r>
    </w:p>
    <w:p w:rsidR="00A43C1C" w:rsidRPr="009F12C9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F12C9">
        <w:rPr>
          <w:rFonts w:ascii="Times New Roman" w:hAnsi="Times New Roman"/>
          <w:sz w:val="24"/>
          <w:szCs w:val="24"/>
          <w:lang w:val="ru-RU" w:eastAsia="ru-RU"/>
        </w:rPr>
        <w:t>d) RV – для операций по продаже иностранной валюты, отозванных через обменные валютные бюро лицензированного банка.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7. В графе C „Код иностранной валюты” указывается код купленной/проданной иностранн</w:t>
      </w:r>
      <w:r>
        <w:rPr>
          <w:rFonts w:ascii="Times New Roman" w:hAnsi="Times New Roman"/>
          <w:sz w:val="24"/>
          <w:szCs w:val="24"/>
          <w:lang w:val="ru-RU" w:eastAsia="ru-RU"/>
        </w:rPr>
        <w:t>ой валюты.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8. В графе D „Источники покупки/направления продажи” указывается код, отражающий источники покупки и направления продажи иностранно</w:t>
      </w:r>
      <w:r>
        <w:rPr>
          <w:rFonts w:ascii="Times New Roman" w:hAnsi="Times New Roman"/>
          <w:sz w:val="24"/>
          <w:szCs w:val="24"/>
          <w:lang w:val="ru-RU" w:eastAsia="ru-RU"/>
        </w:rPr>
        <w:t>й валюты, следующим образом: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a) BNM – для операций по покупке/продаже с </w:t>
      </w:r>
      <w:r>
        <w:rPr>
          <w:rFonts w:ascii="Times New Roman" w:hAnsi="Times New Roman"/>
          <w:sz w:val="24"/>
          <w:szCs w:val="24"/>
          <w:lang w:val="ru-RU" w:eastAsia="ru-RU"/>
        </w:rPr>
        <w:t>Национальным банком Молдовы;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b) B – для операций по покупке/продаже с банками-резидентами (иными, чем Н</w:t>
      </w:r>
      <w:r>
        <w:rPr>
          <w:rFonts w:ascii="Times New Roman" w:hAnsi="Times New Roman"/>
          <w:sz w:val="24"/>
          <w:szCs w:val="24"/>
          <w:lang w:val="ru-RU" w:eastAsia="ru-RU"/>
        </w:rPr>
        <w:t>БМ) и банками-нерезидентами;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c) CSV – для операций по покупке/продаже с юридическими лицами-резидентами, являющимися </w:t>
      </w:r>
      <w:r>
        <w:rPr>
          <w:rFonts w:ascii="Times New Roman" w:hAnsi="Times New Roman"/>
          <w:sz w:val="24"/>
          <w:szCs w:val="24"/>
          <w:lang w:val="ru-RU" w:eastAsia="ru-RU"/>
        </w:rPr>
        <w:t>обменными валютными кассами;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d) PJ – для операций по покупке/продаже с юридическими лицами иными, чем у</w:t>
      </w:r>
      <w:r>
        <w:rPr>
          <w:rFonts w:ascii="Times New Roman" w:hAnsi="Times New Roman"/>
          <w:sz w:val="24"/>
          <w:szCs w:val="24"/>
          <w:lang w:val="ru-RU" w:eastAsia="ru-RU"/>
        </w:rPr>
        <w:t>казанные под другими кодами;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e) PFN – для операций по покупке/продаже с физическими лицами, осуществленных через обменные валютные </w:t>
      </w:r>
      <w:r w:rsidRPr="009F12C9">
        <w:rPr>
          <w:rFonts w:ascii="Times New Roman" w:hAnsi="Times New Roman"/>
          <w:sz w:val="24"/>
          <w:szCs w:val="24"/>
          <w:lang w:val="ru-RU" w:eastAsia="ru-RU"/>
        </w:rPr>
        <w:t>бюро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лицензированного банка;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proofErr w:type="gramStart"/>
      <w:r w:rsidRPr="009F12C9">
        <w:rPr>
          <w:rFonts w:ascii="Times New Roman" w:hAnsi="Times New Roman"/>
          <w:sz w:val="24"/>
          <w:szCs w:val="24"/>
          <w:lang w:val="ru-RU" w:eastAsia="ru-RU"/>
        </w:rPr>
        <w:t>e</w:t>
      </w:r>
      <w:r w:rsidRPr="009F12C9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1</w:t>
      </w:r>
      <w:r w:rsidRPr="009F12C9">
        <w:rPr>
          <w:rFonts w:ascii="Times New Roman" w:hAnsi="Times New Roman"/>
          <w:sz w:val="24"/>
          <w:szCs w:val="24"/>
          <w:lang w:val="ru-RU" w:eastAsia="ru-RU"/>
        </w:rPr>
        <w:t>) PFNREV – для операций по покупке/продаже с физическими лицами, которые были отозваны после их завершения через обменные валютные бюро лицензированного банка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Данный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код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указывается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только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случае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операций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указанных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графе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B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под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кодами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RC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или</w:t>
      </w:r>
      <w:r w:rsidR="005D01E6">
        <w:rPr>
          <w:rFonts w:ascii="Times New Roman" w:hAnsi="Times New Roman"/>
          <w:sz w:val="24"/>
          <w:szCs w:val="24"/>
          <w:lang w:val="ru-RU" w:eastAsia="ru-RU"/>
        </w:rPr>
        <w:t xml:space="preserve"> RV</w:t>
      </w:r>
      <w:r w:rsidRPr="009F12C9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43C1C" w:rsidRPr="009F12C9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F12C9">
        <w:rPr>
          <w:rFonts w:ascii="Times New Roman" w:hAnsi="Times New Roman"/>
          <w:sz w:val="24"/>
          <w:szCs w:val="24"/>
          <w:lang w:val="ru-RU" w:eastAsia="ru-RU"/>
        </w:rPr>
        <w:t>e</w:t>
      </w:r>
      <w:r w:rsidRPr="009F12C9"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2</w:t>
      </w:r>
      <w:r w:rsidRPr="009F12C9">
        <w:rPr>
          <w:rFonts w:ascii="Times New Roman" w:hAnsi="Times New Roman"/>
          <w:sz w:val="24"/>
          <w:szCs w:val="24"/>
          <w:lang w:val="ru-RU" w:eastAsia="ru-RU"/>
        </w:rPr>
        <w:t xml:space="preserve">) PFASV – для операций по покупке/продаже с физическими лицами, осуществленных посредством </w:t>
      </w:r>
      <w:proofErr w:type="spellStart"/>
      <w:r w:rsidRPr="009F12C9">
        <w:rPr>
          <w:rFonts w:ascii="Times New Roman" w:hAnsi="Times New Roman"/>
          <w:sz w:val="24"/>
          <w:szCs w:val="24"/>
          <w:lang w:val="ru-RU" w:eastAsia="ru-RU"/>
        </w:rPr>
        <w:t>валютообменных</w:t>
      </w:r>
      <w:proofErr w:type="spellEnd"/>
      <w:r w:rsidRPr="009F12C9">
        <w:rPr>
          <w:rFonts w:ascii="Times New Roman" w:hAnsi="Times New Roman"/>
          <w:sz w:val="24"/>
          <w:szCs w:val="24"/>
          <w:lang w:val="ru-RU" w:eastAsia="ru-RU"/>
        </w:rPr>
        <w:t xml:space="preserve"> аппаратов лицензированного банка;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f) PFV – для операций по покупке/продаже с физическими лицами иными, чем указанные под другими кодами. Данные операции включают: покупки/продажи по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lastRenderedPageBreak/>
        <w:t>банковским счетам физических лиц; покупки/продажи, связанные с переводами физических лиц; покупки/продажи, связанные с платежными инструментами, эмитированн</w:t>
      </w:r>
      <w:r>
        <w:rPr>
          <w:rFonts w:ascii="Times New Roman" w:hAnsi="Times New Roman"/>
          <w:sz w:val="24"/>
          <w:szCs w:val="24"/>
          <w:lang w:val="ru-RU" w:eastAsia="ru-RU"/>
        </w:rPr>
        <w:t>ыми на имя физических лиц;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g) AT1 – для операций по конверсии иностранной валюты для обеспечения расчетов банка с международными карточными платежными системами, с системами по переводу денег (нап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ример,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WesternUnion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и т.д.);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h) AT2 – для операций по конверсии иностранной валюты, связанных с регулированием стоимости активов и обязательств по амортизированной стоимости, а также со скидками на потери от обесценени</w:t>
      </w:r>
      <w:r>
        <w:rPr>
          <w:rFonts w:ascii="Times New Roman" w:hAnsi="Times New Roman"/>
          <w:sz w:val="24"/>
          <w:szCs w:val="24"/>
          <w:lang w:val="ru-RU" w:eastAsia="ru-RU"/>
        </w:rPr>
        <w:t>я активов и платежей по ним;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i) AT3 – для операций по покупке/продаже (конверсии) иностранной валюты в других случаях, чем указанные под кодами из подпунктов a) – h) (в том </w:t>
      </w:r>
      <w:r>
        <w:rPr>
          <w:rFonts w:ascii="Times New Roman" w:hAnsi="Times New Roman"/>
          <w:sz w:val="24"/>
          <w:szCs w:val="24"/>
          <w:lang w:val="ru-RU" w:eastAsia="ru-RU"/>
        </w:rPr>
        <w:t>числе доходы/расходы банка).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9. В графе E „Резидент/нерезидент” указываются следующие коды, отражающие </w:t>
      </w:r>
      <w:r>
        <w:rPr>
          <w:rFonts w:ascii="Times New Roman" w:hAnsi="Times New Roman"/>
          <w:sz w:val="24"/>
          <w:szCs w:val="24"/>
          <w:lang w:val="ru-RU" w:eastAsia="ru-RU"/>
        </w:rPr>
        <w:t>статус партнера по операции: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a) R – резидент;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b) N – нерезид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ент. 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Данные коды не указываются в случае операций по покупке/продаже иностранной валюты, отраженных в графе D под кодами PFN,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9F12C9">
        <w:rPr>
          <w:rFonts w:ascii="Times New Roman" w:hAnsi="Times New Roman"/>
          <w:sz w:val="24"/>
          <w:szCs w:val="24"/>
          <w:lang w:val="ro-RO" w:eastAsia="ru-RU"/>
        </w:rPr>
        <w:t>PFASV, PFNREV,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AT2 и AT3 (в случае, когда данные операции являются конверсией относительно доходов/расходов). В данном случае в графе Е указы</w:t>
      </w:r>
      <w:r>
        <w:rPr>
          <w:rFonts w:ascii="Times New Roman" w:hAnsi="Times New Roman"/>
          <w:sz w:val="24"/>
          <w:szCs w:val="24"/>
          <w:lang w:val="ru-RU" w:eastAsia="ru-RU"/>
        </w:rPr>
        <w:t>вается „N/A”.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ля операций, отраженных в графе D под кодами BNM и CSV, в графе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E указывается только код R.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10. В графе F „Тип операции” указываются следующие коды, отражающие тип </w:t>
      </w:r>
      <w:r>
        <w:rPr>
          <w:rFonts w:ascii="Times New Roman" w:hAnsi="Times New Roman"/>
          <w:sz w:val="24"/>
          <w:szCs w:val="24"/>
          <w:lang w:val="ru-RU" w:eastAsia="ru-RU"/>
        </w:rPr>
        <w:t>операции по покупке/продаже: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a)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spot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– для сделок спот, в том числе </w:t>
      </w:r>
      <w:r>
        <w:rPr>
          <w:rFonts w:ascii="Times New Roman" w:hAnsi="Times New Roman"/>
          <w:sz w:val="24"/>
          <w:szCs w:val="24"/>
          <w:lang w:val="ru-RU" w:eastAsia="ru-RU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today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” и „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tomorrow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”;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b)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f</w:t>
      </w:r>
      <w:r>
        <w:rPr>
          <w:rFonts w:ascii="Times New Roman" w:hAnsi="Times New Roman"/>
          <w:sz w:val="24"/>
          <w:szCs w:val="24"/>
          <w:lang w:val="ru-RU" w:eastAsia="ru-RU"/>
        </w:rPr>
        <w:t>orward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– для сделок форвард;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c)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swap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1– для первой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части сделки валютный своп;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d)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swap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2 – для второй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части сделки валютный своп;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e)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altele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– для типов срочных операций иных, чем указ</w:t>
      </w:r>
      <w:r>
        <w:rPr>
          <w:rFonts w:ascii="Times New Roman" w:hAnsi="Times New Roman"/>
          <w:sz w:val="24"/>
          <w:szCs w:val="24"/>
          <w:lang w:val="ru-RU" w:eastAsia="ru-RU"/>
        </w:rPr>
        <w:t>анные в подпунктах b) – d).</w:t>
      </w:r>
    </w:p>
    <w:p w:rsidR="00A43C1C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Данные коды не указываются в случае операций покупки/продажи иностранной валюты, отраженных в графе D под кодами PFN,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9F12C9">
        <w:rPr>
          <w:rFonts w:ascii="Times New Roman" w:hAnsi="Times New Roman"/>
          <w:sz w:val="24"/>
          <w:szCs w:val="24"/>
          <w:lang w:val="ro-RO" w:eastAsia="ru-RU"/>
        </w:rPr>
        <w:t>PFASV, PFNREV,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AT2 и AT3 (в случае, когда данные операции являются конверсией относительно доходов/расходов). В данном случа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е в графе </w:t>
      </w:r>
      <w:r>
        <w:rPr>
          <w:rFonts w:ascii="Times New Roman" w:hAnsi="Times New Roman"/>
          <w:sz w:val="24"/>
          <w:szCs w:val="24"/>
          <w:lang w:val="ro-RO" w:eastAsia="ru-RU"/>
        </w:rPr>
        <w:t>F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указывается „N/A”.</w:t>
      </w:r>
    </w:p>
    <w:p w:rsidR="00A43C1C" w:rsidRPr="005D01E6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11. В графе 1 „Количество операций” указывается количество операций покупки/продажи иностранной валюты. В случае операции по покупке/продаже одной иностранной валюты за другую иностранную валюту в отчете операция отражается два раза: как операция по покупке одной иностранной валюты и операция по прода</w:t>
      </w:r>
      <w:r>
        <w:rPr>
          <w:rFonts w:ascii="Times New Roman" w:hAnsi="Times New Roman"/>
          <w:sz w:val="24"/>
          <w:szCs w:val="24"/>
          <w:lang w:val="ru-RU" w:eastAsia="ru-RU"/>
        </w:rPr>
        <w:t>же дугой иностранной валюты.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Если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отчетном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периоде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имел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место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отзыв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физическими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лицами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операций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покупке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>/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продаже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иностранной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валюты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количество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операций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отраженное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строках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под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кодом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PFN,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указывается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после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вычета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количества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соответствующих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отозванных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операций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отраженного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в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строках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под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u-RU" w:eastAsia="ru-RU"/>
        </w:rPr>
        <w:t>кодом</w:t>
      </w:r>
      <w:r w:rsidR="005D01E6" w:rsidRPr="005D01E6">
        <w:rPr>
          <w:rFonts w:ascii="Times New Roman" w:hAnsi="Times New Roman"/>
          <w:sz w:val="24"/>
          <w:szCs w:val="24"/>
          <w:lang w:val="ru-RU" w:eastAsia="ru-RU"/>
        </w:rPr>
        <w:t xml:space="preserve"> PFNREV.</w:t>
      </w:r>
    </w:p>
    <w:p w:rsidR="00A43C1C" w:rsidRPr="009F12C9" w:rsidRDefault="00A43C1C" w:rsidP="009F12C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12. В графе 2 „Сумма” указывается сумма иностранной валюты, которая была </w:t>
      </w:r>
      <w:proofErr w:type="gramStart"/>
      <w:r w:rsidRPr="00EB5521">
        <w:rPr>
          <w:rFonts w:ascii="Times New Roman" w:hAnsi="Times New Roman"/>
          <w:sz w:val="24"/>
          <w:szCs w:val="24"/>
          <w:lang w:val="ru-RU" w:eastAsia="ru-RU"/>
        </w:rPr>
        <w:t>куплена</w:t>
      </w:r>
      <w:proofErr w:type="gramEnd"/>
      <w:r w:rsidRPr="00EB5521">
        <w:rPr>
          <w:rFonts w:ascii="Times New Roman" w:hAnsi="Times New Roman"/>
          <w:sz w:val="24"/>
          <w:szCs w:val="24"/>
          <w:lang w:val="ru-RU" w:eastAsia="ru-RU"/>
        </w:rPr>
        <w:t>/продана.”.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9F12C9">
        <w:rPr>
          <w:rFonts w:ascii="Times New Roman" w:hAnsi="Times New Roman"/>
          <w:sz w:val="24"/>
          <w:szCs w:val="24"/>
          <w:lang w:val="ro-RO" w:eastAsia="ru-RU"/>
        </w:rPr>
        <w:t xml:space="preserve">Если в отчетном периоде имел место отзыв физическими лицами операций по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покупке</w:t>
      </w:r>
      <w:r w:rsidR="005D01E6" w:rsidRPr="005D01E6">
        <w:rPr>
          <w:rFonts w:ascii="Times New Roman" w:hAnsi="Times New Roman"/>
          <w:sz w:val="24"/>
          <w:szCs w:val="24"/>
          <w:lang w:val="ro-RO" w:eastAsia="ru-RU"/>
        </w:rPr>
        <w:t xml:space="preserve">/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продаже</w:t>
      </w:r>
      <w:r w:rsidRPr="009F12C9">
        <w:rPr>
          <w:rFonts w:ascii="Times New Roman" w:hAnsi="Times New Roman"/>
          <w:sz w:val="24"/>
          <w:szCs w:val="24"/>
          <w:lang w:val="ro-RO" w:eastAsia="ru-RU"/>
        </w:rPr>
        <w:t xml:space="preserve"> иностранной валюты, суммы операций, отраженные в строках с кодом PFN, указываются после вычета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сумм</w:t>
      </w:r>
      <w:r w:rsidR="005D01E6" w:rsidRPr="005D01E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соответствующих</w:t>
      </w:r>
      <w:r w:rsidR="005D01E6" w:rsidRPr="005D01E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отозванных</w:t>
      </w:r>
      <w:r w:rsidR="005D01E6" w:rsidRPr="005D01E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5D01E6" w:rsidRPr="005D01E6">
        <w:rPr>
          <w:rFonts w:ascii="Times New Roman" w:hAnsi="Times New Roman" w:hint="eastAsia"/>
          <w:sz w:val="24"/>
          <w:szCs w:val="24"/>
          <w:lang w:val="ro-RO" w:eastAsia="ru-RU"/>
        </w:rPr>
        <w:t>операций</w:t>
      </w:r>
      <w:bookmarkStart w:id="0" w:name="_GoBack"/>
      <w:bookmarkEnd w:id="0"/>
      <w:r w:rsidRPr="009F12C9">
        <w:rPr>
          <w:rFonts w:ascii="Times New Roman" w:hAnsi="Times New Roman"/>
          <w:sz w:val="24"/>
          <w:szCs w:val="24"/>
          <w:lang w:val="ro-RO" w:eastAsia="ru-RU"/>
        </w:rPr>
        <w:t>, отраженных в строках с кодом PFNREV.</w:t>
      </w:r>
    </w:p>
    <w:sectPr w:rsidR="00A43C1C" w:rsidRPr="009F12C9" w:rsidSect="007040D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A39"/>
    <w:rsid w:val="001B60C8"/>
    <w:rsid w:val="001F04E6"/>
    <w:rsid w:val="00284EDB"/>
    <w:rsid w:val="002E261B"/>
    <w:rsid w:val="005D01E6"/>
    <w:rsid w:val="007040D2"/>
    <w:rsid w:val="00836D1C"/>
    <w:rsid w:val="008D36F5"/>
    <w:rsid w:val="009F12C9"/>
    <w:rsid w:val="00A43C1C"/>
    <w:rsid w:val="00CA4A39"/>
    <w:rsid w:val="00DF69AB"/>
    <w:rsid w:val="00E114D8"/>
    <w:rsid w:val="00E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DB"/>
    <w:rPr>
      <w:rFonts w:ascii="$Baltica" w:eastAsia="Times New Roman" w:hAnsi="$Baltica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1162</Words>
  <Characters>6625</Characters>
  <Application>Microsoft Office Word</Application>
  <DocSecurity>0</DocSecurity>
  <Lines>55</Lines>
  <Paragraphs>15</Paragraphs>
  <ScaleCrop>false</ScaleCrop>
  <Company>MICROSOFT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Tatiana TB. Bucur</cp:lastModifiedBy>
  <cp:revision>5</cp:revision>
  <dcterms:created xsi:type="dcterms:W3CDTF">2014-11-17T06:51:00Z</dcterms:created>
  <dcterms:modified xsi:type="dcterms:W3CDTF">2018-02-23T07:35:00Z</dcterms:modified>
</cp:coreProperties>
</file>