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64" w:rsidRPr="00FC6EC4" w:rsidRDefault="003D2364" w:rsidP="00047F9F">
      <w:pPr>
        <w:spacing w:after="0" w:line="240" w:lineRule="auto"/>
        <w:jc w:val="right"/>
        <w:rPr>
          <w:rFonts w:ascii="Times New Roman" w:hAnsi="Times New Roman"/>
          <w:sz w:val="24"/>
          <w:szCs w:val="24"/>
          <w:lang w:val="pt-BR" w:eastAsia="ru-RU"/>
        </w:rPr>
      </w:pPr>
      <w:r w:rsidRPr="00FC6EC4">
        <w:rPr>
          <w:rFonts w:ascii="Times New Roman" w:hAnsi="Times New Roman"/>
          <w:sz w:val="24"/>
          <w:szCs w:val="24"/>
          <w:lang w:val="pt-BR" w:eastAsia="ru-RU"/>
        </w:rPr>
        <w:t>Anexa nr. 11</w:t>
      </w:r>
    </w:p>
    <w:p w:rsidR="003D2364" w:rsidRPr="00FC6EC4" w:rsidRDefault="003D2364" w:rsidP="00047F9F">
      <w:pPr>
        <w:spacing w:after="0" w:line="240" w:lineRule="auto"/>
        <w:jc w:val="right"/>
        <w:rPr>
          <w:rFonts w:ascii="Times New Roman" w:hAnsi="Times New Roman"/>
          <w:sz w:val="24"/>
          <w:szCs w:val="24"/>
          <w:lang w:val="pt-BR" w:eastAsia="ru-RU"/>
        </w:rPr>
      </w:pPr>
    </w:p>
    <w:p w:rsidR="003D2364" w:rsidRPr="00FC6EC4" w:rsidRDefault="003D2364" w:rsidP="002B6315">
      <w:pPr>
        <w:spacing w:after="0" w:line="240" w:lineRule="auto"/>
        <w:jc w:val="center"/>
        <w:rPr>
          <w:rFonts w:ascii="Times New Roman" w:hAnsi="Times New Roman"/>
          <w:sz w:val="24"/>
          <w:szCs w:val="24"/>
          <w:lang w:val="pt-BR" w:eastAsia="ru-RU"/>
        </w:rPr>
      </w:pPr>
      <w:r w:rsidRPr="00FC6EC4">
        <w:rPr>
          <w:rFonts w:ascii="Times New Roman" w:hAnsi="Times New Roman"/>
          <w:b/>
          <w:bCs/>
          <w:sz w:val="24"/>
          <w:szCs w:val="24"/>
          <w:lang w:val="pt-BR" w:eastAsia="ru-RU"/>
        </w:rPr>
        <w:t xml:space="preserve">Salariile de funcție ale cadrelor didactice și a personalului </w:t>
      </w:r>
    </w:p>
    <w:p w:rsidR="003D2364" w:rsidRPr="00FC6EC4" w:rsidRDefault="003D2364" w:rsidP="002B6315">
      <w:pPr>
        <w:spacing w:after="0" w:line="240" w:lineRule="auto"/>
        <w:jc w:val="center"/>
        <w:rPr>
          <w:rFonts w:ascii="Times New Roman" w:hAnsi="Times New Roman"/>
          <w:sz w:val="24"/>
          <w:szCs w:val="24"/>
          <w:lang w:val="pt-BR" w:eastAsia="ru-RU"/>
        </w:rPr>
      </w:pPr>
      <w:r w:rsidRPr="00FC6EC4">
        <w:rPr>
          <w:rFonts w:ascii="Times New Roman" w:hAnsi="Times New Roman"/>
          <w:b/>
          <w:bCs/>
          <w:sz w:val="24"/>
          <w:szCs w:val="24"/>
          <w:lang w:val="pt-BR" w:eastAsia="ru-RU"/>
        </w:rPr>
        <w:t>științifico-didactic din instituțiile de învățămînt finanțate de la buget</w:t>
      </w:r>
    </w:p>
    <w:p w:rsidR="003D2364" w:rsidRPr="00FC6EC4" w:rsidRDefault="003D2364" w:rsidP="00FC6EC4">
      <w:pPr>
        <w:spacing w:after="0" w:line="240" w:lineRule="auto"/>
        <w:rPr>
          <w:rFonts w:ascii="Times New Roman" w:hAnsi="Times New Roman"/>
          <w:sz w:val="24"/>
          <w:szCs w:val="24"/>
          <w:lang w:val="pt-BR" w:eastAsia="ru-RU"/>
        </w:rPr>
      </w:pPr>
      <w:r w:rsidRPr="00FC6EC4">
        <w:rPr>
          <w:rFonts w:ascii="Times New Roman" w:hAnsi="Times New Roman"/>
          <w:sz w:val="24"/>
          <w:szCs w:val="24"/>
          <w:lang w:val="pt-BR" w:eastAsia="ru-RU"/>
        </w:rPr>
        <w:t> </w:t>
      </w:r>
    </w:p>
    <w:tbl>
      <w:tblPr>
        <w:tblW w:w="92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9"/>
        <w:gridCol w:w="7221"/>
        <w:gridCol w:w="1595"/>
      </w:tblGrid>
      <w:tr w:rsidR="003D2364" w:rsidRPr="00FC6EC4" w:rsidTr="00FC6EC4">
        <w:trPr>
          <w:tblCellSpacing w:w="0" w:type="dxa"/>
        </w:trPr>
        <w:tc>
          <w:tcPr>
            <w:tcW w:w="2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Nr. crt.</w:t>
            </w:r>
          </w:p>
        </w:tc>
        <w:tc>
          <w:tcPr>
            <w:tcW w:w="3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Funcția</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Salariul de funcție, lei</w:t>
            </w:r>
          </w:p>
        </w:tc>
      </w:tr>
      <w:tr w:rsidR="003D2364" w:rsidRPr="00FC6EC4" w:rsidTr="00FC6EC4">
        <w:trPr>
          <w:tblCellSpacing w:w="0" w:type="dxa"/>
        </w:trPr>
        <w:tc>
          <w:tcPr>
            <w:tcW w:w="4100" w:type="pct"/>
            <w:gridSpan w:val="2"/>
          </w:tcPr>
          <w:p w:rsidR="003D2364" w:rsidRPr="00FC6EC4" w:rsidRDefault="003D2364" w:rsidP="00FC6EC4">
            <w:pPr>
              <w:spacing w:before="100" w:beforeAutospacing="1" w:after="100" w:afterAutospacing="1"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I. Învățămîntul superior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 </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1</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Rector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5977</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2</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Profesor universitar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4485</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3</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Conferențiar universitar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4035</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4</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Lector universitar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3734</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5</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eastAsia="ru-RU"/>
              </w:rPr>
            </w:pPr>
            <w:r w:rsidRPr="00FC6EC4">
              <w:rPr>
                <w:rFonts w:ascii="Times New Roman" w:hAnsi="Times New Roman"/>
                <w:sz w:val="24"/>
                <w:szCs w:val="24"/>
                <w:lang w:eastAsia="ru-RU"/>
              </w:rPr>
              <w:t>Asistent universitar, formator, maestru de concert, maistru de instruire, antrenor</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 </w:t>
            </w:r>
          </w:p>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3289</w:t>
            </w:r>
          </w:p>
        </w:tc>
      </w:tr>
      <w:tr w:rsidR="003D2364" w:rsidRPr="00FC6EC4" w:rsidTr="00FC6EC4">
        <w:trPr>
          <w:tblCellSpacing w:w="0" w:type="dxa"/>
        </w:trPr>
        <w:tc>
          <w:tcPr>
            <w:tcW w:w="4100" w:type="pct"/>
            <w:gridSpan w:val="2"/>
          </w:tcPr>
          <w:p w:rsidR="003D2364" w:rsidRPr="00FC6EC4" w:rsidRDefault="003D2364" w:rsidP="00FC6EC4">
            <w:pPr>
              <w:spacing w:before="100" w:beforeAutospacing="1" w:after="100" w:afterAutospacing="1"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II. Învățămîntul general și profesional tehnic</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b/>
                <w:bCs/>
                <w:sz w:val="24"/>
                <w:szCs w:val="24"/>
                <w:lang w:eastAsia="ru-RU"/>
              </w:rPr>
              <w:t> </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1</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eastAsia="ru-RU"/>
              </w:rPr>
            </w:pPr>
            <w:r w:rsidRPr="00FC6EC4">
              <w:rPr>
                <w:rFonts w:ascii="Times New Roman" w:hAnsi="Times New Roman"/>
                <w:sz w:val="24"/>
                <w:szCs w:val="24"/>
                <w:lang w:eastAsia="ru-RU"/>
              </w:rPr>
              <w:t>Profesor și învățător în învățămîntul general și profesional tehnic; funcții didactice în educația timpurie:</w:t>
            </w:r>
          </w:p>
        </w:tc>
        <w:tc>
          <w:tcPr>
            <w:tcW w:w="850" w:type="pct"/>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 </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cu studii superioare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3289</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val="it-IT" w:eastAsia="ru-RU"/>
              </w:rPr>
            </w:pPr>
            <w:r w:rsidRPr="00FC6EC4">
              <w:rPr>
                <w:rFonts w:ascii="Times New Roman" w:hAnsi="Times New Roman"/>
                <w:sz w:val="24"/>
                <w:szCs w:val="24"/>
                <w:lang w:val="it-IT" w:eastAsia="ru-RU"/>
              </w:rPr>
              <w:t>– cu studii medii de specialitate, superioare de scurtă durată  </w:t>
            </w:r>
            <w:r w:rsidRPr="00FC6EC4">
              <w:rPr>
                <w:rFonts w:ascii="Times New Roman" w:hAnsi="Times New Roman"/>
                <w:sz w:val="24"/>
                <w:szCs w:val="24"/>
                <w:lang w:val="it-IT" w:eastAsia="ru-RU"/>
              </w:rPr>
              <w:br/>
              <w:t> sau profesionale tehnice postsecundare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2983</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2</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eastAsia="ru-RU"/>
              </w:rPr>
            </w:pPr>
            <w:r w:rsidRPr="00FC6EC4">
              <w:rPr>
                <w:rFonts w:ascii="Times New Roman" w:hAnsi="Times New Roman"/>
                <w:sz w:val="24"/>
                <w:szCs w:val="24"/>
                <w:lang w:eastAsia="ru-RU"/>
              </w:rPr>
              <w:t>Funcții didactice în învățămîntul general, cu excepția celor de profesor, de învățător și a funcțiilor didactice în educația timpurie: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 </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cu studii superioare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2983</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val="it-IT" w:eastAsia="ru-RU"/>
              </w:rPr>
            </w:pPr>
            <w:r w:rsidRPr="00FC6EC4">
              <w:rPr>
                <w:rFonts w:ascii="Times New Roman" w:hAnsi="Times New Roman"/>
                <w:sz w:val="24"/>
                <w:szCs w:val="24"/>
                <w:lang w:val="it-IT" w:eastAsia="ru-RU"/>
              </w:rPr>
              <w:t>– cu studii medii de specialitate, superioare de scurtă durată   </w:t>
            </w:r>
            <w:r w:rsidRPr="00FC6EC4">
              <w:rPr>
                <w:rFonts w:ascii="Times New Roman" w:hAnsi="Times New Roman"/>
                <w:sz w:val="24"/>
                <w:szCs w:val="24"/>
                <w:lang w:val="it-IT" w:eastAsia="ru-RU"/>
              </w:rPr>
              <w:br/>
              <w:t> sau profesionale tehnice postsecundare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2688</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3</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eastAsia="ru-RU"/>
              </w:rPr>
            </w:pPr>
            <w:r w:rsidRPr="00FC6EC4">
              <w:rPr>
                <w:rFonts w:ascii="Times New Roman" w:hAnsi="Times New Roman"/>
                <w:sz w:val="24"/>
                <w:szCs w:val="24"/>
                <w:lang w:eastAsia="ru-RU"/>
              </w:rPr>
              <w:t>Funcții didactice în învățămîntul profesional tehnic, cu excepția celei de profesor:</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 </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 cu studii superioare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eastAsia="ru-RU"/>
              </w:rPr>
            </w:pPr>
            <w:r w:rsidRPr="00FC6EC4">
              <w:rPr>
                <w:rFonts w:ascii="Times New Roman" w:hAnsi="Times New Roman"/>
                <w:sz w:val="24"/>
                <w:szCs w:val="24"/>
                <w:lang w:eastAsia="ru-RU"/>
              </w:rPr>
              <w:t>2983</w:t>
            </w:r>
          </w:p>
        </w:tc>
      </w:tr>
      <w:tr w:rsidR="003D2364" w:rsidRPr="00FC6EC4" w:rsidTr="00FC6EC4">
        <w:trPr>
          <w:tblCellSpacing w:w="0" w:type="dxa"/>
        </w:trPr>
        <w:tc>
          <w:tcPr>
            <w:tcW w:w="250" w:type="pct"/>
          </w:tcPr>
          <w:p w:rsidR="003D2364" w:rsidRPr="00FC6EC4" w:rsidRDefault="003D2364" w:rsidP="00FC6EC4">
            <w:pPr>
              <w:spacing w:after="0" w:line="240" w:lineRule="auto"/>
              <w:rPr>
                <w:rFonts w:ascii="Times New Roman" w:hAnsi="Times New Roman"/>
                <w:sz w:val="24"/>
                <w:szCs w:val="24"/>
                <w:lang w:eastAsia="ru-RU"/>
              </w:rPr>
            </w:pPr>
            <w:r w:rsidRPr="00FC6EC4">
              <w:rPr>
                <w:rFonts w:ascii="Times New Roman" w:hAnsi="Times New Roman"/>
                <w:sz w:val="24"/>
                <w:szCs w:val="24"/>
                <w:lang w:eastAsia="ru-RU"/>
              </w:rPr>
              <w:t> </w:t>
            </w:r>
          </w:p>
        </w:tc>
        <w:tc>
          <w:tcPr>
            <w:tcW w:w="3850" w:type="pct"/>
          </w:tcPr>
          <w:p w:rsidR="003D2364" w:rsidRPr="00FC6EC4" w:rsidRDefault="003D2364" w:rsidP="00FC6EC4">
            <w:pPr>
              <w:spacing w:before="100" w:beforeAutospacing="1" w:after="100" w:afterAutospacing="1" w:line="240" w:lineRule="auto"/>
              <w:rPr>
                <w:rFonts w:ascii="Times New Roman" w:hAnsi="Times New Roman"/>
                <w:sz w:val="24"/>
                <w:szCs w:val="24"/>
                <w:lang w:val="it-IT" w:eastAsia="ru-RU"/>
              </w:rPr>
            </w:pPr>
            <w:r w:rsidRPr="00FC6EC4">
              <w:rPr>
                <w:rFonts w:ascii="Times New Roman" w:hAnsi="Times New Roman"/>
                <w:sz w:val="24"/>
                <w:szCs w:val="24"/>
                <w:lang w:val="it-IT" w:eastAsia="ru-RU"/>
              </w:rPr>
              <w:t> – cu studii medii de specialitate, superioare de scurtă durată   </w:t>
            </w:r>
            <w:r w:rsidRPr="00FC6EC4">
              <w:rPr>
                <w:rFonts w:ascii="Times New Roman" w:hAnsi="Times New Roman"/>
                <w:sz w:val="24"/>
                <w:szCs w:val="24"/>
                <w:lang w:val="it-IT" w:eastAsia="ru-RU"/>
              </w:rPr>
              <w:br/>
              <w:t> sau profesionale tehnice postsecundare</w:t>
            </w:r>
          </w:p>
        </w:tc>
        <w:tc>
          <w:tcPr>
            <w:tcW w:w="850" w:type="pct"/>
            <w:vAlign w:val="bottom"/>
          </w:tcPr>
          <w:p w:rsidR="003D2364" w:rsidRPr="00FC6EC4" w:rsidRDefault="003D2364" w:rsidP="00FC6EC4">
            <w:pPr>
              <w:spacing w:after="0" w:line="240" w:lineRule="auto"/>
              <w:jc w:val="center"/>
              <w:rPr>
                <w:rFonts w:ascii="Times New Roman" w:hAnsi="Times New Roman"/>
                <w:sz w:val="24"/>
                <w:szCs w:val="24"/>
                <w:lang w:val="en-US" w:eastAsia="ru-RU"/>
              </w:rPr>
            </w:pPr>
            <w:r w:rsidRPr="00FC6EC4">
              <w:rPr>
                <w:rFonts w:ascii="Times New Roman" w:hAnsi="Times New Roman"/>
                <w:sz w:val="24"/>
                <w:szCs w:val="24"/>
                <w:lang w:eastAsia="ru-RU"/>
              </w:rPr>
              <w:t>268</w:t>
            </w:r>
            <w:r>
              <w:rPr>
                <w:rFonts w:ascii="Times New Roman" w:hAnsi="Times New Roman"/>
                <w:sz w:val="24"/>
                <w:szCs w:val="24"/>
                <w:lang w:val="en-US" w:eastAsia="ru-RU"/>
              </w:rPr>
              <w:t>8</w:t>
            </w:r>
          </w:p>
        </w:tc>
      </w:tr>
    </w:tbl>
    <w:p w:rsidR="003D2364" w:rsidRDefault="003D2364" w:rsidP="00832D5F">
      <w:pPr>
        <w:spacing w:after="0" w:line="240" w:lineRule="auto"/>
        <w:ind w:firstLine="540"/>
        <w:rPr>
          <w:rFonts w:ascii="Times New Roman" w:hAnsi="Times New Roman"/>
          <w:b/>
          <w:bCs/>
          <w:sz w:val="24"/>
          <w:szCs w:val="24"/>
          <w:lang w:val="en-US" w:eastAsia="ru-RU"/>
        </w:rPr>
      </w:pPr>
    </w:p>
    <w:p w:rsidR="003D2364" w:rsidRPr="00FC6EC4" w:rsidRDefault="003D2364" w:rsidP="00832D5F">
      <w:pPr>
        <w:spacing w:after="0" w:line="240" w:lineRule="auto"/>
        <w:ind w:firstLine="540"/>
        <w:rPr>
          <w:rFonts w:ascii="Times New Roman" w:hAnsi="Times New Roman"/>
          <w:sz w:val="24"/>
          <w:szCs w:val="24"/>
          <w:lang w:val="en-US" w:eastAsia="ru-RU"/>
        </w:rPr>
      </w:pPr>
      <w:r w:rsidRPr="00047F9F">
        <w:rPr>
          <w:rFonts w:ascii="Times New Roman" w:hAnsi="Times New Roman"/>
          <w:b/>
          <w:bCs/>
          <w:sz w:val="24"/>
          <w:szCs w:val="24"/>
          <w:lang w:val="en-US" w:eastAsia="ru-RU"/>
        </w:rPr>
        <w:t>Note</w:t>
      </w:r>
      <w:r w:rsidRPr="00FC6EC4">
        <w:rPr>
          <w:rFonts w:ascii="Times New Roman" w:hAnsi="Times New Roman"/>
          <w:b/>
          <w:bCs/>
          <w:sz w:val="24"/>
          <w:szCs w:val="24"/>
          <w:lang w:val="en-US" w:eastAsia="ru-RU"/>
        </w:rPr>
        <w:t>:</w:t>
      </w:r>
    </w:p>
    <w:p w:rsidR="003D2364" w:rsidRPr="00DD4EC9" w:rsidRDefault="003D2364" w:rsidP="00832D5F">
      <w:pPr>
        <w:spacing w:after="0" w:line="240" w:lineRule="auto"/>
        <w:ind w:firstLine="540"/>
        <w:jc w:val="both"/>
        <w:rPr>
          <w:rFonts w:ascii="Times New Roman" w:hAnsi="Times New Roman"/>
          <w:sz w:val="24"/>
          <w:szCs w:val="24"/>
          <w:lang w:val="en-US" w:eastAsia="ru-RU"/>
        </w:rPr>
      </w:pPr>
      <w:r w:rsidRPr="00DD4EC9">
        <w:rPr>
          <w:rFonts w:ascii="Times New Roman" w:hAnsi="Times New Roman"/>
          <w:sz w:val="24"/>
          <w:szCs w:val="24"/>
          <w:lang w:val="en-US" w:eastAsia="ru-RU"/>
        </w:rPr>
        <w:t xml:space="preserve">1. Pentru cadrele didactice, inclusiv instructorii şi maiştrii-instructori, fără studii medii de specialitate, </w:t>
      </w:r>
      <w:r w:rsidRPr="00DD4EC9">
        <w:rPr>
          <w:rFonts w:ascii="Times New Roman" w:hAnsi="Times New Roman"/>
          <w:lang w:val="en-US"/>
        </w:rPr>
        <w:t xml:space="preserve">salariul de funcție </w:t>
      </w:r>
      <w:r w:rsidRPr="00DD4EC9">
        <w:rPr>
          <w:rFonts w:ascii="Times New Roman" w:hAnsi="Times New Roman"/>
          <w:sz w:val="24"/>
          <w:szCs w:val="24"/>
          <w:lang w:val="en-US" w:eastAsia="ru-RU"/>
        </w:rPr>
        <w:t xml:space="preserve">se stabileşte în mărime de 80% din </w:t>
      </w:r>
      <w:r w:rsidRPr="00DD4EC9">
        <w:rPr>
          <w:rFonts w:ascii="Times New Roman" w:hAnsi="Times New Roman"/>
          <w:lang w:val="en-US"/>
        </w:rPr>
        <w:t xml:space="preserve">salariul de funcție </w:t>
      </w:r>
      <w:r w:rsidRPr="00DD4EC9">
        <w:rPr>
          <w:rFonts w:ascii="Times New Roman" w:hAnsi="Times New Roman"/>
          <w:sz w:val="24"/>
          <w:szCs w:val="24"/>
          <w:lang w:val="en-US" w:eastAsia="ru-RU"/>
        </w:rPr>
        <w:t xml:space="preserve">pentru cadrele didactice cu studii medii de specialitate, iar pentru cadrele didactice cu studii superioare incomplete (2 cursuri depline în ciclul I al învăţămîntului superior sau 3 cursuri depline realizate în instituţiile de învăţămînt superior de profil pînă în anul 2009) – în mărime de 80% din </w:t>
      </w:r>
      <w:r w:rsidRPr="00DD4EC9">
        <w:rPr>
          <w:rFonts w:ascii="Times New Roman" w:hAnsi="Times New Roman"/>
          <w:lang w:val="en-US"/>
        </w:rPr>
        <w:t xml:space="preserve">salariul de funcție </w:t>
      </w:r>
      <w:r w:rsidRPr="00DD4EC9">
        <w:rPr>
          <w:rFonts w:ascii="Times New Roman" w:hAnsi="Times New Roman"/>
          <w:sz w:val="24"/>
          <w:szCs w:val="24"/>
          <w:lang w:val="en-US" w:eastAsia="ru-RU"/>
        </w:rPr>
        <w:t>pentru cadrele didactice cu studii superioare.</w:t>
      </w:r>
    </w:p>
    <w:p w:rsidR="003D2364" w:rsidRPr="00DD4EC9" w:rsidRDefault="003D2364" w:rsidP="00832D5F">
      <w:pPr>
        <w:spacing w:after="0" w:line="240" w:lineRule="auto"/>
        <w:ind w:firstLine="540"/>
        <w:jc w:val="both"/>
        <w:rPr>
          <w:rFonts w:ascii="Times New Roman" w:hAnsi="Times New Roman"/>
          <w:sz w:val="24"/>
          <w:szCs w:val="24"/>
          <w:lang w:val="en-US" w:eastAsia="ru-RU"/>
        </w:rPr>
      </w:pPr>
      <w:r w:rsidRPr="00DD4EC9">
        <w:rPr>
          <w:rFonts w:ascii="Times New Roman" w:hAnsi="Times New Roman"/>
          <w:sz w:val="24"/>
          <w:szCs w:val="24"/>
          <w:lang w:val="en-US" w:eastAsia="ru-RU"/>
        </w:rPr>
        <w:t xml:space="preserve">2. Începînd cu anul 2014, </w:t>
      </w:r>
      <w:r w:rsidRPr="00DD4EC9">
        <w:rPr>
          <w:rFonts w:ascii="Times New Roman" w:hAnsi="Times New Roman"/>
          <w:lang w:val="en-US"/>
        </w:rPr>
        <w:t xml:space="preserve">salariile de funcție </w:t>
      </w:r>
      <w:r w:rsidRPr="00DD4EC9">
        <w:rPr>
          <w:rFonts w:ascii="Times New Roman" w:hAnsi="Times New Roman"/>
          <w:sz w:val="24"/>
          <w:szCs w:val="24"/>
          <w:lang w:val="en-US" w:eastAsia="ru-RU"/>
        </w:rPr>
        <w:t>prevăzute în prezenta anexă se reexaminează şi se majorează anual, de la 1 septembrie, pe măsura creşterii procentuale a salariului mediu prognozat pe economia naţională pentru anul gestionar faţă de salariul mediu al cadrelor didactice din învăţămînt real atins în trimestrul IV al anului precedent.</w:t>
      </w:r>
    </w:p>
    <w:p w:rsidR="003D2364" w:rsidRPr="00DD4EC9" w:rsidRDefault="003D2364" w:rsidP="00832D5F">
      <w:pPr>
        <w:spacing w:after="0" w:line="240" w:lineRule="auto"/>
        <w:ind w:firstLine="540"/>
        <w:jc w:val="both"/>
        <w:rPr>
          <w:rFonts w:ascii="Times New Roman" w:hAnsi="Times New Roman"/>
          <w:sz w:val="24"/>
          <w:szCs w:val="24"/>
          <w:lang w:val="en-US" w:eastAsia="ru-RU"/>
        </w:rPr>
      </w:pPr>
      <w:r w:rsidRPr="00DD4EC9">
        <w:rPr>
          <w:rFonts w:ascii="Times New Roman" w:hAnsi="Times New Roman"/>
          <w:sz w:val="24"/>
          <w:szCs w:val="24"/>
          <w:lang w:val="en-US" w:eastAsia="ru-RU"/>
        </w:rPr>
        <w:t xml:space="preserve">3. Pentru </w:t>
      </w:r>
      <w:r w:rsidRPr="00DD4EC9">
        <w:rPr>
          <w:rFonts w:ascii="Times New Roman" w:hAnsi="Times New Roman"/>
          <w:lang w:val="en-US"/>
        </w:rPr>
        <w:t xml:space="preserve">pedagogul social din cămine și internate, pentru educatorul, </w:t>
      </w:r>
      <w:r w:rsidRPr="00DD4EC9">
        <w:rPr>
          <w:rFonts w:ascii="Times New Roman" w:hAnsi="Times New Roman"/>
          <w:sz w:val="24"/>
          <w:szCs w:val="24"/>
          <w:lang w:val="en-US" w:eastAsia="ru-RU"/>
        </w:rPr>
        <w:t xml:space="preserve">pedagogul social şi psihopedagogul din instituţiile de asistenţă socială, pentru logopedul, psihologul, defectologul şi conducătorul muzical din casele de copii, centrele de reabilitare şi recuperare, centrele de plasament şi alte instituţii de asistenţă socială pentru copii, precum şi pentru părintele–educator al casei de copii de tip familial, salariul de funcţie se stabileşte </w:t>
      </w:r>
      <w:r w:rsidRPr="00DD4EC9">
        <w:rPr>
          <w:rFonts w:ascii="Times New Roman" w:hAnsi="Times New Roman"/>
          <w:lang w:val="en-US"/>
        </w:rPr>
        <w:t>în mărime de 90% din salariul de funcție stabilit pentru funcțiile didactice, cu nivelul respectiv de studii, din învățămîntul profesional tehnic, indicate la compartimentul II punctul 3 din tabel</w:t>
      </w:r>
      <w:r w:rsidRPr="00DD4EC9">
        <w:rPr>
          <w:rFonts w:ascii="Times New Roman" w:hAnsi="Times New Roman"/>
          <w:sz w:val="24"/>
          <w:szCs w:val="24"/>
          <w:lang w:val="en-US" w:eastAsia="ru-RU"/>
        </w:rPr>
        <w:t>.</w:t>
      </w:r>
    </w:p>
    <w:sectPr w:rsidR="003D2364" w:rsidRPr="00DD4EC9" w:rsidSect="00913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610"/>
    <w:rsid w:val="00047F9F"/>
    <w:rsid w:val="000972D4"/>
    <w:rsid w:val="002B6315"/>
    <w:rsid w:val="0036346D"/>
    <w:rsid w:val="003668DE"/>
    <w:rsid w:val="003D2364"/>
    <w:rsid w:val="00445A21"/>
    <w:rsid w:val="00515F27"/>
    <w:rsid w:val="00603268"/>
    <w:rsid w:val="00635A91"/>
    <w:rsid w:val="00672D48"/>
    <w:rsid w:val="006C2E50"/>
    <w:rsid w:val="008056F9"/>
    <w:rsid w:val="00832D5F"/>
    <w:rsid w:val="008C1610"/>
    <w:rsid w:val="009137CC"/>
    <w:rsid w:val="009E3D23"/>
    <w:rsid w:val="009E73A8"/>
    <w:rsid w:val="00A05875"/>
    <w:rsid w:val="00A72F71"/>
    <w:rsid w:val="00C36FC1"/>
    <w:rsid w:val="00C63417"/>
    <w:rsid w:val="00D41395"/>
    <w:rsid w:val="00DD4EC9"/>
    <w:rsid w:val="00E37E4C"/>
    <w:rsid w:val="00FA18F9"/>
    <w:rsid w:val="00FC6EC4"/>
    <w:rsid w:val="00FE4A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47F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lue">
    <w:name w:val="doc_blue"/>
    <w:basedOn w:val="DefaultParagraphFont"/>
    <w:uiPriority w:val="99"/>
    <w:rsid w:val="00C36FC1"/>
    <w:rPr>
      <w:rFonts w:cs="Times New Roman"/>
    </w:rPr>
  </w:style>
  <w:style w:type="paragraph" w:customStyle="1" w:styleId="Listparagraf">
    <w:name w:val="Listă paragraf"/>
    <w:basedOn w:val="Normal"/>
    <w:uiPriority w:val="99"/>
    <w:rsid w:val="00515F27"/>
    <w:pPr>
      <w:spacing w:after="0" w:line="240" w:lineRule="auto"/>
      <w:ind w:left="720"/>
      <w:contextualSpacing/>
    </w:pPr>
    <w:rPr>
      <w:rFonts w:ascii="Times New Roman" w:hAnsi="Times New Roman"/>
      <w:sz w:val="28"/>
      <w:szCs w:val="28"/>
      <w:lang w:val="fr-BE" w:eastAsia="ru-RU"/>
    </w:rPr>
  </w:style>
  <w:style w:type="paragraph" w:customStyle="1" w:styleId="cb">
    <w:name w:val="cb"/>
    <w:basedOn w:val="Normal"/>
    <w:uiPriority w:val="99"/>
    <w:rsid w:val="00515F27"/>
    <w:pPr>
      <w:spacing w:after="0" w:line="240" w:lineRule="auto"/>
      <w:jc w:val="center"/>
    </w:pPr>
    <w:rPr>
      <w:rFonts w:ascii="Times New Roman" w:hAnsi="Times New Roman"/>
      <w:b/>
      <w:bCs/>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189371195">
      <w:marLeft w:val="0"/>
      <w:marRight w:val="0"/>
      <w:marTop w:val="0"/>
      <w:marBottom w:val="0"/>
      <w:divBdr>
        <w:top w:val="none" w:sz="0" w:space="0" w:color="auto"/>
        <w:left w:val="none" w:sz="0" w:space="0" w:color="auto"/>
        <w:bottom w:val="none" w:sz="0" w:space="0" w:color="auto"/>
        <w:right w:val="none" w:sz="0" w:space="0" w:color="auto"/>
      </w:divBdr>
      <w:divsChild>
        <w:div w:id="1189371196">
          <w:marLeft w:val="0"/>
          <w:marRight w:val="0"/>
          <w:marTop w:val="0"/>
          <w:marBottom w:val="0"/>
          <w:divBdr>
            <w:top w:val="none" w:sz="0" w:space="0" w:color="auto"/>
            <w:left w:val="none" w:sz="0" w:space="0" w:color="auto"/>
            <w:bottom w:val="none" w:sz="0" w:space="0" w:color="auto"/>
            <w:right w:val="none" w:sz="0" w:space="0" w:color="auto"/>
          </w:divBdr>
        </w:div>
        <w:div w:id="1189371197">
          <w:marLeft w:val="0"/>
          <w:marRight w:val="0"/>
          <w:marTop w:val="0"/>
          <w:marBottom w:val="0"/>
          <w:divBdr>
            <w:top w:val="none" w:sz="0" w:space="0" w:color="auto"/>
            <w:left w:val="none" w:sz="0" w:space="0" w:color="auto"/>
            <w:bottom w:val="none" w:sz="0" w:space="0" w:color="auto"/>
            <w:right w:val="none" w:sz="0" w:space="0" w:color="auto"/>
          </w:divBdr>
        </w:div>
        <w:div w:id="1189371198">
          <w:marLeft w:val="0"/>
          <w:marRight w:val="0"/>
          <w:marTop w:val="0"/>
          <w:marBottom w:val="0"/>
          <w:divBdr>
            <w:top w:val="none" w:sz="0" w:space="0" w:color="auto"/>
            <w:left w:val="none" w:sz="0" w:space="0" w:color="auto"/>
            <w:bottom w:val="none" w:sz="0" w:space="0" w:color="auto"/>
            <w:right w:val="none" w:sz="0" w:space="0" w:color="auto"/>
          </w:divBdr>
        </w:div>
        <w:div w:id="1189371199">
          <w:marLeft w:val="0"/>
          <w:marRight w:val="0"/>
          <w:marTop w:val="0"/>
          <w:marBottom w:val="0"/>
          <w:divBdr>
            <w:top w:val="none" w:sz="0" w:space="0" w:color="auto"/>
            <w:left w:val="none" w:sz="0" w:space="0" w:color="auto"/>
            <w:bottom w:val="none" w:sz="0" w:space="0" w:color="auto"/>
            <w:right w:val="none" w:sz="0" w:space="0" w:color="auto"/>
          </w:divBdr>
        </w:div>
        <w:div w:id="1189371200">
          <w:marLeft w:val="0"/>
          <w:marRight w:val="0"/>
          <w:marTop w:val="0"/>
          <w:marBottom w:val="0"/>
          <w:divBdr>
            <w:top w:val="none" w:sz="0" w:space="0" w:color="auto"/>
            <w:left w:val="none" w:sz="0" w:space="0" w:color="auto"/>
            <w:bottom w:val="none" w:sz="0" w:space="0" w:color="auto"/>
            <w:right w:val="none" w:sz="0" w:space="0" w:color="auto"/>
          </w:divBdr>
        </w:div>
        <w:div w:id="1189371201">
          <w:marLeft w:val="0"/>
          <w:marRight w:val="0"/>
          <w:marTop w:val="0"/>
          <w:marBottom w:val="0"/>
          <w:divBdr>
            <w:top w:val="none" w:sz="0" w:space="0" w:color="auto"/>
            <w:left w:val="none" w:sz="0" w:space="0" w:color="auto"/>
            <w:bottom w:val="none" w:sz="0" w:space="0" w:color="auto"/>
            <w:right w:val="none" w:sz="0" w:space="0" w:color="auto"/>
          </w:divBdr>
        </w:div>
        <w:div w:id="1189371202">
          <w:marLeft w:val="0"/>
          <w:marRight w:val="0"/>
          <w:marTop w:val="0"/>
          <w:marBottom w:val="0"/>
          <w:divBdr>
            <w:top w:val="none" w:sz="0" w:space="0" w:color="auto"/>
            <w:left w:val="none" w:sz="0" w:space="0" w:color="auto"/>
            <w:bottom w:val="none" w:sz="0" w:space="0" w:color="auto"/>
            <w:right w:val="none" w:sz="0" w:space="0" w:color="auto"/>
          </w:divBdr>
        </w:div>
        <w:div w:id="1189371203">
          <w:marLeft w:val="0"/>
          <w:marRight w:val="0"/>
          <w:marTop w:val="0"/>
          <w:marBottom w:val="0"/>
          <w:divBdr>
            <w:top w:val="none" w:sz="0" w:space="0" w:color="auto"/>
            <w:left w:val="none" w:sz="0" w:space="0" w:color="auto"/>
            <w:bottom w:val="none" w:sz="0" w:space="0" w:color="auto"/>
            <w:right w:val="none" w:sz="0" w:space="0" w:color="auto"/>
          </w:divBdr>
        </w:div>
        <w:div w:id="1189371204">
          <w:marLeft w:val="0"/>
          <w:marRight w:val="0"/>
          <w:marTop w:val="0"/>
          <w:marBottom w:val="0"/>
          <w:divBdr>
            <w:top w:val="none" w:sz="0" w:space="0" w:color="auto"/>
            <w:left w:val="none" w:sz="0" w:space="0" w:color="auto"/>
            <w:bottom w:val="none" w:sz="0" w:space="0" w:color="auto"/>
            <w:right w:val="none" w:sz="0" w:space="0" w:color="auto"/>
          </w:divBdr>
        </w:div>
        <w:div w:id="1189371205">
          <w:marLeft w:val="0"/>
          <w:marRight w:val="0"/>
          <w:marTop w:val="0"/>
          <w:marBottom w:val="0"/>
          <w:divBdr>
            <w:top w:val="none" w:sz="0" w:space="0" w:color="auto"/>
            <w:left w:val="none" w:sz="0" w:space="0" w:color="auto"/>
            <w:bottom w:val="none" w:sz="0" w:space="0" w:color="auto"/>
            <w:right w:val="none" w:sz="0" w:space="0" w:color="auto"/>
          </w:divBdr>
        </w:div>
        <w:div w:id="1189371206">
          <w:marLeft w:val="0"/>
          <w:marRight w:val="0"/>
          <w:marTop w:val="0"/>
          <w:marBottom w:val="0"/>
          <w:divBdr>
            <w:top w:val="none" w:sz="0" w:space="0" w:color="auto"/>
            <w:left w:val="none" w:sz="0" w:space="0" w:color="auto"/>
            <w:bottom w:val="none" w:sz="0" w:space="0" w:color="auto"/>
            <w:right w:val="none" w:sz="0" w:space="0" w:color="auto"/>
          </w:divBdr>
        </w:div>
      </w:divsChild>
    </w:div>
    <w:div w:id="1189371209">
      <w:marLeft w:val="0"/>
      <w:marRight w:val="0"/>
      <w:marTop w:val="0"/>
      <w:marBottom w:val="0"/>
      <w:divBdr>
        <w:top w:val="none" w:sz="0" w:space="0" w:color="auto"/>
        <w:left w:val="none" w:sz="0" w:space="0" w:color="auto"/>
        <w:bottom w:val="none" w:sz="0" w:space="0" w:color="auto"/>
        <w:right w:val="none" w:sz="0" w:space="0" w:color="auto"/>
      </w:divBdr>
      <w:divsChild>
        <w:div w:id="1189371207">
          <w:marLeft w:val="0"/>
          <w:marRight w:val="0"/>
          <w:marTop w:val="0"/>
          <w:marBottom w:val="0"/>
          <w:divBdr>
            <w:top w:val="none" w:sz="0" w:space="0" w:color="auto"/>
            <w:left w:val="none" w:sz="0" w:space="0" w:color="auto"/>
            <w:bottom w:val="none" w:sz="0" w:space="0" w:color="auto"/>
            <w:right w:val="none" w:sz="0" w:space="0" w:color="auto"/>
          </w:divBdr>
        </w:div>
        <w:div w:id="1189371208">
          <w:marLeft w:val="0"/>
          <w:marRight w:val="0"/>
          <w:marTop w:val="0"/>
          <w:marBottom w:val="0"/>
          <w:divBdr>
            <w:top w:val="none" w:sz="0" w:space="0" w:color="auto"/>
            <w:left w:val="none" w:sz="0" w:space="0" w:color="auto"/>
            <w:bottom w:val="none" w:sz="0" w:space="0" w:color="auto"/>
            <w:right w:val="none" w:sz="0" w:space="0" w:color="auto"/>
          </w:divBdr>
        </w:div>
        <w:div w:id="1189371210">
          <w:marLeft w:val="0"/>
          <w:marRight w:val="0"/>
          <w:marTop w:val="0"/>
          <w:marBottom w:val="0"/>
          <w:divBdr>
            <w:top w:val="none" w:sz="0" w:space="0" w:color="auto"/>
            <w:left w:val="none" w:sz="0" w:space="0" w:color="auto"/>
            <w:bottom w:val="none" w:sz="0" w:space="0" w:color="auto"/>
            <w:right w:val="none" w:sz="0" w:space="0" w:color="auto"/>
          </w:divBdr>
        </w:div>
        <w:div w:id="1189371211">
          <w:marLeft w:val="0"/>
          <w:marRight w:val="0"/>
          <w:marTop w:val="0"/>
          <w:marBottom w:val="0"/>
          <w:divBdr>
            <w:top w:val="none" w:sz="0" w:space="0" w:color="auto"/>
            <w:left w:val="none" w:sz="0" w:space="0" w:color="auto"/>
            <w:bottom w:val="none" w:sz="0" w:space="0" w:color="auto"/>
            <w:right w:val="none" w:sz="0" w:space="0" w:color="auto"/>
          </w:divBdr>
        </w:div>
        <w:div w:id="1189371212">
          <w:marLeft w:val="0"/>
          <w:marRight w:val="0"/>
          <w:marTop w:val="0"/>
          <w:marBottom w:val="0"/>
          <w:divBdr>
            <w:top w:val="none" w:sz="0" w:space="0" w:color="auto"/>
            <w:left w:val="none" w:sz="0" w:space="0" w:color="auto"/>
            <w:bottom w:val="none" w:sz="0" w:space="0" w:color="auto"/>
            <w:right w:val="none" w:sz="0" w:space="0" w:color="auto"/>
          </w:divBdr>
        </w:div>
        <w:div w:id="1189371213">
          <w:marLeft w:val="0"/>
          <w:marRight w:val="0"/>
          <w:marTop w:val="0"/>
          <w:marBottom w:val="0"/>
          <w:divBdr>
            <w:top w:val="none" w:sz="0" w:space="0" w:color="auto"/>
            <w:left w:val="none" w:sz="0" w:space="0" w:color="auto"/>
            <w:bottom w:val="none" w:sz="0" w:space="0" w:color="auto"/>
            <w:right w:val="none" w:sz="0" w:space="0" w:color="auto"/>
          </w:divBdr>
        </w:div>
        <w:div w:id="1189371214">
          <w:marLeft w:val="0"/>
          <w:marRight w:val="0"/>
          <w:marTop w:val="0"/>
          <w:marBottom w:val="0"/>
          <w:divBdr>
            <w:top w:val="none" w:sz="0" w:space="0" w:color="auto"/>
            <w:left w:val="none" w:sz="0" w:space="0" w:color="auto"/>
            <w:bottom w:val="none" w:sz="0" w:space="0" w:color="auto"/>
            <w:right w:val="none" w:sz="0" w:space="0" w:color="auto"/>
          </w:divBdr>
        </w:div>
        <w:div w:id="1189371215">
          <w:marLeft w:val="0"/>
          <w:marRight w:val="0"/>
          <w:marTop w:val="0"/>
          <w:marBottom w:val="0"/>
          <w:divBdr>
            <w:top w:val="none" w:sz="0" w:space="0" w:color="auto"/>
            <w:left w:val="none" w:sz="0" w:space="0" w:color="auto"/>
            <w:bottom w:val="none" w:sz="0" w:space="0" w:color="auto"/>
            <w:right w:val="none" w:sz="0" w:space="0" w:color="auto"/>
          </w:divBdr>
        </w:div>
        <w:div w:id="1189371216">
          <w:marLeft w:val="0"/>
          <w:marRight w:val="0"/>
          <w:marTop w:val="0"/>
          <w:marBottom w:val="0"/>
          <w:divBdr>
            <w:top w:val="none" w:sz="0" w:space="0" w:color="auto"/>
            <w:left w:val="none" w:sz="0" w:space="0" w:color="auto"/>
            <w:bottom w:val="none" w:sz="0" w:space="0" w:color="auto"/>
            <w:right w:val="none" w:sz="0" w:space="0" w:color="auto"/>
          </w:divBdr>
        </w:div>
        <w:div w:id="1189371217">
          <w:marLeft w:val="0"/>
          <w:marRight w:val="0"/>
          <w:marTop w:val="0"/>
          <w:marBottom w:val="0"/>
          <w:divBdr>
            <w:top w:val="none" w:sz="0" w:space="0" w:color="auto"/>
            <w:left w:val="none" w:sz="0" w:space="0" w:color="auto"/>
            <w:bottom w:val="none" w:sz="0" w:space="0" w:color="auto"/>
            <w:right w:val="none" w:sz="0" w:space="0" w:color="auto"/>
          </w:divBdr>
        </w:div>
        <w:div w:id="1189371218">
          <w:marLeft w:val="0"/>
          <w:marRight w:val="0"/>
          <w:marTop w:val="0"/>
          <w:marBottom w:val="0"/>
          <w:divBdr>
            <w:top w:val="none" w:sz="0" w:space="0" w:color="auto"/>
            <w:left w:val="none" w:sz="0" w:space="0" w:color="auto"/>
            <w:bottom w:val="none" w:sz="0" w:space="0" w:color="auto"/>
            <w:right w:val="none" w:sz="0" w:space="0" w:color="auto"/>
          </w:divBdr>
        </w:div>
      </w:divsChild>
    </w:div>
    <w:div w:id="1189371220">
      <w:marLeft w:val="0"/>
      <w:marRight w:val="0"/>
      <w:marTop w:val="0"/>
      <w:marBottom w:val="0"/>
      <w:divBdr>
        <w:top w:val="none" w:sz="0" w:space="0" w:color="auto"/>
        <w:left w:val="none" w:sz="0" w:space="0" w:color="auto"/>
        <w:bottom w:val="none" w:sz="0" w:space="0" w:color="auto"/>
        <w:right w:val="none" w:sz="0" w:space="0" w:color="auto"/>
      </w:divBdr>
      <w:divsChild>
        <w:div w:id="11893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419</Words>
  <Characters>2391</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13</cp:revision>
  <dcterms:created xsi:type="dcterms:W3CDTF">2014-09-01T12:54:00Z</dcterms:created>
  <dcterms:modified xsi:type="dcterms:W3CDTF">2017-10-10T12:50:00Z</dcterms:modified>
</cp:coreProperties>
</file>