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1C" w:rsidRPr="006A101B" w:rsidRDefault="001B0A1C" w:rsidP="001B0A1C">
      <w:pPr>
        <w:ind w:firstLine="360"/>
        <w:jc w:val="right"/>
        <w:rPr>
          <w:rFonts w:asciiTheme="majorBidi" w:hAnsiTheme="majorBidi" w:cstheme="majorBidi"/>
          <w:sz w:val="28"/>
          <w:szCs w:val="24"/>
        </w:rPr>
      </w:pPr>
      <w:r w:rsidRPr="006A101B">
        <w:rPr>
          <w:rFonts w:asciiTheme="majorBidi" w:hAnsiTheme="majorBidi" w:cstheme="majorBidi"/>
          <w:sz w:val="28"/>
          <w:szCs w:val="24"/>
        </w:rPr>
        <w:t xml:space="preserve">Приложение № 5 </w:t>
      </w:r>
    </w:p>
    <w:p w:rsidR="001B0A1C" w:rsidRPr="006A101B" w:rsidRDefault="001B0A1C" w:rsidP="001B0A1C">
      <w:pPr>
        <w:ind w:firstLine="360"/>
        <w:jc w:val="right"/>
        <w:rPr>
          <w:rFonts w:asciiTheme="majorBidi" w:hAnsiTheme="majorBidi" w:cstheme="majorBidi"/>
          <w:sz w:val="28"/>
          <w:szCs w:val="28"/>
        </w:rPr>
      </w:pPr>
      <w:r w:rsidRPr="006A101B">
        <w:rPr>
          <w:rFonts w:asciiTheme="majorBidi" w:hAnsiTheme="majorBidi" w:cstheme="majorBidi"/>
          <w:sz w:val="28"/>
          <w:szCs w:val="28"/>
        </w:rPr>
        <w:t xml:space="preserve">к Положению о требованиях </w:t>
      </w:r>
    </w:p>
    <w:p w:rsidR="001B0A1C" w:rsidRPr="006A101B" w:rsidRDefault="001B0A1C" w:rsidP="001B0A1C">
      <w:pPr>
        <w:ind w:firstLine="360"/>
        <w:jc w:val="right"/>
        <w:rPr>
          <w:rFonts w:asciiTheme="majorBidi" w:hAnsiTheme="majorBidi" w:cstheme="majorBidi"/>
          <w:sz w:val="28"/>
          <w:szCs w:val="28"/>
        </w:rPr>
      </w:pPr>
      <w:r w:rsidRPr="006A101B">
        <w:rPr>
          <w:rFonts w:asciiTheme="majorBidi" w:hAnsiTheme="majorBidi" w:cstheme="majorBidi"/>
          <w:sz w:val="28"/>
          <w:szCs w:val="28"/>
        </w:rPr>
        <w:t xml:space="preserve">к экологическому проектированию </w:t>
      </w:r>
    </w:p>
    <w:p w:rsidR="001B0A1C" w:rsidRPr="006A101B" w:rsidRDefault="001B0A1C" w:rsidP="001B0A1C">
      <w:pPr>
        <w:ind w:firstLine="360"/>
        <w:jc w:val="right"/>
        <w:rPr>
          <w:rFonts w:asciiTheme="majorBidi" w:hAnsiTheme="majorBidi" w:cstheme="majorBidi"/>
          <w:sz w:val="28"/>
          <w:szCs w:val="28"/>
        </w:rPr>
      </w:pPr>
      <w:r w:rsidRPr="006A101B">
        <w:rPr>
          <w:rFonts w:asciiTheme="majorBidi" w:hAnsiTheme="majorBidi" w:cstheme="majorBidi"/>
          <w:sz w:val="28"/>
          <w:szCs w:val="28"/>
        </w:rPr>
        <w:t>бытовых холодильных приборов</w:t>
      </w:r>
    </w:p>
    <w:p w:rsidR="001B0A1C" w:rsidRPr="006A101B" w:rsidRDefault="001B0A1C" w:rsidP="001B0A1C">
      <w:pPr>
        <w:ind w:firstLine="360"/>
        <w:rPr>
          <w:rFonts w:asciiTheme="majorBidi" w:hAnsiTheme="majorBidi" w:cstheme="majorBidi"/>
          <w:sz w:val="28"/>
          <w:szCs w:val="24"/>
        </w:rPr>
      </w:pPr>
    </w:p>
    <w:p w:rsidR="001B0A1C" w:rsidRPr="006A101B" w:rsidRDefault="001B0A1C" w:rsidP="001B0A1C">
      <w:pPr>
        <w:ind w:firstLine="0"/>
        <w:jc w:val="center"/>
        <w:rPr>
          <w:rFonts w:asciiTheme="majorBidi" w:hAnsiTheme="majorBidi" w:cstheme="majorBidi"/>
          <w:b/>
          <w:sz w:val="28"/>
          <w:szCs w:val="24"/>
        </w:rPr>
      </w:pPr>
      <w:r w:rsidRPr="006A101B">
        <w:rPr>
          <w:rFonts w:asciiTheme="majorBidi" w:hAnsiTheme="majorBidi" w:cstheme="majorBidi"/>
          <w:b/>
          <w:sz w:val="28"/>
          <w:szCs w:val="24"/>
        </w:rPr>
        <w:t>Контроль соответствия продукции органами</w:t>
      </w:r>
    </w:p>
    <w:p w:rsidR="001B0A1C" w:rsidRPr="006A101B" w:rsidRDefault="001B0A1C" w:rsidP="001B0A1C">
      <w:pPr>
        <w:ind w:firstLine="0"/>
        <w:jc w:val="center"/>
        <w:rPr>
          <w:rFonts w:asciiTheme="majorBidi" w:hAnsiTheme="majorBidi" w:cstheme="majorBidi"/>
          <w:b/>
          <w:sz w:val="28"/>
          <w:szCs w:val="24"/>
        </w:rPr>
      </w:pPr>
      <w:r w:rsidRPr="006A101B">
        <w:rPr>
          <w:rFonts w:asciiTheme="majorBidi" w:hAnsiTheme="majorBidi" w:cstheme="majorBidi"/>
          <w:b/>
          <w:sz w:val="28"/>
          <w:szCs w:val="24"/>
        </w:rPr>
        <w:t>по надзору за рынком</w:t>
      </w:r>
    </w:p>
    <w:p w:rsidR="001B0A1C" w:rsidRPr="006A101B" w:rsidRDefault="001B0A1C" w:rsidP="001B0A1C">
      <w:pPr>
        <w:ind w:firstLine="360"/>
        <w:jc w:val="center"/>
        <w:rPr>
          <w:rFonts w:asciiTheme="majorBidi" w:hAnsiTheme="majorBidi" w:cstheme="majorBidi"/>
          <w:b/>
          <w:sz w:val="28"/>
          <w:szCs w:val="24"/>
          <w:lang w:val="en-US"/>
        </w:rPr>
      </w:pPr>
      <w:r w:rsidRPr="006A101B">
        <w:rPr>
          <w:rFonts w:asciiTheme="majorBidi" w:hAnsiTheme="majorBidi" w:cstheme="majorBidi"/>
          <w:b/>
          <w:sz w:val="28"/>
          <w:szCs w:val="24"/>
          <w:lang w:val="en-US"/>
        </w:rPr>
        <w:t xml:space="preserve">  </w:t>
      </w:r>
    </w:p>
    <w:p w:rsidR="001B0A1C" w:rsidRPr="006A101B" w:rsidRDefault="001B0A1C" w:rsidP="001B0A1C">
      <w:pPr>
        <w:pStyle w:val="ListParagraph"/>
        <w:numPr>
          <w:ilvl w:val="0"/>
          <w:numId w:val="1"/>
        </w:numPr>
        <w:spacing w:after="0" w:line="240" w:lineRule="auto"/>
        <w:ind w:left="0" w:firstLine="709"/>
        <w:jc w:val="both"/>
        <w:rPr>
          <w:rFonts w:asciiTheme="majorBidi" w:hAnsiTheme="majorBidi" w:cstheme="majorBidi"/>
          <w:sz w:val="28"/>
          <w:szCs w:val="24"/>
        </w:rPr>
      </w:pPr>
      <w:r w:rsidRPr="006A101B">
        <w:rPr>
          <w:rFonts w:asciiTheme="majorBidi" w:hAnsiTheme="majorBidi" w:cstheme="majorBidi"/>
          <w:sz w:val="28"/>
          <w:szCs w:val="24"/>
        </w:rPr>
        <w:t>Проверочные допуски, определенные в настоящем приложении, относятся только к проверке параметров, измеряемых национальным органом по надзору за рынком, и не должны использоваться производителем или импортером как допуск, разрешенный для определения значений технической документации или для интерпретации этих значений для достижения соответствия или сообщения о наивысшей производительности каким-либо образом.</w:t>
      </w:r>
    </w:p>
    <w:p w:rsidR="001B0A1C" w:rsidRPr="006A101B" w:rsidRDefault="001B0A1C" w:rsidP="001B0A1C">
      <w:pPr>
        <w:pStyle w:val="ListParagraph"/>
        <w:spacing w:after="0" w:line="240" w:lineRule="auto"/>
        <w:ind w:left="709"/>
        <w:jc w:val="both"/>
        <w:rPr>
          <w:rFonts w:asciiTheme="majorBidi" w:hAnsiTheme="majorBidi" w:cstheme="majorBidi"/>
          <w:sz w:val="28"/>
          <w:szCs w:val="24"/>
        </w:rPr>
      </w:pP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b/>
          <w:sz w:val="28"/>
          <w:szCs w:val="24"/>
        </w:rPr>
        <w:t>2.</w:t>
      </w:r>
      <w:r w:rsidRPr="006A101B">
        <w:rPr>
          <w:rFonts w:asciiTheme="majorBidi" w:hAnsiTheme="majorBidi" w:cstheme="majorBidi"/>
          <w:sz w:val="28"/>
          <w:szCs w:val="24"/>
        </w:rPr>
        <w:t xml:space="preserve">  В целях проверки соответствия требованиям, изложенным в приложении № 2, применяется следующая процедура:</w:t>
      </w:r>
    </w:p>
    <w:p w:rsidR="001B0A1C" w:rsidRPr="006A101B" w:rsidRDefault="001B0A1C" w:rsidP="001B0A1C">
      <w:pPr>
        <w:ind w:firstLine="426"/>
        <w:rPr>
          <w:rFonts w:asciiTheme="majorBidi" w:hAnsiTheme="majorBidi" w:cstheme="majorBidi"/>
          <w:sz w:val="28"/>
          <w:szCs w:val="24"/>
        </w:rPr>
      </w:pPr>
      <w:r w:rsidRPr="006A101B">
        <w:rPr>
          <w:rFonts w:asciiTheme="majorBidi" w:hAnsiTheme="majorBidi" w:cstheme="majorBidi"/>
          <w:sz w:val="28"/>
          <w:szCs w:val="24"/>
        </w:rPr>
        <w:t>1) тестируется всего одна единица бытового холодильного прибора;</w:t>
      </w:r>
    </w:p>
    <w:p w:rsidR="001B0A1C" w:rsidRPr="006A101B" w:rsidRDefault="001B0A1C" w:rsidP="001B0A1C">
      <w:pPr>
        <w:ind w:firstLine="426"/>
        <w:rPr>
          <w:rFonts w:asciiTheme="majorBidi" w:hAnsiTheme="majorBidi" w:cstheme="majorBidi"/>
          <w:sz w:val="28"/>
          <w:szCs w:val="24"/>
        </w:rPr>
      </w:pPr>
      <w:r w:rsidRPr="006A101B">
        <w:rPr>
          <w:rFonts w:asciiTheme="majorBidi" w:hAnsiTheme="majorBidi" w:cstheme="majorBidi"/>
          <w:sz w:val="28"/>
          <w:szCs w:val="24"/>
        </w:rPr>
        <w:t>2) модель считается соответствующей применяемым требованиям, если:</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a) значения, указанные в технической документации на основании пункта 2 приложения 4 к Закону № 151 от 17 июля 2014 года о требованиях к экологическому проектированию энергопотребляющих изделий (объявленные значения) и, по необходимости, значения, используемые для расчета этих значений, не являются более выгодными для производителя или импортера, чем соответствующие результаты измерений, проведенных на основании подпункта g) пункта 2 вышеуказанного приложения;</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 xml:space="preserve">b) заявленные значения соответствуют всем требованиям настоящего Положения, и ни одна из информаций о продукции, запрошенной и опубликованной производителем или импортером, не содержит значений, которые являются более выгодными для производителя или импортера, чем заявленные значения; </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c) когда национальный орган по надзору за рынком тестирует единицу модели, полученные значения (значения соответствующих параметров, таким образом, как они были измерены в этих тестах, и значения, вычисленные на основе этих измерений) соответствуют допускам этой проверки, как указано в представленной ниже таблице;</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 xml:space="preserve">3) если результаты, упомянутые в литере а) или </w:t>
      </w:r>
      <w:r w:rsidRPr="006A101B">
        <w:rPr>
          <w:rFonts w:asciiTheme="majorBidi" w:hAnsiTheme="majorBidi" w:cstheme="majorBidi"/>
          <w:sz w:val="28"/>
          <w:szCs w:val="24"/>
          <w:lang w:val="ro-RO"/>
        </w:rPr>
        <w:t>b</w:t>
      </w:r>
      <w:r w:rsidRPr="006A101B">
        <w:rPr>
          <w:rFonts w:asciiTheme="majorBidi" w:hAnsiTheme="majorBidi" w:cstheme="majorBidi"/>
          <w:sz w:val="28"/>
          <w:szCs w:val="24"/>
        </w:rPr>
        <w:t>)</w:t>
      </w:r>
      <w:r w:rsidRPr="006A101B">
        <w:rPr>
          <w:rFonts w:asciiTheme="majorBidi" w:hAnsiTheme="majorBidi" w:cstheme="majorBidi"/>
          <w:sz w:val="28"/>
          <w:szCs w:val="24"/>
          <w:lang w:val="ro-RO"/>
        </w:rPr>
        <w:t xml:space="preserve"> </w:t>
      </w:r>
      <w:r w:rsidRPr="006A101B">
        <w:rPr>
          <w:rFonts w:asciiTheme="majorBidi" w:hAnsiTheme="majorBidi" w:cstheme="majorBidi"/>
          <w:sz w:val="28"/>
          <w:szCs w:val="24"/>
        </w:rPr>
        <w:t xml:space="preserve">подпункта </w:t>
      </w:r>
      <w:r w:rsidRPr="006A101B">
        <w:rPr>
          <w:rFonts w:asciiTheme="majorBidi" w:hAnsiTheme="majorBidi" w:cstheme="majorBidi"/>
          <w:sz w:val="28"/>
          <w:szCs w:val="24"/>
          <w:lang w:val="ro-RO"/>
        </w:rPr>
        <w:t>2)</w:t>
      </w:r>
      <w:r w:rsidRPr="006A101B">
        <w:rPr>
          <w:rFonts w:asciiTheme="majorBidi" w:hAnsiTheme="majorBidi" w:cstheme="majorBidi"/>
          <w:sz w:val="28"/>
          <w:szCs w:val="24"/>
        </w:rPr>
        <w:t xml:space="preserve">, не достигнуты, модель считается не соответствующей настоящему Положению; </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lastRenderedPageBreak/>
        <w:t>4) если результат, упомянутый в литере c) подпункта 2) не достигнут, национальный орган по надзору за рынком выбирает для тестирования три дополнительные единицы одной и той же модели;</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5) модель считается соответствующей применяемым требованиям, если полученное среднее арифметическое значение этих трех единиц соответствует допускам данной проверки, как указано в представленной ниже таблице;</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sz w:val="28"/>
          <w:szCs w:val="24"/>
        </w:rPr>
        <w:t>6) если результат, указанный в подпункте 5) не достигается, модель считается несоответствующей настоящему Положению.</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b/>
          <w:sz w:val="28"/>
          <w:szCs w:val="24"/>
        </w:rPr>
        <w:t>3.</w:t>
      </w:r>
      <w:r w:rsidRPr="006A101B">
        <w:rPr>
          <w:rFonts w:asciiTheme="majorBidi" w:hAnsiTheme="majorBidi" w:cstheme="majorBidi"/>
          <w:sz w:val="28"/>
          <w:szCs w:val="24"/>
        </w:rPr>
        <w:t xml:space="preserve"> Национальный орган по надзору за рынком использует измерительные и расчетные методы, изложенные в приложениях № 3 и 4 к настоящему Положению.</w:t>
      </w:r>
    </w:p>
    <w:p w:rsidR="001B0A1C" w:rsidRPr="006A101B" w:rsidRDefault="001B0A1C" w:rsidP="001B0A1C">
      <w:pPr>
        <w:rPr>
          <w:rFonts w:asciiTheme="majorBidi" w:hAnsiTheme="majorBidi" w:cstheme="majorBidi"/>
          <w:sz w:val="28"/>
          <w:szCs w:val="24"/>
        </w:rPr>
      </w:pPr>
      <w:r w:rsidRPr="006A101B">
        <w:rPr>
          <w:rFonts w:asciiTheme="majorBidi" w:hAnsiTheme="majorBidi" w:cstheme="majorBidi"/>
          <w:b/>
          <w:sz w:val="28"/>
          <w:szCs w:val="24"/>
        </w:rPr>
        <w:t>4.</w:t>
      </w:r>
      <w:r w:rsidRPr="006A101B">
        <w:rPr>
          <w:rFonts w:asciiTheme="majorBidi" w:hAnsiTheme="majorBidi" w:cstheme="majorBidi"/>
          <w:sz w:val="28"/>
          <w:szCs w:val="24"/>
        </w:rPr>
        <w:t xml:space="preserve"> Национальный орган по надзору за рынком применяет только те проверочные допуски, которые установлены в представленной ниже таблице, и использует только процедуру, описанную в подпунктах 1)-6) пункта 2 для требований, указанных в настоящем приложении. Не применяются иные допуски, кроме тех, которые будут установлены в гармонизированных стандартах, или любой другой метод измерения</w:t>
      </w:r>
      <w:r w:rsidRPr="006A101B">
        <w:rPr>
          <w:rFonts w:asciiTheme="majorBidi" w:hAnsiTheme="majorBidi" w:cstheme="majorBidi"/>
          <w:color w:val="000000" w:themeColor="text1"/>
          <w:sz w:val="28"/>
          <w:szCs w:val="24"/>
        </w:rPr>
        <w:t>.</w:t>
      </w:r>
    </w:p>
    <w:p w:rsidR="001B0A1C" w:rsidRPr="006A101B" w:rsidRDefault="001B0A1C" w:rsidP="001B0A1C">
      <w:pPr>
        <w:ind w:firstLine="360"/>
        <w:rPr>
          <w:rFonts w:asciiTheme="majorBidi" w:hAnsiTheme="majorBidi" w:cstheme="majorBidi"/>
          <w:sz w:val="28"/>
          <w:szCs w:val="24"/>
        </w:rPr>
      </w:pPr>
    </w:p>
    <w:p w:rsidR="001B0A1C" w:rsidRPr="006A101B" w:rsidRDefault="001B0A1C" w:rsidP="001B0A1C">
      <w:pPr>
        <w:ind w:firstLine="360"/>
        <w:jc w:val="right"/>
        <w:rPr>
          <w:rFonts w:asciiTheme="majorBidi" w:hAnsiTheme="majorBidi" w:cstheme="majorBidi"/>
          <w:color w:val="000000" w:themeColor="text1"/>
          <w:sz w:val="24"/>
          <w:szCs w:val="24"/>
        </w:rPr>
      </w:pPr>
      <w:r w:rsidRPr="006A101B">
        <w:rPr>
          <w:rFonts w:asciiTheme="majorBidi" w:hAnsiTheme="majorBidi" w:cstheme="majorBidi"/>
          <w:color w:val="000000" w:themeColor="text1"/>
          <w:sz w:val="24"/>
          <w:szCs w:val="24"/>
        </w:rPr>
        <w:t xml:space="preserve">Таблица </w:t>
      </w:r>
    </w:p>
    <w:tbl>
      <w:tblPr>
        <w:tblW w:w="5107"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857"/>
        <w:gridCol w:w="6469"/>
      </w:tblGrid>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spacing w:before="60" w:after="60" w:line="312" w:lineRule="atLeast"/>
              <w:ind w:right="49" w:firstLine="0"/>
              <w:jc w:val="center"/>
              <w:textAlignment w:val="baseline"/>
              <w:rPr>
                <w:rFonts w:asciiTheme="majorBidi" w:hAnsiTheme="majorBidi" w:cstheme="majorBidi"/>
                <w:b/>
                <w:bCs/>
                <w:color w:val="000000" w:themeColor="text1"/>
                <w:sz w:val="22"/>
                <w:szCs w:val="24"/>
                <w:lang w:eastAsia="ro-RO"/>
              </w:rPr>
            </w:pPr>
            <w:r w:rsidRPr="006A101B">
              <w:rPr>
                <w:rFonts w:asciiTheme="majorBidi" w:hAnsiTheme="majorBidi" w:cstheme="majorBidi"/>
                <w:b/>
                <w:bCs/>
                <w:color w:val="000000" w:themeColor="text1"/>
                <w:szCs w:val="24"/>
                <w:lang w:eastAsia="ro-RO"/>
              </w:rPr>
              <w:t xml:space="preserve">Параметры </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spacing w:before="60" w:after="60" w:line="312" w:lineRule="atLeast"/>
              <w:ind w:right="195" w:firstLine="0"/>
              <w:jc w:val="center"/>
              <w:textAlignment w:val="baseline"/>
              <w:rPr>
                <w:rFonts w:asciiTheme="majorBidi" w:hAnsiTheme="majorBidi" w:cstheme="majorBidi"/>
                <w:b/>
                <w:bCs/>
                <w:color w:val="000000" w:themeColor="text1"/>
                <w:sz w:val="22"/>
                <w:szCs w:val="24"/>
                <w:lang w:eastAsia="ro-RO"/>
              </w:rPr>
            </w:pPr>
            <w:r w:rsidRPr="006A101B">
              <w:rPr>
                <w:rFonts w:asciiTheme="majorBidi" w:hAnsiTheme="majorBidi" w:cstheme="majorBidi"/>
                <w:b/>
                <w:bCs/>
                <w:color w:val="000000" w:themeColor="text1"/>
                <w:szCs w:val="24"/>
                <w:lang w:eastAsia="ro-RO"/>
              </w:rPr>
              <w:t>Проверочные допуски</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 xml:space="preserve">Общий объем </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Полученное значение не должно быть ниже, чем указанная величина, более чем на 3% или 1 литр, используя большее значение из этих двух</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Объем хранения</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Полученное значение не должен быть ниже, чем указанная величина, более чем на 3% или 1 литр, используя большее значение из этих двух. Если объем отсека для хранения вина и объем отсека для хранения свежих пищевых продуктов являются регулируемыми пользователем относительно друг друга, объем должен быть проверен, когда отсек для хранения вина доведен до минимального объема</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Производительность по замораживанию</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Полученное значение не должно быть ниже, чем заявленное значение, более чем на 10%</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Энергопотребление</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 xml:space="preserve">Полученное значение не должно превышать указанную величину (Е </w:t>
            </w:r>
            <w:r w:rsidRPr="006A101B">
              <w:rPr>
                <w:rFonts w:asciiTheme="majorBidi" w:hAnsiTheme="majorBidi" w:cstheme="majorBidi"/>
                <w:color w:val="000000" w:themeColor="text1"/>
                <w:szCs w:val="24"/>
                <w:vertAlign w:val="subscript"/>
                <w:lang w:eastAsia="ro-RO"/>
              </w:rPr>
              <w:t>24H</w:t>
            </w:r>
            <w:r w:rsidRPr="006A101B">
              <w:rPr>
                <w:rFonts w:asciiTheme="majorBidi" w:hAnsiTheme="majorBidi" w:cstheme="majorBidi"/>
                <w:color w:val="000000" w:themeColor="text1"/>
                <w:szCs w:val="24"/>
                <w:lang w:eastAsia="ro-RO"/>
              </w:rPr>
              <w:t>)  более чем  на 10%</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Энергопотребление бытовых холодильных приборов с объемом хранения менее 10 литров</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Полученное значение не должно превышать указанную величину более чем 0,10 Вт.</w:t>
            </w:r>
          </w:p>
        </w:tc>
      </w:tr>
      <w:tr w:rsidR="001B0A1C" w:rsidRPr="006A101B" w:rsidTr="00D967B1">
        <w:tc>
          <w:tcPr>
            <w:tcW w:w="0" w:type="auto"/>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right="49"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Влажность воздуха в приборах для хранения вина</w:t>
            </w:r>
          </w:p>
        </w:tc>
        <w:tc>
          <w:tcPr>
            <w:tcW w:w="3468"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1B0A1C" w:rsidRPr="006A101B" w:rsidRDefault="001B0A1C" w:rsidP="00D967B1">
            <w:pPr>
              <w:ind w:firstLine="0"/>
              <w:textAlignment w:val="baseline"/>
              <w:rPr>
                <w:rFonts w:asciiTheme="majorBidi" w:hAnsiTheme="majorBidi" w:cstheme="majorBidi"/>
                <w:color w:val="000000" w:themeColor="text1"/>
                <w:sz w:val="22"/>
                <w:szCs w:val="24"/>
                <w:lang w:eastAsia="ro-RO"/>
              </w:rPr>
            </w:pPr>
            <w:r w:rsidRPr="006A101B">
              <w:rPr>
                <w:rFonts w:asciiTheme="majorBidi" w:hAnsiTheme="majorBidi" w:cstheme="majorBidi"/>
                <w:color w:val="000000" w:themeColor="text1"/>
                <w:szCs w:val="24"/>
                <w:lang w:eastAsia="ro-RO"/>
              </w:rPr>
              <w:t>Полученное значение относительной влажности не должно превышать указанный интервал более чем на 10% в любом направлении</w:t>
            </w:r>
          </w:p>
        </w:tc>
      </w:tr>
    </w:tbl>
    <w:p w:rsidR="00DC65EF" w:rsidRDefault="00DC65EF"/>
    <w:sectPr w:rsidR="00DC65EF" w:rsidSect="00DC65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B4AA0"/>
    <w:multiLevelType w:val="hybridMultilevel"/>
    <w:tmpl w:val="A9A0D7C4"/>
    <w:lvl w:ilvl="0" w:tplc="0FD2542E">
      <w:start w:val="1"/>
      <w:numFmt w:val="decimal"/>
      <w:lvlText w:val="%1."/>
      <w:lvlJc w:val="left"/>
      <w:pPr>
        <w:ind w:left="720" w:hanging="360"/>
      </w:pPr>
      <w:rPr>
        <w:rFonts w:cs="Times New Roman"/>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B0A1C"/>
    <w:rsid w:val="001B0A1C"/>
    <w:rsid w:val="00DC6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1C"/>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1C"/>
    <w:pPr>
      <w:spacing w:after="200" w:line="276" w:lineRule="auto"/>
      <w:ind w:left="720" w:firstLine="0"/>
      <w:contextualSpacing/>
      <w:jc w:val="left"/>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2018-01-18T09:16:00Z</dcterms:created>
  <dcterms:modified xsi:type="dcterms:W3CDTF">2018-01-18T09:16:00Z</dcterms:modified>
</cp:coreProperties>
</file>