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C2" w:rsidRPr="006A101B" w:rsidRDefault="00DE09C2" w:rsidP="00DE09C2">
      <w:pPr>
        <w:ind w:left="3545"/>
        <w:rPr>
          <w:rFonts w:asciiTheme="majorBidi" w:hAnsiTheme="majorBidi" w:cstheme="majorBidi"/>
          <w:sz w:val="26"/>
          <w:szCs w:val="26"/>
        </w:rPr>
      </w:pPr>
      <w:r w:rsidRPr="006A101B">
        <w:rPr>
          <w:rFonts w:asciiTheme="majorBidi" w:hAnsiTheme="majorBidi" w:cstheme="majorBidi"/>
          <w:sz w:val="26"/>
          <w:szCs w:val="26"/>
        </w:rPr>
        <w:t>Приложение № 2</w:t>
      </w:r>
    </w:p>
    <w:p w:rsidR="00DE09C2" w:rsidRPr="00362DA1" w:rsidRDefault="00DE09C2" w:rsidP="00DE09C2">
      <w:pPr>
        <w:ind w:firstLine="360"/>
        <w:jc w:val="right"/>
        <w:rPr>
          <w:rFonts w:asciiTheme="majorBidi" w:hAnsiTheme="majorBidi" w:cstheme="majorBidi"/>
          <w:sz w:val="26"/>
          <w:szCs w:val="26"/>
        </w:rPr>
      </w:pPr>
      <w:r w:rsidRPr="00362DA1">
        <w:rPr>
          <w:rFonts w:asciiTheme="majorBidi" w:hAnsiTheme="majorBidi" w:cstheme="majorBidi"/>
          <w:sz w:val="26"/>
          <w:szCs w:val="26"/>
        </w:rPr>
        <w:t xml:space="preserve">к Положению о требованиях к экологическому </w:t>
      </w:r>
    </w:p>
    <w:p w:rsidR="00DE09C2" w:rsidRPr="00362DA1" w:rsidRDefault="00DE09C2" w:rsidP="00DE09C2">
      <w:pPr>
        <w:ind w:firstLine="360"/>
        <w:jc w:val="right"/>
        <w:rPr>
          <w:rFonts w:asciiTheme="majorBidi" w:hAnsiTheme="majorBidi" w:cstheme="majorBidi"/>
          <w:sz w:val="26"/>
          <w:szCs w:val="26"/>
        </w:rPr>
      </w:pPr>
      <w:r w:rsidRPr="00362DA1">
        <w:rPr>
          <w:rFonts w:asciiTheme="majorBidi" w:hAnsiTheme="majorBidi" w:cstheme="majorBidi"/>
          <w:sz w:val="26"/>
          <w:szCs w:val="26"/>
        </w:rPr>
        <w:t xml:space="preserve">проектированию потребления электроэнергии </w:t>
      </w:r>
    </w:p>
    <w:p w:rsidR="00DE09C2" w:rsidRPr="00362DA1" w:rsidRDefault="00DE09C2" w:rsidP="00DE09C2">
      <w:pPr>
        <w:ind w:firstLine="360"/>
        <w:jc w:val="right"/>
        <w:rPr>
          <w:rFonts w:asciiTheme="majorBidi" w:hAnsiTheme="majorBidi" w:cstheme="majorBidi"/>
          <w:sz w:val="26"/>
          <w:szCs w:val="26"/>
        </w:rPr>
      </w:pPr>
      <w:r w:rsidRPr="00362DA1">
        <w:rPr>
          <w:rFonts w:asciiTheme="majorBidi" w:hAnsiTheme="majorBidi" w:cstheme="majorBidi"/>
          <w:sz w:val="26"/>
          <w:szCs w:val="26"/>
        </w:rPr>
        <w:t xml:space="preserve">в режиме ожидания и выключения электрического </w:t>
      </w:r>
    </w:p>
    <w:p w:rsidR="00DE09C2" w:rsidRPr="00362DA1" w:rsidRDefault="00DE09C2" w:rsidP="00DE09C2">
      <w:pPr>
        <w:ind w:firstLine="360"/>
        <w:jc w:val="right"/>
        <w:rPr>
          <w:rFonts w:asciiTheme="majorBidi" w:hAnsiTheme="majorBidi" w:cstheme="majorBidi"/>
          <w:sz w:val="26"/>
          <w:szCs w:val="26"/>
        </w:rPr>
      </w:pPr>
      <w:r w:rsidRPr="00362DA1">
        <w:rPr>
          <w:rFonts w:asciiTheme="majorBidi" w:hAnsiTheme="majorBidi" w:cstheme="majorBidi"/>
          <w:sz w:val="26"/>
          <w:szCs w:val="26"/>
        </w:rPr>
        <w:t>и электронного оборудования для дома и офиса</w:t>
      </w:r>
    </w:p>
    <w:p w:rsidR="00DE09C2" w:rsidRPr="006A101B" w:rsidRDefault="00DE09C2" w:rsidP="00DE09C2">
      <w:pPr>
        <w:ind w:firstLine="360"/>
        <w:jc w:val="right"/>
        <w:rPr>
          <w:rFonts w:asciiTheme="majorBidi" w:hAnsiTheme="majorBidi" w:cstheme="majorBidi"/>
          <w:sz w:val="28"/>
          <w:szCs w:val="24"/>
        </w:rPr>
      </w:pPr>
    </w:p>
    <w:p w:rsidR="00DE09C2" w:rsidRPr="006A101B" w:rsidRDefault="00DE09C2" w:rsidP="00DE09C2">
      <w:pPr>
        <w:ind w:firstLine="360"/>
        <w:jc w:val="center"/>
        <w:rPr>
          <w:rFonts w:asciiTheme="majorBidi" w:hAnsiTheme="majorBidi" w:cstheme="majorBidi"/>
          <w:b/>
          <w:sz w:val="28"/>
          <w:szCs w:val="28"/>
        </w:rPr>
      </w:pPr>
      <w:r w:rsidRPr="006A101B">
        <w:rPr>
          <w:rFonts w:asciiTheme="majorBidi" w:hAnsiTheme="majorBidi" w:cstheme="majorBidi"/>
          <w:b/>
          <w:sz w:val="28"/>
          <w:szCs w:val="24"/>
        </w:rPr>
        <w:t>I.</w:t>
      </w:r>
      <w:r w:rsidRPr="006A101B">
        <w:rPr>
          <w:rFonts w:asciiTheme="majorBidi" w:hAnsiTheme="majorBidi" w:cstheme="majorBidi"/>
          <w:b/>
          <w:sz w:val="28"/>
          <w:szCs w:val="24"/>
        </w:rPr>
        <w:tab/>
      </w:r>
      <w:r w:rsidRPr="006A101B">
        <w:rPr>
          <w:rFonts w:asciiTheme="majorBidi" w:hAnsiTheme="majorBidi" w:cstheme="majorBidi"/>
          <w:b/>
          <w:sz w:val="28"/>
          <w:szCs w:val="28"/>
        </w:rPr>
        <w:t>Требования к экологическому проектированию</w:t>
      </w:r>
    </w:p>
    <w:p w:rsidR="00DE09C2" w:rsidRPr="006A101B" w:rsidRDefault="00DE09C2" w:rsidP="00DE09C2">
      <w:pPr>
        <w:ind w:firstLine="360"/>
        <w:jc w:val="center"/>
        <w:rPr>
          <w:rFonts w:asciiTheme="majorBidi" w:hAnsiTheme="majorBidi" w:cstheme="majorBidi"/>
          <w:b/>
          <w:sz w:val="28"/>
          <w:szCs w:val="24"/>
        </w:rPr>
      </w:pP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b/>
          <w:sz w:val="28"/>
          <w:szCs w:val="24"/>
        </w:rPr>
        <w:t>1.</w:t>
      </w:r>
      <w:r w:rsidRPr="006A101B">
        <w:rPr>
          <w:rFonts w:asciiTheme="majorBidi" w:hAnsiTheme="majorBidi" w:cstheme="majorBidi"/>
          <w:sz w:val="24"/>
        </w:rPr>
        <w:tab/>
      </w:r>
      <w:r w:rsidRPr="006A101B">
        <w:rPr>
          <w:rFonts w:asciiTheme="majorBidi" w:hAnsiTheme="majorBidi" w:cstheme="majorBidi"/>
          <w:sz w:val="28"/>
          <w:szCs w:val="24"/>
        </w:rPr>
        <w:t>По истечении 6 месяцев с даты опубликования в Официальном мониторе Республики Молдова:</w:t>
      </w:r>
      <w:r w:rsidRPr="006A101B">
        <w:rPr>
          <w:rFonts w:asciiTheme="majorBidi" w:hAnsiTheme="majorBidi" w:cstheme="majorBidi"/>
          <w:sz w:val="28"/>
          <w:szCs w:val="24"/>
        </w:rPr>
        <w:tab/>
      </w:r>
    </w:p>
    <w:p w:rsidR="00DE09C2" w:rsidRPr="006A101B" w:rsidRDefault="00DE09C2" w:rsidP="00DE09C2">
      <w:pPr>
        <w:tabs>
          <w:tab w:val="left" w:pos="993"/>
        </w:tabs>
        <w:rPr>
          <w:rFonts w:asciiTheme="majorBidi" w:hAnsiTheme="majorBidi" w:cstheme="majorBidi"/>
          <w:vanish/>
          <w:sz w:val="28"/>
          <w:szCs w:val="24"/>
          <w:lang w:val="en-US"/>
        </w:rPr>
      </w:pPr>
      <w:r w:rsidRPr="006A101B">
        <w:rPr>
          <w:rFonts w:asciiTheme="majorBidi" w:hAnsiTheme="majorBidi" w:cstheme="majorBidi"/>
          <w:vanish/>
          <w:sz w:val="28"/>
          <w:szCs w:val="24"/>
        </w:rPr>
        <w:t>După 6 luni de la data publicării în Monitorul Oficial al Republicii Moldova</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a)</w:t>
      </w:r>
      <w:r w:rsidRPr="006A101B">
        <w:rPr>
          <w:rFonts w:asciiTheme="majorBidi" w:hAnsiTheme="majorBidi" w:cstheme="majorBidi"/>
          <w:sz w:val="28"/>
          <w:szCs w:val="24"/>
        </w:rPr>
        <w:tab/>
        <w:t>Потребляемая мощность в выключенном режиме:</w:t>
      </w:r>
    </w:p>
    <w:p w:rsidR="00DE09C2" w:rsidRPr="006A101B" w:rsidRDefault="00DE09C2" w:rsidP="00DE09C2">
      <w:pPr>
        <w:pStyle w:val="ListParagraph"/>
        <w:numPr>
          <w:ilvl w:val="0"/>
          <w:numId w:val="3"/>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Потребляемая оборудованием мощность в любом состоянии, которое соответствует режиму «выключено», не должна превышать 1,00 ватт.</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b)</w:t>
      </w:r>
      <w:r w:rsidRPr="006A101B">
        <w:rPr>
          <w:rFonts w:asciiTheme="majorBidi" w:hAnsiTheme="majorBidi" w:cstheme="majorBidi"/>
          <w:sz w:val="28"/>
          <w:szCs w:val="24"/>
        </w:rPr>
        <w:tab/>
        <w:t>Потребляемая мощность в режиме ожидания:</w:t>
      </w:r>
    </w:p>
    <w:p w:rsidR="00DE09C2" w:rsidRPr="006A101B" w:rsidRDefault="00DE09C2" w:rsidP="00DE09C2">
      <w:pPr>
        <w:pStyle w:val="ListParagraph"/>
        <w:numPr>
          <w:ilvl w:val="0"/>
          <w:numId w:val="4"/>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Потребляемая оборудованием мощность в любом состоянии, которое обеспечивает только функцию реактивации или только функцию реактивации с индикацией включенной функции реактивации, не должна превышать 1,00 ватт.</w:t>
      </w:r>
    </w:p>
    <w:p w:rsidR="00DE09C2" w:rsidRPr="006A101B" w:rsidRDefault="00DE09C2" w:rsidP="00DE09C2">
      <w:pPr>
        <w:pStyle w:val="ListParagraph"/>
        <w:numPr>
          <w:ilvl w:val="0"/>
          <w:numId w:val="4"/>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Потребляемая оборудованием мощность в любом состоянии, которое обеспечивает только отображение информации или состояния, или которое обеспечивает только сочетание функции реактивации и отображения информации или состояния дисплея, не должна превышать 2,00 ватт.</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c)</w:t>
      </w:r>
      <w:r w:rsidRPr="006A101B">
        <w:rPr>
          <w:rFonts w:asciiTheme="majorBidi" w:hAnsiTheme="majorBidi" w:cstheme="majorBidi"/>
          <w:sz w:val="28"/>
          <w:szCs w:val="24"/>
        </w:rPr>
        <w:tab/>
        <w:t>Наличие режима выключения и / или режима ожидания:</w:t>
      </w:r>
    </w:p>
    <w:p w:rsidR="00DE09C2" w:rsidRPr="006A101B" w:rsidRDefault="00DE09C2" w:rsidP="00DE09C2">
      <w:pPr>
        <w:pStyle w:val="ListParagraph"/>
        <w:numPr>
          <w:ilvl w:val="0"/>
          <w:numId w:val="5"/>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За исключением случаев, когда оборудование не соответствует использованию, для которого оно предназначено, оборудование должно располагать режимом выключено и/или ожидания и/или другим состоянием, которое не превышает требований в отношении энергопотребления, применимых к режиму отключения и / или ожидания, когда оно подключено к сети источника питания.</w:t>
      </w:r>
    </w:p>
    <w:p w:rsidR="00DE09C2" w:rsidRPr="006A101B" w:rsidRDefault="00DE09C2" w:rsidP="00DE09C2">
      <w:pPr>
        <w:tabs>
          <w:tab w:val="left" w:pos="993"/>
        </w:tabs>
        <w:rPr>
          <w:rFonts w:asciiTheme="majorBidi" w:hAnsiTheme="majorBidi" w:cstheme="majorBidi"/>
          <w:b/>
          <w:sz w:val="28"/>
          <w:szCs w:val="24"/>
        </w:rPr>
      </w:pP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b/>
          <w:sz w:val="28"/>
          <w:szCs w:val="24"/>
        </w:rPr>
        <w:t>2.</w:t>
      </w:r>
      <w:r w:rsidRPr="006A101B">
        <w:rPr>
          <w:rFonts w:asciiTheme="majorBidi" w:hAnsiTheme="majorBidi" w:cstheme="majorBidi"/>
          <w:sz w:val="28"/>
          <w:szCs w:val="24"/>
        </w:rPr>
        <w:tab/>
        <w:t>По истечении 12 месяцев с даты опубликования в Официальном мониторе Республики Молдова:</w:t>
      </w:r>
      <w:r w:rsidRPr="006A101B">
        <w:rPr>
          <w:rFonts w:asciiTheme="majorBidi" w:hAnsiTheme="majorBidi" w:cstheme="majorBidi"/>
          <w:vanish/>
          <w:sz w:val="28"/>
          <w:szCs w:val="24"/>
        </w:rPr>
        <w:t>După 9 luni de la data publicării în Monitorul Oficial al Republicii Moldova:</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a)</w:t>
      </w:r>
      <w:r w:rsidRPr="006A101B">
        <w:rPr>
          <w:rFonts w:asciiTheme="majorBidi" w:hAnsiTheme="majorBidi" w:cstheme="majorBidi"/>
          <w:sz w:val="28"/>
          <w:szCs w:val="24"/>
        </w:rPr>
        <w:tab/>
        <w:t>Потребляемая мощность в выключенном режиме:</w:t>
      </w:r>
    </w:p>
    <w:p w:rsidR="00DE09C2" w:rsidRPr="006A101B" w:rsidRDefault="00DE09C2" w:rsidP="00DE09C2">
      <w:pPr>
        <w:pStyle w:val="ListParagraph"/>
        <w:numPr>
          <w:ilvl w:val="0"/>
          <w:numId w:val="5"/>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Потребляемая оборудованием мощность в любом состоянии, которое соответствует режиму «выключено», не должна превышать 0,50 ватт.</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b)</w:t>
      </w:r>
      <w:r w:rsidRPr="006A101B">
        <w:rPr>
          <w:rFonts w:asciiTheme="majorBidi" w:hAnsiTheme="majorBidi" w:cstheme="majorBidi"/>
          <w:sz w:val="28"/>
          <w:szCs w:val="24"/>
        </w:rPr>
        <w:tab/>
        <w:t>Потребляемая мощность в режиме ожидания:</w:t>
      </w:r>
    </w:p>
    <w:p w:rsidR="00DE09C2" w:rsidRPr="006A101B" w:rsidRDefault="00DE09C2" w:rsidP="00DE09C2">
      <w:pPr>
        <w:pStyle w:val="ListParagraph"/>
        <w:numPr>
          <w:ilvl w:val="0"/>
          <w:numId w:val="5"/>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 xml:space="preserve">Потребляемая оборудованием мощность в любом состоянии, которое обеспечивает только функцию реактивации и только функцию реактивации с индикацией включенной функции реактивации, не должна превышать 0,50 ватт. </w:t>
      </w:r>
    </w:p>
    <w:p w:rsidR="00DE09C2" w:rsidRPr="006A101B" w:rsidRDefault="00DE09C2" w:rsidP="00DE09C2">
      <w:pPr>
        <w:pStyle w:val="ListParagraph"/>
        <w:numPr>
          <w:ilvl w:val="0"/>
          <w:numId w:val="5"/>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lastRenderedPageBreak/>
        <w:t>Потребляемая оборудованием мощность в любом состоянии, которое обеспечивает только отображение информации или состояния, или которое обеспечивает только сочетание функции реактивации и отображения информации или состояния дисплея, не должна превышать 1,00 ватт.</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c)</w:t>
      </w:r>
      <w:r w:rsidRPr="006A101B">
        <w:rPr>
          <w:rFonts w:asciiTheme="majorBidi" w:hAnsiTheme="majorBidi" w:cstheme="majorBidi"/>
          <w:sz w:val="28"/>
          <w:szCs w:val="24"/>
        </w:rPr>
        <w:tab/>
        <w:t>Наличие режима выключения и / или режима ожидания:</w:t>
      </w:r>
    </w:p>
    <w:p w:rsidR="00DE09C2" w:rsidRPr="006A101B" w:rsidRDefault="00DE09C2" w:rsidP="00DE09C2">
      <w:pPr>
        <w:pStyle w:val="ListParagraph"/>
        <w:numPr>
          <w:ilvl w:val="0"/>
          <w:numId w:val="6"/>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За исключением случаев, когда оборудование не соответствует использованию, для которого оно предназначено, оборудование должно располагать режимом выключено и/или ожидания и/или другим состоянием, которое не превышает требований в отношении энергопотребления, применимых к режиму отключения и / или ожидания, когда оно подключено к сети источника питания.</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d)</w:t>
      </w:r>
      <w:r w:rsidRPr="006A101B">
        <w:rPr>
          <w:rFonts w:asciiTheme="majorBidi" w:hAnsiTheme="majorBidi" w:cstheme="majorBidi"/>
          <w:sz w:val="28"/>
          <w:szCs w:val="24"/>
        </w:rPr>
        <w:tab/>
        <w:t xml:space="preserve">Управление электропотреблением для всех устройств, которые не являются сетевым оборудованием: </w:t>
      </w:r>
    </w:p>
    <w:p w:rsidR="00DE09C2" w:rsidRPr="006A101B" w:rsidRDefault="00DE09C2" w:rsidP="00DE09C2">
      <w:pPr>
        <w:pStyle w:val="ListParagraph"/>
        <w:numPr>
          <w:ilvl w:val="0"/>
          <w:numId w:val="6"/>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Оборудование должно быть оснащено, насколько это совместимо с его предназначением, функцией управления электропотреблением или аналогичной функцией. Если оборудование не выполняет основную функцию, и если от его функций не зависят другие энергопотребляющие продукты, функция управления энергопотреблением автоматически переключает оборудование после возможного кратчайшего срока целевого использования, предусмотренного для соответствующего оборудования:</w:t>
      </w:r>
    </w:p>
    <w:p w:rsidR="00DE09C2" w:rsidRPr="00362DA1" w:rsidRDefault="00DE09C2" w:rsidP="00DE09C2">
      <w:pPr>
        <w:pStyle w:val="ListParagraph"/>
        <w:numPr>
          <w:ilvl w:val="0"/>
          <w:numId w:val="14"/>
        </w:numPr>
        <w:tabs>
          <w:tab w:val="left" w:pos="993"/>
        </w:tabs>
        <w:ind w:left="0" w:firstLine="709"/>
        <w:rPr>
          <w:rFonts w:asciiTheme="majorBidi" w:hAnsiTheme="majorBidi" w:cstheme="majorBidi"/>
          <w:sz w:val="28"/>
          <w:szCs w:val="24"/>
        </w:rPr>
      </w:pPr>
      <w:r w:rsidRPr="00362DA1">
        <w:rPr>
          <w:rFonts w:asciiTheme="majorBidi" w:hAnsiTheme="majorBidi" w:cstheme="majorBidi"/>
          <w:sz w:val="28"/>
          <w:szCs w:val="24"/>
        </w:rPr>
        <w:t>в режиме ожидания; или</w:t>
      </w:r>
    </w:p>
    <w:p w:rsidR="00DE09C2" w:rsidRPr="00362DA1" w:rsidRDefault="00DE09C2" w:rsidP="00DE09C2">
      <w:pPr>
        <w:pStyle w:val="ListParagraph"/>
        <w:numPr>
          <w:ilvl w:val="0"/>
          <w:numId w:val="14"/>
        </w:numPr>
        <w:tabs>
          <w:tab w:val="left" w:pos="993"/>
        </w:tabs>
        <w:ind w:left="0" w:firstLine="709"/>
        <w:rPr>
          <w:rFonts w:asciiTheme="majorBidi" w:hAnsiTheme="majorBidi" w:cstheme="majorBidi"/>
          <w:sz w:val="28"/>
          <w:szCs w:val="24"/>
        </w:rPr>
      </w:pPr>
      <w:r w:rsidRPr="00362DA1">
        <w:rPr>
          <w:rFonts w:asciiTheme="majorBidi" w:hAnsiTheme="majorBidi" w:cstheme="majorBidi"/>
          <w:sz w:val="28"/>
          <w:szCs w:val="24"/>
        </w:rPr>
        <w:t>в режиме выключения; или</w:t>
      </w:r>
    </w:p>
    <w:p w:rsidR="00DE09C2" w:rsidRPr="00362DA1" w:rsidRDefault="00DE09C2" w:rsidP="00DE09C2">
      <w:pPr>
        <w:pStyle w:val="ListParagraph"/>
        <w:numPr>
          <w:ilvl w:val="0"/>
          <w:numId w:val="14"/>
        </w:numPr>
        <w:tabs>
          <w:tab w:val="left" w:pos="993"/>
        </w:tabs>
        <w:ind w:left="0" w:firstLine="709"/>
        <w:rPr>
          <w:rFonts w:asciiTheme="majorBidi" w:hAnsiTheme="majorBidi" w:cstheme="majorBidi"/>
          <w:sz w:val="28"/>
          <w:szCs w:val="24"/>
        </w:rPr>
      </w:pPr>
      <w:r w:rsidRPr="00362DA1">
        <w:rPr>
          <w:rFonts w:asciiTheme="majorBidi" w:hAnsiTheme="majorBidi" w:cstheme="majorBidi"/>
          <w:sz w:val="28"/>
          <w:szCs w:val="24"/>
        </w:rPr>
        <w:t>другое состояние, которое соблюдает пределы энергопотребления, применимые для режима выключения и / или ожидания, когда оборудование подключено к сети электроэнергии. Функция управления энергопотреблением должна быть включена.</w:t>
      </w:r>
    </w:p>
    <w:p w:rsidR="00DE09C2" w:rsidRPr="006A101B" w:rsidRDefault="00DE09C2" w:rsidP="00DE09C2">
      <w:pPr>
        <w:rPr>
          <w:rFonts w:asciiTheme="majorBidi" w:hAnsiTheme="majorBidi" w:cstheme="majorBidi"/>
          <w:b/>
          <w:sz w:val="28"/>
          <w:szCs w:val="24"/>
        </w:rPr>
      </w:pP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b/>
          <w:sz w:val="28"/>
          <w:szCs w:val="24"/>
        </w:rPr>
        <w:t>3.</w:t>
      </w:r>
      <w:r w:rsidRPr="006A101B">
        <w:rPr>
          <w:rFonts w:asciiTheme="majorBidi" w:hAnsiTheme="majorBidi" w:cstheme="majorBidi"/>
          <w:sz w:val="28"/>
          <w:szCs w:val="24"/>
        </w:rPr>
        <w:t xml:space="preserve"> По истечении 18 месяцев с даты опубликования в Официальном мониторе Республики Молдова:</w:t>
      </w:r>
      <w:r w:rsidRPr="006A101B">
        <w:rPr>
          <w:rFonts w:asciiTheme="majorBidi" w:hAnsiTheme="majorBidi" w:cstheme="majorBidi"/>
          <w:vanish/>
          <w:sz w:val="28"/>
          <w:szCs w:val="24"/>
        </w:rPr>
        <w:t>După 12 luni de la data publicării în Monitorul Oficial al Republicii Moldova:</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 xml:space="preserve">a) Возможность отключения соединения (соединений) беспроводной сети: </w:t>
      </w:r>
    </w:p>
    <w:p w:rsidR="00DE09C2" w:rsidRPr="006A101B" w:rsidRDefault="00DE09C2" w:rsidP="00DE09C2">
      <w:pPr>
        <w:pStyle w:val="ListParagraph"/>
        <w:numPr>
          <w:ilvl w:val="0"/>
          <w:numId w:val="7"/>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Любое сетевое устройство, которое может быть подключено к беспроводной сети, должно предоставить пользователю возможность отключить соединение (соединения) от беспроводной сети. Это требование не распространяется на продукты, которые основываются на одном соединении к беспроводной сети для их использования по назначению, и не располагают соединением к проводной сети.</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b) Управление энергопотреблением для сетевого оборудования:</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lastRenderedPageBreak/>
        <w:t>Оборудование должно быть оснащено, насколько это совместимо с его предназначением, функцией управления электропотреблением или аналогичной функцией.</w:t>
      </w:r>
    </w:p>
    <w:p w:rsidR="00DE09C2" w:rsidRPr="006A101B" w:rsidRDefault="00DE09C2" w:rsidP="00DE09C2">
      <w:pPr>
        <w:pStyle w:val="ListParagraph"/>
        <w:numPr>
          <w:ilvl w:val="0"/>
          <w:numId w:val="8"/>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Если оборудование не выполняет основную функцию, и если от его функций не зависят другие энергопотребляющие продукты, функция управления энергопотреблением автоматически переключает оборудование, после возможного кратчайшего срока целевого использования для соответствующего оборудования, в состояние, обеспечивающее режим ожидания в сети.</w:t>
      </w:r>
    </w:p>
    <w:p w:rsidR="00DE09C2" w:rsidRPr="006A101B" w:rsidRDefault="00DE09C2" w:rsidP="00DE09C2">
      <w:pPr>
        <w:pStyle w:val="ListParagraph"/>
        <w:numPr>
          <w:ilvl w:val="0"/>
          <w:numId w:val="8"/>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В состоянии, которое обеспечивает режим ожидания в сети, функция управления энергопотреблением может автоматически переключать оборудование в режим ожидания или выключения или в другое состояние, которое соблюдает пределы энергопотребления, применимого в режиме ожидания и / или выключения.</w:t>
      </w:r>
    </w:p>
    <w:p w:rsidR="00DE09C2" w:rsidRPr="006A101B" w:rsidRDefault="00DE09C2" w:rsidP="00DE09C2">
      <w:pPr>
        <w:pStyle w:val="ListParagraph"/>
        <w:numPr>
          <w:ilvl w:val="0"/>
          <w:numId w:val="8"/>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Функция управления энергопотреблением или аналогичная функция должна быть доступна для всех сетевых портов сетевого оборудования.</w:t>
      </w:r>
    </w:p>
    <w:p w:rsidR="00DE09C2" w:rsidRPr="006A101B" w:rsidRDefault="00DE09C2" w:rsidP="00DE09C2">
      <w:pPr>
        <w:pStyle w:val="ListParagraph"/>
        <w:numPr>
          <w:ilvl w:val="0"/>
          <w:numId w:val="8"/>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Функция управления энергопотреблением или аналогичная функция должны быть активированы, за исключением случая, если все сетевые порты отключены. В последнем случае, функция управления энергопотреблением или аналогичная функция должны быть активированы, если активируется один из сетевых портов.</w:t>
      </w:r>
    </w:p>
    <w:p w:rsidR="00DE09C2" w:rsidRPr="006A101B" w:rsidRDefault="00DE09C2" w:rsidP="00DE09C2">
      <w:pPr>
        <w:pStyle w:val="ListParagraph"/>
        <w:numPr>
          <w:ilvl w:val="0"/>
          <w:numId w:val="8"/>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Время по умолчанию, после которого функция управления энергопотреблением или аналогичная функция автоматически переключает аппарат в состояние, обеспечивающее режим ожидания, не должно превышать 20 минут.</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c) Сетевое оборудование, которое имеет один или несколько различных режимов ожидания, должно соблюдать требования для соответствующего режима или режимов ожидания, если все сетевые порты отключены.</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d) Сетевое оборудование, которое не является оборудованием HiNa, должно соответствовать положениям подпункта d) пункта 2, если все сетевые порты отключены.</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e) Потребляемая мощность в состоянии, обеспечивающем режим ожидания в сети:</w:t>
      </w:r>
    </w:p>
    <w:p w:rsidR="00DE09C2" w:rsidRPr="006A101B" w:rsidRDefault="00DE09C2" w:rsidP="00DE09C2">
      <w:pPr>
        <w:pStyle w:val="ListParagraph"/>
        <w:numPr>
          <w:ilvl w:val="0"/>
          <w:numId w:val="9"/>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 xml:space="preserve">Потребляемая мощность оборудования HiNA или оборудования с функциональностью HiNA в состоянии, обеспечивающем режим ожидания в сети, в котором оборудование переключается функцией управления энергопотреблением или аналогичной функцией, не должна превышать 12,00 ватт. Потребляемая мощность другого сетевого оборудования в состоянии, обеспечивающем режим ожидания в сети, в котором оборудование переключается функцией управления </w:t>
      </w:r>
      <w:r w:rsidRPr="006A101B">
        <w:rPr>
          <w:rFonts w:asciiTheme="majorBidi" w:hAnsiTheme="majorBidi" w:cstheme="majorBidi"/>
          <w:sz w:val="28"/>
          <w:szCs w:val="24"/>
        </w:rPr>
        <w:lastRenderedPageBreak/>
        <w:t xml:space="preserve">энергопотреблением или аналогичной функцией, не должна превышать 6,00 ватт. </w:t>
      </w:r>
    </w:p>
    <w:p w:rsidR="00DE09C2" w:rsidRPr="006A101B" w:rsidRDefault="00DE09C2" w:rsidP="00DE09C2">
      <w:pPr>
        <w:pStyle w:val="ListParagraph"/>
        <w:numPr>
          <w:ilvl w:val="0"/>
          <w:numId w:val="9"/>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Ограничения на потребление энергии, установленные в пункте е), не применяются к следующему оборудованию:</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1) печатное оборудование с источниками питания с номинальным напряжением более 750 ватт;</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2) широкоформатное полиграфическое оборудование;</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3) системы телеприсутствия;</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4) настольный «тонкий аппаратный клиент»;</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5) рабочие станции;</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6) мобильные рабочие станции;</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7) малогабаритные серверы;</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8) компьютерные серверы.</w:t>
      </w:r>
    </w:p>
    <w:p w:rsidR="00DE09C2" w:rsidRPr="006A101B" w:rsidRDefault="00DE09C2" w:rsidP="00DE09C2">
      <w:pPr>
        <w:rPr>
          <w:rFonts w:asciiTheme="majorBidi" w:hAnsiTheme="majorBidi" w:cstheme="majorBidi"/>
          <w:b/>
          <w:sz w:val="28"/>
          <w:szCs w:val="24"/>
        </w:rPr>
      </w:pP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b/>
          <w:sz w:val="28"/>
          <w:szCs w:val="24"/>
        </w:rPr>
        <w:t>4.</w:t>
      </w:r>
      <w:r w:rsidRPr="006A101B">
        <w:rPr>
          <w:rFonts w:asciiTheme="majorBidi" w:hAnsiTheme="majorBidi" w:cstheme="majorBidi"/>
          <w:sz w:val="28"/>
          <w:szCs w:val="24"/>
        </w:rPr>
        <w:t xml:space="preserve"> По истечении 24 месяцев </w:t>
      </w:r>
      <w:r w:rsidRPr="006A101B">
        <w:rPr>
          <w:rFonts w:asciiTheme="majorBidi" w:hAnsiTheme="majorBidi" w:cstheme="majorBidi"/>
          <w:sz w:val="28"/>
          <w:szCs w:val="24"/>
          <w:lang w:val="en-US"/>
        </w:rPr>
        <w:t>c</w:t>
      </w:r>
      <w:r w:rsidRPr="006A101B">
        <w:rPr>
          <w:rFonts w:asciiTheme="majorBidi" w:hAnsiTheme="majorBidi" w:cstheme="majorBidi"/>
          <w:sz w:val="28"/>
          <w:szCs w:val="24"/>
        </w:rPr>
        <w:t xml:space="preserve"> даты опубликования в Официальном мониторе Республики Молдова:</w:t>
      </w:r>
      <w:r w:rsidRPr="006A101B">
        <w:rPr>
          <w:rFonts w:asciiTheme="majorBidi" w:hAnsiTheme="majorBidi" w:cstheme="majorBidi"/>
          <w:vanish/>
          <w:sz w:val="28"/>
          <w:szCs w:val="24"/>
        </w:rPr>
        <w:t>După 24 luni de la data publicării în Monitorul Oficial al Republicii Moldova:</w:t>
      </w:r>
    </w:p>
    <w:p w:rsidR="00DE09C2" w:rsidRPr="006A101B" w:rsidRDefault="00DE09C2" w:rsidP="00DE09C2">
      <w:pPr>
        <w:pStyle w:val="ListParagraph"/>
        <w:numPr>
          <w:ilvl w:val="0"/>
          <w:numId w:val="10"/>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В дополнение к требованиям подпунктов а) и b) пункта 3 применяются следующие положения:</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a) Сетевые оборудования, которые имеют один или несколько режимов ожидания, должны соблюдать требования для соответствующих режимов ожидания в случае, когда все проводные сетевые порты отключаются, когда все сетевые порты беспроводных отключены.</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b) Сетевое оборудование, которое не является оборудованием HiNA, должно соответствовать положениям подпункта d) пункта 2, в случае, когда все проводные сетевые порты отключены, и когда все беспроводные сетевые порты дезактивированы.</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 xml:space="preserve">c) Потребляемая мощность в состоянии, обеспечивающем режим ожидания в сети: </w:t>
      </w:r>
    </w:p>
    <w:p w:rsidR="00DE09C2" w:rsidRPr="006A101B" w:rsidRDefault="00DE09C2" w:rsidP="00DE09C2">
      <w:pPr>
        <w:pStyle w:val="ListParagraph"/>
        <w:numPr>
          <w:ilvl w:val="0"/>
          <w:numId w:val="10"/>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 xml:space="preserve">Потребляемая мощность оборудования HiNA или оборудования с функциональностью HiNA в состоянии, обеспечивающем режим ожидания в сети, в котором оборудование переключается функцией управления энергопотреблением или аналогичной функцией, не должна превышать 8,00 ватт.   </w:t>
      </w:r>
    </w:p>
    <w:p w:rsidR="00DE09C2" w:rsidRPr="006A101B" w:rsidRDefault="00DE09C2" w:rsidP="00DE09C2">
      <w:pPr>
        <w:pStyle w:val="ListParagraph"/>
        <w:numPr>
          <w:ilvl w:val="0"/>
          <w:numId w:val="10"/>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Потребляемая мощность другого сетевого оборудования в состоянии, обеспечивающем режим ожидания в сети, в котором оборудование переключается функцией управления энергопотреблением или аналогичной функцией, не должна превышать 3,00 ватт.</w:t>
      </w:r>
    </w:p>
    <w:p w:rsidR="00DE09C2" w:rsidRPr="006A101B" w:rsidRDefault="00DE09C2" w:rsidP="00DE09C2">
      <w:pPr>
        <w:pStyle w:val="ListParagraph"/>
        <w:numPr>
          <w:ilvl w:val="0"/>
          <w:numId w:val="10"/>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Ограничения на потребление энергии, указанные в подпункте с), не применяются к следующему оборудованию:</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1) широкоформатное полиграфическое оборудование;</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2) настольный «тонкий аппаратный клиент»;</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3) рабочие станции;</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4) мобильные рабочие станции;</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lastRenderedPageBreak/>
        <w:t>5) малогабаритные серверы;</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6) компьютерные серверы.</w:t>
      </w:r>
    </w:p>
    <w:p w:rsidR="00DE09C2" w:rsidRPr="006A101B" w:rsidRDefault="00DE09C2" w:rsidP="00DE09C2">
      <w:pPr>
        <w:rPr>
          <w:rFonts w:asciiTheme="majorBidi" w:hAnsiTheme="majorBidi" w:cstheme="majorBidi"/>
          <w:b/>
          <w:sz w:val="28"/>
          <w:szCs w:val="24"/>
        </w:rPr>
      </w:pP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b/>
          <w:sz w:val="28"/>
          <w:szCs w:val="24"/>
        </w:rPr>
        <w:t>5.</w:t>
      </w:r>
      <w:r w:rsidRPr="006A101B">
        <w:rPr>
          <w:rFonts w:asciiTheme="majorBidi" w:hAnsiTheme="majorBidi" w:cstheme="majorBidi"/>
          <w:sz w:val="28"/>
          <w:szCs w:val="24"/>
        </w:rPr>
        <w:t xml:space="preserve">  По истечении 30 месяцев со дня опубликования в Официальном мониторе Республики Молдова:</w:t>
      </w:r>
      <w:r w:rsidRPr="006A101B">
        <w:rPr>
          <w:rFonts w:asciiTheme="majorBidi" w:hAnsiTheme="majorBidi" w:cstheme="majorBidi"/>
          <w:vanish/>
          <w:sz w:val="28"/>
          <w:szCs w:val="24"/>
        </w:rPr>
        <w:t>După 30 luni de la data publicării în Monitorul Oficial al Republicii Moldova:</w:t>
      </w:r>
    </w:p>
    <w:p w:rsidR="00DE09C2" w:rsidRPr="006A101B" w:rsidRDefault="00DE09C2" w:rsidP="00DE09C2">
      <w:pPr>
        <w:pStyle w:val="ListParagraph"/>
        <w:numPr>
          <w:ilvl w:val="0"/>
          <w:numId w:val="11"/>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В дополнение к требованиям подпунктов а) и b) пункта 3 и подпунктов a), b) и c) пункта 4 для сетевого оборудования, отличного от оборудования HiNA или другого, чем оборудование с функциональностью HiNA, применяются следующие положения:</w:t>
      </w:r>
    </w:p>
    <w:p w:rsidR="00DE09C2" w:rsidRPr="006A101B" w:rsidRDefault="00DE09C2" w:rsidP="00DE09C2">
      <w:pPr>
        <w:pStyle w:val="ListParagraph"/>
        <w:numPr>
          <w:ilvl w:val="0"/>
          <w:numId w:val="12"/>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Потребляемая мощность сетевого оборудования, другого, чем оборудование HiNA, или другого, чем оборудование с функциональностью HiNA, в состоянии, обеспечивающем режим ожидания в сети, в которое оборудование переключается функцией управления энергопотреблением или аналогичной функцией, не должна превышать 2,00 ватт.</w:t>
      </w:r>
    </w:p>
    <w:p w:rsidR="00DE09C2" w:rsidRPr="006A101B" w:rsidRDefault="00DE09C2" w:rsidP="00DE09C2">
      <w:pPr>
        <w:tabs>
          <w:tab w:val="left" w:pos="1134"/>
        </w:tabs>
        <w:rPr>
          <w:rFonts w:asciiTheme="majorBidi" w:hAnsiTheme="majorBidi" w:cstheme="majorBidi"/>
          <w:b/>
          <w:sz w:val="28"/>
          <w:szCs w:val="24"/>
        </w:rPr>
      </w:pPr>
    </w:p>
    <w:p w:rsidR="00DE09C2" w:rsidRPr="006A101B" w:rsidRDefault="00DE09C2" w:rsidP="00DE09C2">
      <w:pPr>
        <w:tabs>
          <w:tab w:val="left" w:pos="1134"/>
        </w:tabs>
        <w:rPr>
          <w:rFonts w:asciiTheme="majorBidi" w:hAnsiTheme="majorBidi" w:cstheme="majorBidi"/>
          <w:b/>
          <w:sz w:val="28"/>
          <w:szCs w:val="24"/>
        </w:rPr>
      </w:pPr>
      <w:r w:rsidRPr="006A101B">
        <w:rPr>
          <w:rFonts w:asciiTheme="majorBidi" w:hAnsiTheme="majorBidi" w:cstheme="majorBidi"/>
          <w:b/>
          <w:sz w:val="28"/>
          <w:szCs w:val="24"/>
        </w:rPr>
        <w:t>6.</w:t>
      </w:r>
      <w:r w:rsidRPr="006A101B">
        <w:rPr>
          <w:rFonts w:asciiTheme="majorBidi" w:hAnsiTheme="majorBidi" w:cstheme="majorBidi"/>
          <w:sz w:val="28"/>
          <w:szCs w:val="24"/>
        </w:rPr>
        <w:t xml:space="preserve"> По истечении 18 месяцев с даты опубликования в Официальном мониторе Республики Молдова:</w:t>
      </w:r>
      <w:r w:rsidRPr="006A101B">
        <w:rPr>
          <w:rFonts w:asciiTheme="majorBidi" w:hAnsiTheme="majorBidi" w:cstheme="majorBidi"/>
          <w:vanish/>
          <w:sz w:val="28"/>
          <w:szCs w:val="24"/>
        </w:rPr>
        <w:t>După 6 luni de la data publicării în Monitorul Oficial al Republicii Moldova:</w:t>
      </w:r>
    </w:p>
    <w:p w:rsidR="00DE09C2" w:rsidRPr="006A101B" w:rsidRDefault="00DE09C2" w:rsidP="00DE09C2">
      <w:pPr>
        <w:pStyle w:val="ListParagraph"/>
        <w:numPr>
          <w:ilvl w:val="0"/>
          <w:numId w:val="11"/>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Для кофеварок, определено следующее время, после которого продукт автоматически переключается в режимы и состояния, указанные в подпункте d) пункта 2 настоящего приложения:</w:t>
      </w:r>
    </w:p>
    <w:p w:rsidR="00DE09C2" w:rsidRPr="006A101B" w:rsidRDefault="00DE09C2" w:rsidP="00DE09C2">
      <w:pPr>
        <w:pStyle w:val="ListParagraph"/>
        <w:numPr>
          <w:ilvl w:val="0"/>
          <w:numId w:val="13"/>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в случае бытовых фильтров для кофе, в которых кофе поступает в отдельную емкость, максимум пять минут после завершения последнего цикла приготовления или 30 минут после окончания процесса удаления накипи или  самоочистки;</w:t>
      </w:r>
    </w:p>
    <w:p w:rsidR="00DE09C2" w:rsidRPr="006A101B" w:rsidRDefault="00DE09C2" w:rsidP="00DE09C2">
      <w:pPr>
        <w:pStyle w:val="ListParagraph"/>
        <w:numPr>
          <w:ilvl w:val="0"/>
          <w:numId w:val="13"/>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в случае бытовых фильтров для кофе, в которых кофе поступает не в отдельную емкость, максимум 40 минут после завершения последнего цикла приготовления и в течение 30 минут после окончания процесса удаления накипи или самоочистки;</w:t>
      </w:r>
    </w:p>
    <w:p w:rsidR="00DE09C2" w:rsidRPr="006A101B" w:rsidRDefault="00DE09C2" w:rsidP="00DE09C2">
      <w:pPr>
        <w:pStyle w:val="ListParagraph"/>
        <w:numPr>
          <w:ilvl w:val="0"/>
          <w:numId w:val="13"/>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в случае бытовых кофемашин, которые не являются фильтрами для кофе, максимум 30 минут после завершения последнего цикла приготовления или максимум 30 минут после включения нагревательного элемента, или максимум 60 минут после активации функции предварительного нагрева чашки, или максимум 30 минут после окончания процесса удаления накипи либо  самоочистки, за исключением случая, когда срабатывает сигнал тревоги, требующий вмешательства пользователя, для предупреждения возможных повреждений или возможной аварии.</w:t>
      </w:r>
    </w:p>
    <w:p w:rsidR="00DE09C2" w:rsidRPr="006A101B" w:rsidRDefault="00DE09C2" w:rsidP="00DE09C2">
      <w:pPr>
        <w:pStyle w:val="ListParagraph"/>
        <w:numPr>
          <w:ilvl w:val="0"/>
          <w:numId w:val="11"/>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До указанной выше даты требования к экологическому проектированию, изложенные в подпункте d) пункта 2 настоящего приложения, не применяются.</w:t>
      </w:r>
    </w:p>
    <w:p w:rsidR="00DE09C2" w:rsidRPr="006A101B" w:rsidRDefault="00DE09C2" w:rsidP="00DE09C2">
      <w:pPr>
        <w:pStyle w:val="ListParagraph"/>
        <w:tabs>
          <w:tab w:val="left" w:pos="1134"/>
        </w:tabs>
        <w:spacing w:after="0" w:line="240" w:lineRule="auto"/>
        <w:ind w:left="709"/>
        <w:jc w:val="both"/>
        <w:rPr>
          <w:rFonts w:asciiTheme="majorBidi" w:hAnsiTheme="majorBidi" w:cstheme="majorBidi"/>
          <w:sz w:val="28"/>
          <w:szCs w:val="24"/>
        </w:rPr>
      </w:pPr>
    </w:p>
    <w:p w:rsidR="00DE09C2" w:rsidRPr="006A101B" w:rsidRDefault="00DE09C2" w:rsidP="00DE09C2">
      <w:pPr>
        <w:pStyle w:val="ListParagraph"/>
        <w:numPr>
          <w:ilvl w:val="0"/>
          <w:numId w:val="2"/>
        </w:numPr>
        <w:spacing w:after="0" w:line="240" w:lineRule="auto"/>
        <w:ind w:left="0" w:firstLine="0"/>
        <w:jc w:val="center"/>
        <w:rPr>
          <w:rFonts w:asciiTheme="majorBidi" w:hAnsiTheme="majorBidi" w:cstheme="majorBidi"/>
          <w:b/>
          <w:sz w:val="28"/>
          <w:szCs w:val="24"/>
        </w:rPr>
      </w:pPr>
      <w:r w:rsidRPr="006A101B">
        <w:rPr>
          <w:rFonts w:asciiTheme="majorBidi" w:hAnsiTheme="majorBidi" w:cstheme="majorBidi"/>
          <w:b/>
          <w:sz w:val="28"/>
          <w:szCs w:val="24"/>
        </w:rPr>
        <w:lastRenderedPageBreak/>
        <w:t>Требования к информации о продукте</w:t>
      </w:r>
    </w:p>
    <w:p w:rsidR="00DE09C2" w:rsidRPr="006A101B" w:rsidRDefault="00DE09C2" w:rsidP="00DE09C2">
      <w:pPr>
        <w:rPr>
          <w:rFonts w:asciiTheme="majorBidi" w:hAnsiTheme="majorBidi" w:cstheme="majorBidi"/>
          <w:b/>
          <w:sz w:val="28"/>
          <w:szCs w:val="24"/>
          <w:lang w:val="en-US"/>
        </w:rPr>
      </w:pP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b/>
          <w:sz w:val="28"/>
          <w:szCs w:val="24"/>
        </w:rPr>
        <w:t>7.</w:t>
      </w:r>
      <w:r w:rsidRPr="006A101B">
        <w:rPr>
          <w:rFonts w:asciiTheme="majorBidi" w:hAnsiTheme="majorBidi" w:cstheme="majorBidi"/>
          <w:sz w:val="28"/>
          <w:szCs w:val="24"/>
        </w:rPr>
        <w:t xml:space="preserve"> По истечении 18 месяцев с даты опубликования в Официальном мониторе Республики Молдова на сайтах производителей с бесплатным доступом должны быть представлены следующие сведения о сетевом оборудовании:</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a) для каждого режима ожидания и / или выключения и состояния, обеспечивающего режим ожидания в сети, в который оборудование переключается функцией управления энергопотреблением или аналогичной функцией:</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 потребляемая мощность в ваттах, округленная до первого десятичного знака;</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 время, после которого функция управления энергопотреблением или аналогичная функция автоматически переключает аппарат в режим ожидания и / или выключения и / или в состояние, обеспечивающее режим ожидания в сети;</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b) потребляемая мощность продукта в режиме ожидания в сети, когда все проводные сетевые порты подключены, и когда все беспроводные сетевые порты активированы;</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c) инструкции о том, как активируются и деактивируются беспроводные сетевые порты.</w:t>
      </w:r>
    </w:p>
    <w:p w:rsidR="00DE09C2" w:rsidRPr="006A101B" w:rsidRDefault="00DE09C2" w:rsidP="00DE09C2">
      <w:pPr>
        <w:pStyle w:val="ListParagraph"/>
        <w:numPr>
          <w:ilvl w:val="0"/>
          <w:numId w:val="11"/>
        </w:numPr>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Потребляемая мощность продукта в режиме ожидания в сети, указанная в подпункте b), и инструкции, указанные в подпункте с), также должны быть включены в руководство по использованию.</w:t>
      </w:r>
    </w:p>
    <w:p w:rsidR="00DE09C2" w:rsidRPr="006A101B" w:rsidRDefault="00DE09C2" w:rsidP="00DE09C2">
      <w:pPr>
        <w:pStyle w:val="ListParagraph"/>
        <w:spacing w:after="0" w:line="240" w:lineRule="auto"/>
        <w:ind w:left="709"/>
        <w:jc w:val="both"/>
        <w:rPr>
          <w:rFonts w:asciiTheme="majorBidi" w:hAnsiTheme="majorBidi" w:cstheme="majorBidi"/>
          <w:sz w:val="28"/>
          <w:szCs w:val="24"/>
        </w:rPr>
      </w:pPr>
    </w:p>
    <w:p w:rsidR="00DE09C2" w:rsidRPr="006A101B" w:rsidRDefault="00DE09C2" w:rsidP="00DE09C2">
      <w:pPr>
        <w:pStyle w:val="ListParagraph"/>
        <w:numPr>
          <w:ilvl w:val="0"/>
          <w:numId w:val="2"/>
        </w:numPr>
        <w:spacing w:after="0" w:line="240" w:lineRule="auto"/>
        <w:ind w:left="0" w:firstLine="0"/>
        <w:jc w:val="center"/>
        <w:rPr>
          <w:rFonts w:asciiTheme="majorBidi" w:hAnsiTheme="majorBidi" w:cstheme="majorBidi"/>
          <w:b/>
          <w:sz w:val="28"/>
          <w:szCs w:val="24"/>
        </w:rPr>
      </w:pPr>
      <w:r w:rsidRPr="006A101B">
        <w:rPr>
          <w:rFonts w:asciiTheme="majorBidi" w:hAnsiTheme="majorBidi" w:cstheme="majorBidi"/>
          <w:b/>
          <w:sz w:val="28"/>
          <w:szCs w:val="24"/>
        </w:rPr>
        <w:t xml:space="preserve">Измерения </w:t>
      </w:r>
    </w:p>
    <w:p w:rsidR="00DE09C2" w:rsidRPr="006A101B" w:rsidRDefault="00DE09C2" w:rsidP="00DE09C2">
      <w:pPr>
        <w:rPr>
          <w:rFonts w:asciiTheme="majorBidi" w:hAnsiTheme="majorBidi" w:cstheme="majorBidi"/>
          <w:b/>
          <w:sz w:val="28"/>
          <w:szCs w:val="24"/>
          <w:lang w:val="en-US"/>
        </w:rPr>
      </w:pP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b/>
          <w:sz w:val="28"/>
          <w:szCs w:val="24"/>
        </w:rPr>
        <w:t xml:space="preserve">8. </w:t>
      </w:r>
      <w:r w:rsidRPr="006A101B">
        <w:rPr>
          <w:rFonts w:asciiTheme="majorBidi" w:hAnsiTheme="majorBidi" w:cstheme="majorBidi"/>
          <w:sz w:val="28"/>
          <w:szCs w:val="24"/>
        </w:rPr>
        <w:t>Значения потребляемой мощности, указанные в подпунктах a) и b) пункта 1, в подпунктах а) и b) пункта 2, в подпункте е) пункта 3, в подпункте с) пункта 4 и в пункте 5, а также временные характеристики, указанные в пункте 6, определяются, используя процедуры безопасного, точного и воспроизводимого измерения, в соответствии с методиками, общепризнанными как   методики последнего поколения.</w:t>
      </w:r>
    </w:p>
    <w:p w:rsidR="00DE09C2" w:rsidRPr="006A101B" w:rsidRDefault="00DE09C2" w:rsidP="00DE09C2">
      <w:pPr>
        <w:jc w:val="center"/>
        <w:rPr>
          <w:rFonts w:asciiTheme="majorBidi" w:hAnsiTheme="majorBidi" w:cstheme="majorBidi"/>
          <w:b/>
          <w:sz w:val="28"/>
          <w:szCs w:val="24"/>
        </w:rPr>
      </w:pPr>
    </w:p>
    <w:p w:rsidR="00DE09C2" w:rsidRPr="006A101B" w:rsidRDefault="00DE09C2" w:rsidP="00DE09C2">
      <w:pPr>
        <w:jc w:val="center"/>
        <w:rPr>
          <w:rFonts w:asciiTheme="majorBidi" w:hAnsiTheme="majorBidi" w:cstheme="majorBidi"/>
          <w:b/>
          <w:sz w:val="28"/>
          <w:szCs w:val="24"/>
        </w:rPr>
      </w:pPr>
      <w:r w:rsidRPr="006A101B">
        <w:rPr>
          <w:rFonts w:asciiTheme="majorBidi" w:hAnsiTheme="majorBidi" w:cstheme="majorBidi"/>
          <w:b/>
          <w:sz w:val="28"/>
          <w:szCs w:val="24"/>
        </w:rPr>
        <w:t>IV. Информация, предоставляемая производителями</w:t>
      </w:r>
    </w:p>
    <w:p w:rsidR="00DE09C2" w:rsidRPr="006A101B" w:rsidRDefault="00DE09C2" w:rsidP="00DE09C2">
      <w:pPr>
        <w:rPr>
          <w:rFonts w:asciiTheme="majorBidi" w:hAnsiTheme="majorBidi" w:cstheme="majorBidi"/>
          <w:b/>
          <w:sz w:val="28"/>
          <w:szCs w:val="24"/>
        </w:rPr>
      </w:pP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b/>
          <w:sz w:val="28"/>
          <w:szCs w:val="24"/>
        </w:rPr>
        <w:t>9.</w:t>
      </w:r>
      <w:r w:rsidRPr="006A101B">
        <w:rPr>
          <w:rFonts w:asciiTheme="majorBidi" w:hAnsiTheme="majorBidi" w:cstheme="majorBidi"/>
          <w:sz w:val="28"/>
          <w:szCs w:val="24"/>
        </w:rPr>
        <w:t xml:space="preserve"> В целях оценки соответствия на основании пункта 5 техническая документация должна содержать следующие элементы:</w:t>
      </w:r>
    </w:p>
    <w:p w:rsidR="00DE09C2" w:rsidRPr="006A101B" w:rsidRDefault="00DE09C2" w:rsidP="00DE09C2">
      <w:pPr>
        <w:rPr>
          <w:rFonts w:asciiTheme="majorBidi" w:hAnsiTheme="majorBidi" w:cstheme="majorBidi"/>
          <w:sz w:val="28"/>
          <w:szCs w:val="24"/>
        </w:rPr>
      </w:pPr>
      <w:r w:rsidRPr="006A101B">
        <w:rPr>
          <w:rFonts w:asciiTheme="majorBidi" w:hAnsiTheme="majorBidi" w:cstheme="majorBidi"/>
          <w:sz w:val="28"/>
          <w:szCs w:val="24"/>
        </w:rPr>
        <w:t>a) для режима ожидания и / или выключения:</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значение потребляемой мощности в ваттах, округленной до первого десятичного знака;</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способ измерения;</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lastRenderedPageBreak/>
        <w:t>-</w:t>
      </w:r>
      <w:r w:rsidRPr="006A101B">
        <w:rPr>
          <w:rFonts w:asciiTheme="majorBidi" w:hAnsiTheme="majorBidi" w:cstheme="majorBidi"/>
          <w:sz w:val="28"/>
          <w:szCs w:val="24"/>
        </w:rPr>
        <w:tab/>
        <w:t>описание способа, которым был выбран или запрограммирован режим устройства;</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последовательность событий, предшествующих автоматическому переключению из одного режима в другой;</w:t>
      </w:r>
    </w:p>
    <w:p w:rsidR="00DE09C2" w:rsidRPr="006A101B" w:rsidRDefault="00DE09C2" w:rsidP="00DE09C2">
      <w:pPr>
        <w:pStyle w:val="ListParagraph"/>
        <w:numPr>
          <w:ilvl w:val="0"/>
          <w:numId w:val="1"/>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любые замечания по эксплуатации оборудования, например, информация о режиме, в котором пользователь может переключить оборудование в состояние, обеспечивающее режим ожидания в сети;</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по необходимости, время, после которого функция управления энергопотреблением или аналогичная функция автоматически переключает оборудование в соответствующий режим или состояние с низким энергопотреблением;</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b) для сетевого оборудования:</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количество и тип сетевых портов, за исключением беспроводных сетевых портов, их расположение на оборудовании; в частности, следует уточнить, вмещает ли один и тот же физической сетевой порт два или более типов сетевых портов;</w:t>
      </w:r>
    </w:p>
    <w:p w:rsidR="00DE09C2" w:rsidRPr="006A101B" w:rsidRDefault="00DE09C2" w:rsidP="00DE09C2">
      <w:pPr>
        <w:pStyle w:val="ListParagraph"/>
        <w:numPr>
          <w:ilvl w:val="0"/>
          <w:numId w:val="1"/>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уточнить, если деактивированы все сетевые порты перед поставкой;</w:t>
      </w:r>
    </w:p>
    <w:p w:rsidR="00DE09C2" w:rsidRPr="006A101B" w:rsidRDefault="00DE09C2" w:rsidP="00DE09C2">
      <w:pPr>
        <w:pStyle w:val="ListParagraph"/>
        <w:numPr>
          <w:ilvl w:val="0"/>
          <w:numId w:val="1"/>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уточнить, является ли продукт оборудованием HiNA или оборудованием с функциональностью HiNA; если не была предоставлена какая-либо информации в связи с этим, это не считается необходимым;</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и для каждого типа сетевого порта:</w:t>
      </w:r>
    </w:p>
    <w:p w:rsidR="00DE09C2" w:rsidRPr="006A101B" w:rsidRDefault="00DE09C2" w:rsidP="00DE09C2">
      <w:pPr>
        <w:pStyle w:val="ListParagraph"/>
        <w:numPr>
          <w:ilvl w:val="0"/>
          <w:numId w:val="1"/>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время, после которого функция управления энергопотреблением или аналогичная функция автоматически переключает аппарат в состояние, обеспечивающее режим ожидания в сети;</w:t>
      </w:r>
    </w:p>
    <w:p w:rsidR="00DE09C2" w:rsidRPr="006A101B" w:rsidRDefault="00DE09C2" w:rsidP="00DE09C2">
      <w:pPr>
        <w:pStyle w:val="ListParagraph"/>
        <w:numPr>
          <w:ilvl w:val="0"/>
          <w:numId w:val="1"/>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фактор, который реактивирует оборудование;</w:t>
      </w:r>
    </w:p>
    <w:p w:rsidR="00DE09C2" w:rsidRPr="006A101B" w:rsidRDefault="00DE09C2" w:rsidP="00DE09C2">
      <w:pPr>
        <w:pStyle w:val="ListParagraph"/>
        <w:numPr>
          <w:ilvl w:val="0"/>
          <w:numId w:val="1"/>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значения (максимальные) производительности;</w:t>
      </w:r>
    </w:p>
    <w:p w:rsidR="00DE09C2" w:rsidRPr="006A101B" w:rsidRDefault="00DE09C2" w:rsidP="00DE09C2">
      <w:pPr>
        <w:pStyle w:val="ListParagraph"/>
        <w:numPr>
          <w:ilvl w:val="0"/>
          <w:numId w:val="1"/>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(максимальный) уровень потребляемой мощности оборудования в состоянии, обеспечивающем режим ожидания в сети, в которое оборудование переключается функцией управления потреблением энергии или аналогичной функцией, если соответствующий порт используется только для активации на расстоянии;</w:t>
      </w:r>
    </w:p>
    <w:p w:rsidR="00DE09C2" w:rsidRPr="006A101B" w:rsidRDefault="00DE09C2" w:rsidP="00DE09C2">
      <w:pPr>
        <w:pStyle w:val="ListParagraph"/>
        <w:numPr>
          <w:ilvl w:val="0"/>
          <w:numId w:val="1"/>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 xml:space="preserve">протокол связи, используемый оборудованием. </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 Если не предоставлено никакой информации в связи с этим, считается, что оборудование не является сетевым оборудованием, за исключением случаев, когда оно оснащено функциями маршрутизатора, сетевого переключателя, точки доступа к беспроводной сети (которая не является терминалом), хаба, модема, интернет-телефона (VoIP) и видеофона;</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c) испытательные параметры для измерений:</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температура окружающей среды;</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тестовое напряжение в вольтах и частоты в Гц;</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общее нелинейное искажение системы электропитания;</w:t>
      </w:r>
    </w:p>
    <w:p w:rsidR="00DE09C2" w:rsidRPr="006A101B" w:rsidRDefault="00DE09C2" w:rsidP="00DE09C2">
      <w:pPr>
        <w:tabs>
          <w:tab w:val="left" w:pos="993"/>
        </w:tabs>
        <w:rPr>
          <w:rFonts w:asciiTheme="majorBidi" w:hAnsiTheme="majorBidi" w:cstheme="majorBidi"/>
          <w:sz w:val="28"/>
          <w:szCs w:val="24"/>
        </w:rPr>
      </w:pPr>
      <w:r w:rsidRPr="006A101B">
        <w:rPr>
          <w:rFonts w:asciiTheme="majorBidi" w:hAnsiTheme="majorBidi" w:cstheme="majorBidi"/>
          <w:sz w:val="28"/>
          <w:szCs w:val="24"/>
        </w:rPr>
        <w:lastRenderedPageBreak/>
        <w:t>-</w:t>
      </w:r>
      <w:r w:rsidRPr="006A101B">
        <w:rPr>
          <w:rFonts w:asciiTheme="majorBidi" w:hAnsiTheme="majorBidi" w:cstheme="majorBidi"/>
          <w:sz w:val="28"/>
          <w:szCs w:val="24"/>
        </w:rPr>
        <w:tab/>
        <w:t>информация и документация об устройстве, конфигурация и схемы, используемые для проведения электрических испытаний;</w:t>
      </w:r>
    </w:p>
    <w:p w:rsidR="00DE09C2" w:rsidRPr="006A101B" w:rsidRDefault="00DE09C2" w:rsidP="00DE09C2">
      <w:pPr>
        <w:tabs>
          <w:tab w:val="left" w:pos="1134"/>
        </w:tabs>
        <w:rPr>
          <w:rFonts w:asciiTheme="majorBidi" w:hAnsiTheme="majorBidi" w:cstheme="majorBidi"/>
          <w:sz w:val="28"/>
          <w:szCs w:val="24"/>
        </w:rPr>
      </w:pPr>
      <w:r w:rsidRPr="006A101B">
        <w:rPr>
          <w:rFonts w:asciiTheme="majorBidi" w:hAnsiTheme="majorBidi" w:cstheme="majorBidi"/>
          <w:sz w:val="28"/>
          <w:szCs w:val="24"/>
        </w:rPr>
        <w:t xml:space="preserve">d) характеристики оборудования, имеющие значение для оценки соответствия требованиям, изложенным в подпункте с) пункта 1, или  требованиям, установленным в подпункте с) и / или d) пункта 2, и / или в подпункте b) пункта 3, по необходимости, включая время, необходимое для автоматического перехода в режим ожидания или выключения или в другое состояние, в котором соблюдаются пределы потребляемой мощности, применимые к режиму выключения и / или режиму ожидания. </w:t>
      </w:r>
    </w:p>
    <w:p w:rsidR="00DE09C2" w:rsidRPr="006A101B" w:rsidRDefault="00DE09C2" w:rsidP="00DE09C2">
      <w:pPr>
        <w:pStyle w:val="ListParagraph"/>
        <w:numPr>
          <w:ilvl w:val="0"/>
          <w:numId w:val="11"/>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В частности, по необходимости, должно предоставляться техническое обоснование, что требования, установленные в подпункте с) пункта 1, или требования, указанные в подпункте с) и/или d) пункта 2 и/ или в подпункте b) пункта 3, не совместимы с предполагаемым использованием оборудования.</w:t>
      </w:r>
    </w:p>
    <w:p w:rsidR="00DE09C2" w:rsidRPr="006A101B" w:rsidRDefault="00DE09C2" w:rsidP="00DE09C2">
      <w:pPr>
        <w:pStyle w:val="ListParagraph"/>
        <w:numPr>
          <w:ilvl w:val="0"/>
          <w:numId w:val="11"/>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Необходимость поддерживать одно или несколько сетевых соединений или ожидать сигнал дистанционной активации не является техническим обоснованием для освобождения от требований, установленных в подпункте d) пункта 2, для оборудования, которое не определяется производителем как сетевое оборудование.</w:t>
      </w:r>
    </w:p>
    <w:p w:rsidR="00DC65EF" w:rsidRDefault="00DC65EF"/>
    <w:sectPr w:rsidR="00DC65EF" w:rsidSect="00DC65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33F5"/>
    <w:multiLevelType w:val="hybridMultilevel"/>
    <w:tmpl w:val="D6EA5172"/>
    <w:lvl w:ilvl="0" w:tplc="CC60245A">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1">
    <w:nsid w:val="1DC36B0A"/>
    <w:multiLevelType w:val="hybridMultilevel"/>
    <w:tmpl w:val="8AA8DA14"/>
    <w:lvl w:ilvl="0" w:tplc="CC60245A">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2">
    <w:nsid w:val="266234B5"/>
    <w:multiLevelType w:val="hybridMultilevel"/>
    <w:tmpl w:val="77765DDE"/>
    <w:lvl w:ilvl="0" w:tplc="CC60245A">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3">
    <w:nsid w:val="2C822596"/>
    <w:multiLevelType w:val="hybridMultilevel"/>
    <w:tmpl w:val="3A0A1E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8D66C13"/>
    <w:multiLevelType w:val="hybridMultilevel"/>
    <w:tmpl w:val="BDDE8084"/>
    <w:lvl w:ilvl="0" w:tplc="9B4E84A8">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9156021"/>
    <w:multiLevelType w:val="hybridMultilevel"/>
    <w:tmpl w:val="1BB08576"/>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6">
    <w:nsid w:val="4B122D1B"/>
    <w:multiLevelType w:val="hybridMultilevel"/>
    <w:tmpl w:val="0968249C"/>
    <w:lvl w:ilvl="0" w:tplc="CC60245A">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7">
    <w:nsid w:val="4D480FD3"/>
    <w:multiLevelType w:val="hybridMultilevel"/>
    <w:tmpl w:val="A6905E32"/>
    <w:lvl w:ilvl="0" w:tplc="CC60245A">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8">
    <w:nsid w:val="579958E2"/>
    <w:multiLevelType w:val="hybridMultilevel"/>
    <w:tmpl w:val="8C82FDCA"/>
    <w:lvl w:ilvl="0" w:tplc="1C3479BC">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8F86795"/>
    <w:multiLevelType w:val="hybridMultilevel"/>
    <w:tmpl w:val="374A84EA"/>
    <w:lvl w:ilvl="0" w:tplc="0409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10">
    <w:nsid w:val="6A1B6D1E"/>
    <w:multiLevelType w:val="hybridMultilevel"/>
    <w:tmpl w:val="6B26F524"/>
    <w:lvl w:ilvl="0" w:tplc="CC60245A">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11">
    <w:nsid w:val="743F54AE"/>
    <w:multiLevelType w:val="hybridMultilevel"/>
    <w:tmpl w:val="B2A2931C"/>
    <w:lvl w:ilvl="0" w:tplc="CC60245A">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12">
    <w:nsid w:val="76045167"/>
    <w:multiLevelType w:val="hybridMultilevel"/>
    <w:tmpl w:val="EE92FF6C"/>
    <w:lvl w:ilvl="0" w:tplc="CC60245A">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13">
    <w:nsid w:val="7DDC330D"/>
    <w:multiLevelType w:val="hybridMultilevel"/>
    <w:tmpl w:val="C3E82310"/>
    <w:lvl w:ilvl="0" w:tplc="CC60245A">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
  </w:num>
  <w:num w:numId="6">
    <w:abstractNumId w:val="13"/>
  </w:num>
  <w:num w:numId="7">
    <w:abstractNumId w:val="10"/>
  </w:num>
  <w:num w:numId="8">
    <w:abstractNumId w:val="7"/>
  </w:num>
  <w:num w:numId="9">
    <w:abstractNumId w:val="2"/>
  </w:num>
  <w:num w:numId="10">
    <w:abstractNumId w:val="6"/>
  </w:num>
  <w:num w:numId="11">
    <w:abstractNumId w:val="12"/>
  </w:num>
  <w:num w:numId="12">
    <w:abstractNumId w:val="5"/>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E09C2"/>
    <w:rsid w:val="00DC65EF"/>
    <w:rsid w:val="00DE09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C2"/>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9C2"/>
    <w:pPr>
      <w:spacing w:after="200" w:line="276" w:lineRule="auto"/>
      <w:ind w:left="720" w:firstLine="0"/>
      <w:contextualSpacing/>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13689</Characters>
  <Application>Microsoft Office Word</Application>
  <DocSecurity>0</DocSecurity>
  <Lines>114</Lines>
  <Paragraphs>32</Paragraphs>
  <ScaleCrop>false</ScaleCrop>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2018-01-18T09:47:00Z</dcterms:created>
  <dcterms:modified xsi:type="dcterms:W3CDTF">2018-01-18T09:48:00Z</dcterms:modified>
</cp:coreProperties>
</file>