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E1" w:rsidRPr="006A101B" w:rsidRDefault="008069E1" w:rsidP="008069E1">
      <w:pPr>
        <w:ind w:left="4254"/>
        <w:rPr>
          <w:rFonts w:asciiTheme="majorBidi" w:hAnsiTheme="majorBidi" w:cstheme="majorBidi"/>
          <w:sz w:val="26"/>
          <w:szCs w:val="26"/>
        </w:rPr>
      </w:pPr>
      <w:r w:rsidRPr="006A101B">
        <w:rPr>
          <w:rFonts w:asciiTheme="majorBidi" w:hAnsiTheme="majorBidi" w:cstheme="majorBidi"/>
          <w:sz w:val="26"/>
          <w:szCs w:val="26"/>
        </w:rPr>
        <w:t>Приложение № 3</w:t>
      </w:r>
    </w:p>
    <w:p w:rsidR="008069E1" w:rsidRPr="00C553A4" w:rsidRDefault="008069E1" w:rsidP="008069E1">
      <w:pPr>
        <w:ind w:left="2836" w:firstLine="360"/>
        <w:jc w:val="center"/>
        <w:rPr>
          <w:rFonts w:asciiTheme="majorBidi" w:hAnsiTheme="majorBidi" w:cstheme="majorBidi"/>
          <w:sz w:val="26"/>
          <w:szCs w:val="26"/>
        </w:rPr>
      </w:pPr>
      <w:r w:rsidRPr="00C553A4">
        <w:rPr>
          <w:rFonts w:asciiTheme="majorBidi" w:hAnsiTheme="majorBidi" w:cstheme="majorBidi"/>
          <w:sz w:val="26"/>
          <w:szCs w:val="26"/>
        </w:rPr>
        <w:t xml:space="preserve">к Положению о требованиях к экологическому </w:t>
      </w:r>
    </w:p>
    <w:p w:rsidR="008069E1" w:rsidRPr="00C553A4" w:rsidRDefault="008069E1" w:rsidP="008069E1">
      <w:pPr>
        <w:ind w:left="2836" w:firstLine="360"/>
        <w:jc w:val="center"/>
        <w:rPr>
          <w:rFonts w:asciiTheme="majorBidi" w:hAnsiTheme="majorBidi" w:cstheme="majorBidi"/>
          <w:sz w:val="26"/>
          <w:szCs w:val="26"/>
        </w:rPr>
      </w:pPr>
      <w:r w:rsidRPr="00C553A4">
        <w:rPr>
          <w:rFonts w:asciiTheme="majorBidi" w:hAnsiTheme="majorBidi" w:cstheme="majorBidi"/>
          <w:sz w:val="26"/>
          <w:szCs w:val="26"/>
        </w:rPr>
        <w:t xml:space="preserve">проектированию потребления электроэнергии </w:t>
      </w:r>
    </w:p>
    <w:p w:rsidR="008069E1" w:rsidRPr="00C553A4" w:rsidRDefault="008069E1" w:rsidP="008069E1">
      <w:pPr>
        <w:ind w:left="2836" w:firstLine="360"/>
        <w:jc w:val="center"/>
        <w:rPr>
          <w:rFonts w:asciiTheme="majorBidi" w:hAnsiTheme="majorBidi" w:cstheme="majorBidi"/>
          <w:sz w:val="26"/>
          <w:szCs w:val="26"/>
        </w:rPr>
      </w:pPr>
      <w:r w:rsidRPr="00C553A4">
        <w:rPr>
          <w:rFonts w:asciiTheme="majorBidi" w:hAnsiTheme="majorBidi" w:cstheme="majorBidi"/>
          <w:sz w:val="26"/>
          <w:szCs w:val="26"/>
        </w:rPr>
        <w:t xml:space="preserve">в режиме ожидания и выключения электрического </w:t>
      </w:r>
    </w:p>
    <w:p w:rsidR="008069E1" w:rsidRPr="00C553A4" w:rsidRDefault="008069E1" w:rsidP="008069E1">
      <w:pPr>
        <w:ind w:left="2836" w:firstLine="360"/>
        <w:jc w:val="center"/>
        <w:rPr>
          <w:rFonts w:asciiTheme="majorBidi" w:hAnsiTheme="majorBidi" w:cstheme="majorBidi"/>
          <w:sz w:val="26"/>
          <w:szCs w:val="26"/>
        </w:rPr>
      </w:pPr>
      <w:r w:rsidRPr="00C553A4">
        <w:rPr>
          <w:rFonts w:asciiTheme="majorBidi" w:hAnsiTheme="majorBidi" w:cstheme="majorBidi"/>
          <w:sz w:val="26"/>
          <w:szCs w:val="26"/>
        </w:rPr>
        <w:t>и электронного оборудования для дома и офиса</w:t>
      </w:r>
    </w:p>
    <w:p w:rsidR="008069E1" w:rsidRPr="006A101B" w:rsidRDefault="008069E1" w:rsidP="008069E1">
      <w:pPr>
        <w:ind w:firstLine="360"/>
        <w:jc w:val="center"/>
        <w:rPr>
          <w:rFonts w:asciiTheme="majorBidi" w:hAnsiTheme="majorBidi" w:cstheme="majorBidi"/>
          <w:sz w:val="28"/>
          <w:szCs w:val="24"/>
        </w:rPr>
      </w:pPr>
    </w:p>
    <w:p w:rsidR="008069E1" w:rsidRPr="006A101B" w:rsidRDefault="008069E1" w:rsidP="008069E1">
      <w:pPr>
        <w:ind w:firstLine="0"/>
        <w:jc w:val="center"/>
        <w:rPr>
          <w:rFonts w:asciiTheme="majorBidi" w:hAnsiTheme="majorBidi" w:cstheme="majorBidi"/>
          <w:b/>
          <w:sz w:val="28"/>
          <w:szCs w:val="24"/>
        </w:rPr>
      </w:pPr>
      <w:r w:rsidRPr="006A101B">
        <w:rPr>
          <w:rFonts w:asciiTheme="majorBidi" w:hAnsiTheme="majorBidi" w:cstheme="majorBidi"/>
          <w:b/>
          <w:sz w:val="28"/>
          <w:szCs w:val="24"/>
        </w:rPr>
        <w:t>Контроль соответствия продукции органами по надзору за рынком</w:t>
      </w:r>
    </w:p>
    <w:p w:rsidR="008069E1" w:rsidRPr="006A101B" w:rsidRDefault="008069E1" w:rsidP="008069E1">
      <w:pPr>
        <w:ind w:firstLine="360"/>
        <w:jc w:val="center"/>
        <w:rPr>
          <w:rFonts w:asciiTheme="majorBidi" w:hAnsiTheme="majorBidi" w:cstheme="majorBidi"/>
          <w:b/>
          <w:sz w:val="28"/>
          <w:szCs w:val="24"/>
        </w:rPr>
      </w:pPr>
    </w:p>
    <w:p w:rsidR="008069E1" w:rsidRPr="006A101B" w:rsidRDefault="008069E1" w:rsidP="008069E1">
      <w:pPr>
        <w:pStyle w:val="ListParagraph"/>
        <w:numPr>
          <w:ilvl w:val="1"/>
          <w:numId w:val="1"/>
        </w:numPr>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Проверочные допуски, определенные в настоящем приложении, относятся только к проверке параметров, измеряемых национальными органами по надзору за рынком, и не должны использоваться производителем или импортером как допуск, разрешенный для определения значения технической документации или для интерпретации этих значений, в целях достижения соответствия или для передачи каким-либо образом сведений о высокой производительности.</w:t>
      </w:r>
    </w:p>
    <w:p w:rsidR="008069E1" w:rsidRPr="006A101B" w:rsidRDefault="008069E1" w:rsidP="008069E1">
      <w:pPr>
        <w:pStyle w:val="ListParagraph"/>
        <w:spacing w:after="0" w:line="240" w:lineRule="auto"/>
        <w:ind w:left="709"/>
        <w:jc w:val="both"/>
        <w:rPr>
          <w:rFonts w:asciiTheme="majorBidi" w:hAnsiTheme="majorBidi" w:cstheme="majorBidi"/>
          <w:sz w:val="28"/>
          <w:szCs w:val="24"/>
        </w:rPr>
      </w:pPr>
    </w:p>
    <w:p w:rsidR="008069E1" w:rsidRPr="006A101B" w:rsidRDefault="008069E1" w:rsidP="008069E1">
      <w:pPr>
        <w:pStyle w:val="ListParagraph"/>
        <w:spacing w:after="0" w:line="240" w:lineRule="auto"/>
        <w:ind w:left="0"/>
        <w:jc w:val="center"/>
        <w:rPr>
          <w:rFonts w:asciiTheme="majorBidi" w:hAnsiTheme="majorBidi" w:cstheme="majorBidi"/>
          <w:b/>
          <w:sz w:val="28"/>
          <w:szCs w:val="24"/>
        </w:rPr>
      </w:pPr>
      <w:r w:rsidRPr="006A101B">
        <w:rPr>
          <w:rFonts w:asciiTheme="majorBidi" w:hAnsiTheme="majorBidi" w:cstheme="majorBidi"/>
          <w:b/>
          <w:sz w:val="28"/>
          <w:szCs w:val="24"/>
        </w:rPr>
        <w:t>I.   ПРОЦЕДУРА ПРОВЕРКИ</w:t>
      </w:r>
    </w:p>
    <w:p w:rsidR="008069E1" w:rsidRPr="006A101B" w:rsidRDefault="008069E1" w:rsidP="008069E1">
      <w:pPr>
        <w:pStyle w:val="ListParagraph"/>
        <w:spacing w:after="0" w:line="240" w:lineRule="auto"/>
        <w:ind w:left="0"/>
        <w:jc w:val="center"/>
        <w:rPr>
          <w:rFonts w:asciiTheme="majorBidi" w:hAnsiTheme="majorBidi" w:cstheme="majorBidi"/>
          <w:b/>
          <w:sz w:val="28"/>
          <w:szCs w:val="24"/>
        </w:rPr>
      </w:pPr>
    </w:p>
    <w:p w:rsidR="008069E1" w:rsidRPr="00C553A4" w:rsidRDefault="008069E1" w:rsidP="008069E1">
      <w:pPr>
        <w:tabs>
          <w:tab w:val="left" w:pos="1134"/>
        </w:tabs>
        <w:rPr>
          <w:rFonts w:asciiTheme="majorBidi" w:hAnsiTheme="majorBidi" w:cstheme="majorBidi"/>
          <w:sz w:val="28"/>
          <w:szCs w:val="28"/>
        </w:rPr>
      </w:pPr>
      <w:r w:rsidRPr="00C553A4">
        <w:rPr>
          <w:rFonts w:asciiTheme="majorBidi" w:hAnsiTheme="majorBidi" w:cstheme="majorBidi"/>
          <w:b/>
          <w:sz w:val="28"/>
          <w:szCs w:val="28"/>
        </w:rPr>
        <w:t>2.</w:t>
      </w:r>
      <w:r w:rsidRPr="00C553A4">
        <w:rPr>
          <w:rFonts w:asciiTheme="majorBidi" w:hAnsiTheme="majorBidi" w:cstheme="majorBidi"/>
          <w:sz w:val="28"/>
          <w:szCs w:val="28"/>
        </w:rPr>
        <w:t xml:space="preserve"> При проведении проверок по надзору за рынком, упомянутых в подпункте а) части (2) статьи 8 Закона № 151 от 17 июля 2014 года о требованиях к экологическому проектированию энергопотребляющих изделий, применяется следующая процедура:</w:t>
      </w:r>
    </w:p>
    <w:p w:rsidR="008069E1" w:rsidRPr="00C553A4" w:rsidRDefault="008069E1" w:rsidP="008069E1">
      <w:pPr>
        <w:rPr>
          <w:rFonts w:asciiTheme="majorBidi" w:hAnsiTheme="majorBidi" w:cstheme="majorBidi"/>
          <w:sz w:val="28"/>
          <w:szCs w:val="28"/>
        </w:rPr>
      </w:pPr>
      <w:r w:rsidRPr="00C553A4">
        <w:rPr>
          <w:rFonts w:asciiTheme="majorBidi" w:hAnsiTheme="majorBidi" w:cstheme="majorBidi"/>
          <w:sz w:val="28"/>
          <w:szCs w:val="28"/>
        </w:rPr>
        <w:t>1)Тестируется только одна единица электрического и электронного оборудования для дома и офиса.</w:t>
      </w:r>
    </w:p>
    <w:p w:rsidR="008069E1" w:rsidRPr="00C553A4" w:rsidRDefault="008069E1" w:rsidP="008069E1">
      <w:pPr>
        <w:tabs>
          <w:tab w:val="left" w:pos="1134"/>
        </w:tabs>
        <w:rPr>
          <w:rFonts w:asciiTheme="majorBidi" w:hAnsiTheme="majorBidi" w:cstheme="majorBidi"/>
          <w:sz w:val="28"/>
          <w:szCs w:val="28"/>
        </w:rPr>
      </w:pPr>
    </w:p>
    <w:p w:rsidR="008069E1" w:rsidRPr="00C553A4" w:rsidRDefault="008069E1" w:rsidP="008069E1">
      <w:pPr>
        <w:tabs>
          <w:tab w:val="left" w:pos="1134"/>
        </w:tabs>
        <w:rPr>
          <w:rFonts w:asciiTheme="majorBidi" w:hAnsiTheme="majorBidi" w:cstheme="majorBidi"/>
          <w:sz w:val="28"/>
          <w:szCs w:val="28"/>
        </w:rPr>
      </w:pPr>
      <w:r w:rsidRPr="00C553A4">
        <w:rPr>
          <w:rFonts w:asciiTheme="majorBidi" w:hAnsiTheme="majorBidi" w:cstheme="majorBidi"/>
          <w:sz w:val="28"/>
          <w:szCs w:val="28"/>
        </w:rPr>
        <w:t>2) Модель считается соответствующей применимым требованиям, если:</w:t>
      </w:r>
    </w:p>
    <w:p w:rsidR="008069E1" w:rsidRPr="00C553A4" w:rsidRDefault="008069E1" w:rsidP="008069E1">
      <w:pPr>
        <w:tabs>
          <w:tab w:val="left" w:pos="1134"/>
        </w:tabs>
        <w:rPr>
          <w:rFonts w:asciiTheme="majorBidi" w:hAnsiTheme="majorBidi" w:cstheme="majorBidi"/>
          <w:sz w:val="28"/>
          <w:szCs w:val="28"/>
        </w:rPr>
      </w:pPr>
      <w:r w:rsidRPr="00C553A4">
        <w:rPr>
          <w:rFonts w:asciiTheme="majorBidi" w:hAnsiTheme="majorBidi" w:cstheme="majorBidi"/>
          <w:sz w:val="28"/>
          <w:szCs w:val="28"/>
        </w:rPr>
        <w:t xml:space="preserve">a) значения, указанные в технической документации на основании пункта 2 приложения 4 к Закону №151 от 17 июля 2014 года о требованиях к экологическому проектированию энергопотребляющих изделий (заявленные значения), и, по необходимости, значения, использованные для расчета этих значений, не являются более выгодными для производителя или импортера, чем соответствующие результаты измерений, проведенных на основании подпункта g) указанного пункта; и </w:t>
      </w:r>
    </w:p>
    <w:p w:rsidR="008069E1" w:rsidRPr="00C553A4" w:rsidRDefault="008069E1" w:rsidP="008069E1">
      <w:pPr>
        <w:tabs>
          <w:tab w:val="left" w:pos="1134"/>
        </w:tabs>
        <w:rPr>
          <w:rFonts w:asciiTheme="majorBidi" w:hAnsiTheme="majorBidi" w:cstheme="majorBidi"/>
          <w:sz w:val="28"/>
          <w:szCs w:val="28"/>
        </w:rPr>
      </w:pPr>
      <w:r w:rsidRPr="00C553A4">
        <w:rPr>
          <w:rFonts w:asciiTheme="majorBidi" w:hAnsiTheme="majorBidi" w:cstheme="majorBidi"/>
          <w:sz w:val="28"/>
          <w:szCs w:val="28"/>
        </w:rPr>
        <w:t>b) заявленные значения соответствуют всем требованиям, предусмотренным в настоящем Положении, и ни одна из информаций об изделии, запрошенная и опубликованная производителем или импортером, не содержит значений, которые являются более выгодными для производителя или импортера, чем заявленные значения; и</w:t>
      </w:r>
    </w:p>
    <w:p w:rsidR="008069E1" w:rsidRPr="006A101B" w:rsidRDefault="008069E1" w:rsidP="008069E1">
      <w:pPr>
        <w:tabs>
          <w:tab w:val="left" w:pos="1134"/>
        </w:tabs>
        <w:rPr>
          <w:rFonts w:asciiTheme="majorBidi" w:hAnsiTheme="majorBidi" w:cstheme="majorBidi"/>
          <w:sz w:val="28"/>
          <w:szCs w:val="24"/>
        </w:rPr>
      </w:pPr>
      <w:r w:rsidRPr="00C553A4">
        <w:rPr>
          <w:rFonts w:asciiTheme="majorBidi" w:hAnsiTheme="majorBidi" w:cstheme="majorBidi"/>
          <w:sz w:val="28"/>
          <w:szCs w:val="28"/>
        </w:rPr>
        <w:t>c) когда национальный орган по надзору за рынком тестирует единицу из отобранных  моделей, полученные значения (значения соответствующих параметров, так как они были измерены в ходе проверки, а также значения,  вычисленные на основании этих измерений</w:t>
      </w:r>
      <w:r w:rsidRPr="006A101B">
        <w:rPr>
          <w:rFonts w:asciiTheme="majorBidi" w:hAnsiTheme="majorBidi" w:cstheme="majorBidi"/>
          <w:sz w:val="28"/>
          <w:szCs w:val="24"/>
        </w:rPr>
        <w:t xml:space="preserve">) </w:t>
      </w:r>
      <w:r w:rsidRPr="006A101B">
        <w:rPr>
          <w:rFonts w:asciiTheme="majorBidi" w:hAnsiTheme="majorBidi" w:cstheme="majorBidi"/>
          <w:sz w:val="28"/>
          <w:szCs w:val="24"/>
        </w:rPr>
        <w:lastRenderedPageBreak/>
        <w:t>соответствуют допускам этой проверки, как указано в представленной ниже таблице.</w:t>
      </w:r>
    </w:p>
    <w:p w:rsidR="008069E1" w:rsidRPr="006A101B" w:rsidRDefault="008069E1" w:rsidP="008069E1">
      <w:pPr>
        <w:tabs>
          <w:tab w:val="left" w:pos="1134"/>
        </w:tabs>
        <w:rPr>
          <w:rFonts w:asciiTheme="majorBidi" w:hAnsiTheme="majorBidi" w:cstheme="majorBidi"/>
          <w:sz w:val="28"/>
          <w:szCs w:val="24"/>
        </w:rPr>
      </w:pPr>
      <w:r w:rsidRPr="006A101B">
        <w:rPr>
          <w:rFonts w:asciiTheme="majorBidi" w:hAnsiTheme="majorBidi" w:cstheme="majorBidi"/>
          <w:sz w:val="28"/>
          <w:szCs w:val="24"/>
        </w:rPr>
        <w:t>3) Если результаты, отмеченные в подпункте а) или b) пункта 2, не достигнуты, то модель считается не соответствующей настоящему Положению.</w:t>
      </w:r>
    </w:p>
    <w:p w:rsidR="008069E1" w:rsidRPr="006A101B" w:rsidRDefault="008069E1" w:rsidP="008069E1">
      <w:pPr>
        <w:tabs>
          <w:tab w:val="left" w:pos="1134"/>
        </w:tabs>
        <w:rPr>
          <w:rFonts w:asciiTheme="majorBidi" w:hAnsiTheme="majorBidi" w:cstheme="majorBidi"/>
          <w:sz w:val="28"/>
          <w:szCs w:val="24"/>
        </w:rPr>
      </w:pPr>
      <w:r w:rsidRPr="006A101B">
        <w:rPr>
          <w:rFonts w:asciiTheme="majorBidi" w:hAnsiTheme="majorBidi" w:cstheme="majorBidi"/>
          <w:sz w:val="28"/>
          <w:szCs w:val="24"/>
        </w:rPr>
        <w:t xml:space="preserve">4) Если результат, указанный в подпункте c) пункта 2), не достигнут, национальный орган по надзору за рынком выбирает для проверки три дополнительные единицы этой же модели. </w:t>
      </w:r>
    </w:p>
    <w:p w:rsidR="008069E1" w:rsidRPr="006A101B" w:rsidRDefault="008069E1" w:rsidP="008069E1">
      <w:pPr>
        <w:tabs>
          <w:tab w:val="left" w:pos="1134"/>
        </w:tabs>
        <w:rPr>
          <w:rFonts w:asciiTheme="majorBidi" w:hAnsiTheme="majorBidi" w:cstheme="majorBidi"/>
          <w:sz w:val="28"/>
          <w:szCs w:val="24"/>
        </w:rPr>
      </w:pPr>
      <w:r w:rsidRPr="006A101B">
        <w:rPr>
          <w:rFonts w:asciiTheme="majorBidi" w:hAnsiTheme="majorBidi" w:cstheme="majorBidi"/>
          <w:sz w:val="28"/>
          <w:szCs w:val="24"/>
        </w:rPr>
        <w:t xml:space="preserve">5) Модель считается соответствующей применимым требованиям, если полученное среднее арифметическое значение по результатам тестирования этих трех единиц соответствует проверочным допускам, указанным в представленной ниже таблице. </w:t>
      </w:r>
    </w:p>
    <w:p w:rsidR="008069E1" w:rsidRPr="006A101B" w:rsidRDefault="008069E1" w:rsidP="008069E1">
      <w:pPr>
        <w:tabs>
          <w:tab w:val="left" w:pos="1134"/>
        </w:tabs>
        <w:rPr>
          <w:rFonts w:asciiTheme="majorBidi" w:hAnsiTheme="majorBidi" w:cstheme="majorBidi"/>
          <w:sz w:val="28"/>
          <w:szCs w:val="24"/>
        </w:rPr>
      </w:pPr>
      <w:r w:rsidRPr="006A101B">
        <w:rPr>
          <w:rFonts w:asciiTheme="majorBidi" w:hAnsiTheme="majorBidi" w:cstheme="majorBidi"/>
          <w:sz w:val="28"/>
          <w:szCs w:val="24"/>
        </w:rPr>
        <w:t>6) Если результат, упомянутый в подпункте 5) не достигнут, модель считается не соответствующей настоящему Положению.</w:t>
      </w:r>
    </w:p>
    <w:p w:rsidR="008069E1" w:rsidRPr="006A101B" w:rsidRDefault="008069E1" w:rsidP="008069E1">
      <w:pPr>
        <w:tabs>
          <w:tab w:val="left" w:pos="1134"/>
        </w:tabs>
        <w:rPr>
          <w:rFonts w:asciiTheme="majorBidi" w:hAnsiTheme="majorBidi" w:cstheme="majorBidi"/>
          <w:b/>
          <w:sz w:val="28"/>
          <w:szCs w:val="24"/>
        </w:rPr>
      </w:pPr>
    </w:p>
    <w:p w:rsidR="008069E1" w:rsidRPr="006A101B" w:rsidRDefault="008069E1" w:rsidP="008069E1">
      <w:pPr>
        <w:tabs>
          <w:tab w:val="left" w:pos="1134"/>
        </w:tabs>
        <w:rPr>
          <w:rFonts w:asciiTheme="majorBidi" w:hAnsiTheme="majorBidi" w:cstheme="majorBidi"/>
          <w:sz w:val="28"/>
          <w:szCs w:val="24"/>
        </w:rPr>
      </w:pPr>
      <w:r w:rsidRPr="006A101B">
        <w:rPr>
          <w:rFonts w:asciiTheme="majorBidi" w:hAnsiTheme="majorBidi" w:cstheme="majorBidi"/>
          <w:b/>
          <w:sz w:val="28"/>
          <w:szCs w:val="24"/>
        </w:rPr>
        <w:t>3.</w:t>
      </w:r>
      <w:r w:rsidRPr="006A101B">
        <w:rPr>
          <w:rFonts w:asciiTheme="majorBidi" w:hAnsiTheme="majorBidi" w:cstheme="majorBidi"/>
          <w:sz w:val="28"/>
          <w:szCs w:val="24"/>
        </w:rPr>
        <w:t xml:space="preserve"> Национальный орган по надзору за рынком использует методы расчета, установленные в приложении № 2 к настоящему Положению.  </w:t>
      </w:r>
    </w:p>
    <w:p w:rsidR="008069E1" w:rsidRPr="006A101B" w:rsidRDefault="008069E1" w:rsidP="008069E1">
      <w:pPr>
        <w:tabs>
          <w:tab w:val="left" w:pos="1134"/>
        </w:tabs>
        <w:rPr>
          <w:rFonts w:asciiTheme="majorBidi" w:hAnsiTheme="majorBidi" w:cstheme="majorBidi"/>
          <w:sz w:val="28"/>
          <w:szCs w:val="24"/>
        </w:rPr>
      </w:pPr>
    </w:p>
    <w:p w:rsidR="008069E1" w:rsidRPr="006A101B" w:rsidRDefault="008069E1" w:rsidP="008069E1">
      <w:pPr>
        <w:tabs>
          <w:tab w:val="left" w:pos="1134"/>
        </w:tabs>
        <w:rPr>
          <w:rFonts w:asciiTheme="majorBidi" w:hAnsiTheme="majorBidi" w:cstheme="majorBidi"/>
          <w:color w:val="000000" w:themeColor="text1"/>
          <w:sz w:val="28"/>
          <w:szCs w:val="24"/>
        </w:rPr>
      </w:pPr>
      <w:r w:rsidRPr="006A101B">
        <w:rPr>
          <w:rFonts w:asciiTheme="majorBidi" w:hAnsiTheme="majorBidi" w:cstheme="majorBidi"/>
          <w:b/>
          <w:sz w:val="28"/>
          <w:szCs w:val="24"/>
        </w:rPr>
        <w:t>4.</w:t>
      </w:r>
      <w:r w:rsidRPr="006A101B">
        <w:rPr>
          <w:rFonts w:asciiTheme="majorBidi" w:hAnsiTheme="majorBidi" w:cstheme="majorBidi"/>
          <w:sz w:val="28"/>
          <w:szCs w:val="24"/>
        </w:rPr>
        <w:t xml:space="preserve"> Национальный орган по надзору за рынком применяет только допуски по проверке, установленные в представленной ниже таблице, и использует только процедуру, описанную в подпунктах 1)-6) для требований, изложенных в настоящем приложении. Не применяются прочие допуски, такие как те, которые изложены в гармонизированных стандартах или любом другом методе измерения</w:t>
      </w:r>
      <w:r w:rsidRPr="006A101B">
        <w:rPr>
          <w:rFonts w:asciiTheme="majorBidi" w:hAnsiTheme="majorBidi" w:cstheme="majorBidi"/>
          <w:color w:val="000000" w:themeColor="text1"/>
          <w:sz w:val="28"/>
          <w:szCs w:val="24"/>
        </w:rPr>
        <w:t>.</w:t>
      </w:r>
    </w:p>
    <w:p w:rsidR="008069E1" w:rsidRPr="006A101B" w:rsidRDefault="008069E1" w:rsidP="008069E1">
      <w:pPr>
        <w:ind w:firstLine="360"/>
        <w:jc w:val="right"/>
        <w:rPr>
          <w:rFonts w:asciiTheme="majorBidi" w:hAnsiTheme="majorBidi" w:cstheme="majorBidi"/>
          <w:sz w:val="28"/>
          <w:szCs w:val="24"/>
        </w:rPr>
      </w:pPr>
      <w:r w:rsidRPr="006A101B">
        <w:rPr>
          <w:rFonts w:asciiTheme="majorBidi" w:hAnsiTheme="majorBidi" w:cstheme="majorBidi"/>
          <w:iCs/>
          <w:color w:val="000000" w:themeColor="text1"/>
          <w:sz w:val="28"/>
          <w:szCs w:val="27"/>
          <w:bdr w:val="none" w:sz="0" w:space="0" w:color="auto" w:frame="1"/>
          <w:lang w:eastAsia="ro-RO"/>
        </w:rPr>
        <w:t>Таблица</w:t>
      </w:r>
      <w:r w:rsidRPr="006A101B">
        <w:rPr>
          <w:rFonts w:asciiTheme="majorBidi" w:hAnsiTheme="majorBidi" w:cstheme="majorBidi"/>
          <w:i/>
          <w:iCs/>
          <w:color w:val="000000" w:themeColor="text1"/>
          <w:sz w:val="28"/>
          <w:szCs w:val="27"/>
          <w:bdr w:val="none" w:sz="0" w:space="0" w:color="auto" w:frame="1"/>
          <w:lang w:eastAsia="ro-RO"/>
        </w:rPr>
        <w:t> </w:t>
      </w:r>
      <w:r w:rsidRPr="006A101B">
        <w:rPr>
          <w:rFonts w:asciiTheme="majorBidi" w:hAnsiTheme="majorBidi" w:cstheme="majorBidi"/>
          <w:sz w:val="28"/>
          <w:szCs w:val="24"/>
        </w:rPr>
        <w:t xml:space="preserve"> </w:t>
      </w:r>
    </w:p>
    <w:p w:rsidR="008069E1" w:rsidRPr="006A101B" w:rsidRDefault="008069E1" w:rsidP="008069E1">
      <w:pPr>
        <w:ind w:firstLine="0"/>
        <w:jc w:val="center"/>
        <w:rPr>
          <w:rFonts w:asciiTheme="majorBidi" w:hAnsiTheme="majorBidi" w:cstheme="majorBidi"/>
          <w:b/>
          <w:bCs/>
          <w:color w:val="000000" w:themeColor="text1"/>
          <w:sz w:val="28"/>
          <w:szCs w:val="27"/>
          <w:bdr w:val="none" w:sz="0" w:space="0" w:color="auto" w:frame="1"/>
          <w:lang w:val="en-US" w:eastAsia="ro-RO"/>
        </w:rPr>
      </w:pPr>
      <w:r w:rsidRPr="006A101B">
        <w:rPr>
          <w:rFonts w:asciiTheme="majorBidi" w:hAnsiTheme="majorBidi" w:cstheme="majorBidi"/>
          <w:b/>
          <w:bCs/>
          <w:color w:val="000000" w:themeColor="text1"/>
          <w:sz w:val="28"/>
          <w:szCs w:val="27"/>
          <w:bdr w:val="none" w:sz="0" w:space="0" w:color="auto" w:frame="1"/>
          <w:lang w:eastAsia="ro-RO"/>
        </w:rPr>
        <w:t>Проверочные допуски</w:t>
      </w:r>
    </w:p>
    <w:p w:rsidR="008069E1" w:rsidRPr="006A101B" w:rsidRDefault="008069E1" w:rsidP="008069E1">
      <w:pPr>
        <w:ind w:firstLine="360"/>
        <w:jc w:val="center"/>
        <w:rPr>
          <w:rFonts w:asciiTheme="majorBidi" w:hAnsiTheme="majorBidi" w:cstheme="majorBidi"/>
          <w:sz w:val="28"/>
          <w:szCs w:val="24"/>
          <w:lang w:val="en-US"/>
        </w:rPr>
      </w:pPr>
    </w:p>
    <w:tbl>
      <w:tblPr>
        <w:tblStyle w:val="TableGrid"/>
        <w:tblW w:w="0" w:type="auto"/>
        <w:tblLook w:val="04A0"/>
      </w:tblPr>
      <w:tblGrid>
        <w:gridCol w:w="3188"/>
        <w:gridCol w:w="3228"/>
        <w:gridCol w:w="2826"/>
      </w:tblGrid>
      <w:tr w:rsidR="008069E1" w:rsidRPr="006A101B" w:rsidTr="00D967B1">
        <w:tc>
          <w:tcPr>
            <w:tcW w:w="3423" w:type="dxa"/>
            <w:hideMark/>
          </w:tcPr>
          <w:p w:rsidR="008069E1" w:rsidRPr="006A101B" w:rsidRDefault="008069E1" w:rsidP="00D967B1">
            <w:pPr>
              <w:ind w:firstLine="0"/>
              <w:rPr>
                <w:rFonts w:asciiTheme="majorBidi" w:hAnsiTheme="majorBidi" w:cstheme="majorBidi"/>
                <w:b/>
                <w:sz w:val="24"/>
                <w:szCs w:val="24"/>
                <w:lang w:eastAsia="en-US"/>
              </w:rPr>
            </w:pPr>
            <w:r w:rsidRPr="006A101B">
              <w:rPr>
                <w:rFonts w:asciiTheme="majorBidi" w:hAnsiTheme="majorBidi" w:cstheme="majorBidi"/>
                <w:b/>
                <w:sz w:val="24"/>
                <w:szCs w:val="24"/>
              </w:rPr>
              <w:t>Тип требования</w:t>
            </w:r>
          </w:p>
        </w:tc>
        <w:tc>
          <w:tcPr>
            <w:tcW w:w="3457" w:type="dxa"/>
            <w:hideMark/>
          </w:tcPr>
          <w:p w:rsidR="008069E1" w:rsidRPr="006A101B" w:rsidRDefault="008069E1" w:rsidP="00D967B1">
            <w:pPr>
              <w:ind w:firstLine="0"/>
              <w:rPr>
                <w:rFonts w:asciiTheme="majorBidi" w:hAnsiTheme="majorBidi" w:cstheme="majorBidi"/>
                <w:b/>
                <w:sz w:val="24"/>
                <w:szCs w:val="24"/>
                <w:lang w:eastAsia="en-US"/>
              </w:rPr>
            </w:pPr>
            <w:r w:rsidRPr="006A101B">
              <w:rPr>
                <w:rFonts w:asciiTheme="majorBidi" w:hAnsiTheme="majorBidi" w:cstheme="majorBidi"/>
                <w:b/>
                <w:sz w:val="24"/>
                <w:szCs w:val="24"/>
              </w:rPr>
              <w:t>Категория</w:t>
            </w:r>
          </w:p>
        </w:tc>
        <w:tc>
          <w:tcPr>
            <w:tcW w:w="3025" w:type="dxa"/>
            <w:hideMark/>
          </w:tcPr>
          <w:p w:rsidR="008069E1" w:rsidRPr="006A101B" w:rsidRDefault="008069E1" w:rsidP="00D967B1">
            <w:pPr>
              <w:ind w:firstLine="0"/>
              <w:rPr>
                <w:rFonts w:asciiTheme="majorBidi" w:hAnsiTheme="majorBidi" w:cstheme="majorBidi"/>
                <w:b/>
                <w:sz w:val="24"/>
                <w:szCs w:val="24"/>
                <w:lang w:eastAsia="en-US"/>
              </w:rPr>
            </w:pPr>
            <w:r w:rsidRPr="006A101B">
              <w:rPr>
                <w:rFonts w:asciiTheme="majorBidi" w:hAnsiTheme="majorBidi" w:cstheme="majorBidi"/>
                <w:b/>
                <w:sz w:val="24"/>
                <w:szCs w:val="24"/>
              </w:rPr>
              <w:t>Допуск</w:t>
            </w:r>
          </w:p>
        </w:tc>
      </w:tr>
      <w:tr w:rsidR="008069E1" w:rsidRPr="006A101B" w:rsidTr="00D967B1">
        <w:tc>
          <w:tcPr>
            <w:tcW w:w="3423" w:type="dxa"/>
            <w:hideMark/>
          </w:tcPr>
          <w:p w:rsidR="008069E1" w:rsidRPr="006A101B" w:rsidRDefault="008069E1" w:rsidP="00D967B1">
            <w:pPr>
              <w:ind w:firstLine="0"/>
              <w:rPr>
                <w:rFonts w:asciiTheme="majorBidi" w:hAnsiTheme="majorBidi" w:cstheme="majorBidi"/>
                <w:sz w:val="24"/>
                <w:szCs w:val="24"/>
                <w:lang w:eastAsia="en-US"/>
              </w:rPr>
            </w:pPr>
            <w:r w:rsidRPr="006A101B">
              <w:rPr>
                <w:rFonts w:asciiTheme="majorBidi" w:hAnsiTheme="majorBidi" w:cstheme="majorBidi"/>
                <w:sz w:val="24"/>
                <w:szCs w:val="24"/>
              </w:rPr>
              <w:t>Подпункты а) и b) пункта 1 или подпункты а) и b) пункта 2 приложения № 2 к настоящему Положению</w:t>
            </w:r>
          </w:p>
        </w:tc>
        <w:tc>
          <w:tcPr>
            <w:tcW w:w="3457" w:type="dxa"/>
            <w:hideMark/>
          </w:tcPr>
          <w:p w:rsidR="008069E1" w:rsidRPr="006A101B" w:rsidRDefault="008069E1" w:rsidP="00D967B1">
            <w:pPr>
              <w:ind w:firstLine="0"/>
              <w:rPr>
                <w:rFonts w:asciiTheme="majorBidi" w:hAnsiTheme="majorBidi" w:cstheme="majorBidi"/>
                <w:sz w:val="24"/>
                <w:szCs w:val="24"/>
                <w:lang w:eastAsia="en-US"/>
              </w:rPr>
            </w:pPr>
            <w:r w:rsidRPr="006A101B">
              <w:rPr>
                <w:rFonts w:asciiTheme="majorBidi" w:hAnsiTheme="majorBidi" w:cstheme="majorBidi"/>
                <w:sz w:val="24"/>
                <w:szCs w:val="24"/>
              </w:rPr>
              <w:t>По поводу требований к потребляемой мощности больше 1,00 Вт</w:t>
            </w:r>
          </w:p>
        </w:tc>
        <w:tc>
          <w:tcPr>
            <w:tcW w:w="3025" w:type="dxa"/>
            <w:hideMark/>
          </w:tcPr>
          <w:p w:rsidR="008069E1" w:rsidRPr="006A101B" w:rsidRDefault="008069E1" w:rsidP="00D967B1">
            <w:pPr>
              <w:ind w:firstLine="0"/>
              <w:rPr>
                <w:rFonts w:asciiTheme="majorBidi" w:hAnsiTheme="majorBidi" w:cstheme="majorBidi"/>
                <w:sz w:val="24"/>
                <w:szCs w:val="24"/>
                <w:lang w:eastAsia="en-US"/>
              </w:rPr>
            </w:pPr>
            <w:r w:rsidRPr="006A101B">
              <w:rPr>
                <w:rFonts w:asciiTheme="majorBidi" w:hAnsiTheme="majorBidi" w:cstheme="majorBidi"/>
                <w:sz w:val="24"/>
                <w:szCs w:val="24"/>
              </w:rPr>
              <w:t>Полученное значение не должно превышать указанную величину более чем на 10%</w:t>
            </w:r>
          </w:p>
        </w:tc>
      </w:tr>
      <w:tr w:rsidR="008069E1" w:rsidRPr="006A101B" w:rsidTr="00D967B1">
        <w:tc>
          <w:tcPr>
            <w:tcW w:w="3423" w:type="dxa"/>
          </w:tcPr>
          <w:p w:rsidR="008069E1" w:rsidRPr="006A101B" w:rsidRDefault="008069E1" w:rsidP="00D967B1">
            <w:pPr>
              <w:ind w:firstLine="0"/>
              <w:rPr>
                <w:rFonts w:asciiTheme="majorBidi" w:hAnsiTheme="majorBidi" w:cstheme="majorBidi"/>
                <w:sz w:val="24"/>
                <w:szCs w:val="24"/>
                <w:lang w:eastAsia="en-US"/>
              </w:rPr>
            </w:pPr>
          </w:p>
        </w:tc>
        <w:tc>
          <w:tcPr>
            <w:tcW w:w="3457" w:type="dxa"/>
            <w:hideMark/>
          </w:tcPr>
          <w:p w:rsidR="008069E1" w:rsidRPr="006A101B" w:rsidRDefault="008069E1" w:rsidP="00D967B1">
            <w:pPr>
              <w:ind w:firstLine="0"/>
              <w:rPr>
                <w:rFonts w:asciiTheme="majorBidi" w:hAnsiTheme="majorBidi" w:cstheme="majorBidi"/>
                <w:sz w:val="24"/>
                <w:szCs w:val="24"/>
                <w:lang w:eastAsia="en-US"/>
              </w:rPr>
            </w:pPr>
            <w:r w:rsidRPr="006A101B">
              <w:rPr>
                <w:rFonts w:asciiTheme="majorBidi" w:hAnsiTheme="majorBidi" w:cstheme="majorBidi"/>
                <w:sz w:val="24"/>
                <w:szCs w:val="24"/>
              </w:rPr>
              <w:t>По поводу требований к потребляемой мощности меньше или равно 1,00 Вт</w:t>
            </w:r>
          </w:p>
        </w:tc>
        <w:tc>
          <w:tcPr>
            <w:tcW w:w="3025" w:type="dxa"/>
            <w:hideMark/>
          </w:tcPr>
          <w:p w:rsidR="008069E1" w:rsidRPr="006A101B" w:rsidRDefault="008069E1" w:rsidP="00D967B1">
            <w:pPr>
              <w:ind w:firstLine="0"/>
              <w:rPr>
                <w:rFonts w:asciiTheme="majorBidi" w:hAnsiTheme="majorBidi" w:cstheme="majorBidi"/>
                <w:sz w:val="24"/>
                <w:szCs w:val="24"/>
                <w:lang w:eastAsia="en-US"/>
              </w:rPr>
            </w:pPr>
            <w:r w:rsidRPr="006A101B">
              <w:rPr>
                <w:rFonts w:asciiTheme="majorBidi" w:hAnsiTheme="majorBidi" w:cstheme="majorBidi"/>
                <w:sz w:val="24"/>
                <w:szCs w:val="24"/>
              </w:rPr>
              <w:t>Полученное значение не должно превышать указанную величину более чем на 0,10 Вт</w:t>
            </w:r>
          </w:p>
        </w:tc>
      </w:tr>
      <w:tr w:rsidR="008069E1" w:rsidRPr="006A101B" w:rsidTr="00D967B1">
        <w:tc>
          <w:tcPr>
            <w:tcW w:w="3423" w:type="dxa"/>
            <w:hideMark/>
          </w:tcPr>
          <w:p w:rsidR="008069E1" w:rsidRPr="006A101B" w:rsidRDefault="008069E1" w:rsidP="00D967B1">
            <w:pPr>
              <w:ind w:firstLine="0"/>
              <w:rPr>
                <w:rFonts w:asciiTheme="majorBidi" w:hAnsiTheme="majorBidi" w:cstheme="majorBidi"/>
                <w:sz w:val="24"/>
                <w:szCs w:val="24"/>
                <w:lang w:eastAsia="en-US"/>
              </w:rPr>
            </w:pPr>
            <w:r w:rsidRPr="006A101B">
              <w:rPr>
                <w:rFonts w:asciiTheme="majorBidi" w:hAnsiTheme="majorBidi" w:cstheme="majorBidi"/>
                <w:sz w:val="24"/>
                <w:szCs w:val="24"/>
              </w:rPr>
              <w:t xml:space="preserve">Подпункт с) пункт 3 и пункт 4 подпункт а) пункта 4 приложения № 2 к настоящему Положенеию </w:t>
            </w:r>
          </w:p>
        </w:tc>
        <w:tc>
          <w:tcPr>
            <w:tcW w:w="3457" w:type="dxa"/>
            <w:hideMark/>
          </w:tcPr>
          <w:p w:rsidR="008069E1" w:rsidRPr="006A101B" w:rsidRDefault="008069E1" w:rsidP="00D967B1">
            <w:pPr>
              <w:ind w:firstLine="0"/>
              <w:rPr>
                <w:rFonts w:asciiTheme="majorBidi" w:hAnsiTheme="majorBidi" w:cstheme="majorBidi"/>
                <w:sz w:val="24"/>
                <w:szCs w:val="24"/>
                <w:lang w:eastAsia="en-US"/>
              </w:rPr>
            </w:pPr>
            <w:r w:rsidRPr="006A101B">
              <w:rPr>
                <w:rFonts w:asciiTheme="majorBidi" w:hAnsiTheme="majorBidi" w:cstheme="majorBidi"/>
                <w:sz w:val="24"/>
                <w:szCs w:val="24"/>
              </w:rPr>
              <w:t>Не применяется</w:t>
            </w:r>
          </w:p>
        </w:tc>
        <w:tc>
          <w:tcPr>
            <w:tcW w:w="3025" w:type="dxa"/>
            <w:hideMark/>
          </w:tcPr>
          <w:p w:rsidR="008069E1" w:rsidRPr="006A101B" w:rsidRDefault="008069E1" w:rsidP="00D967B1">
            <w:pPr>
              <w:ind w:firstLine="0"/>
              <w:rPr>
                <w:rFonts w:asciiTheme="majorBidi" w:hAnsiTheme="majorBidi" w:cstheme="majorBidi"/>
                <w:sz w:val="24"/>
                <w:szCs w:val="24"/>
                <w:lang w:eastAsia="en-US"/>
              </w:rPr>
            </w:pPr>
            <w:r w:rsidRPr="006A101B">
              <w:rPr>
                <w:rFonts w:asciiTheme="majorBidi" w:hAnsiTheme="majorBidi" w:cstheme="majorBidi"/>
                <w:sz w:val="24"/>
                <w:szCs w:val="24"/>
              </w:rPr>
              <w:t>Полученное значение не должно превышать указанную величину более чем на 10 %</w:t>
            </w:r>
          </w:p>
        </w:tc>
      </w:tr>
    </w:tbl>
    <w:p w:rsidR="008069E1" w:rsidRPr="006A101B" w:rsidRDefault="008069E1" w:rsidP="008069E1">
      <w:pPr>
        <w:ind w:firstLine="360"/>
        <w:jc w:val="center"/>
        <w:rPr>
          <w:rFonts w:asciiTheme="majorBidi" w:hAnsiTheme="majorBidi" w:cstheme="majorBidi"/>
          <w:b/>
          <w:sz w:val="24"/>
          <w:szCs w:val="24"/>
        </w:rPr>
      </w:pPr>
    </w:p>
    <w:p w:rsidR="008069E1" w:rsidRPr="006A101B" w:rsidRDefault="008069E1" w:rsidP="008069E1">
      <w:pPr>
        <w:ind w:firstLine="360"/>
        <w:jc w:val="center"/>
        <w:rPr>
          <w:rFonts w:asciiTheme="majorBidi" w:hAnsiTheme="majorBidi" w:cstheme="majorBidi"/>
          <w:b/>
          <w:sz w:val="28"/>
          <w:szCs w:val="24"/>
        </w:rPr>
      </w:pPr>
      <w:r w:rsidRPr="006A101B">
        <w:rPr>
          <w:rFonts w:asciiTheme="majorBidi" w:hAnsiTheme="majorBidi" w:cstheme="majorBidi"/>
          <w:b/>
          <w:sz w:val="28"/>
          <w:szCs w:val="24"/>
        </w:rPr>
        <w:t>II.   Процедура тестирования сетевого оборудования</w:t>
      </w:r>
    </w:p>
    <w:p w:rsidR="008069E1" w:rsidRPr="006A101B" w:rsidRDefault="008069E1" w:rsidP="008069E1">
      <w:pPr>
        <w:ind w:firstLine="360"/>
        <w:rPr>
          <w:rFonts w:asciiTheme="majorBidi" w:hAnsiTheme="majorBidi" w:cstheme="majorBidi"/>
          <w:sz w:val="28"/>
          <w:szCs w:val="24"/>
        </w:rPr>
      </w:pPr>
    </w:p>
    <w:p w:rsidR="008069E1" w:rsidRPr="006A101B" w:rsidRDefault="008069E1" w:rsidP="008069E1">
      <w:pPr>
        <w:rPr>
          <w:rFonts w:asciiTheme="majorBidi" w:hAnsiTheme="majorBidi" w:cstheme="majorBidi"/>
          <w:sz w:val="28"/>
          <w:szCs w:val="24"/>
        </w:rPr>
      </w:pPr>
      <w:r w:rsidRPr="006A101B">
        <w:rPr>
          <w:rFonts w:asciiTheme="majorBidi" w:hAnsiTheme="majorBidi" w:cstheme="majorBidi"/>
          <w:b/>
          <w:sz w:val="28"/>
          <w:szCs w:val="24"/>
        </w:rPr>
        <w:t>5.</w:t>
      </w:r>
      <w:r w:rsidRPr="006A101B">
        <w:rPr>
          <w:rFonts w:asciiTheme="majorBidi" w:hAnsiTheme="majorBidi" w:cstheme="majorBidi"/>
          <w:sz w:val="28"/>
          <w:szCs w:val="24"/>
        </w:rPr>
        <w:t xml:space="preserve"> Процедура тестирования сетевого оборудования</w:t>
      </w:r>
    </w:p>
    <w:p w:rsidR="008069E1" w:rsidRPr="006A101B" w:rsidRDefault="008069E1" w:rsidP="008069E1">
      <w:pPr>
        <w:rPr>
          <w:rFonts w:asciiTheme="majorBidi" w:hAnsiTheme="majorBidi" w:cstheme="majorBidi"/>
          <w:sz w:val="28"/>
          <w:szCs w:val="24"/>
        </w:rPr>
      </w:pPr>
      <w:r w:rsidRPr="006A101B">
        <w:rPr>
          <w:rFonts w:asciiTheme="majorBidi" w:hAnsiTheme="majorBidi" w:cstheme="majorBidi"/>
          <w:sz w:val="28"/>
          <w:szCs w:val="24"/>
        </w:rPr>
        <w:lastRenderedPageBreak/>
        <w:t>1) Для проверки соответствия требованиям подпункта с) пункта 3 и подпункта а) пункта 4 приложения № 2 к настоящему Положению, национальный орган по надзору за рынком использует процедуру, изложенную в части I настоящего приложения после деактивации и/ или выключения, по необходимости, всех сетевых портов единицы.</w:t>
      </w:r>
    </w:p>
    <w:p w:rsidR="008069E1" w:rsidRPr="006A101B" w:rsidRDefault="008069E1" w:rsidP="008069E1">
      <w:pPr>
        <w:rPr>
          <w:rFonts w:asciiTheme="majorBidi" w:hAnsiTheme="majorBidi" w:cstheme="majorBidi"/>
          <w:sz w:val="28"/>
          <w:szCs w:val="24"/>
        </w:rPr>
      </w:pPr>
      <w:r w:rsidRPr="006A101B">
        <w:rPr>
          <w:rFonts w:asciiTheme="majorBidi" w:hAnsiTheme="majorBidi" w:cstheme="majorBidi"/>
          <w:sz w:val="28"/>
          <w:szCs w:val="24"/>
        </w:rPr>
        <w:t>2) Для проверки соответствия других требований, предусмотренных в пунктах 3 и 4 приложения №2 к настоящему Положению, органы государств-членов проверяют одну единицу следующим образом:</w:t>
      </w:r>
    </w:p>
    <w:p w:rsidR="008069E1" w:rsidRPr="006A101B" w:rsidRDefault="008069E1" w:rsidP="008069E1">
      <w:pPr>
        <w:rPr>
          <w:rFonts w:asciiTheme="majorBidi" w:hAnsiTheme="majorBidi" w:cstheme="majorBidi"/>
          <w:sz w:val="28"/>
          <w:szCs w:val="24"/>
        </w:rPr>
      </w:pPr>
      <w:r w:rsidRPr="006A101B">
        <w:rPr>
          <w:rFonts w:asciiTheme="majorBidi" w:hAnsiTheme="majorBidi" w:cstheme="majorBidi"/>
          <w:sz w:val="28"/>
          <w:szCs w:val="24"/>
        </w:rPr>
        <w:t xml:space="preserve">3) Если оборудование предусмотрено в соответствии с технической документацией с одним сетевым портом и имеет два или несколько доступных портов подобного типа, </w:t>
      </w:r>
      <w:r w:rsidRPr="006A101B">
        <w:rPr>
          <w:rFonts w:asciiTheme="majorBidi" w:hAnsiTheme="majorBidi" w:cstheme="majorBidi"/>
          <w:color w:val="000000" w:themeColor="text1"/>
          <w:sz w:val="28"/>
          <w:szCs w:val="24"/>
        </w:rPr>
        <w:t xml:space="preserve">выбирается случайным </w:t>
      </w:r>
      <w:r w:rsidRPr="006A101B">
        <w:rPr>
          <w:rFonts w:asciiTheme="majorBidi" w:hAnsiTheme="majorBidi" w:cstheme="majorBidi"/>
          <w:sz w:val="28"/>
          <w:szCs w:val="24"/>
        </w:rPr>
        <w:t>образом один из этих портов и подключается к подходящей сети, соответствующей максимуму спецификаций для данного порта. Если речь идет о нескольких беспроводных сетевых портах одного и того же типа, остальные беспроводные порты отключаются, если это возможно. Если речь идет о множестве сетевых проводных портах одного и того же типа, в целях проверки соблюдения требований, предусмотренных в пункте 3 приложения № 2 к настоящему Положению, остальные сетевые порты отключаются, если это возможно. Если имеется всего один сетевой порт, он подключается к соответствующей сети, которая соблюдает максимальное количество спецификаций для данного порта.</w:t>
      </w:r>
    </w:p>
    <w:p w:rsidR="008069E1" w:rsidRPr="006A101B" w:rsidRDefault="008069E1" w:rsidP="008069E1">
      <w:pPr>
        <w:rPr>
          <w:rFonts w:asciiTheme="majorBidi" w:hAnsiTheme="majorBidi" w:cstheme="majorBidi"/>
          <w:sz w:val="28"/>
          <w:szCs w:val="24"/>
        </w:rPr>
      </w:pPr>
      <w:r w:rsidRPr="006A101B">
        <w:rPr>
          <w:rFonts w:asciiTheme="majorBidi" w:hAnsiTheme="majorBidi" w:cstheme="majorBidi"/>
          <w:sz w:val="28"/>
          <w:szCs w:val="24"/>
        </w:rPr>
        <w:t>4) Единица переключается в активный режим. Как только устройство переходит в активный режим и функционирует должным образом, необходимо подождать, пока оно перейдет в состояние, обеспечивающее режим ожидания в сети, и измеряется уровень энергопотребления. Затем оборудованию передается сигнал активации через соответствующий сетевой порт и проверяется, если активируется устройство.</w:t>
      </w:r>
    </w:p>
    <w:p w:rsidR="008069E1" w:rsidRPr="006A101B" w:rsidRDefault="008069E1" w:rsidP="008069E1">
      <w:pPr>
        <w:rPr>
          <w:rFonts w:asciiTheme="majorBidi" w:hAnsiTheme="majorBidi" w:cstheme="majorBidi"/>
          <w:sz w:val="28"/>
          <w:szCs w:val="24"/>
        </w:rPr>
      </w:pPr>
      <w:r w:rsidRPr="006A101B">
        <w:rPr>
          <w:rFonts w:asciiTheme="majorBidi" w:hAnsiTheme="majorBidi" w:cstheme="majorBidi"/>
          <w:sz w:val="28"/>
          <w:szCs w:val="24"/>
        </w:rPr>
        <w:t>5) Если оборудование оснащено в соответствии с технической документацией несколькими типами сетевого порта, для каждого типа сетевого порта повторяется следующая процедура. При наличии двух или нескольких сетевых портов одного и того же типа выбирается случайным образом по одному порту каждого типа и подключается к сети, которая соответствует максимальному количеству спецификаций для данного порта.</w:t>
      </w:r>
    </w:p>
    <w:p w:rsidR="008069E1" w:rsidRPr="006A101B" w:rsidRDefault="008069E1" w:rsidP="008069E1">
      <w:pPr>
        <w:rPr>
          <w:rFonts w:asciiTheme="majorBidi" w:hAnsiTheme="majorBidi" w:cstheme="majorBidi"/>
          <w:sz w:val="28"/>
          <w:szCs w:val="24"/>
        </w:rPr>
      </w:pPr>
      <w:r w:rsidRPr="006A101B">
        <w:rPr>
          <w:rFonts w:asciiTheme="majorBidi" w:hAnsiTheme="majorBidi" w:cstheme="majorBidi"/>
          <w:sz w:val="28"/>
          <w:szCs w:val="24"/>
        </w:rPr>
        <w:t>6) Если для конкретного типа сетевого порта доступен всего один порт, он подключается к сети, которая соответствует максимальному количеству спецификаций для данного порта. Беспроводные порты, которые не используются, отключаются, если это возможно. Для того чтобы удостовериться, что требования, предусмотренные в пункте 3 приложения № 2 к настоящему Положению, соблюдаются, не использующиеся сетевые проводные порты отключаются, если это возможно.</w:t>
      </w:r>
    </w:p>
    <w:p w:rsidR="008069E1" w:rsidRPr="006A101B" w:rsidRDefault="008069E1" w:rsidP="008069E1">
      <w:pPr>
        <w:rPr>
          <w:rFonts w:asciiTheme="majorBidi" w:hAnsiTheme="majorBidi" w:cstheme="majorBidi"/>
          <w:sz w:val="28"/>
          <w:szCs w:val="24"/>
        </w:rPr>
      </w:pPr>
      <w:r w:rsidRPr="006A101B">
        <w:rPr>
          <w:rFonts w:asciiTheme="majorBidi" w:hAnsiTheme="majorBidi" w:cstheme="majorBidi"/>
          <w:sz w:val="28"/>
          <w:szCs w:val="24"/>
        </w:rPr>
        <w:lastRenderedPageBreak/>
        <w:t>7) Единица переключается в активный режим. Как только устройство переходит в активный режим и функционирует должным образом, необходимо подождать, пока оно перейдет в состояние, обеспечивающее режим ожидания, в сети и измеряется уровень энергопотребления. Затем оборудованию передается сигнал активации через соответствующий сетевой порт и проверяется, если активируется устройство. Если один физический сетевой порт разделяется на два или несколько типов сетевых портов (логических), данная процедура повторяется для каждого типа логического сетевого порта, остальные логические сетевые порты отключаются логически.</w:t>
      </w:r>
    </w:p>
    <w:p w:rsidR="00DC65EF" w:rsidRDefault="00DC65EF"/>
    <w:sectPr w:rsidR="00DC65EF" w:rsidSect="00DC65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561B6"/>
    <w:multiLevelType w:val="hybridMultilevel"/>
    <w:tmpl w:val="37005758"/>
    <w:lvl w:ilvl="0" w:tplc="CC60245A">
      <w:start w:val="1"/>
      <w:numFmt w:val="bullet"/>
      <w:lvlText w:val=""/>
      <w:lvlJc w:val="left"/>
      <w:pPr>
        <w:ind w:left="720" w:hanging="360"/>
      </w:pPr>
      <w:rPr>
        <w:rFonts w:ascii="Symbol" w:hAnsi="Symbol" w:hint="default"/>
      </w:rPr>
    </w:lvl>
    <w:lvl w:ilvl="1" w:tplc="52C274A0">
      <w:start w:val="1"/>
      <w:numFmt w:val="decimal"/>
      <w:lvlText w:val="%2."/>
      <w:lvlJc w:val="left"/>
      <w:pPr>
        <w:ind w:left="1440" w:hanging="360"/>
      </w:pPr>
      <w:rPr>
        <w:rFonts w:cs="Times New Roman"/>
        <w:b/>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069E1"/>
    <w:rsid w:val="008069E1"/>
    <w:rsid w:val="00DC65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E1"/>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9E1"/>
    <w:pPr>
      <w:spacing w:after="200" w:line="276" w:lineRule="auto"/>
      <w:ind w:left="720" w:firstLine="0"/>
      <w:contextualSpacing/>
      <w:jc w:val="left"/>
    </w:pPr>
    <w:rPr>
      <w:rFonts w:asciiTheme="minorHAnsi" w:hAnsiTheme="minorHAnsi" w:cstheme="minorBidi"/>
      <w:sz w:val="22"/>
      <w:szCs w:val="22"/>
    </w:rPr>
  </w:style>
  <w:style w:type="table" w:styleId="TableGrid">
    <w:name w:val="Table Grid"/>
    <w:basedOn w:val="TableNormal"/>
    <w:uiPriority w:val="39"/>
    <w:rsid w:val="008069E1"/>
    <w:pPr>
      <w:spacing w:after="0" w:line="240" w:lineRule="auto"/>
      <w:ind w:firstLine="709"/>
      <w:jc w:val="both"/>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6188</Characters>
  <Application>Microsoft Office Word</Application>
  <DocSecurity>0</DocSecurity>
  <Lines>51</Lines>
  <Paragraphs>14</Paragraphs>
  <ScaleCrop>false</ScaleCrop>
  <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2018-01-18T09:48:00Z</dcterms:created>
  <dcterms:modified xsi:type="dcterms:W3CDTF">2018-01-18T09:48:00Z</dcterms:modified>
</cp:coreProperties>
</file>