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1" w:rsidRPr="006A101B" w:rsidRDefault="00932341" w:rsidP="00932341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Приложение № 1 </w:t>
      </w:r>
    </w:p>
    <w:p w:rsidR="00932341" w:rsidRPr="006A101B" w:rsidRDefault="00932341" w:rsidP="00932341">
      <w:pPr>
        <w:ind w:left="3545" w:firstLine="0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проектированию потребляемой мощности в холостом режиме и </w:t>
      </w:r>
      <w:r w:rsidRPr="006A101B">
        <w:rPr>
          <w:rFonts w:asciiTheme="majorBidi" w:hAnsiTheme="majorBidi" w:cstheme="majorBidi"/>
          <w:color w:val="000000"/>
          <w:sz w:val="26"/>
          <w:szCs w:val="26"/>
        </w:rPr>
        <w:t>средней эффективности</w:t>
      </w:r>
      <w:r w:rsidRPr="006A101B">
        <w:rPr>
          <w:rFonts w:asciiTheme="majorBidi" w:hAnsiTheme="majorBidi" w:cstheme="majorBidi"/>
          <w:sz w:val="26"/>
          <w:szCs w:val="26"/>
        </w:rPr>
        <w:t xml:space="preserve"> в активном режиме внешних источников питания</w:t>
      </w:r>
    </w:p>
    <w:p w:rsidR="00932341" w:rsidRPr="006A101B" w:rsidRDefault="00932341" w:rsidP="00932341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932341" w:rsidRPr="006A101B" w:rsidRDefault="00932341" w:rsidP="00932341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I.   Потребляемая мощность в холостом режиме и </w:t>
      </w:r>
      <w:r w:rsidRPr="006A101B">
        <w:rPr>
          <w:rFonts w:asciiTheme="majorBidi" w:hAnsiTheme="majorBidi" w:cstheme="majorBidi"/>
          <w:b/>
          <w:color w:val="000000"/>
          <w:sz w:val="28"/>
          <w:szCs w:val="28"/>
        </w:rPr>
        <w:t>средняя эффективность</w:t>
      </w:r>
      <w:r w:rsidRPr="006A101B">
        <w:rPr>
          <w:rFonts w:asciiTheme="majorBidi" w:hAnsiTheme="majorBidi" w:cstheme="majorBidi"/>
          <w:b/>
          <w:sz w:val="28"/>
          <w:szCs w:val="24"/>
        </w:rPr>
        <w:t xml:space="preserve"> в активном режиме</w:t>
      </w:r>
    </w:p>
    <w:p w:rsidR="00932341" w:rsidRPr="006A101B" w:rsidRDefault="00932341" w:rsidP="00932341">
      <w:pPr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 xml:space="preserve">1. </w:t>
      </w:r>
      <w:r w:rsidRPr="006A101B">
        <w:rPr>
          <w:rFonts w:asciiTheme="majorBidi" w:hAnsiTheme="majorBidi" w:cstheme="majorBidi"/>
          <w:b/>
          <w:vanish/>
          <w:sz w:val="28"/>
          <w:szCs w:val="24"/>
        </w:rPr>
        <w:t>După 6 luni de la data publicării în Monitorul Oficial al Republicii Moldova,</w:t>
      </w:r>
      <w:r w:rsidRPr="006A101B">
        <w:rPr>
          <w:rFonts w:asciiTheme="majorBidi" w:hAnsiTheme="majorBidi" w:cstheme="majorBidi"/>
          <w:b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По истечении 6 месяцев с даты опубликования в Официальном мониторе Республики Молдова потребляемая мощность в холостом режиме не должна превышать 0,50 ватт.</w:t>
      </w:r>
    </w:p>
    <w:p w:rsidR="00932341" w:rsidRPr="006A101B" w:rsidRDefault="00932341" w:rsidP="00932341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color w:val="000000"/>
          <w:sz w:val="28"/>
          <w:szCs w:val="28"/>
        </w:rPr>
        <w:t>Средняя эффективность</w:t>
      </w:r>
      <w:r w:rsidRPr="006A101B">
        <w:rPr>
          <w:rFonts w:asciiTheme="majorBidi" w:hAnsiTheme="majorBidi" w:cstheme="majorBidi"/>
          <w:sz w:val="28"/>
          <w:szCs w:val="24"/>
        </w:rPr>
        <w:t xml:space="preserve"> в активном режиме не должна быть ниже, чем:</w:t>
      </w: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ab/>
        <w:t>0,500 ·P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>, для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O </w:t>
      </w:r>
      <w:r w:rsidRPr="006A101B">
        <w:rPr>
          <w:rFonts w:asciiTheme="majorBidi" w:hAnsiTheme="majorBidi" w:cstheme="majorBidi"/>
          <w:sz w:val="28"/>
          <w:szCs w:val="24"/>
        </w:rPr>
        <w:t>&lt; 1,0 W;</w:t>
      </w: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ab/>
        <w:t>0,090 ·ln(P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>) + 0,500, для 1,0 W ≤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≤ 51,0 W;</w:t>
      </w: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4"/>
          <w:szCs w:val="24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ab/>
        <w:t>0,850, для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&gt; 51,0 W.</w:t>
      </w:r>
    </w:p>
    <w:p w:rsidR="00932341" w:rsidRPr="006A101B" w:rsidRDefault="00932341" w:rsidP="00932341">
      <w:pPr>
        <w:rPr>
          <w:rFonts w:asciiTheme="majorBidi" w:hAnsiTheme="majorBidi" w:cstheme="majorBidi"/>
          <w:sz w:val="24"/>
          <w:szCs w:val="24"/>
        </w:rPr>
      </w:pP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2.</w:t>
      </w:r>
      <w:r w:rsidRPr="006A101B">
        <w:rPr>
          <w:rFonts w:asciiTheme="majorBidi" w:hAnsiTheme="majorBidi" w:cstheme="majorBidi"/>
          <w:sz w:val="28"/>
          <w:szCs w:val="24"/>
        </w:rPr>
        <w:t xml:space="preserve"> По истечении 12 месяцев с даты  опубликования в Официальном мониторе Республики Молдова:</w:t>
      </w:r>
      <w:r w:rsidRPr="006A101B">
        <w:rPr>
          <w:rFonts w:asciiTheme="majorBidi" w:hAnsiTheme="majorBidi" w:cstheme="majorBidi"/>
          <w:vanish/>
          <w:sz w:val="28"/>
          <w:szCs w:val="24"/>
        </w:rPr>
        <w:t>După 12 luni de la data publicării în Monitorul Oficial al Republicii Moldova de la intrarea în vigoare a prezentului regulament:</w:t>
      </w: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потребляемая мощность в холостом режиме не должна превышать</w:t>
      </w:r>
      <w:r w:rsidRPr="006A101B">
        <w:rPr>
          <w:rFonts w:asciiTheme="majorBidi" w:hAnsiTheme="majorBidi" w:cstheme="majorBidi"/>
        </w:rPr>
        <w:t xml:space="preserve"> </w:t>
      </w:r>
      <w:r w:rsidRPr="006A101B">
        <w:rPr>
          <w:rFonts w:asciiTheme="majorBidi" w:hAnsiTheme="majorBidi" w:cstheme="majorBidi"/>
          <w:sz w:val="28"/>
          <w:szCs w:val="24"/>
        </w:rPr>
        <w:t>следующие пределы:</w:t>
      </w:r>
    </w:p>
    <w:p w:rsidR="00932341" w:rsidRPr="006A101B" w:rsidRDefault="00932341" w:rsidP="00932341">
      <w:pPr>
        <w:rPr>
          <w:rFonts w:asciiTheme="majorBidi" w:hAnsiTheme="majorBidi" w:cstheme="majorBidi"/>
          <w:sz w:val="28"/>
          <w:szCs w:val="24"/>
        </w:rPr>
      </w:pPr>
    </w:p>
    <w:tbl>
      <w:tblPr>
        <w:tblW w:w="486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128"/>
        <w:gridCol w:w="2888"/>
        <w:gridCol w:w="2888"/>
        <w:gridCol w:w="1980"/>
      </w:tblGrid>
      <w:tr w:rsidR="00932341" w:rsidRPr="006A101B" w:rsidTr="00770F77">
        <w:trPr>
          <w:trHeight w:val="108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Внешние источники питания 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-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CA,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 за исключением внешних источников питания низкого напряжения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Внешние источники питания 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-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CC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, за исключением внешних источников питания низкого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Внешние источники питания низкого напряжения </w:t>
            </w:r>
          </w:p>
        </w:tc>
      </w:tr>
      <w:tr w:rsidR="00932341" w:rsidRPr="006A101B" w:rsidTr="00770F77">
        <w:trPr>
          <w:trHeight w:val="306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P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 ≤ 51,0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0,50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0,30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0,30 W</w:t>
            </w:r>
          </w:p>
        </w:tc>
      </w:tr>
      <w:tr w:rsidR="00932341" w:rsidRPr="006A101B" w:rsidTr="00770F77">
        <w:trPr>
          <w:trHeight w:val="4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P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 &gt; 51,0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0,50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0,50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не применяется</w:t>
            </w:r>
          </w:p>
        </w:tc>
      </w:tr>
    </w:tbl>
    <w:p w:rsidR="00932341" w:rsidRPr="006A101B" w:rsidRDefault="00932341" w:rsidP="00932341">
      <w:pPr>
        <w:ind w:firstLine="360"/>
        <w:rPr>
          <w:rFonts w:asciiTheme="majorBidi" w:hAnsiTheme="majorBidi" w:cstheme="majorBidi"/>
          <w:sz w:val="24"/>
          <w:szCs w:val="24"/>
        </w:rPr>
      </w:pPr>
      <w:r w:rsidRPr="006A101B">
        <w:rPr>
          <w:rFonts w:asciiTheme="majorBidi" w:hAnsiTheme="majorBidi" w:cstheme="majorBidi"/>
          <w:sz w:val="24"/>
          <w:szCs w:val="24"/>
        </w:rPr>
        <w:t xml:space="preserve"> </w:t>
      </w:r>
    </w:p>
    <w:p w:rsidR="00932341" w:rsidRPr="006A101B" w:rsidRDefault="00932341" w:rsidP="00932341">
      <w:pPr>
        <w:ind w:left="720" w:firstLine="0"/>
        <w:rPr>
          <w:rFonts w:asciiTheme="majorBidi" w:hAnsiTheme="majorBidi" w:cstheme="majorBidi"/>
          <w:sz w:val="24"/>
          <w:szCs w:val="24"/>
        </w:rPr>
      </w:pPr>
      <w:r w:rsidRPr="006A101B">
        <w:rPr>
          <w:rFonts w:asciiTheme="majorBidi" w:hAnsiTheme="majorBidi" w:cstheme="majorBidi"/>
          <w:sz w:val="24"/>
          <w:szCs w:val="24"/>
        </w:rPr>
        <w:t>средняя эффективность в активном режиме не должна быть ниже, чем следующие значения:</w:t>
      </w:r>
    </w:p>
    <w:p w:rsidR="00932341" w:rsidRPr="006A101B" w:rsidRDefault="00932341" w:rsidP="00932341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435"/>
        <w:gridCol w:w="111"/>
        <w:gridCol w:w="4901"/>
        <w:gridCol w:w="2684"/>
      </w:tblGrid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Внешние источники питания 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-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 и 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CA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-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val="ro-RO" w:eastAsia="ru-RU"/>
              </w:rPr>
              <w:t>CC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, за исключением внешних источников питания низкого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Внешние источники питания низкого напряжения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P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 ≤ 1,0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0,480 · P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+ 0,140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0,497 · P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 + 0,067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1,0 W &lt; P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 ≤ 51,0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0,063 · ln(P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) + 0,622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0,075 · ln(P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) + 0,561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P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bdr w:val="none" w:sz="0" w:space="0" w:color="auto" w:frame="1"/>
                <w:vertAlign w:val="subscript"/>
                <w:lang w:eastAsia="ru-RU"/>
              </w:rPr>
              <w:t>O</w:t>
            </w: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 &gt; 51,0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right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0,860</w:t>
            </w:r>
          </w:p>
        </w:tc>
      </w:tr>
    </w:tbl>
    <w:p w:rsidR="00932341" w:rsidRPr="006A101B" w:rsidRDefault="00932341" w:rsidP="00932341">
      <w:pPr>
        <w:ind w:firstLine="360"/>
        <w:rPr>
          <w:rFonts w:asciiTheme="majorBidi" w:hAnsiTheme="majorBidi" w:cstheme="majorBidi"/>
          <w:sz w:val="28"/>
          <w:szCs w:val="24"/>
          <w:lang w:val="en-US"/>
        </w:rPr>
      </w:pPr>
    </w:p>
    <w:p w:rsidR="00932341" w:rsidRPr="006A101B" w:rsidRDefault="00932341" w:rsidP="00932341">
      <w:pPr>
        <w:ind w:firstLine="360"/>
        <w:rPr>
          <w:rFonts w:asciiTheme="majorBidi" w:hAnsiTheme="majorBidi" w:cstheme="majorBidi"/>
          <w:sz w:val="28"/>
          <w:szCs w:val="24"/>
          <w:lang w:val="en-US"/>
        </w:rPr>
      </w:pPr>
    </w:p>
    <w:p w:rsidR="00932341" w:rsidRPr="006A101B" w:rsidRDefault="00932341" w:rsidP="00932341">
      <w:pPr>
        <w:ind w:firstLine="0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II.   Измерения</w:t>
      </w:r>
    </w:p>
    <w:p w:rsidR="00932341" w:rsidRPr="006A101B" w:rsidRDefault="00932341" w:rsidP="00932341">
      <w:pPr>
        <w:ind w:firstLine="0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</w:p>
    <w:p w:rsidR="00932341" w:rsidRPr="006A101B" w:rsidRDefault="00932341" w:rsidP="0093234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Потребляемая мощность в холостом режиме и средняя эффективность в активном режиме, указанные в пункте 5, определяются при помощи надежной, точной и воспроизводимой процедуры измерения, которая принимает во внимание общепризнанные технологические прогрессы. </w:t>
      </w:r>
    </w:p>
    <w:p w:rsidR="00932341" w:rsidRPr="006A101B" w:rsidRDefault="00932341" w:rsidP="0093234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Измерения мощности</w:t>
      </w:r>
      <w:r>
        <w:rPr>
          <w:rFonts w:asciiTheme="majorBidi" w:hAnsiTheme="majorBidi" w:cstheme="majorBidi"/>
          <w:sz w:val="28"/>
          <w:szCs w:val="24"/>
        </w:rPr>
        <w:t>,</w:t>
      </w:r>
      <w:r w:rsidRPr="006A101B">
        <w:rPr>
          <w:rFonts w:asciiTheme="majorBidi" w:hAnsiTheme="majorBidi" w:cstheme="majorBidi"/>
          <w:sz w:val="28"/>
          <w:szCs w:val="24"/>
        </w:rPr>
        <w:t xml:space="preserve"> большей или равной 0,50 ваттам</w:t>
      </w:r>
      <w:r>
        <w:rPr>
          <w:rFonts w:asciiTheme="majorBidi" w:hAnsiTheme="majorBidi" w:cstheme="majorBidi"/>
          <w:sz w:val="28"/>
          <w:szCs w:val="24"/>
        </w:rPr>
        <w:t>,</w:t>
      </w:r>
      <w:r w:rsidRPr="006A101B">
        <w:rPr>
          <w:rFonts w:asciiTheme="majorBidi" w:hAnsiTheme="majorBidi" w:cstheme="majorBidi"/>
          <w:sz w:val="28"/>
          <w:szCs w:val="24"/>
        </w:rPr>
        <w:t xml:space="preserve"> должны быть выполнены с погрешностью менее 2% при уровне достоверности 95%. Измерения, касающиеся энергии не более 0,5 ватт, допускают погрешность менее или равную 0,01 ваттам при уровне достоверности 95%.</w:t>
      </w:r>
    </w:p>
    <w:p w:rsidR="00932341" w:rsidRPr="006A101B" w:rsidRDefault="00932341" w:rsidP="00932341">
      <w:pPr>
        <w:tabs>
          <w:tab w:val="left" w:pos="1134"/>
        </w:tabs>
        <w:ind w:firstLine="360"/>
        <w:jc w:val="center"/>
        <w:rPr>
          <w:rFonts w:asciiTheme="majorBidi" w:hAnsiTheme="majorBidi" w:cstheme="majorBidi"/>
          <w:b/>
          <w:sz w:val="28"/>
          <w:szCs w:val="24"/>
        </w:rPr>
      </w:pPr>
    </w:p>
    <w:p w:rsidR="00932341" w:rsidRPr="006A101B" w:rsidRDefault="00932341" w:rsidP="00932341">
      <w:pPr>
        <w:tabs>
          <w:tab w:val="left" w:pos="1134"/>
        </w:tabs>
        <w:ind w:firstLine="360"/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III.   Информация, предоставляемая производителями</w:t>
      </w:r>
    </w:p>
    <w:p w:rsidR="00932341" w:rsidRPr="006A101B" w:rsidRDefault="00932341" w:rsidP="00932341">
      <w:pPr>
        <w:tabs>
          <w:tab w:val="left" w:pos="1134"/>
        </w:tabs>
        <w:jc w:val="center"/>
        <w:rPr>
          <w:rFonts w:asciiTheme="majorBidi" w:hAnsiTheme="majorBidi" w:cstheme="majorBidi"/>
          <w:b/>
          <w:sz w:val="28"/>
          <w:szCs w:val="24"/>
          <w:lang w:val="en-US"/>
        </w:rPr>
      </w:pPr>
    </w:p>
    <w:p w:rsidR="00932341" w:rsidRPr="006A101B" w:rsidRDefault="00932341" w:rsidP="0093234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Для целей оценки соответствия на основании пункта 6 техническая документация должна содержать следующие элементы:</w:t>
      </w:r>
    </w:p>
    <w:p w:rsidR="00932341" w:rsidRPr="006A101B" w:rsidRDefault="00932341" w:rsidP="00932341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22"/>
        <w:gridCol w:w="5009"/>
      </w:tblGrid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Заявленные количества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 xml:space="preserve">Описание 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Среднеквадратическое значение (Rms) выходной ток (mA)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Измеренные в режиме нагрузки 1-4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Rms выходное напряжение (V)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2341" w:rsidRPr="006A101B" w:rsidRDefault="00932341" w:rsidP="00770F77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Выходная мощность в активном режиме (W)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2341" w:rsidRPr="006A101B" w:rsidRDefault="00932341" w:rsidP="00770F77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Rms входное напряжение (V)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Измеренные в режиме нагрузки 1-5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Rms входная мощность (W)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2341" w:rsidRPr="006A101B" w:rsidRDefault="00932341" w:rsidP="00770F77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Полное гармоническое искажение (THD)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2341" w:rsidRPr="006A101B" w:rsidRDefault="00932341" w:rsidP="00770F77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Истинный коэффициент мощности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32341" w:rsidRPr="006A101B" w:rsidRDefault="00932341" w:rsidP="00770F77">
            <w:pPr>
              <w:ind w:firstLine="0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Потребляемая мощность 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Рассчитанные в режимах нагрузки 1-4, измеренные в режиме нагрузки 5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Эффективность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Рассчитанные в режимах нагрузки 1-4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 xml:space="preserve">Средняя эффективность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Среднеарифметическое значение эффективности в холостых режимах 1-4</w:t>
            </w:r>
          </w:p>
        </w:tc>
      </w:tr>
    </w:tbl>
    <w:p w:rsidR="00932341" w:rsidRPr="006A101B" w:rsidRDefault="00932341" w:rsidP="00932341">
      <w:pPr>
        <w:ind w:firstLine="360"/>
        <w:rPr>
          <w:rFonts w:asciiTheme="majorBidi" w:hAnsiTheme="majorBidi" w:cstheme="majorBidi"/>
          <w:sz w:val="28"/>
          <w:szCs w:val="24"/>
        </w:rPr>
      </w:pPr>
    </w:p>
    <w:p w:rsidR="00932341" w:rsidRPr="006A101B" w:rsidRDefault="00932341" w:rsidP="00932341">
      <w:pPr>
        <w:ind w:left="720" w:firstLine="0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Значимые режимы нагрузки:</w:t>
      </w:r>
    </w:p>
    <w:p w:rsidR="00932341" w:rsidRPr="006A101B" w:rsidRDefault="00932341" w:rsidP="00932341">
      <w:pPr>
        <w:pStyle w:val="ListParagraph"/>
        <w:spacing w:after="0" w:line="240" w:lineRule="auto"/>
        <w:ind w:left="1080"/>
        <w:jc w:val="both"/>
        <w:rPr>
          <w:rFonts w:asciiTheme="majorBidi" w:hAnsiTheme="majorBidi" w:cstheme="majorBidi"/>
          <w:sz w:val="28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02"/>
        <w:gridCol w:w="5329"/>
      </w:tblGrid>
      <w:tr w:rsidR="00932341" w:rsidRPr="006A101B" w:rsidTr="00770F77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right="195" w:firstLine="0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lang w:eastAsia="ru-RU"/>
              </w:rPr>
              <w:t>Проценты от выходного тока, указанные на паспортной табличке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Режим нагрузки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100 % ± 2 %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Режим нагрузки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75 % ± 2 %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Режим нагрузки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50 % ± 2 %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Режим нагрузки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25 % ± 2 %</w:t>
            </w:r>
          </w:p>
        </w:tc>
      </w:tr>
      <w:tr w:rsidR="00932341" w:rsidRPr="006A101B" w:rsidTr="00770F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Режим нагрузки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32341" w:rsidRPr="006A101B" w:rsidRDefault="00932341" w:rsidP="00770F77">
            <w:pPr>
              <w:spacing w:line="276" w:lineRule="auto"/>
              <w:ind w:firstLine="0"/>
              <w:textAlignment w:val="baseline"/>
              <w:rPr>
                <w:rFonts w:asciiTheme="majorBidi" w:hAnsiTheme="majorBidi" w:cstheme="majorBidi"/>
                <w:color w:val="000000" w:themeColor="text1"/>
                <w:sz w:val="22"/>
                <w:szCs w:val="24"/>
                <w:lang w:eastAsia="ru-RU"/>
              </w:rPr>
            </w:pPr>
            <w:r w:rsidRPr="006A101B">
              <w:rPr>
                <w:rFonts w:asciiTheme="majorBidi" w:hAnsiTheme="majorBidi" w:cstheme="majorBidi"/>
                <w:color w:val="000000" w:themeColor="text1"/>
                <w:szCs w:val="24"/>
                <w:lang w:eastAsia="ru-RU"/>
              </w:rPr>
              <w:t>0 % (режим без нагрузки)</w:t>
            </w:r>
          </w:p>
        </w:tc>
      </w:tr>
    </w:tbl>
    <w:p w:rsidR="001172D1" w:rsidRDefault="001172D1"/>
    <w:sectPr w:rsidR="001172D1" w:rsidSect="0011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24DA"/>
    <w:multiLevelType w:val="hybridMultilevel"/>
    <w:tmpl w:val="05C249A8"/>
    <w:lvl w:ilvl="0" w:tplc="2A602F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FC3842"/>
    <w:multiLevelType w:val="hybridMultilevel"/>
    <w:tmpl w:val="6E7E5546"/>
    <w:lvl w:ilvl="0" w:tplc="CC602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2341"/>
    <w:rsid w:val="001172D1"/>
    <w:rsid w:val="0093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4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2018-01-18T11:45:00Z</dcterms:created>
  <dcterms:modified xsi:type="dcterms:W3CDTF">2018-01-18T11:46:00Z</dcterms:modified>
</cp:coreProperties>
</file>