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BE2" w:rsidRPr="00942BE2" w:rsidRDefault="00942BE2" w:rsidP="00942BE2">
      <w:pPr>
        <w:ind w:left="4254"/>
        <w:rPr>
          <w:rFonts w:asciiTheme="majorBidi" w:hAnsiTheme="majorBidi" w:cstheme="majorBidi"/>
          <w:sz w:val="26"/>
          <w:szCs w:val="26"/>
        </w:rPr>
      </w:pPr>
      <w:r w:rsidRPr="006A101B">
        <w:rPr>
          <w:rFonts w:asciiTheme="majorBidi" w:hAnsiTheme="majorBidi" w:cstheme="majorBidi"/>
          <w:sz w:val="26"/>
          <w:szCs w:val="26"/>
        </w:rPr>
        <w:t xml:space="preserve">Приложение № </w:t>
      </w:r>
      <w:r w:rsidRPr="00942BE2">
        <w:rPr>
          <w:rFonts w:asciiTheme="majorBidi" w:hAnsiTheme="majorBidi" w:cstheme="majorBidi"/>
          <w:sz w:val="26"/>
          <w:szCs w:val="26"/>
        </w:rPr>
        <w:t>2</w:t>
      </w:r>
    </w:p>
    <w:p w:rsidR="00942BE2" w:rsidRPr="006A101B" w:rsidRDefault="00942BE2" w:rsidP="00942BE2">
      <w:pPr>
        <w:ind w:left="3545" w:firstLine="0"/>
        <w:rPr>
          <w:rFonts w:asciiTheme="majorBidi" w:hAnsiTheme="majorBidi" w:cstheme="majorBidi"/>
          <w:i/>
          <w:sz w:val="28"/>
          <w:szCs w:val="24"/>
        </w:rPr>
      </w:pPr>
      <w:r w:rsidRPr="006A101B">
        <w:rPr>
          <w:rFonts w:asciiTheme="majorBidi" w:hAnsiTheme="majorBidi" w:cstheme="majorBidi"/>
          <w:sz w:val="26"/>
          <w:szCs w:val="26"/>
        </w:rPr>
        <w:t xml:space="preserve">к Положению о требованиях к экологическому проектированию потребляемой мощности в холостом режиме и </w:t>
      </w:r>
      <w:r w:rsidRPr="006A101B">
        <w:rPr>
          <w:rFonts w:asciiTheme="majorBidi" w:hAnsiTheme="majorBidi" w:cstheme="majorBidi"/>
          <w:color w:val="000000"/>
          <w:sz w:val="26"/>
          <w:szCs w:val="26"/>
        </w:rPr>
        <w:t>средней эффективности</w:t>
      </w:r>
      <w:r w:rsidRPr="006A101B">
        <w:rPr>
          <w:rFonts w:asciiTheme="majorBidi" w:hAnsiTheme="majorBidi" w:cstheme="majorBidi"/>
          <w:sz w:val="26"/>
          <w:szCs w:val="26"/>
        </w:rPr>
        <w:t xml:space="preserve"> в активном режиме внешних источников питания</w:t>
      </w:r>
    </w:p>
    <w:p w:rsidR="00942BE2" w:rsidRPr="006A101B" w:rsidRDefault="00942BE2" w:rsidP="00942BE2">
      <w:pPr>
        <w:ind w:firstLine="360"/>
        <w:jc w:val="center"/>
        <w:rPr>
          <w:rFonts w:asciiTheme="majorBidi" w:hAnsiTheme="majorBidi" w:cstheme="majorBidi"/>
          <w:b/>
          <w:sz w:val="28"/>
          <w:szCs w:val="24"/>
        </w:rPr>
      </w:pPr>
    </w:p>
    <w:p w:rsidR="00942BE2" w:rsidRPr="006A101B" w:rsidRDefault="00942BE2" w:rsidP="00942BE2">
      <w:pPr>
        <w:ind w:firstLine="0"/>
        <w:jc w:val="center"/>
        <w:rPr>
          <w:rFonts w:asciiTheme="majorBidi" w:hAnsiTheme="majorBidi" w:cstheme="majorBidi"/>
          <w:b/>
          <w:sz w:val="28"/>
          <w:szCs w:val="24"/>
        </w:rPr>
      </w:pPr>
      <w:r w:rsidRPr="006A101B">
        <w:rPr>
          <w:rFonts w:asciiTheme="majorBidi" w:hAnsiTheme="majorBidi" w:cstheme="majorBidi"/>
          <w:b/>
          <w:sz w:val="28"/>
          <w:szCs w:val="24"/>
        </w:rPr>
        <w:t xml:space="preserve">Контроль соответствия продукции органами </w:t>
      </w:r>
      <w:r w:rsidRPr="006A101B">
        <w:rPr>
          <w:rFonts w:asciiTheme="majorBidi" w:hAnsiTheme="majorBidi" w:cstheme="majorBidi"/>
          <w:b/>
          <w:sz w:val="28"/>
          <w:szCs w:val="24"/>
        </w:rPr>
        <w:br/>
        <w:t>по надзору за рынком</w:t>
      </w:r>
    </w:p>
    <w:p w:rsidR="00942BE2" w:rsidRPr="006A101B" w:rsidRDefault="00942BE2" w:rsidP="00942BE2">
      <w:pPr>
        <w:ind w:firstLine="360"/>
        <w:jc w:val="center"/>
        <w:rPr>
          <w:rFonts w:asciiTheme="majorBidi" w:hAnsiTheme="majorBidi" w:cstheme="majorBidi"/>
          <w:b/>
          <w:sz w:val="28"/>
          <w:szCs w:val="24"/>
        </w:rPr>
      </w:pPr>
    </w:p>
    <w:p w:rsidR="00942BE2" w:rsidRPr="006A101B" w:rsidRDefault="00942BE2" w:rsidP="00942BE2">
      <w:pPr>
        <w:pStyle w:val="ListParagraph"/>
        <w:numPr>
          <w:ilvl w:val="0"/>
          <w:numId w:val="1"/>
        </w:numPr>
        <w:tabs>
          <w:tab w:val="left" w:pos="1134"/>
        </w:tabs>
        <w:spacing w:after="0" w:line="240" w:lineRule="auto"/>
        <w:ind w:left="0" w:firstLine="709"/>
        <w:jc w:val="both"/>
        <w:rPr>
          <w:rFonts w:asciiTheme="majorBidi" w:hAnsiTheme="majorBidi" w:cstheme="majorBidi"/>
          <w:b/>
          <w:sz w:val="28"/>
          <w:szCs w:val="24"/>
        </w:rPr>
      </w:pPr>
      <w:r w:rsidRPr="006A101B">
        <w:rPr>
          <w:rFonts w:asciiTheme="majorBidi" w:hAnsiTheme="majorBidi" w:cstheme="majorBidi"/>
          <w:sz w:val="28"/>
          <w:szCs w:val="24"/>
        </w:rPr>
        <w:t xml:space="preserve">Проверочные допуски, определенные в настоящем приложении, относятся только к проверке параметров, измеряемых национальными органами по надзору за рынком, и не должны использоваться производителем или импортером как допуск, разрешенный для определения значений технической документации или для интерпретации этих значений в целях достижения соответствия или для передачи каким-либо образом сведений о высокой производительности.  </w:t>
      </w:r>
    </w:p>
    <w:p w:rsidR="00942BE2" w:rsidRDefault="00942BE2" w:rsidP="00942BE2">
      <w:pPr>
        <w:tabs>
          <w:tab w:val="left" w:pos="1134"/>
        </w:tabs>
        <w:rPr>
          <w:rFonts w:asciiTheme="majorBidi" w:hAnsiTheme="majorBidi" w:cstheme="majorBidi"/>
          <w:b/>
          <w:sz w:val="28"/>
          <w:szCs w:val="24"/>
        </w:rPr>
      </w:pPr>
    </w:p>
    <w:p w:rsidR="00942BE2" w:rsidRPr="006A101B" w:rsidRDefault="00942BE2" w:rsidP="00942BE2">
      <w:pPr>
        <w:tabs>
          <w:tab w:val="left" w:pos="1134"/>
        </w:tabs>
        <w:rPr>
          <w:rFonts w:asciiTheme="majorBidi" w:hAnsiTheme="majorBidi" w:cstheme="majorBidi"/>
          <w:sz w:val="28"/>
          <w:szCs w:val="24"/>
        </w:rPr>
      </w:pPr>
      <w:r w:rsidRPr="006A101B">
        <w:rPr>
          <w:rFonts w:asciiTheme="majorBidi" w:hAnsiTheme="majorBidi" w:cstheme="majorBidi"/>
          <w:b/>
          <w:sz w:val="28"/>
          <w:szCs w:val="24"/>
        </w:rPr>
        <w:t>2.</w:t>
      </w:r>
      <w:r w:rsidRPr="006A101B">
        <w:rPr>
          <w:rFonts w:asciiTheme="majorBidi" w:hAnsiTheme="majorBidi" w:cstheme="majorBidi"/>
          <w:sz w:val="28"/>
          <w:szCs w:val="24"/>
        </w:rPr>
        <w:t xml:space="preserve"> При проведении проверок в целях надзора за рынком, указанных в пункте а) части (2)  статьи 8 Закона № 151 от 17 июля 2014 года о требованиях к экологическому проектированию энергопотребляющих изделий</w:t>
      </w:r>
      <w:r>
        <w:rPr>
          <w:rFonts w:asciiTheme="majorBidi" w:hAnsiTheme="majorBidi" w:cstheme="majorBidi"/>
          <w:sz w:val="28"/>
          <w:szCs w:val="24"/>
        </w:rPr>
        <w:t>,</w:t>
      </w:r>
      <w:r w:rsidRPr="006A101B">
        <w:rPr>
          <w:rFonts w:asciiTheme="majorBidi" w:hAnsiTheme="majorBidi" w:cstheme="majorBidi"/>
          <w:sz w:val="28"/>
          <w:szCs w:val="24"/>
        </w:rPr>
        <w:t xml:space="preserve"> применяется следующая процедура:</w:t>
      </w:r>
    </w:p>
    <w:p w:rsidR="00942BE2" w:rsidRPr="006A101B" w:rsidRDefault="00942BE2" w:rsidP="00942BE2">
      <w:pPr>
        <w:rPr>
          <w:rFonts w:asciiTheme="majorBidi" w:hAnsiTheme="majorBidi" w:cstheme="majorBidi"/>
          <w:i/>
          <w:sz w:val="28"/>
          <w:szCs w:val="24"/>
        </w:rPr>
      </w:pPr>
      <w:r w:rsidRPr="006A101B">
        <w:rPr>
          <w:rFonts w:asciiTheme="majorBidi" w:hAnsiTheme="majorBidi" w:cstheme="majorBidi"/>
          <w:sz w:val="28"/>
          <w:szCs w:val="24"/>
        </w:rPr>
        <w:t>1) Тестируется только одна единица</w:t>
      </w:r>
      <w:r w:rsidRPr="006A101B">
        <w:rPr>
          <w:rFonts w:asciiTheme="majorBidi" w:hAnsiTheme="majorBidi" w:cstheme="majorBidi"/>
          <w:sz w:val="26"/>
          <w:szCs w:val="26"/>
        </w:rPr>
        <w:t xml:space="preserve"> внешних источников питания.</w:t>
      </w:r>
    </w:p>
    <w:p w:rsidR="00942BE2" w:rsidRPr="006A101B" w:rsidRDefault="00942BE2" w:rsidP="00942BE2">
      <w:pPr>
        <w:tabs>
          <w:tab w:val="left" w:pos="1134"/>
        </w:tabs>
        <w:rPr>
          <w:rFonts w:asciiTheme="majorBidi" w:hAnsiTheme="majorBidi" w:cstheme="majorBidi"/>
          <w:sz w:val="28"/>
          <w:szCs w:val="24"/>
        </w:rPr>
      </w:pPr>
      <w:r w:rsidRPr="006A101B">
        <w:rPr>
          <w:rFonts w:asciiTheme="majorBidi" w:hAnsiTheme="majorBidi" w:cstheme="majorBidi"/>
          <w:sz w:val="28"/>
          <w:szCs w:val="24"/>
        </w:rPr>
        <w:t>2) Модель считается соответствующей применяемым требованиям, если:</w:t>
      </w:r>
    </w:p>
    <w:p w:rsidR="00942BE2" w:rsidRPr="006A101B" w:rsidRDefault="00942BE2" w:rsidP="00942BE2">
      <w:pPr>
        <w:tabs>
          <w:tab w:val="left" w:pos="1134"/>
        </w:tabs>
        <w:rPr>
          <w:rFonts w:asciiTheme="majorBidi" w:hAnsiTheme="majorBidi" w:cstheme="majorBidi"/>
          <w:sz w:val="28"/>
          <w:szCs w:val="24"/>
        </w:rPr>
      </w:pPr>
      <w:r w:rsidRPr="006A101B">
        <w:rPr>
          <w:rFonts w:asciiTheme="majorBidi" w:hAnsiTheme="majorBidi" w:cstheme="majorBidi"/>
          <w:sz w:val="28"/>
          <w:szCs w:val="24"/>
        </w:rPr>
        <w:t xml:space="preserve">a) значения, указанные в технической документации на основании пункта 2 приложения 4 к Закону №151 от 17 июля 2014 года о требованиях к экологическому проектированию энергопотребляющих изделий (заявленные значения) и, по необходимости, значения, использованные для расчета этих значений, не являются более выгодными для производителя или импортера, чем соответствующие результаты измерений, проведенных на основании подпункта g) указанного пункта; и </w:t>
      </w:r>
    </w:p>
    <w:p w:rsidR="00942BE2" w:rsidRPr="006A101B" w:rsidRDefault="00942BE2" w:rsidP="00942BE2">
      <w:pPr>
        <w:tabs>
          <w:tab w:val="left" w:pos="1134"/>
        </w:tabs>
        <w:rPr>
          <w:rFonts w:asciiTheme="majorBidi" w:hAnsiTheme="majorBidi" w:cstheme="majorBidi"/>
          <w:sz w:val="28"/>
          <w:szCs w:val="24"/>
        </w:rPr>
      </w:pPr>
      <w:r w:rsidRPr="006A101B">
        <w:rPr>
          <w:rFonts w:asciiTheme="majorBidi" w:hAnsiTheme="majorBidi" w:cstheme="majorBidi"/>
          <w:sz w:val="28"/>
          <w:szCs w:val="24"/>
        </w:rPr>
        <w:t xml:space="preserve">b) заявленные значения соответствуют всем требованиям, предусмотренным в настоящем Положении, и ни одна из информаций о продукции, запрошенной и опубликованной производителем или импортером, не содержит значений, которые являются более выгодными для производителя или импортера, чем заявленные значения; и </w:t>
      </w:r>
    </w:p>
    <w:p w:rsidR="00942BE2" w:rsidRPr="006A101B" w:rsidRDefault="00942BE2" w:rsidP="00942BE2">
      <w:pPr>
        <w:tabs>
          <w:tab w:val="left" w:pos="1134"/>
        </w:tabs>
        <w:rPr>
          <w:rFonts w:asciiTheme="majorBidi" w:hAnsiTheme="majorBidi" w:cstheme="majorBidi"/>
          <w:sz w:val="28"/>
          <w:szCs w:val="24"/>
        </w:rPr>
      </w:pPr>
      <w:r w:rsidRPr="006A101B">
        <w:rPr>
          <w:rFonts w:asciiTheme="majorBidi" w:hAnsiTheme="majorBidi" w:cstheme="majorBidi"/>
          <w:sz w:val="28"/>
          <w:szCs w:val="24"/>
        </w:rPr>
        <w:t>c) когда национальный орган по надзору за рынком тестирует единицу из отобранных моделей, и полученные значения (значения соответствующих параметров, таким образом, как они были измерены в ходе проверки, а также значения, вычисленные на основании этих измерений) соответствуют допускам этой проверки, как указано в приведенной ниже таблице.</w:t>
      </w:r>
    </w:p>
    <w:p w:rsidR="00942BE2" w:rsidRPr="006A101B" w:rsidRDefault="00942BE2" w:rsidP="00942BE2">
      <w:pPr>
        <w:tabs>
          <w:tab w:val="left" w:pos="1134"/>
        </w:tabs>
        <w:rPr>
          <w:rFonts w:asciiTheme="majorBidi" w:hAnsiTheme="majorBidi" w:cstheme="majorBidi"/>
          <w:sz w:val="28"/>
          <w:szCs w:val="24"/>
        </w:rPr>
      </w:pPr>
      <w:r w:rsidRPr="006A101B">
        <w:rPr>
          <w:rFonts w:asciiTheme="majorBidi" w:hAnsiTheme="majorBidi" w:cstheme="majorBidi"/>
          <w:sz w:val="28"/>
          <w:szCs w:val="24"/>
        </w:rPr>
        <w:lastRenderedPageBreak/>
        <w:t>3) Если результаты, отмеченные в) литере а) или b) подпункта 2, не достигнуты, то модель считается не соответствующей настоящему Положению.</w:t>
      </w:r>
    </w:p>
    <w:p w:rsidR="00942BE2" w:rsidRPr="006A101B" w:rsidRDefault="00942BE2" w:rsidP="00942BE2">
      <w:pPr>
        <w:tabs>
          <w:tab w:val="left" w:pos="1134"/>
        </w:tabs>
        <w:rPr>
          <w:rFonts w:asciiTheme="majorBidi" w:hAnsiTheme="majorBidi" w:cstheme="majorBidi"/>
          <w:sz w:val="28"/>
          <w:szCs w:val="24"/>
        </w:rPr>
      </w:pPr>
      <w:r w:rsidRPr="006A101B">
        <w:rPr>
          <w:rFonts w:asciiTheme="majorBidi" w:hAnsiTheme="majorBidi" w:cstheme="majorBidi"/>
          <w:sz w:val="28"/>
          <w:szCs w:val="24"/>
        </w:rPr>
        <w:t>4) Если результат, отмеченный в литере c) подпункта 2)</w:t>
      </w:r>
      <w:r w:rsidRPr="006A101B">
        <w:rPr>
          <w:rFonts w:asciiTheme="majorBidi" w:hAnsiTheme="majorBidi" w:cstheme="majorBidi"/>
          <w:sz w:val="28"/>
          <w:szCs w:val="24"/>
          <w:lang w:val="ro-RO"/>
        </w:rPr>
        <w:t>,</w:t>
      </w:r>
      <w:r w:rsidRPr="006A101B">
        <w:rPr>
          <w:rFonts w:asciiTheme="majorBidi" w:hAnsiTheme="majorBidi" w:cstheme="majorBidi"/>
          <w:sz w:val="28"/>
          <w:szCs w:val="24"/>
        </w:rPr>
        <w:t xml:space="preserve"> не достигнут, национальный орган по надзору за рынком выбирает для проверки три дополнительные единицы одной и той же модели.</w:t>
      </w:r>
    </w:p>
    <w:p w:rsidR="00942BE2" w:rsidRPr="006A101B" w:rsidRDefault="00942BE2" w:rsidP="00942BE2">
      <w:pPr>
        <w:tabs>
          <w:tab w:val="left" w:pos="1134"/>
        </w:tabs>
        <w:rPr>
          <w:rFonts w:asciiTheme="majorBidi" w:hAnsiTheme="majorBidi" w:cstheme="majorBidi"/>
          <w:sz w:val="28"/>
          <w:szCs w:val="24"/>
        </w:rPr>
      </w:pPr>
      <w:r w:rsidRPr="006A101B">
        <w:rPr>
          <w:rFonts w:asciiTheme="majorBidi" w:hAnsiTheme="majorBidi" w:cstheme="majorBidi"/>
          <w:sz w:val="28"/>
          <w:szCs w:val="24"/>
        </w:rPr>
        <w:t xml:space="preserve">5) Модель считается соответствующей применимым требованиям, если полученное среднее арифметическое значение по результатам тестирования этих трех единиц соответствует проверочным допускам, указанным в приведенной ниже таблице. </w:t>
      </w:r>
    </w:p>
    <w:p w:rsidR="00942BE2" w:rsidRPr="006A101B" w:rsidRDefault="00942BE2" w:rsidP="00942BE2">
      <w:pPr>
        <w:tabs>
          <w:tab w:val="left" w:pos="1134"/>
        </w:tabs>
        <w:rPr>
          <w:rFonts w:asciiTheme="majorBidi" w:hAnsiTheme="majorBidi" w:cstheme="majorBidi"/>
          <w:sz w:val="28"/>
          <w:szCs w:val="24"/>
        </w:rPr>
      </w:pPr>
      <w:r w:rsidRPr="006A101B">
        <w:rPr>
          <w:rFonts w:asciiTheme="majorBidi" w:hAnsiTheme="majorBidi" w:cstheme="majorBidi"/>
          <w:sz w:val="28"/>
          <w:szCs w:val="24"/>
        </w:rPr>
        <w:t>6) Если результат, указанный в подпункте 5) не достигнут, модель считается не соответствующей настоящему Положению.</w:t>
      </w:r>
    </w:p>
    <w:p w:rsidR="00942BE2" w:rsidRPr="006A101B" w:rsidRDefault="00942BE2" w:rsidP="00942BE2">
      <w:pPr>
        <w:tabs>
          <w:tab w:val="left" w:pos="1134"/>
        </w:tabs>
        <w:rPr>
          <w:rFonts w:asciiTheme="majorBidi" w:hAnsiTheme="majorBidi" w:cstheme="majorBidi"/>
          <w:b/>
          <w:sz w:val="28"/>
          <w:szCs w:val="24"/>
        </w:rPr>
      </w:pPr>
    </w:p>
    <w:p w:rsidR="00942BE2" w:rsidRPr="006A101B" w:rsidRDefault="00942BE2" w:rsidP="00942BE2">
      <w:pPr>
        <w:tabs>
          <w:tab w:val="left" w:pos="1134"/>
        </w:tabs>
        <w:rPr>
          <w:rFonts w:asciiTheme="majorBidi" w:hAnsiTheme="majorBidi" w:cstheme="majorBidi"/>
          <w:sz w:val="28"/>
          <w:szCs w:val="24"/>
        </w:rPr>
      </w:pPr>
      <w:r w:rsidRPr="006A101B">
        <w:rPr>
          <w:rFonts w:asciiTheme="majorBidi" w:hAnsiTheme="majorBidi" w:cstheme="majorBidi"/>
          <w:b/>
          <w:sz w:val="28"/>
          <w:szCs w:val="24"/>
        </w:rPr>
        <w:t>3.</w:t>
      </w:r>
      <w:r w:rsidRPr="006A101B">
        <w:rPr>
          <w:rFonts w:asciiTheme="majorBidi" w:hAnsiTheme="majorBidi" w:cstheme="majorBidi"/>
          <w:sz w:val="28"/>
          <w:szCs w:val="24"/>
        </w:rPr>
        <w:t xml:space="preserve"> Национальный орган по надзору за рынком использует методы расчета, изложенные в приложении №1 к настоящему Положению. </w:t>
      </w:r>
    </w:p>
    <w:p w:rsidR="00942BE2" w:rsidRPr="006A101B" w:rsidRDefault="00942BE2" w:rsidP="00942BE2">
      <w:pPr>
        <w:tabs>
          <w:tab w:val="left" w:pos="1134"/>
        </w:tabs>
        <w:rPr>
          <w:rFonts w:asciiTheme="majorBidi" w:hAnsiTheme="majorBidi" w:cstheme="majorBidi"/>
          <w:b/>
          <w:sz w:val="28"/>
          <w:szCs w:val="24"/>
        </w:rPr>
      </w:pPr>
    </w:p>
    <w:p w:rsidR="00942BE2" w:rsidRPr="006A101B" w:rsidRDefault="00942BE2" w:rsidP="00942BE2">
      <w:pPr>
        <w:tabs>
          <w:tab w:val="left" w:pos="1134"/>
        </w:tabs>
        <w:rPr>
          <w:rFonts w:asciiTheme="majorBidi" w:hAnsiTheme="majorBidi" w:cstheme="majorBidi"/>
          <w:color w:val="000000" w:themeColor="text1"/>
          <w:sz w:val="28"/>
          <w:szCs w:val="24"/>
        </w:rPr>
      </w:pPr>
      <w:r w:rsidRPr="006A101B">
        <w:rPr>
          <w:rFonts w:asciiTheme="majorBidi" w:hAnsiTheme="majorBidi" w:cstheme="majorBidi"/>
          <w:b/>
          <w:sz w:val="28"/>
          <w:szCs w:val="24"/>
        </w:rPr>
        <w:t>4.</w:t>
      </w:r>
      <w:r w:rsidRPr="006A101B">
        <w:rPr>
          <w:rFonts w:asciiTheme="majorBidi" w:hAnsiTheme="majorBidi" w:cstheme="majorBidi"/>
          <w:sz w:val="28"/>
          <w:szCs w:val="24"/>
        </w:rPr>
        <w:t xml:space="preserve"> Национальный орган по надзору за рынком применяет только допуски по проверке, установленные в приведенной ниже таблице, и использует только процедуру, описанную в подпунктах 1)-6)</w:t>
      </w:r>
      <w:r w:rsidRPr="006A101B">
        <w:rPr>
          <w:rFonts w:asciiTheme="majorBidi" w:hAnsiTheme="majorBidi" w:cstheme="majorBidi"/>
          <w:sz w:val="28"/>
          <w:szCs w:val="24"/>
          <w:lang w:val="ro-RO"/>
        </w:rPr>
        <w:t>,</w:t>
      </w:r>
      <w:r w:rsidRPr="006A101B">
        <w:rPr>
          <w:rFonts w:asciiTheme="majorBidi" w:hAnsiTheme="majorBidi" w:cstheme="majorBidi"/>
          <w:sz w:val="28"/>
          <w:szCs w:val="24"/>
        </w:rPr>
        <w:t xml:space="preserve"> для требований, изложенных в настоящем приложении. Не применяются прочие допуски, которые были изложены в гармонизированных стандартах или любом другом методе измерения</w:t>
      </w:r>
      <w:r w:rsidRPr="006A101B">
        <w:rPr>
          <w:rFonts w:asciiTheme="majorBidi" w:hAnsiTheme="majorBidi" w:cstheme="majorBidi"/>
          <w:color w:val="000000" w:themeColor="text1"/>
          <w:sz w:val="28"/>
          <w:szCs w:val="24"/>
        </w:rPr>
        <w:t>.</w:t>
      </w:r>
    </w:p>
    <w:p w:rsidR="00942BE2" w:rsidRPr="006A101B" w:rsidRDefault="00942BE2" w:rsidP="00942BE2">
      <w:pPr>
        <w:ind w:firstLine="360"/>
        <w:jc w:val="center"/>
        <w:rPr>
          <w:rFonts w:asciiTheme="majorBidi" w:hAnsiTheme="majorBidi" w:cstheme="majorBidi"/>
          <w:sz w:val="28"/>
          <w:szCs w:val="24"/>
        </w:rPr>
      </w:pPr>
    </w:p>
    <w:p w:rsidR="00942BE2" w:rsidRPr="006A101B" w:rsidRDefault="00942BE2" w:rsidP="00942BE2">
      <w:pPr>
        <w:ind w:firstLine="360"/>
        <w:jc w:val="right"/>
        <w:rPr>
          <w:rFonts w:asciiTheme="majorBidi" w:hAnsiTheme="majorBidi" w:cstheme="majorBidi"/>
          <w:sz w:val="28"/>
          <w:szCs w:val="24"/>
        </w:rPr>
      </w:pPr>
      <w:r w:rsidRPr="006A101B">
        <w:rPr>
          <w:rFonts w:asciiTheme="majorBidi" w:hAnsiTheme="majorBidi" w:cstheme="majorBidi"/>
          <w:sz w:val="28"/>
          <w:szCs w:val="24"/>
        </w:rPr>
        <w:t xml:space="preserve">Таблица </w:t>
      </w:r>
    </w:p>
    <w:p w:rsidR="00942BE2" w:rsidRPr="006A101B" w:rsidRDefault="00942BE2" w:rsidP="00942BE2">
      <w:pPr>
        <w:ind w:firstLine="360"/>
        <w:jc w:val="center"/>
        <w:rPr>
          <w:rFonts w:asciiTheme="majorBidi" w:hAnsiTheme="majorBidi" w:cstheme="majorBidi"/>
          <w:b/>
          <w:bCs/>
          <w:color w:val="000000" w:themeColor="text1"/>
          <w:sz w:val="28"/>
          <w:szCs w:val="27"/>
          <w:bdr w:val="none" w:sz="0" w:space="0" w:color="auto" w:frame="1"/>
          <w:lang w:val="en-US" w:eastAsia="ro-RO"/>
        </w:rPr>
      </w:pPr>
      <w:r w:rsidRPr="006A101B">
        <w:rPr>
          <w:rFonts w:asciiTheme="majorBidi" w:hAnsiTheme="majorBidi" w:cstheme="majorBidi"/>
          <w:b/>
          <w:bCs/>
          <w:color w:val="000000" w:themeColor="text1"/>
          <w:sz w:val="28"/>
          <w:szCs w:val="27"/>
          <w:bdr w:val="none" w:sz="0" w:space="0" w:color="auto" w:frame="1"/>
          <w:lang w:eastAsia="ro-RO"/>
        </w:rPr>
        <w:t>Проверочные допуски</w:t>
      </w:r>
    </w:p>
    <w:p w:rsidR="00942BE2" w:rsidRPr="006A101B" w:rsidRDefault="00942BE2" w:rsidP="00942BE2">
      <w:pPr>
        <w:ind w:firstLine="360"/>
        <w:jc w:val="center"/>
        <w:rPr>
          <w:rFonts w:asciiTheme="majorBidi" w:hAnsiTheme="majorBidi" w:cstheme="majorBidi"/>
          <w:b/>
          <w:sz w:val="28"/>
          <w:szCs w:val="24"/>
          <w:lang w:val="en-US"/>
        </w:rPr>
      </w:pPr>
    </w:p>
    <w:tbl>
      <w:tblPr>
        <w:tblStyle w:val="TableGrid"/>
        <w:tblW w:w="0" w:type="auto"/>
        <w:tblLook w:val="04A0"/>
      </w:tblPr>
      <w:tblGrid>
        <w:gridCol w:w="4674"/>
        <w:gridCol w:w="4568"/>
      </w:tblGrid>
      <w:tr w:rsidR="00942BE2" w:rsidRPr="006A101B" w:rsidTr="00770F77">
        <w:tc>
          <w:tcPr>
            <w:tcW w:w="4952" w:type="dxa"/>
            <w:hideMark/>
          </w:tcPr>
          <w:p w:rsidR="00942BE2" w:rsidRPr="006A101B" w:rsidRDefault="00942BE2" w:rsidP="00770F77">
            <w:pPr>
              <w:ind w:firstLine="0"/>
              <w:rPr>
                <w:rFonts w:asciiTheme="majorBidi" w:hAnsiTheme="majorBidi" w:cstheme="majorBidi"/>
                <w:b/>
                <w:sz w:val="24"/>
                <w:szCs w:val="24"/>
                <w:lang w:eastAsia="en-US"/>
              </w:rPr>
            </w:pPr>
            <w:r w:rsidRPr="006A101B">
              <w:rPr>
                <w:rFonts w:asciiTheme="majorBidi" w:hAnsiTheme="majorBidi" w:cstheme="majorBidi"/>
                <w:b/>
                <w:sz w:val="24"/>
                <w:szCs w:val="24"/>
              </w:rPr>
              <w:t>Параметры</w:t>
            </w:r>
          </w:p>
        </w:tc>
        <w:tc>
          <w:tcPr>
            <w:tcW w:w="4953" w:type="dxa"/>
            <w:hideMark/>
          </w:tcPr>
          <w:p w:rsidR="00942BE2" w:rsidRPr="006A101B" w:rsidRDefault="00942BE2" w:rsidP="00770F77">
            <w:pPr>
              <w:ind w:firstLine="0"/>
              <w:rPr>
                <w:rFonts w:asciiTheme="majorBidi" w:hAnsiTheme="majorBidi" w:cstheme="majorBidi"/>
                <w:b/>
                <w:sz w:val="24"/>
                <w:szCs w:val="24"/>
                <w:lang w:eastAsia="en-US"/>
              </w:rPr>
            </w:pPr>
            <w:r w:rsidRPr="006A101B">
              <w:rPr>
                <w:rFonts w:asciiTheme="majorBidi" w:hAnsiTheme="majorBidi" w:cstheme="majorBidi"/>
                <w:b/>
                <w:sz w:val="24"/>
                <w:szCs w:val="24"/>
              </w:rPr>
              <w:t>Проверочный допуск</w:t>
            </w:r>
          </w:p>
        </w:tc>
      </w:tr>
      <w:tr w:rsidR="00942BE2" w:rsidRPr="006A101B" w:rsidTr="00770F77">
        <w:tc>
          <w:tcPr>
            <w:tcW w:w="4952" w:type="dxa"/>
            <w:hideMark/>
          </w:tcPr>
          <w:p w:rsidR="00942BE2" w:rsidRPr="006A101B" w:rsidRDefault="00942BE2" w:rsidP="00770F77">
            <w:pPr>
              <w:ind w:firstLine="0"/>
              <w:rPr>
                <w:rFonts w:asciiTheme="majorBidi" w:hAnsiTheme="majorBidi" w:cstheme="majorBidi"/>
                <w:sz w:val="24"/>
                <w:szCs w:val="24"/>
                <w:lang w:eastAsia="en-US"/>
              </w:rPr>
            </w:pPr>
            <w:r w:rsidRPr="006A101B">
              <w:rPr>
                <w:rFonts w:asciiTheme="majorBidi" w:hAnsiTheme="majorBidi" w:cstheme="majorBidi"/>
                <w:sz w:val="24"/>
                <w:szCs w:val="24"/>
              </w:rPr>
              <w:t>Холостой режим</w:t>
            </w:r>
          </w:p>
        </w:tc>
        <w:tc>
          <w:tcPr>
            <w:tcW w:w="4953" w:type="dxa"/>
            <w:hideMark/>
          </w:tcPr>
          <w:p w:rsidR="00942BE2" w:rsidRPr="006A101B" w:rsidRDefault="00942BE2" w:rsidP="00770F77">
            <w:pPr>
              <w:ind w:firstLine="0"/>
              <w:rPr>
                <w:rFonts w:asciiTheme="majorBidi" w:hAnsiTheme="majorBidi" w:cstheme="majorBidi"/>
                <w:sz w:val="24"/>
                <w:szCs w:val="24"/>
                <w:lang w:eastAsia="en-US"/>
              </w:rPr>
            </w:pPr>
            <w:r w:rsidRPr="006A101B">
              <w:rPr>
                <w:rFonts w:asciiTheme="majorBidi" w:hAnsiTheme="majorBidi" w:cstheme="majorBidi"/>
                <w:sz w:val="24"/>
                <w:szCs w:val="24"/>
              </w:rPr>
              <w:t xml:space="preserve">Полученное значение не должно превышать указанную величину более чем на 0,10 W </w:t>
            </w:r>
          </w:p>
        </w:tc>
      </w:tr>
      <w:tr w:rsidR="00942BE2" w:rsidRPr="006A101B" w:rsidTr="00770F77">
        <w:tc>
          <w:tcPr>
            <w:tcW w:w="4952" w:type="dxa"/>
            <w:hideMark/>
          </w:tcPr>
          <w:p w:rsidR="00942BE2" w:rsidRPr="006A101B" w:rsidRDefault="00942BE2" w:rsidP="00770F77">
            <w:pPr>
              <w:ind w:firstLine="0"/>
              <w:jc w:val="left"/>
              <w:rPr>
                <w:rFonts w:asciiTheme="majorBidi" w:hAnsiTheme="majorBidi" w:cstheme="majorBidi"/>
                <w:sz w:val="24"/>
                <w:szCs w:val="24"/>
                <w:lang w:eastAsia="en-US"/>
              </w:rPr>
            </w:pPr>
            <w:r w:rsidRPr="006A101B">
              <w:rPr>
                <w:rFonts w:asciiTheme="majorBidi" w:hAnsiTheme="majorBidi" w:cstheme="majorBidi"/>
                <w:sz w:val="24"/>
                <w:szCs w:val="24"/>
              </w:rPr>
              <w:t>Среднеарифметическое значение эффективности в режимах нагрузки 1-4, как это определено в приложении №1 к настоящему Положению</w:t>
            </w:r>
          </w:p>
        </w:tc>
        <w:tc>
          <w:tcPr>
            <w:tcW w:w="4953" w:type="dxa"/>
            <w:hideMark/>
          </w:tcPr>
          <w:p w:rsidR="00942BE2" w:rsidRPr="006A101B" w:rsidRDefault="00942BE2" w:rsidP="00770F77">
            <w:pPr>
              <w:ind w:firstLine="0"/>
              <w:rPr>
                <w:rFonts w:asciiTheme="majorBidi" w:hAnsiTheme="majorBidi" w:cstheme="majorBidi"/>
                <w:sz w:val="24"/>
                <w:szCs w:val="24"/>
                <w:lang w:eastAsia="en-US"/>
              </w:rPr>
            </w:pPr>
            <w:r w:rsidRPr="006A101B">
              <w:rPr>
                <w:rFonts w:asciiTheme="majorBidi" w:hAnsiTheme="majorBidi" w:cstheme="majorBidi"/>
                <w:sz w:val="24"/>
                <w:szCs w:val="24"/>
              </w:rPr>
              <w:t>Полученное значение не должно быть меньше указанной величины более чем на 5 %</w:t>
            </w:r>
          </w:p>
        </w:tc>
      </w:tr>
    </w:tbl>
    <w:p w:rsidR="001172D1" w:rsidRDefault="001172D1"/>
    <w:sectPr w:rsidR="001172D1" w:rsidSect="001172D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D7DA1"/>
    <w:multiLevelType w:val="hybridMultilevel"/>
    <w:tmpl w:val="D834BECE"/>
    <w:lvl w:ilvl="0" w:tplc="636C94FA">
      <w:start w:val="1"/>
      <w:numFmt w:val="decimal"/>
      <w:lvlText w:val="%1."/>
      <w:lvlJc w:val="left"/>
      <w:pPr>
        <w:ind w:left="720" w:hanging="360"/>
      </w:pPr>
      <w:rPr>
        <w:rFonts w:cs="Times New Roman"/>
        <w:b/>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42BE2"/>
    <w:rsid w:val="001172D1"/>
    <w:rsid w:val="00942B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BE2"/>
    <w:pPr>
      <w:spacing w:after="0" w:line="240" w:lineRule="auto"/>
      <w:ind w:firstLine="709"/>
      <w:jc w:val="both"/>
    </w:pPr>
    <w:rPr>
      <w:rFonts w:ascii="Times New Roman" w:eastAsia="Times New Roman" w:hAnsi="Times New Roman" w:cs="Times New Roman"/>
      <w:sz w:val="20"/>
      <w:szCs w:val="20"/>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BE2"/>
    <w:pPr>
      <w:spacing w:after="200" w:line="276" w:lineRule="auto"/>
      <w:ind w:left="720" w:firstLine="0"/>
      <w:contextualSpacing/>
      <w:jc w:val="left"/>
    </w:pPr>
    <w:rPr>
      <w:rFonts w:asciiTheme="minorHAnsi" w:hAnsiTheme="minorHAnsi" w:cstheme="minorBidi"/>
      <w:sz w:val="22"/>
      <w:szCs w:val="22"/>
    </w:rPr>
  </w:style>
  <w:style w:type="table" w:styleId="TableGrid">
    <w:name w:val="Table Grid"/>
    <w:basedOn w:val="TableNormal"/>
    <w:uiPriority w:val="39"/>
    <w:rsid w:val="00942BE2"/>
    <w:pPr>
      <w:spacing w:after="0" w:line="240" w:lineRule="auto"/>
      <w:ind w:firstLine="709"/>
      <w:jc w:val="both"/>
    </w:pPr>
    <w:rPr>
      <w:rFonts w:eastAsiaTheme="minorEastAsia"/>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3107</Characters>
  <Application>Microsoft Office Word</Application>
  <DocSecurity>0</DocSecurity>
  <Lines>25</Lines>
  <Paragraphs>7</Paragraphs>
  <ScaleCrop>false</ScaleCrop>
  <Company/>
  <LinksUpToDate>false</LinksUpToDate>
  <CharactersWithSpaces>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2018-01-18T11:46:00Z</dcterms:created>
  <dcterms:modified xsi:type="dcterms:W3CDTF">2018-01-18T11:46:00Z</dcterms:modified>
</cp:coreProperties>
</file>