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6" w:type="dxa"/>
        <w:tblInd w:w="108" w:type="dxa"/>
        <w:tblLayout w:type="fixed"/>
        <w:tblLook w:val="04A0"/>
      </w:tblPr>
      <w:tblGrid>
        <w:gridCol w:w="5670"/>
        <w:gridCol w:w="851"/>
        <w:gridCol w:w="1161"/>
        <w:gridCol w:w="938"/>
        <w:gridCol w:w="236"/>
      </w:tblGrid>
      <w:tr w:rsidR="00051C87" w:rsidRPr="002E70D5" w:rsidTr="004570B2">
        <w:trPr>
          <w:gridAfter w:val="1"/>
          <w:wAfter w:w="236" w:type="dxa"/>
          <w:trHeight w:val="300"/>
        </w:trPr>
        <w:tc>
          <w:tcPr>
            <w:tcW w:w="8620" w:type="dxa"/>
            <w:gridSpan w:val="4"/>
            <w:tcBorders>
              <w:top w:val="nil"/>
              <w:left w:val="nil"/>
              <w:bottom w:val="nil"/>
              <w:right w:val="nil"/>
            </w:tcBorders>
            <w:vAlign w:val="bottom"/>
            <w:hideMark/>
          </w:tcPr>
          <w:p w:rsidR="00051C87" w:rsidRDefault="00051C87" w:rsidP="00051C87">
            <w:pPr>
              <w:ind w:left="426"/>
              <w:jc w:val="center"/>
              <w:rPr>
                <w:b/>
                <w:lang w:eastAsia="ru-RU"/>
              </w:rPr>
            </w:pPr>
          </w:p>
          <w:p w:rsidR="00051C87" w:rsidRDefault="00051C87" w:rsidP="004570B2">
            <w:pPr>
              <w:ind w:left="426"/>
              <w:jc w:val="right"/>
              <w:rPr>
                <w:b/>
                <w:lang w:eastAsia="ru-RU"/>
              </w:rPr>
            </w:pPr>
          </w:p>
          <w:p w:rsidR="00051C87" w:rsidRPr="00502495" w:rsidRDefault="00051C87" w:rsidP="004570B2">
            <w:pPr>
              <w:ind w:left="426"/>
              <w:jc w:val="right"/>
              <w:rPr>
                <w:lang w:eastAsia="ru-RU"/>
              </w:rPr>
            </w:pPr>
            <w:proofErr w:type="spellStart"/>
            <w:r w:rsidRPr="00502495">
              <w:rPr>
                <w:lang w:eastAsia="ru-RU"/>
              </w:rPr>
              <w:t>Anexa</w:t>
            </w:r>
            <w:proofErr w:type="spellEnd"/>
            <w:r w:rsidRPr="00502495">
              <w:rPr>
                <w:lang w:eastAsia="ru-RU"/>
              </w:rPr>
              <w:t xml:space="preserve"> nr.5 </w:t>
            </w:r>
          </w:p>
          <w:p w:rsidR="00051C87" w:rsidRPr="00502495" w:rsidRDefault="00051C87" w:rsidP="004570B2">
            <w:pPr>
              <w:ind w:left="426"/>
              <w:jc w:val="right"/>
              <w:rPr>
                <w:lang w:eastAsia="ru-RU"/>
              </w:rPr>
            </w:pPr>
            <w:r w:rsidRPr="00502495">
              <w:rPr>
                <w:lang w:eastAsia="ru-RU"/>
              </w:rPr>
              <w:t xml:space="preserve">la </w:t>
            </w:r>
            <w:proofErr w:type="spellStart"/>
            <w:r w:rsidRPr="00502495">
              <w:rPr>
                <w:lang w:eastAsia="ru-RU"/>
              </w:rPr>
              <w:t>Instrucţiunea</w:t>
            </w:r>
            <w:proofErr w:type="spellEnd"/>
            <w:r w:rsidRPr="00502495">
              <w:rPr>
                <w:lang w:eastAsia="ru-RU"/>
              </w:rPr>
              <w:t xml:space="preserve"> cu </w:t>
            </w:r>
            <w:proofErr w:type="spellStart"/>
            <w:r w:rsidRPr="00502495">
              <w:rPr>
                <w:lang w:eastAsia="ru-RU"/>
              </w:rPr>
              <w:t>privire</w:t>
            </w:r>
            <w:proofErr w:type="spellEnd"/>
            <w:r w:rsidRPr="00502495">
              <w:rPr>
                <w:lang w:eastAsia="ru-RU"/>
              </w:rPr>
              <w:t xml:space="preserve"> la </w:t>
            </w:r>
            <w:proofErr w:type="spellStart"/>
            <w:r w:rsidRPr="00502495">
              <w:rPr>
                <w:lang w:eastAsia="ru-RU"/>
              </w:rPr>
              <w:t>raportarea</w:t>
            </w:r>
            <w:proofErr w:type="spellEnd"/>
            <w:r w:rsidRPr="00502495">
              <w:rPr>
                <w:lang w:eastAsia="ru-RU"/>
              </w:rPr>
              <w:t xml:space="preserve"> </w:t>
            </w:r>
          </w:p>
          <w:p w:rsidR="00051C87" w:rsidRPr="00502495" w:rsidRDefault="00051C87" w:rsidP="004570B2">
            <w:pPr>
              <w:ind w:left="426"/>
              <w:jc w:val="right"/>
              <w:rPr>
                <w:lang w:eastAsia="ru-RU"/>
              </w:rPr>
            </w:pPr>
            <w:proofErr w:type="spellStart"/>
            <w:r w:rsidRPr="00502495">
              <w:rPr>
                <w:lang w:eastAsia="ru-RU"/>
              </w:rPr>
              <w:t>organizațiilor</w:t>
            </w:r>
            <w:proofErr w:type="spellEnd"/>
            <w:r w:rsidRPr="00502495">
              <w:rPr>
                <w:lang w:eastAsia="ru-RU"/>
              </w:rPr>
              <w:t xml:space="preserve"> de </w:t>
            </w:r>
            <w:proofErr w:type="spellStart"/>
            <w:r w:rsidRPr="00502495">
              <w:rPr>
                <w:lang w:eastAsia="ru-RU"/>
              </w:rPr>
              <w:t>microfinanțare</w:t>
            </w:r>
            <w:proofErr w:type="spellEnd"/>
            <w:r w:rsidRPr="00502495">
              <w:rPr>
                <w:lang w:eastAsia="ru-RU"/>
              </w:rPr>
              <w:t xml:space="preserve"> </w:t>
            </w:r>
          </w:p>
          <w:p w:rsidR="00051C87" w:rsidRPr="00746980" w:rsidRDefault="00051C87" w:rsidP="004570B2">
            <w:pPr>
              <w:ind w:left="426"/>
              <w:jc w:val="both"/>
              <w:rPr>
                <w:b/>
                <w:lang w:eastAsia="ru-RU"/>
              </w:rPr>
            </w:pPr>
            <w:r w:rsidRPr="00746980">
              <w:rPr>
                <w:b/>
                <w:lang w:eastAsia="ru-RU"/>
              </w:rPr>
              <w:t xml:space="preserve">  </w:t>
            </w:r>
          </w:p>
          <w:p w:rsidR="00051C87" w:rsidRPr="00502495" w:rsidRDefault="00051C87" w:rsidP="004570B2">
            <w:pPr>
              <w:ind w:left="426"/>
              <w:jc w:val="right"/>
              <w:rPr>
                <w:lang w:eastAsia="ru-RU"/>
              </w:rPr>
            </w:pPr>
            <w:proofErr w:type="spellStart"/>
            <w:r w:rsidRPr="00502495">
              <w:rPr>
                <w:lang w:eastAsia="ru-RU"/>
              </w:rPr>
              <w:t>Aprobată</w:t>
            </w:r>
            <w:proofErr w:type="spellEnd"/>
            <w:r w:rsidRPr="00502495">
              <w:rPr>
                <w:lang w:eastAsia="ru-RU"/>
              </w:rPr>
              <w:t xml:space="preserve"> </w:t>
            </w:r>
          </w:p>
          <w:p w:rsidR="00051C87" w:rsidRPr="00502495" w:rsidRDefault="00051C87" w:rsidP="004570B2">
            <w:pPr>
              <w:ind w:left="426"/>
              <w:jc w:val="right"/>
              <w:rPr>
                <w:lang w:eastAsia="ru-RU"/>
              </w:rPr>
            </w:pPr>
            <w:proofErr w:type="spellStart"/>
            <w:proofErr w:type="gramStart"/>
            <w:r w:rsidRPr="00502495">
              <w:rPr>
                <w:lang w:eastAsia="ru-RU"/>
              </w:rPr>
              <w:t>prin</w:t>
            </w:r>
            <w:proofErr w:type="spellEnd"/>
            <w:proofErr w:type="gramEnd"/>
            <w:r w:rsidRPr="00502495">
              <w:rPr>
                <w:lang w:eastAsia="ru-RU"/>
              </w:rPr>
              <w:t xml:space="preserve"> </w:t>
            </w:r>
            <w:proofErr w:type="spellStart"/>
            <w:r w:rsidRPr="00502495">
              <w:rPr>
                <w:lang w:eastAsia="ru-RU"/>
              </w:rPr>
              <w:t>Hotărârea</w:t>
            </w:r>
            <w:proofErr w:type="spellEnd"/>
            <w:r w:rsidRPr="00502495">
              <w:rPr>
                <w:lang w:eastAsia="ru-RU"/>
              </w:rPr>
              <w:t xml:space="preserve"> C.N.P.F. </w:t>
            </w:r>
          </w:p>
          <w:p w:rsidR="00051C87" w:rsidRPr="00746980" w:rsidRDefault="00051C87" w:rsidP="004570B2">
            <w:pPr>
              <w:ind w:left="426"/>
              <w:jc w:val="right"/>
              <w:rPr>
                <w:b/>
                <w:lang w:eastAsia="ru-RU"/>
              </w:rPr>
            </w:pPr>
            <w:r w:rsidRPr="00502495">
              <w:rPr>
                <w:lang w:eastAsia="ru-RU"/>
              </w:rPr>
              <w:t>nr.54/4 din 11.12.2017</w:t>
            </w:r>
            <w:r w:rsidRPr="00746980">
              <w:rPr>
                <w:b/>
                <w:lang w:eastAsia="ru-RU"/>
              </w:rPr>
              <w:t xml:space="preserve"> </w:t>
            </w:r>
          </w:p>
          <w:p w:rsidR="00051C87" w:rsidRPr="002E70D5" w:rsidRDefault="00051C87" w:rsidP="004570B2">
            <w:pPr>
              <w:ind w:left="426"/>
              <w:jc w:val="both"/>
              <w:rPr>
                <w:b/>
                <w:bCs/>
                <w:lang w:eastAsia="ru-RU"/>
              </w:rPr>
            </w:pPr>
            <w:r w:rsidRPr="002E70D5">
              <w:rPr>
                <w:sz w:val="20"/>
                <w:szCs w:val="20"/>
                <w:lang w:eastAsia="ru-RU"/>
              </w:rPr>
              <w:t xml:space="preserve">  </w:t>
            </w:r>
          </w:p>
          <w:p w:rsidR="00051C87" w:rsidRPr="006C58A2" w:rsidRDefault="00051C87" w:rsidP="004570B2">
            <w:pPr>
              <w:ind w:left="426"/>
              <w:jc w:val="center"/>
              <w:rPr>
                <w:b/>
                <w:bCs/>
                <w:lang w:eastAsia="ru-RU"/>
              </w:rPr>
            </w:pPr>
            <w:r w:rsidRPr="006C58A2">
              <w:rPr>
                <w:b/>
                <w:bCs/>
                <w:lang w:eastAsia="ru-RU"/>
              </w:rPr>
              <w:t>RAPORTUL</w:t>
            </w:r>
          </w:p>
          <w:p w:rsidR="00051C87" w:rsidRPr="002E70D5" w:rsidRDefault="00051C87" w:rsidP="004570B2">
            <w:pPr>
              <w:ind w:left="426"/>
              <w:jc w:val="center"/>
              <w:rPr>
                <w:b/>
                <w:bCs/>
                <w:lang w:eastAsia="ru-RU"/>
              </w:rPr>
            </w:pPr>
            <w:proofErr w:type="spellStart"/>
            <w:r w:rsidRPr="006C58A2">
              <w:rPr>
                <w:b/>
                <w:bCs/>
                <w:lang w:eastAsia="ru-RU"/>
              </w:rPr>
              <w:t>privind</w:t>
            </w:r>
            <w:proofErr w:type="spellEnd"/>
            <w:r w:rsidRPr="006C58A2">
              <w:rPr>
                <w:b/>
                <w:bCs/>
                <w:lang w:eastAsia="ru-RU"/>
              </w:rPr>
              <w:t xml:space="preserve"> </w:t>
            </w:r>
            <w:proofErr w:type="spellStart"/>
            <w:r w:rsidRPr="006C58A2">
              <w:rPr>
                <w:b/>
                <w:bCs/>
                <w:lang w:eastAsia="ru-RU"/>
              </w:rPr>
              <w:t>veniturile</w:t>
            </w:r>
            <w:proofErr w:type="spellEnd"/>
            <w:r w:rsidRPr="006C58A2">
              <w:rPr>
                <w:b/>
                <w:bCs/>
                <w:lang w:eastAsia="ru-RU"/>
              </w:rPr>
              <w:t xml:space="preserve"> </w:t>
            </w:r>
            <w:proofErr w:type="spellStart"/>
            <w:r w:rsidRPr="006C58A2">
              <w:rPr>
                <w:b/>
                <w:bCs/>
                <w:lang w:eastAsia="ru-RU"/>
              </w:rPr>
              <w:t>şi</w:t>
            </w:r>
            <w:proofErr w:type="spellEnd"/>
            <w:r w:rsidRPr="006C58A2">
              <w:rPr>
                <w:b/>
                <w:bCs/>
                <w:lang w:eastAsia="ru-RU"/>
              </w:rPr>
              <w:t xml:space="preserve"> </w:t>
            </w:r>
            <w:proofErr w:type="spellStart"/>
            <w:r w:rsidRPr="006C58A2">
              <w:rPr>
                <w:b/>
                <w:bCs/>
                <w:lang w:eastAsia="ru-RU"/>
              </w:rPr>
              <w:t>cheltuielile</w:t>
            </w:r>
            <w:proofErr w:type="spellEnd"/>
          </w:p>
        </w:tc>
      </w:tr>
      <w:tr w:rsidR="00051C87" w:rsidRPr="002E70D5" w:rsidTr="004570B2">
        <w:trPr>
          <w:gridAfter w:val="1"/>
          <w:wAfter w:w="236" w:type="dxa"/>
          <w:trHeight w:val="300"/>
        </w:trPr>
        <w:tc>
          <w:tcPr>
            <w:tcW w:w="8620" w:type="dxa"/>
            <w:gridSpan w:val="4"/>
            <w:tcBorders>
              <w:top w:val="nil"/>
              <w:left w:val="nil"/>
              <w:bottom w:val="nil"/>
              <w:right w:val="nil"/>
            </w:tcBorders>
            <w:vAlign w:val="bottom"/>
            <w:hideMark/>
          </w:tcPr>
          <w:p w:rsidR="00051C87" w:rsidRPr="006C58A2" w:rsidRDefault="00051C87" w:rsidP="004570B2">
            <w:pPr>
              <w:ind w:left="426"/>
              <w:jc w:val="center"/>
              <w:rPr>
                <w:b/>
                <w:bCs/>
                <w:lang w:eastAsia="ru-RU"/>
              </w:rPr>
            </w:pPr>
            <w:r w:rsidRPr="006C58A2">
              <w:rPr>
                <w:b/>
                <w:bCs/>
                <w:lang w:eastAsia="ru-RU"/>
              </w:rPr>
              <w:t xml:space="preserve">de la _____________ </w:t>
            </w:r>
            <w:proofErr w:type="spellStart"/>
            <w:r w:rsidRPr="006C58A2">
              <w:rPr>
                <w:b/>
                <w:bCs/>
                <w:lang w:eastAsia="ru-RU"/>
              </w:rPr>
              <w:t>până</w:t>
            </w:r>
            <w:proofErr w:type="spellEnd"/>
            <w:r w:rsidRPr="006C58A2">
              <w:rPr>
                <w:b/>
                <w:bCs/>
                <w:lang w:eastAsia="ru-RU"/>
              </w:rPr>
              <w:t xml:space="preserve"> la _______________20__</w:t>
            </w:r>
          </w:p>
        </w:tc>
      </w:tr>
      <w:tr w:rsidR="00051C87" w:rsidRPr="002E70D5" w:rsidTr="004570B2">
        <w:trPr>
          <w:trHeight w:val="315"/>
        </w:trPr>
        <w:tc>
          <w:tcPr>
            <w:tcW w:w="5670" w:type="dxa"/>
            <w:tcBorders>
              <w:top w:val="nil"/>
              <w:left w:val="nil"/>
              <w:bottom w:val="nil"/>
              <w:right w:val="nil"/>
            </w:tcBorders>
            <w:vAlign w:val="bottom"/>
            <w:hideMark/>
          </w:tcPr>
          <w:p w:rsidR="00051C87" w:rsidRPr="002E70D5" w:rsidRDefault="00051C87" w:rsidP="004570B2">
            <w:pPr>
              <w:ind w:left="426"/>
              <w:rPr>
                <w:sz w:val="20"/>
                <w:szCs w:val="20"/>
                <w:lang w:eastAsia="ru-RU"/>
              </w:rPr>
            </w:pPr>
          </w:p>
        </w:tc>
        <w:tc>
          <w:tcPr>
            <w:tcW w:w="851" w:type="dxa"/>
            <w:tcBorders>
              <w:top w:val="nil"/>
              <w:left w:val="nil"/>
              <w:bottom w:val="nil"/>
              <w:right w:val="nil"/>
            </w:tcBorders>
            <w:noWrap/>
            <w:vAlign w:val="bottom"/>
            <w:hideMark/>
          </w:tcPr>
          <w:p w:rsidR="00051C87" w:rsidRPr="002E70D5" w:rsidRDefault="00051C87" w:rsidP="004570B2">
            <w:pPr>
              <w:ind w:left="426"/>
              <w:rPr>
                <w:sz w:val="20"/>
                <w:szCs w:val="20"/>
                <w:lang w:eastAsia="ru-RU"/>
              </w:rPr>
            </w:pPr>
          </w:p>
        </w:tc>
        <w:tc>
          <w:tcPr>
            <w:tcW w:w="2099" w:type="dxa"/>
            <w:gridSpan w:val="2"/>
            <w:tcBorders>
              <w:top w:val="nil"/>
              <w:left w:val="nil"/>
              <w:bottom w:val="nil"/>
              <w:right w:val="nil"/>
            </w:tcBorders>
            <w:noWrap/>
            <w:vAlign w:val="bottom"/>
            <w:hideMark/>
          </w:tcPr>
          <w:p w:rsidR="00051C87" w:rsidRPr="002E70D5" w:rsidRDefault="00051C87" w:rsidP="004570B2">
            <w:pPr>
              <w:ind w:left="426"/>
              <w:jc w:val="right"/>
              <w:rPr>
                <w:sz w:val="20"/>
                <w:szCs w:val="20"/>
                <w:lang w:eastAsia="ru-RU"/>
              </w:rPr>
            </w:pPr>
          </w:p>
        </w:tc>
        <w:tc>
          <w:tcPr>
            <w:tcW w:w="236" w:type="dxa"/>
            <w:tcBorders>
              <w:top w:val="nil"/>
              <w:left w:val="nil"/>
              <w:bottom w:val="nil"/>
              <w:right w:val="nil"/>
            </w:tcBorders>
            <w:noWrap/>
            <w:vAlign w:val="bottom"/>
            <w:hideMark/>
          </w:tcPr>
          <w:p w:rsidR="00051C87" w:rsidRPr="002E70D5" w:rsidRDefault="00051C87" w:rsidP="004570B2">
            <w:pPr>
              <w:ind w:left="426"/>
              <w:jc w:val="right"/>
              <w:rPr>
                <w:sz w:val="20"/>
                <w:szCs w:val="20"/>
                <w:lang w:eastAsia="ru-RU"/>
              </w:rPr>
            </w:pPr>
          </w:p>
        </w:tc>
      </w:tr>
      <w:tr w:rsidR="00051C87" w:rsidRPr="002E70D5" w:rsidTr="004570B2">
        <w:trPr>
          <w:gridAfter w:val="1"/>
          <w:wAfter w:w="236" w:type="dxa"/>
          <w:trHeight w:val="300"/>
        </w:trPr>
        <w:tc>
          <w:tcPr>
            <w:tcW w:w="5670" w:type="dxa"/>
            <w:vMerge w:val="restart"/>
            <w:tcBorders>
              <w:top w:val="single" w:sz="8" w:space="0" w:color="auto"/>
              <w:left w:val="single" w:sz="8" w:space="0" w:color="auto"/>
              <w:bottom w:val="single" w:sz="8" w:space="0" w:color="000000"/>
              <w:right w:val="single" w:sz="4" w:space="0" w:color="auto"/>
            </w:tcBorders>
            <w:vAlign w:val="center"/>
            <w:hideMark/>
          </w:tcPr>
          <w:p w:rsidR="00051C87" w:rsidRPr="002E70D5" w:rsidRDefault="00051C87" w:rsidP="004570B2">
            <w:pPr>
              <w:jc w:val="center"/>
              <w:rPr>
                <w:b/>
                <w:bCs/>
                <w:sz w:val="20"/>
                <w:szCs w:val="20"/>
                <w:lang w:eastAsia="ru-RU"/>
              </w:rPr>
            </w:pPr>
            <w:proofErr w:type="spellStart"/>
            <w:r w:rsidRPr="002E70D5">
              <w:rPr>
                <w:b/>
                <w:bCs/>
                <w:sz w:val="20"/>
                <w:szCs w:val="20"/>
                <w:lang w:eastAsia="ru-RU"/>
              </w:rPr>
              <w:t>Indicatori</w:t>
            </w:r>
            <w:proofErr w:type="spellEnd"/>
          </w:p>
        </w:tc>
        <w:tc>
          <w:tcPr>
            <w:tcW w:w="851" w:type="dxa"/>
            <w:vMerge w:val="restart"/>
            <w:tcBorders>
              <w:top w:val="single" w:sz="8" w:space="0" w:color="auto"/>
              <w:left w:val="nil"/>
              <w:bottom w:val="single" w:sz="8" w:space="0" w:color="000000"/>
              <w:right w:val="single" w:sz="4" w:space="0" w:color="auto"/>
            </w:tcBorders>
            <w:vAlign w:val="center"/>
            <w:hideMark/>
          </w:tcPr>
          <w:p w:rsidR="00051C87" w:rsidRPr="002E70D5" w:rsidRDefault="00051C87" w:rsidP="004570B2">
            <w:pPr>
              <w:jc w:val="center"/>
              <w:rPr>
                <w:b/>
                <w:bCs/>
                <w:sz w:val="20"/>
                <w:szCs w:val="20"/>
                <w:lang w:eastAsia="ru-RU"/>
              </w:rPr>
            </w:pPr>
            <w:r w:rsidRPr="002E70D5">
              <w:rPr>
                <w:b/>
                <w:bCs/>
                <w:sz w:val="20"/>
                <w:szCs w:val="20"/>
                <w:lang w:eastAsia="ru-RU"/>
              </w:rPr>
              <w:t>Cod rd.</w:t>
            </w:r>
          </w:p>
        </w:tc>
        <w:tc>
          <w:tcPr>
            <w:tcW w:w="2099" w:type="dxa"/>
            <w:gridSpan w:val="2"/>
            <w:tcBorders>
              <w:top w:val="single" w:sz="8" w:space="0" w:color="auto"/>
              <w:left w:val="nil"/>
              <w:bottom w:val="single" w:sz="4" w:space="0" w:color="auto"/>
              <w:right w:val="single" w:sz="8" w:space="0" w:color="000000"/>
            </w:tcBorders>
            <w:vAlign w:val="center"/>
            <w:hideMark/>
          </w:tcPr>
          <w:p w:rsidR="00051C87" w:rsidRPr="002E70D5" w:rsidRDefault="00051C87" w:rsidP="004570B2">
            <w:pPr>
              <w:jc w:val="center"/>
              <w:rPr>
                <w:b/>
                <w:bCs/>
                <w:sz w:val="20"/>
                <w:szCs w:val="20"/>
                <w:lang w:eastAsia="ru-RU"/>
              </w:rPr>
            </w:pPr>
            <w:proofErr w:type="spellStart"/>
            <w:r w:rsidRPr="002E70D5">
              <w:rPr>
                <w:b/>
                <w:bCs/>
                <w:sz w:val="20"/>
                <w:szCs w:val="20"/>
                <w:lang w:eastAsia="ru-RU"/>
              </w:rPr>
              <w:t>Perioada</w:t>
            </w:r>
            <w:proofErr w:type="spellEnd"/>
            <w:r w:rsidRPr="002E70D5">
              <w:rPr>
                <w:b/>
                <w:bCs/>
                <w:sz w:val="20"/>
                <w:szCs w:val="20"/>
                <w:lang w:eastAsia="ru-RU"/>
              </w:rPr>
              <w:t xml:space="preserve"> de </w:t>
            </w:r>
            <w:proofErr w:type="spellStart"/>
            <w:r w:rsidRPr="002E70D5">
              <w:rPr>
                <w:b/>
                <w:bCs/>
                <w:sz w:val="20"/>
                <w:szCs w:val="20"/>
                <w:lang w:eastAsia="ru-RU"/>
              </w:rPr>
              <w:t>gestiune</w:t>
            </w:r>
            <w:proofErr w:type="spellEnd"/>
          </w:p>
        </w:tc>
      </w:tr>
      <w:tr w:rsidR="00051C87" w:rsidRPr="002E70D5" w:rsidTr="004570B2">
        <w:trPr>
          <w:gridAfter w:val="1"/>
          <w:wAfter w:w="236" w:type="dxa"/>
          <w:trHeight w:val="315"/>
        </w:trPr>
        <w:tc>
          <w:tcPr>
            <w:tcW w:w="5670" w:type="dxa"/>
            <w:vMerge/>
            <w:tcBorders>
              <w:top w:val="single" w:sz="8" w:space="0" w:color="auto"/>
              <w:left w:val="single" w:sz="8" w:space="0" w:color="auto"/>
              <w:bottom w:val="single" w:sz="8" w:space="0" w:color="000000"/>
              <w:right w:val="single" w:sz="4" w:space="0" w:color="auto"/>
            </w:tcBorders>
            <w:vAlign w:val="center"/>
            <w:hideMark/>
          </w:tcPr>
          <w:p w:rsidR="00051C87" w:rsidRPr="002E70D5" w:rsidRDefault="00051C87" w:rsidP="004570B2">
            <w:pPr>
              <w:rPr>
                <w:b/>
                <w:bCs/>
                <w:sz w:val="20"/>
                <w:szCs w:val="20"/>
                <w:lang w:eastAsia="ru-RU"/>
              </w:rPr>
            </w:pPr>
          </w:p>
        </w:tc>
        <w:tc>
          <w:tcPr>
            <w:tcW w:w="851" w:type="dxa"/>
            <w:vMerge/>
            <w:tcBorders>
              <w:top w:val="single" w:sz="8" w:space="0" w:color="auto"/>
              <w:left w:val="nil"/>
              <w:bottom w:val="single" w:sz="8" w:space="0" w:color="000000"/>
              <w:right w:val="single" w:sz="4" w:space="0" w:color="auto"/>
            </w:tcBorders>
            <w:vAlign w:val="center"/>
            <w:hideMark/>
          </w:tcPr>
          <w:p w:rsidR="00051C87" w:rsidRPr="002E70D5" w:rsidRDefault="00051C87" w:rsidP="004570B2">
            <w:pPr>
              <w:rPr>
                <w:b/>
                <w:bCs/>
                <w:sz w:val="20"/>
                <w:szCs w:val="20"/>
                <w:lang w:eastAsia="ru-RU"/>
              </w:rPr>
            </w:pPr>
          </w:p>
        </w:tc>
        <w:tc>
          <w:tcPr>
            <w:tcW w:w="1161" w:type="dxa"/>
            <w:tcBorders>
              <w:top w:val="nil"/>
              <w:left w:val="nil"/>
              <w:bottom w:val="single" w:sz="8" w:space="0" w:color="auto"/>
              <w:right w:val="single" w:sz="4" w:space="0" w:color="auto"/>
            </w:tcBorders>
            <w:vAlign w:val="center"/>
            <w:hideMark/>
          </w:tcPr>
          <w:p w:rsidR="00051C87" w:rsidRPr="002E70D5" w:rsidRDefault="00051C87" w:rsidP="004570B2">
            <w:pPr>
              <w:jc w:val="center"/>
              <w:rPr>
                <w:b/>
                <w:bCs/>
                <w:sz w:val="20"/>
                <w:szCs w:val="20"/>
                <w:lang w:eastAsia="ru-RU"/>
              </w:rPr>
            </w:pPr>
            <w:proofErr w:type="spellStart"/>
            <w:r w:rsidRPr="002E70D5">
              <w:rPr>
                <w:b/>
                <w:bCs/>
                <w:sz w:val="20"/>
                <w:szCs w:val="20"/>
                <w:lang w:eastAsia="ru-RU"/>
              </w:rPr>
              <w:t>precedentă</w:t>
            </w:r>
            <w:proofErr w:type="spellEnd"/>
          </w:p>
        </w:tc>
        <w:tc>
          <w:tcPr>
            <w:tcW w:w="938" w:type="dxa"/>
            <w:tcBorders>
              <w:top w:val="nil"/>
              <w:left w:val="nil"/>
              <w:bottom w:val="single" w:sz="8" w:space="0" w:color="auto"/>
              <w:right w:val="single" w:sz="8" w:space="0" w:color="auto"/>
            </w:tcBorders>
            <w:vAlign w:val="center"/>
            <w:hideMark/>
          </w:tcPr>
          <w:p w:rsidR="00051C87" w:rsidRPr="002E70D5" w:rsidRDefault="00051C87" w:rsidP="004570B2">
            <w:pPr>
              <w:jc w:val="center"/>
              <w:rPr>
                <w:b/>
                <w:bCs/>
                <w:sz w:val="20"/>
                <w:szCs w:val="20"/>
                <w:lang w:eastAsia="ru-RU"/>
              </w:rPr>
            </w:pPr>
            <w:proofErr w:type="spellStart"/>
            <w:r w:rsidRPr="002E70D5">
              <w:rPr>
                <w:b/>
                <w:bCs/>
                <w:sz w:val="20"/>
                <w:szCs w:val="20"/>
                <w:lang w:eastAsia="ru-RU"/>
              </w:rPr>
              <w:t>curentă</w:t>
            </w:r>
            <w:proofErr w:type="spellEnd"/>
          </w:p>
        </w:tc>
      </w:tr>
      <w:tr w:rsidR="00051C87" w:rsidRPr="002E70D5" w:rsidTr="004570B2">
        <w:trPr>
          <w:gridAfter w:val="1"/>
          <w:wAfter w:w="236" w:type="dxa"/>
          <w:trHeight w:val="300"/>
        </w:trPr>
        <w:tc>
          <w:tcPr>
            <w:tcW w:w="5670" w:type="dxa"/>
            <w:tcBorders>
              <w:top w:val="nil"/>
              <w:left w:val="single" w:sz="8" w:space="0" w:color="auto"/>
              <w:bottom w:val="single" w:sz="4" w:space="0" w:color="auto"/>
              <w:right w:val="single" w:sz="4" w:space="0" w:color="auto"/>
            </w:tcBorders>
            <w:vAlign w:val="center"/>
            <w:hideMark/>
          </w:tcPr>
          <w:p w:rsidR="00051C87" w:rsidRPr="002E70D5" w:rsidRDefault="00051C87" w:rsidP="004570B2">
            <w:pPr>
              <w:jc w:val="center"/>
              <w:rPr>
                <w:b/>
                <w:bCs/>
                <w:sz w:val="20"/>
                <w:szCs w:val="20"/>
                <w:lang w:eastAsia="ru-RU"/>
              </w:rPr>
            </w:pPr>
            <w:r w:rsidRPr="002E70D5">
              <w:rPr>
                <w:b/>
                <w:bCs/>
                <w:sz w:val="20"/>
                <w:szCs w:val="20"/>
                <w:lang w:eastAsia="ru-RU"/>
              </w:rPr>
              <w:t>1</w:t>
            </w:r>
          </w:p>
        </w:tc>
        <w:tc>
          <w:tcPr>
            <w:tcW w:w="851" w:type="dxa"/>
            <w:tcBorders>
              <w:top w:val="nil"/>
              <w:left w:val="nil"/>
              <w:bottom w:val="single" w:sz="4" w:space="0" w:color="auto"/>
              <w:right w:val="single" w:sz="4" w:space="0" w:color="auto"/>
            </w:tcBorders>
            <w:vAlign w:val="center"/>
            <w:hideMark/>
          </w:tcPr>
          <w:p w:rsidR="00051C87" w:rsidRPr="002E70D5" w:rsidRDefault="00051C87" w:rsidP="004570B2">
            <w:pPr>
              <w:jc w:val="center"/>
              <w:rPr>
                <w:b/>
                <w:bCs/>
                <w:sz w:val="20"/>
                <w:szCs w:val="20"/>
                <w:lang w:eastAsia="ru-RU"/>
              </w:rPr>
            </w:pPr>
            <w:r w:rsidRPr="002E70D5">
              <w:rPr>
                <w:b/>
                <w:bCs/>
                <w:sz w:val="20"/>
                <w:szCs w:val="20"/>
                <w:lang w:eastAsia="ru-RU"/>
              </w:rPr>
              <w:t>2</w:t>
            </w:r>
          </w:p>
        </w:tc>
        <w:tc>
          <w:tcPr>
            <w:tcW w:w="1161" w:type="dxa"/>
            <w:tcBorders>
              <w:top w:val="nil"/>
              <w:left w:val="nil"/>
              <w:bottom w:val="single" w:sz="4" w:space="0" w:color="auto"/>
              <w:right w:val="single" w:sz="4" w:space="0" w:color="auto"/>
            </w:tcBorders>
            <w:vAlign w:val="center"/>
            <w:hideMark/>
          </w:tcPr>
          <w:p w:rsidR="00051C87" w:rsidRPr="002E70D5" w:rsidRDefault="00051C87" w:rsidP="004570B2">
            <w:pPr>
              <w:jc w:val="center"/>
              <w:rPr>
                <w:b/>
                <w:bCs/>
                <w:sz w:val="20"/>
                <w:szCs w:val="20"/>
                <w:lang w:eastAsia="ru-RU"/>
              </w:rPr>
            </w:pPr>
            <w:r w:rsidRPr="002E70D5">
              <w:rPr>
                <w:b/>
                <w:bCs/>
                <w:sz w:val="20"/>
                <w:szCs w:val="20"/>
                <w:lang w:eastAsia="ru-RU"/>
              </w:rPr>
              <w:t>3</w:t>
            </w:r>
          </w:p>
        </w:tc>
        <w:tc>
          <w:tcPr>
            <w:tcW w:w="938" w:type="dxa"/>
            <w:tcBorders>
              <w:top w:val="nil"/>
              <w:left w:val="nil"/>
              <w:bottom w:val="single" w:sz="4" w:space="0" w:color="auto"/>
              <w:right w:val="single" w:sz="8" w:space="0" w:color="auto"/>
            </w:tcBorders>
            <w:vAlign w:val="center"/>
            <w:hideMark/>
          </w:tcPr>
          <w:p w:rsidR="00051C87" w:rsidRPr="002E70D5" w:rsidRDefault="00051C87" w:rsidP="004570B2">
            <w:pPr>
              <w:jc w:val="center"/>
              <w:rPr>
                <w:b/>
                <w:bCs/>
                <w:sz w:val="20"/>
                <w:szCs w:val="20"/>
                <w:lang w:eastAsia="ru-RU"/>
              </w:rPr>
            </w:pPr>
            <w:r w:rsidRPr="002E70D5">
              <w:rPr>
                <w:b/>
                <w:bCs/>
                <w:sz w:val="20"/>
                <w:szCs w:val="20"/>
                <w:lang w:eastAsia="ru-RU"/>
              </w:rPr>
              <w:t>4</w:t>
            </w:r>
          </w:p>
        </w:tc>
      </w:tr>
      <w:tr w:rsidR="00051C87" w:rsidRPr="002E70D5" w:rsidTr="004570B2">
        <w:trPr>
          <w:gridAfter w:val="1"/>
          <w:wAfter w:w="236" w:type="dxa"/>
          <w:trHeight w:val="300"/>
        </w:trPr>
        <w:tc>
          <w:tcPr>
            <w:tcW w:w="5670" w:type="dxa"/>
            <w:tcBorders>
              <w:top w:val="single" w:sz="4" w:space="0" w:color="auto"/>
              <w:left w:val="single" w:sz="4" w:space="0" w:color="auto"/>
              <w:bottom w:val="single" w:sz="4" w:space="0" w:color="auto"/>
              <w:right w:val="single" w:sz="4" w:space="0" w:color="auto"/>
            </w:tcBorders>
            <w:vAlign w:val="center"/>
            <w:hideMark/>
          </w:tcPr>
          <w:p w:rsidR="00051C87" w:rsidRPr="002E70D5" w:rsidRDefault="00051C87" w:rsidP="004570B2">
            <w:pPr>
              <w:rPr>
                <w:sz w:val="20"/>
                <w:szCs w:val="20"/>
                <w:lang w:eastAsia="ru-RU"/>
              </w:rPr>
            </w:pPr>
            <w:proofErr w:type="spellStart"/>
            <w:r w:rsidRPr="002E70D5">
              <w:rPr>
                <w:sz w:val="20"/>
                <w:szCs w:val="20"/>
                <w:lang w:eastAsia="ru-RU"/>
              </w:rPr>
              <w:t>Venituri</w:t>
            </w:r>
            <w:proofErr w:type="spellEnd"/>
            <w:r w:rsidRPr="002E70D5">
              <w:rPr>
                <w:sz w:val="20"/>
                <w:szCs w:val="20"/>
                <w:lang w:eastAsia="ru-RU"/>
              </w:rPr>
              <w:t xml:space="preserve"> din </w:t>
            </w:r>
            <w:proofErr w:type="spellStart"/>
            <w:r>
              <w:rPr>
                <w:sz w:val="20"/>
                <w:szCs w:val="20"/>
                <w:lang w:eastAsia="ru-RU"/>
              </w:rPr>
              <w:t>dobân</w:t>
            </w:r>
            <w:r w:rsidRPr="002E70D5">
              <w:rPr>
                <w:sz w:val="20"/>
                <w:szCs w:val="20"/>
                <w:lang w:eastAsia="ru-RU"/>
              </w:rPr>
              <w:t>zi</w:t>
            </w:r>
            <w:proofErr w:type="spellEnd"/>
          </w:p>
        </w:tc>
        <w:tc>
          <w:tcPr>
            <w:tcW w:w="851" w:type="dxa"/>
            <w:tcBorders>
              <w:top w:val="single" w:sz="4" w:space="0" w:color="auto"/>
              <w:left w:val="nil"/>
              <w:bottom w:val="single" w:sz="4" w:space="0" w:color="auto"/>
              <w:right w:val="single" w:sz="4" w:space="0" w:color="auto"/>
            </w:tcBorders>
            <w:vAlign w:val="center"/>
            <w:hideMark/>
          </w:tcPr>
          <w:p w:rsidR="00051C87" w:rsidRPr="002E70D5" w:rsidRDefault="00051C87" w:rsidP="004570B2">
            <w:pPr>
              <w:jc w:val="center"/>
              <w:rPr>
                <w:sz w:val="20"/>
                <w:szCs w:val="20"/>
                <w:lang w:eastAsia="ru-RU"/>
              </w:rPr>
            </w:pPr>
            <w:r w:rsidRPr="002E70D5">
              <w:rPr>
                <w:sz w:val="20"/>
                <w:szCs w:val="20"/>
                <w:lang w:eastAsia="ru-RU"/>
              </w:rPr>
              <w:t>010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r>
      <w:tr w:rsidR="00051C87" w:rsidRPr="002E70D5" w:rsidTr="004570B2">
        <w:trPr>
          <w:gridAfter w:val="1"/>
          <w:wAfter w:w="236" w:type="dxa"/>
          <w:trHeight w:val="300"/>
        </w:trPr>
        <w:tc>
          <w:tcPr>
            <w:tcW w:w="5670" w:type="dxa"/>
            <w:tcBorders>
              <w:top w:val="nil"/>
              <w:left w:val="single" w:sz="8" w:space="0" w:color="auto"/>
              <w:bottom w:val="single" w:sz="4" w:space="0" w:color="auto"/>
              <w:right w:val="single" w:sz="4" w:space="0" w:color="auto"/>
            </w:tcBorders>
            <w:vAlign w:val="center"/>
            <w:hideMark/>
          </w:tcPr>
          <w:p w:rsidR="00051C87" w:rsidRPr="002E70D5" w:rsidRDefault="00051C87" w:rsidP="004570B2">
            <w:pPr>
              <w:rPr>
                <w:sz w:val="20"/>
                <w:szCs w:val="20"/>
                <w:lang w:eastAsia="ru-RU"/>
              </w:rPr>
            </w:pPr>
            <w:proofErr w:type="spellStart"/>
            <w:r w:rsidRPr="002E70D5">
              <w:rPr>
                <w:sz w:val="20"/>
                <w:szCs w:val="20"/>
                <w:lang w:eastAsia="ru-RU"/>
              </w:rPr>
              <w:t>Cheltuieli</w:t>
            </w:r>
            <w:proofErr w:type="spellEnd"/>
            <w:r w:rsidRPr="002E70D5">
              <w:rPr>
                <w:sz w:val="20"/>
                <w:szCs w:val="20"/>
                <w:lang w:eastAsia="ru-RU"/>
              </w:rPr>
              <w:t xml:space="preserve"> </w:t>
            </w:r>
            <w:proofErr w:type="spellStart"/>
            <w:r w:rsidRPr="002E70D5">
              <w:rPr>
                <w:sz w:val="20"/>
                <w:szCs w:val="20"/>
                <w:lang w:eastAsia="ru-RU"/>
              </w:rPr>
              <w:t>privind</w:t>
            </w:r>
            <w:proofErr w:type="spellEnd"/>
            <w:r w:rsidRPr="002E70D5">
              <w:rPr>
                <w:sz w:val="20"/>
                <w:szCs w:val="20"/>
                <w:lang w:eastAsia="ru-RU"/>
              </w:rPr>
              <w:t xml:space="preserve"> </w:t>
            </w:r>
            <w:proofErr w:type="spellStart"/>
            <w:r>
              <w:rPr>
                <w:sz w:val="20"/>
                <w:szCs w:val="20"/>
                <w:lang w:eastAsia="ru-RU"/>
              </w:rPr>
              <w:t>dobân</w:t>
            </w:r>
            <w:r w:rsidRPr="002E70D5">
              <w:rPr>
                <w:sz w:val="20"/>
                <w:szCs w:val="20"/>
                <w:lang w:eastAsia="ru-RU"/>
              </w:rPr>
              <w:t>zile</w:t>
            </w:r>
            <w:proofErr w:type="spellEnd"/>
          </w:p>
        </w:tc>
        <w:tc>
          <w:tcPr>
            <w:tcW w:w="851" w:type="dxa"/>
            <w:tcBorders>
              <w:top w:val="nil"/>
              <w:left w:val="nil"/>
              <w:bottom w:val="single" w:sz="4" w:space="0" w:color="auto"/>
              <w:right w:val="single" w:sz="4" w:space="0" w:color="auto"/>
            </w:tcBorders>
            <w:vAlign w:val="center"/>
            <w:hideMark/>
          </w:tcPr>
          <w:p w:rsidR="00051C87" w:rsidRPr="002E70D5" w:rsidRDefault="00051C87" w:rsidP="004570B2">
            <w:pPr>
              <w:jc w:val="center"/>
              <w:rPr>
                <w:sz w:val="20"/>
                <w:szCs w:val="20"/>
                <w:lang w:eastAsia="ru-RU"/>
              </w:rPr>
            </w:pPr>
            <w:r w:rsidRPr="002E70D5">
              <w:rPr>
                <w:sz w:val="20"/>
                <w:szCs w:val="20"/>
                <w:lang w:eastAsia="ru-RU"/>
              </w:rPr>
              <w:t>020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c>
          <w:tcPr>
            <w:tcW w:w="938" w:type="dxa"/>
            <w:tcBorders>
              <w:top w:val="single" w:sz="4" w:space="0" w:color="auto"/>
              <w:left w:val="single" w:sz="4" w:space="0" w:color="auto"/>
              <w:bottom w:val="single" w:sz="4" w:space="0" w:color="auto"/>
              <w:right w:val="single" w:sz="8"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r>
      <w:tr w:rsidR="00051C87" w:rsidRPr="002E70D5" w:rsidTr="004570B2">
        <w:trPr>
          <w:gridAfter w:val="1"/>
          <w:wAfter w:w="236" w:type="dxa"/>
          <w:trHeight w:val="315"/>
        </w:trPr>
        <w:tc>
          <w:tcPr>
            <w:tcW w:w="5670" w:type="dxa"/>
            <w:tcBorders>
              <w:top w:val="nil"/>
              <w:left w:val="single" w:sz="8" w:space="0" w:color="auto"/>
              <w:bottom w:val="nil"/>
              <w:right w:val="single" w:sz="4" w:space="0" w:color="auto"/>
            </w:tcBorders>
            <w:vAlign w:val="center"/>
            <w:hideMark/>
          </w:tcPr>
          <w:p w:rsidR="00051C87" w:rsidRPr="002E70D5" w:rsidRDefault="00051C87" w:rsidP="004570B2">
            <w:pPr>
              <w:rPr>
                <w:sz w:val="20"/>
                <w:szCs w:val="20"/>
                <w:lang w:eastAsia="ru-RU"/>
              </w:rPr>
            </w:pPr>
            <w:proofErr w:type="spellStart"/>
            <w:r w:rsidRPr="002E70D5">
              <w:rPr>
                <w:sz w:val="20"/>
                <w:szCs w:val="20"/>
                <w:lang w:eastAsia="ru-RU"/>
              </w:rPr>
              <w:t>Rezultatul</w:t>
            </w:r>
            <w:proofErr w:type="spellEnd"/>
            <w:r w:rsidRPr="002E70D5">
              <w:rPr>
                <w:sz w:val="20"/>
                <w:szCs w:val="20"/>
                <w:lang w:eastAsia="ru-RU"/>
              </w:rPr>
              <w:t xml:space="preserve"> net din </w:t>
            </w:r>
            <w:proofErr w:type="spellStart"/>
            <w:r w:rsidRPr="002E70D5">
              <w:rPr>
                <w:sz w:val="20"/>
                <w:szCs w:val="20"/>
                <w:lang w:eastAsia="ru-RU"/>
              </w:rPr>
              <w:t>constituirea</w:t>
            </w:r>
            <w:proofErr w:type="spellEnd"/>
            <w:r w:rsidRPr="002E70D5">
              <w:rPr>
                <w:sz w:val="20"/>
                <w:szCs w:val="20"/>
                <w:lang w:eastAsia="ru-RU"/>
              </w:rPr>
              <w:t xml:space="preserve"> </w:t>
            </w:r>
            <w:proofErr w:type="spellStart"/>
            <w:r w:rsidRPr="002E70D5">
              <w:rPr>
                <w:sz w:val="20"/>
                <w:szCs w:val="20"/>
                <w:lang w:eastAsia="ru-RU"/>
              </w:rPr>
              <w:t>şi</w:t>
            </w:r>
            <w:proofErr w:type="spellEnd"/>
            <w:r w:rsidRPr="002E70D5">
              <w:rPr>
                <w:sz w:val="20"/>
                <w:szCs w:val="20"/>
                <w:lang w:eastAsia="ru-RU"/>
              </w:rPr>
              <w:t xml:space="preserve"> </w:t>
            </w:r>
            <w:proofErr w:type="spellStart"/>
            <w:r w:rsidRPr="002E70D5">
              <w:rPr>
                <w:sz w:val="20"/>
                <w:szCs w:val="20"/>
                <w:lang w:eastAsia="ru-RU"/>
              </w:rPr>
              <w:t>decontarea</w:t>
            </w:r>
            <w:proofErr w:type="spellEnd"/>
            <w:r w:rsidRPr="002E70D5">
              <w:rPr>
                <w:sz w:val="20"/>
                <w:szCs w:val="20"/>
                <w:lang w:eastAsia="ru-RU"/>
              </w:rPr>
              <w:t xml:space="preserve"> </w:t>
            </w:r>
            <w:proofErr w:type="spellStart"/>
            <w:r w:rsidRPr="002E70D5">
              <w:rPr>
                <w:sz w:val="20"/>
                <w:szCs w:val="20"/>
                <w:lang w:eastAsia="ru-RU"/>
              </w:rPr>
              <w:t>provizioanelor</w:t>
            </w:r>
            <w:proofErr w:type="spellEnd"/>
          </w:p>
        </w:tc>
        <w:tc>
          <w:tcPr>
            <w:tcW w:w="851" w:type="dxa"/>
            <w:tcBorders>
              <w:top w:val="nil"/>
              <w:left w:val="nil"/>
              <w:bottom w:val="nil"/>
              <w:right w:val="single" w:sz="4" w:space="0" w:color="auto"/>
            </w:tcBorders>
            <w:vAlign w:val="center"/>
            <w:hideMark/>
          </w:tcPr>
          <w:p w:rsidR="00051C87" w:rsidRPr="002E70D5" w:rsidRDefault="00051C87" w:rsidP="004570B2">
            <w:pPr>
              <w:jc w:val="center"/>
              <w:rPr>
                <w:sz w:val="20"/>
                <w:szCs w:val="20"/>
                <w:lang w:eastAsia="ru-RU"/>
              </w:rPr>
            </w:pPr>
            <w:r w:rsidRPr="002E70D5">
              <w:rPr>
                <w:sz w:val="20"/>
                <w:szCs w:val="20"/>
                <w:lang w:eastAsia="ru-RU"/>
              </w:rPr>
              <w:t>030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c>
          <w:tcPr>
            <w:tcW w:w="938" w:type="dxa"/>
            <w:tcBorders>
              <w:top w:val="single" w:sz="4" w:space="0" w:color="auto"/>
              <w:left w:val="single" w:sz="4" w:space="0" w:color="auto"/>
              <w:bottom w:val="single" w:sz="4" w:space="0" w:color="auto"/>
              <w:right w:val="single" w:sz="8"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r>
      <w:tr w:rsidR="00051C87" w:rsidRPr="002E70D5" w:rsidTr="004570B2">
        <w:trPr>
          <w:gridAfter w:val="1"/>
          <w:wAfter w:w="236" w:type="dxa"/>
          <w:trHeight w:val="315"/>
        </w:trPr>
        <w:tc>
          <w:tcPr>
            <w:tcW w:w="5670" w:type="dxa"/>
            <w:tcBorders>
              <w:top w:val="single" w:sz="8" w:space="0" w:color="auto"/>
              <w:left w:val="single" w:sz="8" w:space="0" w:color="auto"/>
              <w:bottom w:val="single" w:sz="8" w:space="0" w:color="auto"/>
              <w:right w:val="single" w:sz="4" w:space="0" w:color="auto"/>
            </w:tcBorders>
            <w:vAlign w:val="center"/>
            <w:hideMark/>
          </w:tcPr>
          <w:p w:rsidR="00051C87" w:rsidRPr="002E70D5" w:rsidRDefault="00051C87" w:rsidP="004570B2">
            <w:pPr>
              <w:rPr>
                <w:b/>
                <w:bCs/>
                <w:sz w:val="20"/>
                <w:szCs w:val="20"/>
                <w:lang w:eastAsia="ru-RU"/>
              </w:rPr>
            </w:pPr>
            <w:r w:rsidRPr="002E70D5">
              <w:rPr>
                <w:b/>
                <w:bCs/>
                <w:sz w:val="20"/>
                <w:szCs w:val="20"/>
                <w:lang w:eastAsia="ru-RU"/>
              </w:rPr>
              <w:t>Profit brut (</w:t>
            </w:r>
            <w:proofErr w:type="spellStart"/>
            <w:r w:rsidRPr="002E70D5">
              <w:rPr>
                <w:b/>
                <w:bCs/>
                <w:sz w:val="20"/>
                <w:szCs w:val="20"/>
                <w:lang w:eastAsia="ru-RU"/>
              </w:rPr>
              <w:t>pierdere</w:t>
            </w:r>
            <w:proofErr w:type="spellEnd"/>
            <w:r w:rsidRPr="002E70D5">
              <w:rPr>
                <w:b/>
                <w:bCs/>
                <w:sz w:val="20"/>
                <w:szCs w:val="20"/>
                <w:lang w:eastAsia="ru-RU"/>
              </w:rPr>
              <w:t xml:space="preserve"> </w:t>
            </w:r>
            <w:proofErr w:type="spellStart"/>
            <w:r w:rsidRPr="002E70D5">
              <w:rPr>
                <w:b/>
                <w:bCs/>
                <w:sz w:val="20"/>
                <w:szCs w:val="20"/>
                <w:lang w:eastAsia="ru-RU"/>
              </w:rPr>
              <w:t>brută</w:t>
            </w:r>
            <w:proofErr w:type="spellEnd"/>
            <w:r w:rsidRPr="002E70D5">
              <w:rPr>
                <w:b/>
                <w:bCs/>
                <w:sz w:val="20"/>
                <w:szCs w:val="20"/>
                <w:lang w:eastAsia="ru-RU"/>
              </w:rPr>
              <w:t>), (rd.010-rd.020+rd.030)</w:t>
            </w:r>
          </w:p>
        </w:tc>
        <w:tc>
          <w:tcPr>
            <w:tcW w:w="851" w:type="dxa"/>
            <w:tcBorders>
              <w:top w:val="single" w:sz="8" w:space="0" w:color="auto"/>
              <w:left w:val="nil"/>
              <w:bottom w:val="single" w:sz="8" w:space="0" w:color="auto"/>
              <w:right w:val="single" w:sz="4" w:space="0" w:color="auto"/>
            </w:tcBorders>
            <w:vAlign w:val="center"/>
            <w:hideMark/>
          </w:tcPr>
          <w:p w:rsidR="00051C87" w:rsidRPr="002E70D5" w:rsidRDefault="00051C87" w:rsidP="004570B2">
            <w:pPr>
              <w:jc w:val="center"/>
              <w:rPr>
                <w:b/>
                <w:bCs/>
                <w:sz w:val="20"/>
                <w:szCs w:val="20"/>
                <w:lang w:eastAsia="ru-RU"/>
              </w:rPr>
            </w:pPr>
            <w:r w:rsidRPr="002E70D5">
              <w:rPr>
                <w:b/>
                <w:bCs/>
                <w:sz w:val="20"/>
                <w:szCs w:val="20"/>
                <w:lang w:eastAsia="ru-RU"/>
              </w:rPr>
              <w:t>040</w:t>
            </w:r>
          </w:p>
        </w:tc>
        <w:tc>
          <w:tcPr>
            <w:tcW w:w="1161" w:type="dxa"/>
            <w:tcBorders>
              <w:top w:val="single" w:sz="8" w:space="0" w:color="auto"/>
              <w:left w:val="nil"/>
              <w:bottom w:val="single" w:sz="8" w:space="0" w:color="auto"/>
              <w:right w:val="single" w:sz="4" w:space="0" w:color="auto"/>
            </w:tcBorders>
            <w:noWrap/>
            <w:vAlign w:val="center"/>
            <w:hideMark/>
          </w:tcPr>
          <w:p w:rsidR="00051C87" w:rsidRPr="002E70D5" w:rsidRDefault="00051C87" w:rsidP="004570B2">
            <w:pPr>
              <w:jc w:val="center"/>
              <w:rPr>
                <w:b/>
                <w:bCs/>
                <w:sz w:val="20"/>
                <w:szCs w:val="20"/>
                <w:lang w:val="ro-RO" w:eastAsia="ru-RU"/>
              </w:rPr>
            </w:pPr>
          </w:p>
        </w:tc>
        <w:tc>
          <w:tcPr>
            <w:tcW w:w="938" w:type="dxa"/>
            <w:tcBorders>
              <w:top w:val="single" w:sz="8" w:space="0" w:color="auto"/>
              <w:left w:val="nil"/>
              <w:bottom w:val="single" w:sz="8" w:space="0" w:color="auto"/>
              <w:right w:val="single" w:sz="8" w:space="0" w:color="auto"/>
            </w:tcBorders>
            <w:noWrap/>
            <w:vAlign w:val="center"/>
            <w:hideMark/>
          </w:tcPr>
          <w:p w:rsidR="00051C87" w:rsidRPr="002E70D5" w:rsidRDefault="00051C87" w:rsidP="004570B2">
            <w:pPr>
              <w:jc w:val="center"/>
              <w:rPr>
                <w:b/>
                <w:bCs/>
                <w:sz w:val="20"/>
                <w:szCs w:val="20"/>
                <w:lang w:eastAsia="ru-RU"/>
              </w:rPr>
            </w:pPr>
            <w:r w:rsidRPr="002E70D5">
              <w:rPr>
                <w:b/>
                <w:bCs/>
                <w:sz w:val="20"/>
                <w:szCs w:val="20"/>
                <w:lang w:eastAsia="ru-RU"/>
              </w:rPr>
              <w:t xml:space="preserve"> </w:t>
            </w:r>
          </w:p>
        </w:tc>
      </w:tr>
      <w:tr w:rsidR="00051C87" w:rsidRPr="002E70D5" w:rsidTr="004570B2">
        <w:trPr>
          <w:gridAfter w:val="1"/>
          <w:wAfter w:w="236" w:type="dxa"/>
          <w:trHeight w:val="300"/>
        </w:trPr>
        <w:tc>
          <w:tcPr>
            <w:tcW w:w="5670" w:type="dxa"/>
            <w:tcBorders>
              <w:top w:val="nil"/>
              <w:left w:val="single" w:sz="8" w:space="0" w:color="auto"/>
              <w:bottom w:val="single" w:sz="4" w:space="0" w:color="auto"/>
              <w:right w:val="single" w:sz="4" w:space="0" w:color="auto"/>
            </w:tcBorders>
            <w:vAlign w:val="center"/>
            <w:hideMark/>
          </w:tcPr>
          <w:p w:rsidR="00051C87" w:rsidRPr="002E70D5" w:rsidRDefault="00051C87" w:rsidP="004570B2">
            <w:pPr>
              <w:rPr>
                <w:sz w:val="20"/>
                <w:szCs w:val="20"/>
                <w:lang w:eastAsia="ru-RU"/>
              </w:rPr>
            </w:pPr>
            <w:proofErr w:type="spellStart"/>
            <w:r w:rsidRPr="002E70D5">
              <w:rPr>
                <w:sz w:val="20"/>
                <w:szCs w:val="20"/>
                <w:lang w:eastAsia="ru-RU"/>
              </w:rPr>
              <w:t>Alte</w:t>
            </w:r>
            <w:proofErr w:type="spellEnd"/>
            <w:r w:rsidRPr="002E70D5">
              <w:rPr>
                <w:sz w:val="20"/>
                <w:szCs w:val="20"/>
                <w:lang w:eastAsia="ru-RU"/>
              </w:rPr>
              <w:t xml:space="preserve"> </w:t>
            </w:r>
            <w:proofErr w:type="spellStart"/>
            <w:r w:rsidRPr="002E70D5">
              <w:rPr>
                <w:sz w:val="20"/>
                <w:szCs w:val="20"/>
                <w:lang w:eastAsia="ru-RU"/>
              </w:rPr>
              <w:t>venituri</w:t>
            </w:r>
            <w:proofErr w:type="spellEnd"/>
            <w:r w:rsidRPr="002E70D5">
              <w:rPr>
                <w:sz w:val="20"/>
                <w:szCs w:val="20"/>
                <w:lang w:eastAsia="ru-RU"/>
              </w:rPr>
              <w:t xml:space="preserve"> din </w:t>
            </w:r>
            <w:proofErr w:type="spellStart"/>
            <w:r w:rsidRPr="002E70D5">
              <w:rPr>
                <w:sz w:val="20"/>
                <w:szCs w:val="20"/>
                <w:lang w:eastAsia="ru-RU"/>
              </w:rPr>
              <w:t>activitatea</w:t>
            </w:r>
            <w:proofErr w:type="spellEnd"/>
            <w:r w:rsidRPr="002E70D5">
              <w:rPr>
                <w:sz w:val="20"/>
                <w:szCs w:val="20"/>
                <w:lang w:eastAsia="ru-RU"/>
              </w:rPr>
              <w:t xml:space="preserve"> </w:t>
            </w:r>
            <w:proofErr w:type="spellStart"/>
            <w:r w:rsidRPr="002E70D5">
              <w:rPr>
                <w:sz w:val="20"/>
                <w:szCs w:val="20"/>
                <w:lang w:eastAsia="ru-RU"/>
              </w:rPr>
              <w:t>operaţională</w:t>
            </w:r>
            <w:proofErr w:type="spellEnd"/>
          </w:p>
        </w:tc>
        <w:tc>
          <w:tcPr>
            <w:tcW w:w="851" w:type="dxa"/>
            <w:tcBorders>
              <w:top w:val="nil"/>
              <w:left w:val="nil"/>
              <w:bottom w:val="single" w:sz="4" w:space="0" w:color="auto"/>
              <w:right w:val="single" w:sz="4" w:space="0" w:color="auto"/>
            </w:tcBorders>
            <w:vAlign w:val="center"/>
            <w:hideMark/>
          </w:tcPr>
          <w:p w:rsidR="00051C87" w:rsidRPr="002E70D5" w:rsidRDefault="00051C87" w:rsidP="004570B2">
            <w:pPr>
              <w:jc w:val="center"/>
              <w:rPr>
                <w:sz w:val="20"/>
                <w:szCs w:val="20"/>
                <w:lang w:eastAsia="ru-RU"/>
              </w:rPr>
            </w:pPr>
            <w:r w:rsidRPr="002E70D5">
              <w:rPr>
                <w:sz w:val="20"/>
                <w:szCs w:val="20"/>
                <w:lang w:eastAsia="ru-RU"/>
              </w:rPr>
              <w:t>050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c>
          <w:tcPr>
            <w:tcW w:w="938" w:type="dxa"/>
            <w:tcBorders>
              <w:top w:val="single" w:sz="4" w:space="0" w:color="auto"/>
              <w:left w:val="single" w:sz="4" w:space="0" w:color="auto"/>
              <w:bottom w:val="single" w:sz="4" w:space="0" w:color="auto"/>
              <w:right w:val="single" w:sz="8"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r>
      <w:tr w:rsidR="00051C87" w:rsidRPr="002E70D5" w:rsidTr="004570B2">
        <w:trPr>
          <w:gridAfter w:val="1"/>
          <w:wAfter w:w="236" w:type="dxa"/>
          <w:trHeight w:val="300"/>
        </w:trPr>
        <w:tc>
          <w:tcPr>
            <w:tcW w:w="5670" w:type="dxa"/>
            <w:tcBorders>
              <w:top w:val="nil"/>
              <w:left w:val="single" w:sz="8" w:space="0" w:color="auto"/>
              <w:bottom w:val="single" w:sz="4" w:space="0" w:color="auto"/>
              <w:right w:val="single" w:sz="4" w:space="0" w:color="auto"/>
            </w:tcBorders>
            <w:vAlign w:val="center"/>
            <w:hideMark/>
          </w:tcPr>
          <w:p w:rsidR="00051C87" w:rsidRPr="002E70D5" w:rsidRDefault="00051C87" w:rsidP="004570B2">
            <w:pPr>
              <w:rPr>
                <w:sz w:val="20"/>
                <w:szCs w:val="20"/>
                <w:lang w:eastAsia="ru-RU"/>
              </w:rPr>
            </w:pPr>
            <w:proofErr w:type="spellStart"/>
            <w:r w:rsidRPr="002E70D5">
              <w:rPr>
                <w:sz w:val="20"/>
                <w:szCs w:val="20"/>
                <w:lang w:eastAsia="ru-RU"/>
              </w:rPr>
              <w:t>Cheltuieli</w:t>
            </w:r>
            <w:proofErr w:type="spellEnd"/>
            <w:r w:rsidRPr="002E70D5">
              <w:rPr>
                <w:sz w:val="20"/>
                <w:szCs w:val="20"/>
                <w:lang w:eastAsia="ru-RU"/>
              </w:rPr>
              <w:t xml:space="preserve"> administrative</w:t>
            </w:r>
          </w:p>
        </w:tc>
        <w:tc>
          <w:tcPr>
            <w:tcW w:w="851" w:type="dxa"/>
            <w:tcBorders>
              <w:top w:val="nil"/>
              <w:left w:val="nil"/>
              <w:bottom w:val="single" w:sz="4" w:space="0" w:color="auto"/>
              <w:right w:val="single" w:sz="4" w:space="0" w:color="auto"/>
            </w:tcBorders>
            <w:vAlign w:val="center"/>
            <w:hideMark/>
          </w:tcPr>
          <w:p w:rsidR="00051C87" w:rsidRPr="002E70D5" w:rsidRDefault="00051C87" w:rsidP="004570B2">
            <w:pPr>
              <w:jc w:val="center"/>
              <w:rPr>
                <w:sz w:val="20"/>
                <w:szCs w:val="20"/>
                <w:lang w:eastAsia="ru-RU"/>
              </w:rPr>
            </w:pPr>
            <w:r w:rsidRPr="002E70D5">
              <w:rPr>
                <w:sz w:val="20"/>
                <w:szCs w:val="20"/>
                <w:lang w:eastAsia="ru-RU"/>
              </w:rPr>
              <w:t>060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c>
          <w:tcPr>
            <w:tcW w:w="938" w:type="dxa"/>
            <w:tcBorders>
              <w:top w:val="single" w:sz="4" w:space="0" w:color="auto"/>
              <w:left w:val="single" w:sz="4" w:space="0" w:color="auto"/>
              <w:bottom w:val="single" w:sz="4" w:space="0" w:color="auto"/>
              <w:right w:val="single" w:sz="8"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r>
      <w:tr w:rsidR="00051C87" w:rsidRPr="002E70D5" w:rsidTr="004570B2">
        <w:trPr>
          <w:gridAfter w:val="1"/>
          <w:wAfter w:w="236" w:type="dxa"/>
          <w:trHeight w:val="315"/>
        </w:trPr>
        <w:tc>
          <w:tcPr>
            <w:tcW w:w="5670" w:type="dxa"/>
            <w:tcBorders>
              <w:top w:val="nil"/>
              <w:left w:val="single" w:sz="8" w:space="0" w:color="auto"/>
              <w:bottom w:val="nil"/>
              <w:right w:val="single" w:sz="4" w:space="0" w:color="auto"/>
            </w:tcBorders>
            <w:vAlign w:val="center"/>
            <w:hideMark/>
          </w:tcPr>
          <w:p w:rsidR="00051C87" w:rsidRPr="002E70D5" w:rsidRDefault="00051C87" w:rsidP="004570B2">
            <w:pPr>
              <w:rPr>
                <w:sz w:val="20"/>
                <w:szCs w:val="20"/>
                <w:lang w:eastAsia="ru-RU"/>
              </w:rPr>
            </w:pPr>
            <w:proofErr w:type="spellStart"/>
            <w:r w:rsidRPr="002E70D5">
              <w:rPr>
                <w:sz w:val="20"/>
                <w:szCs w:val="20"/>
                <w:lang w:eastAsia="ru-RU"/>
              </w:rPr>
              <w:t>Alte</w:t>
            </w:r>
            <w:proofErr w:type="spellEnd"/>
            <w:r w:rsidRPr="002E70D5">
              <w:rPr>
                <w:sz w:val="20"/>
                <w:szCs w:val="20"/>
                <w:lang w:eastAsia="ru-RU"/>
              </w:rPr>
              <w:t xml:space="preserve"> </w:t>
            </w:r>
            <w:proofErr w:type="spellStart"/>
            <w:r w:rsidRPr="002E70D5">
              <w:rPr>
                <w:sz w:val="20"/>
                <w:szCs w:val="20"/>
                <w:lang w:eastAsia="ru-RU"/>
              </w:rPr>
              <w:t>cheltuieli</w:t>
            </w:r>
            <w:proofErr w:type="spellEnd"/>
            <w:r w:rsidRPr="002E70D5">
              <w:rPr>
                <w:sz w:val="20"/>
                <w:szCs w:val="20"/>
                <w:lang w:eastAsia="ru-RU"/>
              </w:rPr>
              <w:t xml:space="preserve"> din </w:t>
            </w:r>
            <w:proofErr w:type="spellStart"/>
            <w:r w:rsidRPr="002E70D5">
              <w:rPr>
                <w:sz w:val="20"/>
                <w:szCs w:val="20"/>
                <w:lang w:eastAsia="ru-RU"/>
              </w:rPr>
              <w:t>activitatea</w:t>
            </w:r>
            <w:proofErr w:type="spellEnd"/>
            <w:r w:rsidRPr="002E70D5">
              <w:rPr>
                <w:sz w:val="20"/>
                <w:szCs w:val="20"/>
                <w:lang w:eastAsia="ru-RU"/>
              </w:rPr>
              <w:t xml:space="preserve"> </w:t>
            </w:r>
            <w:proofErr w:type="spellStart"/>
            <w:r w:rsidRPr="002E70D5">
              <w:rPr>
                <w:sz w:val="20"/>
                <w:szCs w:val="20"/>
                <w:lang w:eastAsia="ru-RU"/>
              </w:rPr>
              <w:t>operaţională</w:t>
            </w:r>
            <w:proofErr w:type="spellEnd"/>
          </w:p>
        </w:tc>
        <w:tc>
          <w:tcPr>
            <w:tcW w:w="851" w:type="dxa"/>
            <w:tcBorders>
              <w:top w:val="nil"/>
              <w:left w:val="nil"/>
              <w:bottom w:val="nil"/>
              <w:right w:val="single" w:sz="4" w:space="0" w:color="auto"/>
            </w:tcBorders>
            <w:vAlign w:val="center"/>
            <w:hideMark/>
          </w:tcPr>
          <w:p w:rsidR="00051C87" w:rsidRPr="002E70D5" w:rsidRDefault="00051C87" w:rsidP="004570B2">
            <w:pPr>
              <w:jc w:val="center"/>
              <w:rPr>
                <w:sz w:val="20"/>
                <w:szCs w:val="20"/>
                <w:lang w:eastAsia="ru-RU"/>
              </w:rPr>
            </w:pPr>
            <w:r w:rsidRPr="002E70D5">
              <w:rPr>
                <w:sz w:val="20"/>
                <w:szCs w:val="20"/>
                <w:lang w:eastAsia="ru-RU"/>
              </w:rPr>
              <w:t>070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c>
          <w:tcPr>
            <w:tcW w:w="938" w:type="dxa"/>
            <w:tcBorders>
              <w:top w:val="single" w:sz="4" w:space="0" w:color="auto"/>
              <w:left w:val="single" w:sz="4" w:space="0" w:color="auto"/>
              <w:bottom w:val="single" w:sz="4" w:space="0" w:color="auto"/>
              <w:right w:val="single" w:sz="8"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r>
      <w:tr w:rsidR="00051C87" w:rsidRPr="002E70D5" w:rsidTr="004570B2">
        <w:trPr>
          <w:gridAfter w:val="1"/>
          <w:wAfter w:w="236" w:type="dxa"/>
          <w:trHeight w:val="525"/>
        </w:trPr>
        <w:tc>
          <w:tcPr>
            <w:tcW w:w="5670" w:type="dxa"/>
            <w:tcBorders>
              <w:top w:val="single" w:sz="8" w:space="0" w:color="auto"/>
              <w:left w:val="single" w:sz="8" w:space="0" w:color="auto"/>
              <w:bottom w:val="single" w:sz="8" w:space="0" w:color="auto"/>
              <w:right w:val="single" w:sz="4" w:space="0" w:color="auto"/>
            </w:tcBorders>
            <w:vAlign w:val="center"/>
            <w:hideMark/>
          </w:tcPr>
          <w:p w:rsidR="00051C87" w:rsidRPr="002E70D5" w:rsidRDefault="00051C87" w:rsidP="004570B2">
            <w:pPr>
              <w:rPr>
                <w:b/>
                <w:bCs/>
                <w:sz w:val="20"/>
                <w:szCs w:val="20"/>
                <w:lang w:eastAsia="ru-RU"/>
              </w:rPr>
            </w:pPr>
            <w:proofErr w:type="spellStart"/>
            <w:r w:rsidRPr="002E70D5">
              <w:rPr>
                <w:b/>
                <w:bCs/>
                <w:sz w:val="20"/>
                <w:szCs w:val="20"/>
                <w:lang w:eastAsia="ru-RU"/>
              </w:rPr>
              <w:t>Rezultatul</w:t>
            </w:r>
            <w:proofErr w:type="spellEnd"/>
            <w:r w:rsidRPr="002E70D5">
              <w:rPr>
                <w:b/>
                <w:bCs/>
                <w:sz w:val="20"/>
                <w:szCs w:val="20"/>
                <w:lang w:eastAsia="ru-RU"/>
              </w:rPr>
              <w:t xml:space="preserve"> din </w:t>
            </w:r>
            <w:proofErr w:type="spellStart"/>
            <w:r w:rsidRPr="002E70D5">
              <w:rPr>
                <w:b/>
                <w:bCs/>
                <w:sz w:val="20"/>
                <w:szCs w:val="20"/>
                <w:lang w:eastAsia="ru-RU"/>
              </w:rPr>
              <w:t>activitatea</w:t>
            </w:r>
            <w:proofErr w:type="spellEnd"/>
            <w:r w:rsidRPr="002E70D5">
              <w:rPr>
                <w:b/>
                <w:bCs/>
                <w:sz w:val="20"/>
                <w:szCs w:val="20"/>
                <w:lang w:eastAsia="ru-RU"/>
              </w:rPr>
              <w:t xml:space="preserve"> </w:t>
            </w:r>
            <w:proofErr w:type="spellStart"/>
            <w:r w:rsidRPr="002E70D5">
              <w:rPr>
                <w:b/>
                <w:bCs/>
                <w:sz w:val="20"/>
                <w:szCs w:val="20"/>
                <w:lang w:eastAsia="ru-RU"/>
              </w:rPr>
              <w:t>operaţională</w:t>
            </w:r>
            <w:proofErr w:type="spellEnd"/>
            <w:r w:rsidRPr="002E70D5">
              <w:rPr>
                <w:b/>
                <w:bCs/>
                <w:sz w:val="20"/>
                <w:szCs w:val="20"/>
                <w:lang w:eastAsia="ru-RU"/>
              </w:rPr>
              <w:t>: profit (</w:t>
            </w:r>
            <w:proofErr w:type="spellStart"/>
            <w:r w:rsidRPr="002E70D5">
              <w:rPr>
                <w:b/>
                <w:bCs/>
                <w:sz w:val="20"/>
                <w:szCs w:val="20"/>
                <w:lang w:eastAsia="ru-RU"/>
              </w:rPr>
              <w:t>pierdere</w:t>
            </w:r>
            <w:proofErr w:type="spellEnd"/>
            <w:r w:rsidRPr="002E70D5">
              <w:rPr>
                <w:b/>
                <w:bCs/>
                <w:sz w:val="20"/>
                <w:szCs w:val="20"/>
                <w:lang w:eastAsia="ru-RU"/>
              </w:rPr>
              <w:t>), (rd.040 + rd.050 - rd.060 - rd.070)</w:t>
            </w:r>
          </w:p>
        </w:tc>
        <w:tc>
          <w:tcPr>
            <w:tcW w:w="851" w:type="dxa"/>
            <w:tcBorders>
              <w:top w:val="single" w:sz="8" w:space="0" w:color="auto"/>
              <w:left w:val="nil"/>
              <w:bottom w:val="single" w:sz="8" w:space="0" w:color="auto"/>
              <w:right w:val="single" w:sz="4" w:space="0" w:color="auto"/>
            </w:tcBorders>
            <w:vAlign w:val="center"/>
            <w:hideMark/>
          </w:tcPr>
          <w:p w:rsidR="00051C87" w:rsidRPr="002E70D5" w:rsidRDefault="00051C87" w:rsidP="004570B2">
            <w:pPr>
              <w:jc w:val="center"/>
              <w:rPr>
                <w:b/>
                <w:bCs/>
                <w:sz w:val="20"/>
                <w:szCs w:val="20"/>
                <w:lang w:eastAsia="ru-RU"/>
              </w:rPr>
            </w:pPr>
            <w:r w:rsidRPr="002E70D5">
              <w:rPr>
                <w:b/>
                <w:bCs/>
                <w:sz w:val="20"/>
                <w:szCs w:val="20"/>
                <w:lang w:eastAsia="ru-RU"/>
              </w:rPr>
              <w:t>080</w:t>
            </w:r>
          </w:p>
        </w:tc>
        <w:tc>
          <w:tcPr>
            <w:tcW w:w="1161" w:type="dxa"/>
            <w:tcBorders>
              <w:top w:val="single" w:sz="8" w:space="0" w:color="auto"/>
              <w:left w:val="nil"/>
              <w:bottom w:val="single" w:sz="8" w:space="0" w:color="auto"/>
              <w:right w:val="single" w:sz="4" w:space="0" w:color="auto"/>
            </w:tcBorders>
            <w:noWrap/>
            <w:vAlign w:val="center"/>
            <w:hideMark/>
          </w:tcPr>
          <w:p w:rsidR="00051C87" w:rsidRPr="002E70D5" w:rsidRDefault="00051C87" w:rsidP="004570B2">
            <w:pPr>
              <w:jc w:val="center"/>
              <w:rPr>
                <w:b/>
                <w:bCs/>
                <w:sz w:val="20"/>
                <w:szCs w:val="20"/>
                <w:lang w:eastAsia="ru-RU"/>
              </w:rPr>
            </w:pPr>
            <w:r w:rsidRPr="002E70D5">
              <w:rPr>
                <w:b/>
                <w:bCs/>
                <w:sz w:val="20"/>
                <w:szCs w:val="20"/>
                <w:lang w:eastAsia="ru-RU"/>
              </w:rPr>
              <w:t xml:space="preserve"> </w:t>
            </w:r>
          </w:p>
        </w:tc>
        <w:tc>
          <w:tcPr>
            <w:tcW w:w="938" w:type="dxa"/>
            <w:tcBorders>
              <w:top w:val="single" w:sz="8" w:space="0" w:color="auto"/>
              <w:left w:val="nil"/>
              <w:bottom w:val="single" w:sz="8" w:space="0" w:color="auto"/>
              <w:right w:val="single" w:sz="8" w:space="0" w:color="auto"/>
            </w:tcBorders>
            <w:noWrap/>
            <w:vAlign w:val="center"/>
            <w:hideMark/>
          </w:tcPr>
          <w:p w:rsidR="00051C87" w:rsidRPr="002E70D5" w:rsidRDefault="00051C87" w:rsidP="004570B2">
            <w:pPr>
              <w:jc w:val="center"/>
              <w:rPr>
                <w:b/>
                <w:bCs/>
                <w:sz w:val="20"/>
                <w:szCs w:val="20"/>
                <w:lang w:eastAsia="ru-RU"/>
              </w:rPr>
            </w:pPr>
            <w:r w:rsidRPr="002E70D5">
              <w:rPr>
                <w:b/>
                <w:bCs/>
                <w:sz w:val="20"/>
                <w:szCs w:val="20"/>
                <w:lang w:eastAsia="ru-RU"/>
              </w:rPr>
              <w:t xml:space="preserve"> </w:t>
            </w:r>
          </w:p>
        </w:tc>
      </w:tr>
      <w:tr w:rsidR="00051C87" w:rsidRPr="002E70D5" w:rsidTr="004570B2">
        <w:trPr>
          <w:gridAfter w:val="1"/>
          <w:wAfter w:w="236" w:type="dxa"/>
          <w:trHeight w:val="315"/>
        </w:trPr>
        <w:tc>
          <w:tcPr>
            <w:tcW w:w="5670" w:type="dxa"/>
            <w:tcBorders>
              <w:top w:val="nil"/>
              <w:left w:val="single" w:sz="8" w:space="0" w:color="auto"/>
              <w:bottom w:val="nil"/>
              <w:right w:val="single" w:sz="4" w:space="0" w:color="auto"/>
            </w:tcBorders>
            <w:vAlign w:val="center"/>
            <w:hideMark/>
          </w:tcPr>
          <w:p w:rsidR="00051C87" w:rsidRPr="002E70D5" w:rsidRDefault="00051C87" w:rsidP="004570B2">
            <w:pPr>
              <w:rPr>
                <w:sz w:val="20"/>
                <w:szCs w:val="20"/>
                <w:lang w:eastAsia="ru-RU"/>
              </w:rPr>
            </w:pPr>
            <w:proofErr w:type="spellStart"/>
            <w:r w:rsidRPr="002E70D5">
              <w:rPr>
                <w:sz w:val="20"/>
                <w:szCs w:val="20"/>
                <w:lang w:eastAsia="ru-RU"/>
              </w:rPr>
              <w:t>Rezultatul</w:t>
            </w:r>
            <w:proofErr w:type="spellEnd"/>
            <w:r w:rsidRPr="002E70D5">
              <w:rPr>
                <w:sz w:val="20"/>
                <w:szCs w:val="20"/>
                <w:lang w:eastAsia="ru-RU"/>
              </w:rPr>
              <w:t xml:space="preserve"> din </w:t>
            </w:r>
            <w:proofErr w:type="spellStart"/>
            <w:r w:rsidRPr="002E70D5">
              <w:rPr>
                <w:sz w:val="20"/>
                <w:szCs w:val="20"/>
                <w:lang w:eastAsia="ru-RU"/>
              </w:rPr>
              <w:t>alte</w:t>
            </w:r>
            <w:proofErr w:type="spellEnd"/>
            <w:r w:rsidRPr="002E70D5">
              <w:rPr>
                <w:sz w:val="20"/>
                <w:szCs w:val="20"/>
                <w:lang w:eastAsia="ru-RU"/>
              </w:rPr>
              <w:t xml:space="preserve"> </w:t>
            </w:r>
            <w:proofErr w:type="spellStart"/>
            <w:r w:rsidRPr="002E70D5">
              <w:rPr>
                <w:sz w:val="20"/>
                <w:szCs w:val="20"/>
                <w:lang w:eastAsia="ru-RU"/>
              </w:rPr>
              <w:t>activităţi</w:t>
            </w:r>
            <w:proofErr w:type="spellEnd"/>
            <w:r w:rsidRPr="002E70D5">
              <w:rPr>
                <w:sz w:val="20"/>
                <w:szCs w:val="20"/>
                <w:lang w:eastAsia="ru-RU"/>
              </w:rPr>
              <w:t>: profit (</w:t>
            </w:r>
            <w:proofErr w:type="spellStart"/>
            <w:r w:rsidRPr="002E70D5">
              <w:rPr>
                <w:sz w:val="20"/>
                <w:szCs w:val="20"/>
                <w:lang w:eastAsia="ru-RU"/>
              </w:rPr>
              <w:t>pierdere</w:t>
            </w:r>
            <w:proofErr w:type="spellEnd"/>
            <w:r w:rsidRPr="002E70D5">
              <w:rPr>
                <w:sz w:val="20"/>
                <w:szCs w:val="20"/>
                <w:lang w:eastAsia="ru-RU"/>
              </w:rPr>
              <w:t>)</w:t>
            </w:r>
          </w:p>
        </w:tc>
        <w:tc>
          <w:tcPr>
            <w:tcW w:w="851" w:type="dxa"/>
            <w:tcBorders>
              <w:top w:val="nil"/>
              <w:left w:val="nil"/>
              <w:bottom w:val="nil"/>
              <w:right w:val="single" w:sz="4" w:space="0" w:color="auto"/>
            </w:tcBorders>
            <w:vAlign w:val="center"/>
            <w:hideMark/>
          </w:tcPr>
          <w:p w:rsidR="00051C87" w:rsidRPr="002E70D5" w:rsidRDefault="00051C87" w:rsidP="004570B2">
            <w:pPr>
              <w:jc w:val="center"/>
              <w:rPr>
                <w:sz w:val="20"/>
                <w:szCs w:val="20"/>
                <w:lang w:eastAsia="ru-RU"/>
              </w:rPr>
            </w:pPr>
            <w:r w:rsidRPr="002E70D5">
              <w:rPr>
                <w:sz w:val="20"/>
                <w:szCs w:val="20"/>
                <w:lang w:eastAsia="ru-RU"/>
              </w:rPr>
              <w:t>090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c>
          <w:tcPr>
            <w:tcW w:w="938" w:type="dxa"/>
            <w:tcBorders>
              <w:top w:val="single" w:sz="4" w:space="0" w:color="auto"/>
              <w:left w:val="single" w:sz="4" w:space="0" w:color="auto"/>
              <w:bottom w:val="single" w:sz="4" w:space="0" w:color="auto"/>
              <w:right w:val="single" w:sz="8" w:space="0" w:color="auto"/>
            </w:tcBorders>
            <w:noWrap/>
            <w:vAlign w:val="center"/>
            <w:hideMark/>
          </w:tcPr>
          <w:p w:rsidR="00051C87" w:rsidRPr="002E70D5" w:rsidRDefault="00051C87" w:rsidP="004570B2">
            <w:pPr>
              <w:jc w:val="center"/>
              <w:rPr>
                <w:sz w:val="20"/>
                <w:szCs w:val="20"/>
                <w:lang w:eastAsia="ru-RU"/>
              </w:rPr>
            </w:pPr>
            <w:r w:rsidRPr="002E70D5">
              <w:rPr>
                <w:sz w:val="20"/>
                <w:szCs w:val="20"/>
                <w:lang w:eastAsia="ru-RU"/>
              </w:rPr>
              <w:t> </w:t>
            </w:r>
          </w:p>
        </w:tc>
      </w:tr>
      <w:tr w:rsidR="00051C87" w:rsidRPr="002E70D5" w:rsidTr="004570B2">
        <w:trPr>
          <w:gridAfter w:val="1"/>
          <w:wAfter w:w="236" w:type="dxa"/>
          <w:trHeight w:val="315"/>
        </w:trPr>
        <w:tc>
          <w:tcPr>
            <w:tcW w:w="5670" w:type="dxa"/>
            <w:tcBorders>
              <w:top w:val="single" w:sz="8" w:space="0" w:color="auto"/>
              <w:left w:val="single" w:sz="8" w:space="0" w:color="auto"/>
              <w:bottom w:val="single" w:sz="8" w:space="0" w:color="auto"/>
              <w:right w:val="single" w:sz="4" w:space="0" w:color="auto"/>
            </w:tcBorders>
            <w:vAlign w:val="center"/>
            <w:hideMark/>
          </w:tcPr>
          <w:p w:rsidR="00051C87" w:rsidRPr="002E70D5" w:rsidRDefault="00051C87" w:rsidP="004570B2">
            <w:pPr>
              <w:rPr>
                <w:b/>
                <w:bCs/>
                <w:sz w:val="20"/>
                <w:szCs w:val="20"/>
                <w:lang w:eastAsia="ru-RU"/>
              </w:rPr>
            </w:pPr>
            <w:r w:rsidRPr="002E70D5">
              <w:rPr>
                <w:b/>
                <w:bCs/>
                <w:sz w:val="20"/>
                <w:szCs w:val="20"/>
                <w:lang w:eastAsia="ru-RU"/>
              </w:rPr>
              <w:t>Profit (</w:t>
            </w:r>
            <w:proofErr w:type="spellStart"/>
            <w:r w:rsidRPr="002E70D5">
              <w:rPr>
                <w:b/>
                <w:bCs/>
                <w:sz w:val="20"/>
                <w:szCs w:val="20"/>
                <w:lang w:eastAsia="ru-RU"/>
              </w:rPr>
              <w:t>pierdere</w:t>
            </w:r>
            <w:proofErr w:type="spellEnd"/>
            <w:r w:rsidRPr="002E70D5">
              <w:rPr>
                <w:b/>
                <w:bCs/>
                <w:sz w:val="20"/>
                <w:szCs w:val="20"/>
                <w:lang w:eastAsia="ru-RU"/>
              </w:rPr>
              <w:t xml:space="preserve">) </w:t>
            </w:r>
            <w:proofErr w:type="spellStart"/>
            <w:r>
              <w:rPr>
                <w:b/>
                <w:bCs/>
                <w:sz w:val="20"/>
                <w:szCs w:val="20"/>
                <w:lang w:eastAsia="ru-RU"/>
              </w:rPr>
              <w:t>până</w:t>
            </w:r>
            <w:proofErr w:type="spellEnd"/>
            <w:r w:rsidRPr="002E70D5">
              <w:rPr>
                <w:b/>
                <w:bCs/>
                <w:sz w:val="20"/>
                <w:szCs w:val="20"/>
                <w:lang w:eastAsia="ru-RU"/>
              </w:rPr>
              <w:t xml:space="preserve"> la </w:t>
            </w:r>
            <w:proofErr w:type="spellStart"/>
            <w:r w:rsidRPr="002E70D5">
              <w:rPr>
                <w:b/>
                <w:bCs/>
                <w:sz w:val="20"/>
                <w:szCs w:val="20"/>
                <w:lang w:eastAsia="ru-RU"/>
              </w:rPr>
              <w:t>impozitare</w:t>
            </w:r>
            <w:proofErr w:type="spellEnd"/>
            <w:r w:rsidRPr="002E70D5">
              <w:rPr>
                <w:b/>
                <w:bCs/>
                <w:sz w:val="20"/>
                <w:szCs w:val="20"/>
                <w:lang w:eastAsia="ru-RU"/>
              </w:rPr>
              <w:t>, (rd.080 + rd.090)</w:t>
            </w:r>
          </w:p>
        </w:tc>
        <w:tc>
          <w:tcPr>
            <w:tcW w:w="851" w:type="dxa"/>
            <w:tcBorders>
              <w:top w:val="single" w:sz="8" w:space="0" w:color="auto"/>
              <w:left w:val="nil"/>
              <w:bottom w:val="single" w:sz="8" w:space="0" w:color="auto"/>
              <w:right w:val="single" w:sz="4" w:space="0" w:color="auto"/>
            </w:tcBorders>
            <w:vAlign w:val="center"/>
            <w:hideMark/>
          </w:tcPr>
          <w:p w:rsidR="00051C87" w:rsidRPr="002E70D5" w:rsidRDefault="00051C87" w:rsidP="004570B2">
            <w:pPr>
              <w:jc w:val="center"/>
              <w:rPr>
                <w:b/>
                <w:bCs/>
                <w:sz w:val="20"/>
                <w:szCs w:val="20"/>
                <w:lang w:eastAsia="ru-RU"/>
              </w:rPr>
            </w:pPr>
            <w:r w:rsidRPr="002E70D5">
              <w:rPr>
                <w:b/>
                <w:bCs/>
                <w:sz w:val="20"/>
                <w:szCs w:val="20"/>
                <w:lang w:eastAsia="ru-RU"/>
              </w:rPr>
              <w:t>100</w:t>
            </w:r>
          </w:p>
        </w:tc>
        <w:tc>
          <w:tcPr>
            <w:tcW w:w="1161" w:type="dxa"/>
            <w:tcBorders>
              <w:top w:val="single" w:sz="8" w:space="0" w:color="auto"/>
              <w:left w:val="nil"/>
              <w:bottom w:val="single" w:sz="8" w:space="0" w:color="auto"/>
              <w:right w:val="single" w:sz="4" w:space="0" w:color="auto"/>
            </w:tcBorders>
            <w:noWrap/>
            <w:vAlign w:val="center"/>
            <w:hideMark/>
          </w:tcPr>
          <w:p w:rsidR="00051C87" w:rsidRPr="002E70D5" w:rsidRDefault="00051C87" w:rsidP="004570B2">
            <w:pPr>
              <w:jc w:val="center"/>
              <w:rPr>
                <w:b/>
                <w:bCs/>
                <w:sz w:val="20"/>
                <w:szCs w:val="20"/>
                <w:lang w:eastAsia="ru-RU"/>
              </w:rPr>
            </w:pPr>
            <w:bookmarkStart w:id="0" w:name="RANGE!C17"/>
            <w:bookmarkEnd w:id="0"/>
            <w:r w:rsidRPr="002E70D5">
              <w:rPr>
                <w:b/>
                <w:bCs/>
                <w:sz w:val="20"/>
                <w:szCs w:val="20"/>
                <w:lang w:eastAsia="ru-RU"/>
              </w:rPr>
              <w:t xml:space="preserve"> </w:t>
            </w:r>
          </w:p>
        </w:tc>
        <w:tc>
          <w:tcPr>
            <w:tcW w:w="938" w:type="dxa"/>
            <w:tcBorders>
              <w:top w:val="single" w:sz="8" w:space="0" w:color="auto"/>
              <w:left w:val="nil"/>
              <w:bottom w:val="single" w:sz="8" w:space="0" w:color="auto"/>
              <w:right w:val="single" w:sz="8" w:space="0" w:color="auto"/>
            </w:tcBorders>
            <w:noWrap/>
            <w:vAlign w:val="center"/>
            <w:hideMark/>
          </w:tcPr>
          <w:p w:rsidR="00051C87" w:rsidRPr="002E70D5" w:rsidRDefault="00051C87" w:rsidP="004570B2">
            <w:pPr>
              <w:jc w:val="center"/>
              <w:rPr>
                <w:b/>
                <w:bCs/>
                <w:sz w:val="20"/>
                <w:szCs w:val="20"/>
                <w:lang w:eastAsia="ru-RU"/>
              </w:rPr>
            </w:pPr>
            <w:bookmarkStart w:id="1" w:name="RANGE!D17"/>
            <w:bookmarkEnd w:id="1"/>
            <w:r w:rsidRPr="002E70D5">
              <w:rPr>
                <w:b/>
                <w:bCs/>
                <w:sz w:val="20"/>
                <w:szCs w:val="20"/>
                <w:lang w:eastAsia="ru-RU"/>
              </w:rPr>
              <w:t xml:space="preserve"> </w:t>
            </w:r>
          </w:p>
        </w:tc>
      </w:tr>
      <w:tr w:rsidR="00051C87" w:rsidRPr="002E70D5" w:rsidTr="004570B2">
        <w:trPr>
          <w:gridAfter w:val="1"/>
          <w:wAfter w:w="236" w:type="dxa"/>
          <w:trHeight w:val="315"/>
        </w:trPr>
        <w:tc>
          <w:tcPr>
            <w:tcW w:w="5670" w:type="dxa"/>
            <w:tcBorders>
              <w:top w:val="nil"/>
              <w:left w:val="single" w:sz="8" w:space="0" w:color="auto"/>
              <w:bottom w:val="nil"/>
              <w:right w:val="single" w:sz="4" w:space="0" w:color="auto"/>
            </w:tcBorders>
            <w:vAlign w:val="center"/>
            <w:hideMark/>
          </w:tcPr>
          <w:p w:rsidR="00051C87" w:rsidRPr="002E70D5" w:rsidRDefault="00051C87" w:rsidP="004570B2">
            <w:pPr>
              <w:rPr>
                <w:sz w:val="20"/>
                <w:szCs w:val="20"/>
                <w:lang w:eastAsia="ru-RU"/>
              </w:rPr>
            </w:pPr>
            <w:proofErr w:type="spellStart"/>
            <w:r w:rsidRPr="002E70D5">
              <w:rPr>
                <w:sz w:val="20"/>
                <w:szCs w:val="20"/>
                <w:lang w:eastAsia="ru-RU"/>
              </w:rPr>
              <w:t>Cheltuieli</w:t>
            </w:r>
            <w:proofErr w:type="spellEnd"/>
            <w:r w:rsidRPr="002E70D5">
              <w:rPr>
                <w:sz w:val="20"/>
                <w:szCs w:val="20"/>
                <w:lang w:eastAsia="ru-RU"/>
              </w:rPr>
              <w:t xml:space="preserve"> </w:t>
            </w:r>
            <w:proofErr w:type="spellStart"/>
            <w:r w:rsidRPr="002E70D5">
              <w:rPr>
                <w:sz w:val="20"/>
                <w:szCs w:val="20"/>
                <w:lang w:eastAsia="ru-RU"/>
              </w:rPr>
              <w:t>privind</w:t>
            </w:r>
            <w:proofErr w:type="spellEnd"/>
            <w:r w:rsidRPr="002E70D5">
              <w:rPr>
                <w:sz w:val="20"/>
                <w:szCs w:val="20"/>
                <w:lang w:eastAsia="ru-RU"/>
              </w:rPr>
              <w:t xml:space="preserve"> </w:t>
            </w:r>
            <w:proofErr w:type="spellStart"/>
            <w:r w:rsidRPr="002E70D5">
              <w:rPr>
                <w:sz w:val="20"/>
                <w:szCs w:val="20"/>
                <w:lang w:eastAsia="ru-RU"/>
              </w:rPr>
              <w:t>impozitul</w:t>
            </w:r>
            <w:proofErr w:type="spellEnd"/>
            <w:r w:rsidRPr="002E70D5">
              <w:rPr>
                <w:sz w:val="20"/>
                <w:szCs w:val="20"/>
                <w:lang w:eastAsia="ru-RU"/>
              </w:rPr>
              <w:t xml:space="preserve"> </w:t>
            </w:r>
            <w:proofErr w:type="spellStart"/>
            <w:r w:rsidRPr="002E70D5">
              <w:rPr>
                <w:sz w:val="20"/>
                <w:szCs w:val="20"/>
                <w:lang w:eastAsia="ru-RU"/>
              </w:rPr>
              <w:t>pe</w:t>
            </w:r>
            <w:proofErr w:type="spellEnd"/>
            <w:r w:rsidRPr="002E70D5">
              <w:rPr>
                <w:sz w:val="20"/>
                <w:szCs w:val="20"/>
                <w:lang w:eastAsia="ru-RU"/>
              </w:rPr>
              <w:t xml:space="preserve"> </w:t>
            </w:r>
            <w:proofErr w:type="spellStart"/>
            <w:r w:rsidRPr="002E70D5">
              <w:rPr>
                <w:sz w:val="20"/>
                <w:szCs w:val="20"/>
                <w:lang w:eastAsia="ru-RU"/>
              </w:rPr>
              <w:t>venit</w:t>
            </w:r>
            <w:proofErr w:type="spellEnd"/>
          </w:p>
        </w:tc>
        <w:tc>
          <w:tcPr>
            <w:tcW w:w="851" w:type="dxa"/>
            <w:tcBorders>
              <w:top w:val="nil"/>
              <w:left w:val="nil"/>
              <w:bottom w:val="nil"/>
              <w:right w:val="single" w:sz="4" w:space="0" w:color="auto"/>
            </w:tcBorders>
            <w:vAlign w:val="center"/>
            <w:hideMark/>
          </w:tcPr>
          <w:p w:rsidR="00051C87" w:rsidRPr="002E70D5" w:rsidRDefault="00051C87" w:rsidP="004570B2">
            <w:pPr>
              <w:jc w:val="center"/>
              <w:rPr>
                <w:sz w:val="20"/>
                <w:szCs w:val="20"/>
                <w:lang w:eastAsia="ru-RU"/>
              </w:rPr>
            </w:pPr>
            <w:r w:rsidRPr="002E70D5">
              <w:rPr>
                <w:sz w:val="20"/>
                <w:szCs w:val="20"/>
                <w:lang w:eastAsia="ru-RU"/>
              </w:rPr>
              <w:t>110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051C87" w:rsidRPr="002E70D5" w:rsidRDefault="00051C87" w:rsidP="004570B2">
            <w:pPr>
              <w:jc w:val="center"/>
              <w:rPr>
                <w:sz w:val="20"/>
                <w:szCs w:val="20"/>
                <w:lang w:eastAsia="ru-RU"/>
              </w:rPr>
            </w:pPr>
            <w:bookmarkStart w:id="2" w:name="RANGE!C18"/>
            <w:bookmarkEnd w:id="2"/>
            <w:r w:rsidRPr="002E70D5">
              <w:rPr>
                <w:sz w:val="20"/>
                <w:szCs w:val="20"/>
                <w:lang w:eastAsia="ru-RU"/>
              </w:rPr>
              <w:t> </w:t>
            </w:r>
          </w:p>
        </w:tc>
        <w:tc>
          <w:tcPr>
            <w:tcW w:w="938" w:type="dxa"/>
            <w:tcBorders>
              <w:top w:val="single" w:sz="4" w:space="0" w:color="auto"/>
              <w:left w:val="single" w:sz="4" w:space="0" w:color="auto"/>
              <w:bottom w:val="single" w:sz="4" w:space="0" w:color="auto"/>
              <w:right w:val="single" w:sz="8" w:space="0" w:color="auto"/>
            </w:tcBorders>
            <w:noWrap/>
            <w:vAlign w:val="center"/>
            <w:hideMark/>
          </w:tcPr>
          <w:p w:rsidR="00051C87" w:rsidRPr="002E70D5" w:rsidRDefault="00051C87" w:rsidP="004570B2">
            <w:pPr>
              <w:jc w:val="center"/>
              <w:rPr>
                <w:sz w:val="20"/>
                <w:szCs w:val="20"/>
                <w:lang w:eastAsia="ru-RU"/>
              </w:rPr>
            </w:pPr>
            <w:bookmarkStart w:id="3" w:name="RANGE!D18"/>
            <w:bookmarkEnd w:id="3"/>
            <w:r w:rsidRPr="002E70D5">
              <w:rPr>
                <w:sz w:val="20"/>
                <w:szCs w:val="20"/>
                <w:lang w:eastAsia="ru-RU"/>
              </w:rPr>
              <w:t> </w:t>
            </w:r>
          </w:p>
        </w:tc>
      </w:tr>
      <w:tr w:rsidR="00051C87" w:rsidRPr="002E70D5" w:rsidTr="004570B2">
        <w:trPr>
          <w:gridAfter w:val="1"/>
          <w:wAfter w:w="236" w:type="dxa"/>
          <w:trHeight w:val="315"/>
        </w:trPr>
        <w:tc>
          <w:tcPr>
            <w:tcW w:w="5670" w:type="dxa"/>
            <w:tcBorders>
              <w:top w:val="single" w:sz="8" w:space="0" w:color="auto"/>
              <w:left w:val="single" w:sz="8" w:space="0" w:color="auto"/>
              <w:bottom w:val="single" w:sz="8" w:space="0" w:color="auto"/>
              <w:right w:val="single" w:sz="4" w:space="0" w:color="auto"/>
            </w:tcBorders>
            <w:vAlign w:val="center"/>
            <w:hideMark/>
          </w:tcPr>
          <w:p w:rsidR="00051C87" w:rsidRPr="002E70D5" w:rsidRDefault="00051C87" w:rsidP="004570B2">
            <w:pPr>
              <w:rPr>
                <w:b/>
                <w:bCs/>
                <w:sz w:val="20"/>
                <w:szCs w:val="20"/>
                <w:lang w:eastAsia="ru-RU"/>
              </w:rPr>
            </w:pPr>
            <w:r w:rsidRPr="002E70D5">
              <w:rPr>
                <w:b/>
                <w:bCs/>
                <w:sz w:val="20"/>
                <w:szCs w:val="20"/>
                <w:lang w:eastAsia="ru-RU"/>
              </w:rPr>
              <w:t>Profit net (</w:t>
            </w:r>
            <w:proofErr w:type="spellStart"/>
            <w:r w:rsidRPr="002E70D5">
              <w:rPr>
                <w:b/>
                <w:bCs/>
                <w:sz w:val="20"/>
                <w:szCs w:val="20"/>
                <w:lang w:eastAsia="ru-RU"/>
              </w:rPr>
              <w:t>pierdere</w:t>
            </w:r>
            <w:proofErr w:type="spellEnd"/>
            <w:r w:rsidRPr="002E70D5">
              <w:rPr>
                <w:b/>
                <w:bCs/>
                <w:sz w:val="20"/>
                <w:szCs w:val="20"/>
                <w:lang w:eastAsia="ru-RU"/>
              </w:rPr>
              <w:t xml:space="preserve"> </w:t>
            </w:r>
            <w:proofErr w:type="spellStart"/>
            <w:r w:rsidRPr="002E70D5">
              <w:rPr>
                <w:b/>
                <w:bCs/>
                <w:sz w:val="20"/>
                <w:szCs w:val="20"/>
                <w:lang w:eastAsia="ru-RU"/>
              </w:rPr>
              <w:t>netă</w:t>
            </w:r>
            <w:proofErr w:type="spellEnd"/>
            <w:r w:rsidRPr="002E70D5">
              <w:rPr>
                <w:b/>
                <w:bCs/>
                <w:sz w:val="20"/>
                <w:szCs w:val="20"/>
                <w:lang w:eastAsia="ru-RU"/>
              </w:rPr>
              <w:t xml:space="preserve">) al </w:t>
            </w:r>
            <w:proofErr w:type="spellStart"/>
            <w:r w:rsidRPr="002E70D5">
              <w:rPr>
                <w:b/>
                <w:bCs/>
                <w:sz w:val="20"/>
                <w:szCs w:val="20"/>
                <w:lang w:eastAsia="ru-RU"/>
              </w:rPr>
              <w:t>perioadei</w:t>
            </w:r>
            <w:proofErr w:type="spellEnd"/>
            <w:r w:rsidRPr="002E70D5">
              <w:rPr>
                <w:b/>
                <w:bCs/>
                <w:sz w:val="20"/>
                <w:szCs w:val="20"/>
                <w:lang w:eastAsia="ru-RU"/>
              </w:rPr>
              <w:t xml:space="preserve"> de </w:t>
            </w:r>
            <w:proofErr w:type="spellStart"/>
            <w:r w:rsidRPr="002E70D5">
              <w:rPr>
                <w:b/>
                <w:bCs/>
                <w:sz w:val="20"/>
                <w:szCs w:val="20"/>
                <w:lang w:eastAsia="ru-RU"/>
              </w:rPr>
              <w:t>gestiune</w:t>
            </w:r>
            <w:proofErr w:type="spellEnd"/>
            <w:r w:rsidRPr="002E70D5">
              <w:rPr>
                <w:b/>
                <w:bCs/>
                <w:sz w:val="20"/>
                <w:szCs w:val="20"/>
                <w:lang w:eastAsia="ru-RU"/>
              </w:rPr>
              <w:t>, (rd.100 - rd.110)</w:t>
            </w:r>
          </w:p>
        </w:tc>
        <w:tc>
          <w:tcPr>
            <w:tcW w:w="851" w:type="dxa"/>
            <w:tcBorders>
              <w:top w:val="single" w:sz="8" w:space="0" w:color="auto"/>
              <w:left w:val="nil"/>
              <w:bottom w:val="single" w:sz="8" w:space="0" w:color="auto"/>
              <w:right w:val="single" w:sz="4" w:space="0" w:color="auto"/>
            </w:tcBorders>
            <w:vAlign w:val="center"/>
            <w:hideMark/>
          </w:tcPr>
          <w:p w:rsidR="00051C87" w:rsidRPr="002E70D5" w:rsidRDefault="00051C87" w:rsidP="004570B2">
            <w:pPr>
              <w:jc w:val="center"/>
              <w:rPr>
                <w:b/>
                <w:bCs/>
                <w:sz w:val="20"/>
                <w:szCs w:val="20"/>
                <w:lang w:eastAsia="ru-RU"/>
              </w:rPr>
            </w:pPr>
            <w:r w:rsidRPr="002E70D5">
              <w:rPr>
                <w:b/>
                <w:bCs/>
                <w:sz w:val="20"/>
                <w:szCs w:val="20"/>
                <w:lang w:eastAsia="ru-RU"/>
              </w:rPr>
              <w:t>120</w:t>
            </w:r>
          </w:p>
        </w:tc>
        <w:tc>
          <w:tcPr>
            <w:tcW w:w="1161" w:type="dxa"/>
            <w:tcBorders>
              <w:top w:val="single" w:sz="8" w:space="0" w:color="auto"/>
              <w:left w:val="nil"/>
              <w:bottom w:val="single" w:sz="8" w:space="0" w:color="auto"/>
              <w:right w:val="single" w:sz="4" w:space="0" w:color="auto"/>
            </w:tcBorders>
            <w:noWrap/>
            <w:vAlign w:val="center"/>
            <w:hideMark/>
          </w:tcPr>
          <w:p w:rsidR="00051C87" w:rsidRPr="002E70D5" w:rsidRDefault="00051C87" w:rsidP="004570B2">
            <w:pPr>
              <w:jc w:val="center"/>
              <w:rPr>
                <w:b/>
                <w:bCs/>
                <w:sz w:val="20"/>
                <w:szCs w:val="20"/>
                <w:lang w:eastAsia="ru-RU"/>
              </w:rPr>
            </w:pPr>
            <w:r w:rsidRPr="002E70D5">
              <w:rPr>
                <w:b/>
                <w:bCs/>
                <w:sz w:val="20"/>
                <w:szCs w:val="20"/>
                <w:lang w:eastAsia="ru-RU"/>
              </w:rPr>
              <w:t xml:space="preserve"> </w:t>
            </w:r>
          </w:p>
        </w:tc>
        <w:tc>
          <w:tcPr>
            <w:tcW w:w="938" w:type="dxa"/>
            <w:tcBorders>
              <w:top w:val="single" w:sz="8" w:space="0" w:color="auto"/>
              <w:left w:val="nil"/>
              <w:bottom w:val="single" w:sz="8" w:space="0" w:color="auto"/>
              <w:right w:val="single" w:sz="8" w:space="0" w:color="auto"/>
            </w:tcBorders>
            <w:noWrap/>
            <w:vAlign w:val="center"/>
            <w:hideMark/>
          </w:tcPr>
          <w:p w:rsidR="00051C87" w:rsidRPr="002E70D5" w:rsidRDefault="00051C87" w:rsidP="004570B2">
            <w:pPr>
              <w:jc w:val="center"/>
              <w:rPr>
                <w:b/>
                <w:bCs/>
                <w:sz w:val="20"/>
                <w:szCs w:val="20"/>
                <w:lang w:eastAsia="ru-RU"/>
              </w:rPr>
            </w:pPr>
            <w:r w:rsidRPr="002E70D5">
              <w:rPr>
                <w:b/>
                <w:bCs/>
                <w:sz w:val="20"/>
                <w:szCs w:val="20"/>
                <w:lang w:eastAsia="ru-RU"/>
              </w:rPr>
              <w:t xml:space="preserve"> </w:t>
            </w:r>
          </w:p>
        </w:tc>
      </w:tr>
    </w:tbl>
    <w:p w:rsidR="009E60F0" w:rsidRDefault="009E60F0" w:rsidP="00051C87">
      <w:pPr>
        <w:pStyle w:val="NormalWeb"/>
        <w:tabs>
          <w:tab w:val="left" w:pos="851"/>
        </w:tabs>
        <w:ind w:left="426" w:firstLine="0"/>
        <w:rPr>
          <w:sz w:val="28"/>
          <w:szCs w:val="28"/>
          <w:lang w:val="ro-RO" w:eastAsia="en-US"/>
        </w:rPr>
      </w:pPr>
    </w:p>
    <w:p w:rsidR="009E60F0" w:rsidRDefault="009E60F0">
      <w:pPr>
        <w:spacing w:after="200" w:line="276" w:lineRule="auto"/>
        <w:rPr>
          <w:sz w:val="28"/>
          <w:szCs w:val="28"/>
          <w:lang w:val="ro-RO"/>
        </w:rPr>
      </w:pPr>
      <w:r>
        <w:rPr>
          <w:sz w:val="28"/>
          <w:szCs w:val="28"/>
          <w:lang w:val="ro-RO"/>
        </w:rPr>
        <w:br w:type="page"/>
      </w:r>
    </w:p>
    <w:p w:rsidR="00051C87" w:rsidRPr="002E70D5" w:rsidRDefault="00051C87" w:rsidP="00051C87">
      <w:pPr>
        <w:pStyle w:val="NormalWeb"/>
        <w:tabs>
          <w:tab w:val="left" w:pos="851"/>
        </w:tabs>
        <w:ind w:left="426" w:firstLine="0"/>
        <w:rPr>
          <w:sz w:val="28"/>
          <w:szCs w:val="28"/>
          <w:lang w:val="ro-RO" w:eastAsia="en-US"/>
        </w:rPr>
      </w:pPr>
    </w:p>
    <w:p w:rsidR="00051C87" w:rsidRPr="00CC0720" w:rsidRDefault="00051C87" w:rsidP="00051C87">
      <w:pPr>
        <w:jc w:val="center"/>
        <w:rPr>
          <w:b/>
          <w:sz w:val="28"/>
          <w:szCs w:val="28"/>
          <w:lang w:val="ro-MO"/>
        </w:rPr>
      </w:pPr>
      <w:r w:rsidRPr="00CC0720">
        <w:rPr>
          <w:b/>
          <w:sz w:val="28"/>
          <w:szCs w:val="28"/>
          <w:lang w:val="ro-MO"/>
        </w:rPr>
        <w:t>Structura și modul de întocmire</w:t>
      </w:r>
    </w:p>
    <w:p w:rsidR="00051C87" w:rsidRPr="00CC0720" w:rsidRDefault="00051C87" w:rsidP="00051C87">
      <w:pPr>
        <w:pStyle w:val="NormalWeb"/>
        <w:tabs>
          <w:tab w:val="left" w:pos="851"/>
        </w:tabs>
        <w:ind w:firstLine="0"/>
        <w:jc w:val="center"/>
        <w:rPr>
          <w:b/>
          <w:bCs/>
          <w:sz w:val="28"/>
          <w:szCs w:val="28"/>
          <w:lang w:val="en-US"/>
        </w:rPr>
      </w:pPr>
      <w:r w:rsidRPr="00CC0720">
        <w:rPr>
          <w:b/>
          <w:sz w:val="28"/>
          <w:szCs w:val="28"/>
          <w:lang w:val="ro-MO"/>
        </w:rPr>
        <w:t xml:space="preserve">a Raportului </w:t>
      </w:r>
      <w:proofErr w:type="spellStart"/>
      <w:r w:rsidRPr="00CC0720">
        <w:rPr>
          <w:b/>
          <w:bCs/>
          <w:color w:val="000000"/>
          <w:sz w:val="28"/>
          <w:szCs w:val="28"/>
          <w:lang w:val="en-US"/>
        </w:rPr>
        <w:t>privind</w:t>
      </w:r>
      <w:proofErr w:type="spellEnd"/>
      <w:r w:rsidRPr="00CC0720">
        <w:rPr>
          <w:b/>
          <w:bCs/>
          <w:color w:val="000000"/>
          <w:sz w:val="28"/>
          <w:szCs w:val="28"/>
          <w:lang w:val="en-US"/>
        </w:rPr>
        <w:t xml:space="preserve"> </w:t>
      </w:r>
      <w:proofErr w:type="spellStart"/>
      <w:r w:rsidRPr="00CC0720">
        <w:rPr>
          <w:b/>
          <w:bCs/>
          <w:sz w:val="28"/>
          <w:szCs w:val="28"/>
          <w:lang w:val="en-US"/>
        </w:rPr>
        <w:t>veniturile</w:t>
      </w:r>
      <w:proofErr w:type="spellEnd"/>
      <w:r w:rsidRPr="00CC0720">
        <w:rPr>
          <w:b/>
          <w:bCs/>
          <w:sz w:val="28"/>
          <w:szCs w:val="28"/>
          <w:lang w:val="en-US"/>
        </w:rPr>
        <w:t xml:space="preserve"> </w:t>
      </w:r>
      <w:proofErr w:type="spellStart"/>
      <w:r w:rsidRPr="00CC0720">
        <w:rPr>
          <w:b/>
          <w:bCs/>
          <w:sz w:val="28"/>
          <w:szCs w:val="28"/>
          <w:lang w:val="en-US"/>
        </w:rPr>
        <w:t>şi</w:t>
      </w:r>
      <w:proofErr w:type="spellEnd"/>
      <w:r w:rsidRPr="00CC0720">
        <w:rPr>
          <w:b/>
          <w:bCs/>
          <w:sz w:val="28"/>
          <w:szCs w:val="28"/>
          <w:lang w:val="en-US"/>
        </w:rPr>
        <w:t xml:space="preserve"> </w:t>
      </w:r>
      <w:proofErr w:type="spellStart"/>
      <w:r w:rsidRPr="00CC0720">
        <w:rPr>
          <w:b/>
          <w:bCs/>
          <w:sz w:val="28"/>
          <w:szCs w:val="28"/>
          <w:lang w:val="en-US"/>
        </w:rPr>
        <w:t>cheltuielile</w:t>
      </w:r>
      <w:proofErr w:type="spellEnd"/>
    </w:p>
    <w:p w:rsidR="00051C87" w:rsidRPr="00CC0720" w:rsidRDefault="00051C87" w:rsidP="00051C87">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sz w:val="28"/>
          <w:szCs w:val="28"/>
          <w:lang w:val="ro-RO"/>
        </w:rPr>
      </w:pPr>
      <w:r w:rsidRPr="00CC0720">
        <w:rPr>
          <w:rFonts w:ascii="Times New Roman" w:hAnsi="Times New Roman"/>
          <w:sz w:val="28"/>
          <w:szCs w:val="28"/>
          <w:lang w:val="ro-RO"/>
        </w:rPr>
        <w:t>Raportul privind veniturile și cheltuielile caracterizează performanţa financiară a organizației de microfinanțare şi conţine informaţii privind: veniturile, cheltuielile şi rezultatele financiare calculate ca diferenţă dintre veniturile şi cheltuielile perioadei de gestiune.</w:t>
      </w:r>
    </w:p>
    <w:p w:rsidR="00051C87" w:rsidRPr="00CC0720" w:rsidRDefault="00051C87" w:rsidP="00051C87">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sz w:val="28"/>
          <w:szCs w:val="28"/>
          <w:lang w:val="ro-RO"/>
        </w:rPr>
      </w:pPr>
      <w:r w:rsidRPr="00CC0720">
        <w:rPr>
          <w:rFonts w:ascii="Times New Roman" w:hAnsi="Times New Roman"/>
          <w:sz w:val="28"/>
          <w:szCs w:val="28"/>
          <w:lang w:val="ro-RO"/>
        </w:rPr>
        <w:t>Organizația de microfinanțare recunoaşte veniturile şi cheltuielile curente aferente aceloraşi operaţiuni economice şi le reflectă în Raportul privind veniturile și cheltuielile în aceeaşi perioadă de gestiune în care au fost înregistrate.</w:t>
      </w:r>
    </w:p>
    <w:p w:rsidR="00051C87" w:rsidRPr="00CC0720" w:rsidRDefault="00051C87" w:rsidP="00051C87">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sz w:val="28"/>
          <w:szCs w:val="28"/>
          <w:lang w:val="ro-RO"/>
        </w:rPr>
      </w:pPr>
      <w:r w:rsidRPr="00CC0720">
        <w:rPr>
          <w:rFonts w:ascii="Times New Roman" w:hAnsi="Times New Roman"/>
          <w:sz w:val="28"/>
          <w:szCs w:val="28"/>
          <w:lang w:val="ro-RO"/>
        </w:rPr>
        <w:t>Raportul privind veniturile și cheltuielile se întocmeşte în baza clasificării cheltuielilor după destinaţie.</w:t>
      </w:r>
    </w:p>
    <w:p w:rsidR="00051C87" w:rsidRPr="00CC0720" w:rsidRDefault="00051C87" w:rsidP="00051C87">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sz w:val="28"/>
          <w:szCs w:val="28"/>
          <w:lang w:val="ro-RO"/>
        </w:rPr>
      </w:pPr>
      <w:r w:rsidRPr="00CC0720">
        <w:rPr>
          <w:rFonts w:ascii="Times New Roman" w:hAnsi="Times New Roman"/>
          <w:sz w:val="28"/>
          <w:szCs w:val="28"/>
          <w:lang w:val="ro-RO"/>
        </w:rPr>
        <w:t>În rândul 010 „Venituri din dobânzi</w:t>
      </w:r>
      <w:r w:rsidRPr="00CC0720">
        <w:rPr>
          <w:rFonts w:ascii="Times New Roman" w:hAnsi="Times New Roman"/>
          <w:sz w:val="28"/>
          <w:szCs w:val="28"/>
          <w:lang w:val="en-US"/>
        </w:rPr>
        <w:t>”</w:t>
      </w:r>
      <w:r w:rsidRPr="00CC0720">
        <w:rPr>
          <w:rFonts w:ascii="Times New Roman" w:hAnsi="Times New Roman"/>
          <w:sz w:val="28"/>
          <w:szCs w:val="28"/>
          <w:lang w:val="ro-RO"/>
        </w:rPr>
        <w:t xml:space="preserve"> se reflectă suma veniturilor din dobânzile calculate în cadrul activităţii operaţionale şi include: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dobânzi aferente împrumuturilor acordate de către organizația de microfinanțare;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dobânzi aferente investiţiilor financiare;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comisioane aferente împrumuturilor acordate;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 xml:space="preserve">dobânzi de întârziere şi penalităţile calculate spre încasare, </w:t>
      </w:r>
      <w:r w:rsidRPr="00CC0720">
        <w:rPr>
          <w:rFonts w:ascii="Times New Roman" w:hAnsi="Times New Roman"/>
          <w:sz w:val="28"/>
          <w:szCs w:val="28"/>
          <w:lang w:val="ro-RO"/>
        </w:rPr>
        <w:t>aferente împrumuturilor nerambursate la scadenţă şi trecute în conturile extrabilanţiere care se recunosc ca venituri în momentul încasării acestora.</w:t>
      </w:r>
    </w:p>
    <w:p w:rsidR="00051C87" w:rsidRPr="00CC0720" w:rsidRDefault="00051C87" w:rsidP="00051C87">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CC0720">
        <w:rPr>
          <w:rFonts w:ascii="Times New Roman" w:hAnsi="Times New Roman"/>
          <w:color w:val="000000"/>
          <w:sz w:val="28"/>
          <w:szCs w:val="28"/>
          <w:lang w:val="ro-RO"/>
        </w:rPr>
        <w:t xml:space="preserve">În rândul 020 </w:t>
      </w:r>
      <w:r w:rsidRPr="00CC0720">
        <w:rPr>
          <w:rFonts w:ascii="Times New Roman" w:hAnsi="Times New Roman"/>
          <w:sz w:val="28"/>
          <w:szCs w:val="28"/>
          <w:lang w:val="ro-RO"/>
        </w:rPr>
        <w:t>„</w:t>
      </w:r>
      <w:r w:rsidRPr="00CC0720">
        <w:rPr>
          <w:rFonts w:ascii="Times New Roman" w:hAnsi="Times New Roman"/>
          <w:color w:val="000000"/>
          <w:sz w:val="28"/>
          <w:szCs w:val="28"/>
          <w:lang w:val="ro-RO"/>
        </w:rPr>
        <w:t>Cheltuieli privind dobânzile</w:t>
      </w:r>
      <w:r w:rsidRPr="00CC0720">
        <w:rPr>
          <w:rFonts w:ascii="Times New Roman" w:hAnsi="Times New Roman"/>
          <w:sz w:val="28"/>
          <w:szCs w:val="28"/>
          <w:lang w:val="en-US"/>
        </w:rPr>
        <w:t>”</w:t>
      </w:r>
      <w:r w:rsidRPr="00CC0720">
        <w:rPr>
          <w:rFonts w:ascii="Times New Roman" w:hAnsi="Times New Roman"/>
          <w:color w:val="000000"/>
          <w:sz w:val="28"/>
          <w:szCs w:val="28"/>
          <w:lang w:val="ro-RO"/>
        </w:rPr>
        <w:t xml:space="preserve"> se înscrie suma cheltuielilor privind dobânzile calculate în cadrul activităţii operaţionale pentru:</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sz w:val="28"/>
          <w:szCs w:val="28"/>
          <w:lang w:val="ro-RO"/>
        </w:rPr>
      </w:pPr>
      <w:r w:rsidRPr="00CC0720">
        <w:rPr>
          <w:rFonts w:ascii="Times New Roman" w:hAnsi="Times New Roman"/>
          <w:sz w:val="28"/>
          <w:szCs w:val="28"/>
          <w:lang w:val="ro-RO"/>
        </w:rPr>
        <w:t>creditele bancare şi/sau împrumuturile primite;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sz w:val="28"/>
          <w:szCs w:val="28"/>
          <w:lang w:val="ro-RO"/>
        </w:rPr>
      </w:pPr>
      <w:r w:rsidRPr="00CC0720">
        <w:rPr>
          <w:rFonts w:ascii="Times New Roman" w:hAnsi="Times New Roman"/>
          <w:sz w:val="28"/>
          <w:szCs w:val="28"/>
          <w:lang w:val="ro-RO"/>
        </w:rPr>
        <w:t>comisioanele aferente creditelor bancare şi/sau împrumuturilor primite.</w:t>
      </w:r>
    </w:p>
    <w:p w:rsidR="00051C87" w:rsidRPr="00CC0720" w:rsidRDefault="00051C87" w:rsidP="00051C87">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sz w:val="28"/>
          <w:szCs w:val="28"/>
          <w:lang w:val="ro-RO"/>
        </w:rPr>
      </w:pPr>
      <w:r w:rsidRPr="00CC0720">
        <w:rPr>
          <w:rFonts w:ascii="Times New Roman" w:hAnsi="Times New Roman"/>
          <w:color w:val="000000"/>
          <w:sz w:val="28"/>
          <w:szCs w:val="28"/>
          <w:lang w:val="ro-RO"/>
        </w:rPr>
        <w:t xml:space="preserve">În rândul 030 </w:t>
      </w:r>
      <w:r w:rsidRPr="00CC0720">
        <w:rPr>
          <w:rFonts w:ascii="Times New Roman" w:hAnsi="Times New Roman"/>
          <w:sz w:val="28"/>
          <w:szCs w:val="28"/>
          <w:lang w:val="ro-RO"/>
        </w:rPr>
        <w:t>„</w:t>
      </w:r>
      <w:r w:rsidRPr="00CC0720">
        <w:rPr>
          <w:rFonts w:ascii="Times New Roman" w:hAnsi="Times New Roman"/>
          <w:color w:val="000000"/>
          <w:sz w:val="28"/>
          <w:szCs w:val="28"/>
          <w:lang w:val="ro-RO"/>
        </w:rPr>
        <w:t>Rezultatul net din constituirea şi decontarea provizioanelor</w:t>
      </w:r>
      <w:r w:rsidRPr="00CC0720">
        <w:rPr>
          <w:rFonts w:ascii="Times New Roman" w:hAnsi="Times New Roman"/>
          <w:sz w:val="28"/>
          <w:szCs w:val="28"/>
          <w:lang w:val="en-US"/>
        </w:rPr>
        <w:t>”</w:t>
      </w:r>
      <w:r w:rsidRPr="00CC0720">
        <w:rPr>
          <w:rFonts w:ascii="Times New Roman" w:hAnsi="Times New Roman"/>
          <w:color w:val="000000"/>
          <w:sz w:val="28"/>
          <w:szCs w:val="28"/>
          <w:lang w:val="ro-RO"/>
        </w:rPr>
        <w:t xml:space="preserve"> se indică diferenţa dintre veniturile din decontarea provizioanelor neutilizate şi cheltuielile generate de constituirea acestora:</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sz w:val="28"/>
          <w:szCs w:val="28"/>
          <w:lang w:val="ro-RO"/>
        </w:rPr>
      </w:pPr>
      <w:r w:rsidRPr="00CC0720">
        <w:rPr>
          <w:rFonts w:ascii="Times New Roman" w:hAnsi="Times New Roman"/>
          <w:i/>
          <w:sz w:val="28"/>
          <w:szCs w:val="28"/>
          <w:lang w:val="ro-RO"/>
        </w:rPr>
        <w:t>veniturile din decontarea provizioanelor neutilizate</w:t>
      </w:r>
      <w:r w:rsidRPr="00CC0720">
        <w:rPr>
          <w:rFonts w:ascii="Times New Roman" w:hAnsi="Times New Roman"/>
          <w:sz w:val="28"/>
          <w:szCs w:val="28"/>
          <w:lang w:val="ro-RO"/>
        </w:rPr>
        <w:t xml:space="preserve"> includ sumele provizioanelor constituite privind dobânzile calculate şi neutilizate în cazul achitării creanţelor, precum şi a provizioanelor pentru împrumuturile nerambursate la termen, iar ulterior rambursate până la decontarea acestora din componenţa elementelor bilanţiere şi veniturile din recuperarea sumelor decontate anterior la cheltuieli pe parcursul perioadei de gestiune;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sz w:val="28"/>
          <w:szCs w:val="28"/>
          <w:lang w:val="ro-RO"/>
        </w:rPr>
      </w:pPr>
      <w:r w:rsidRPr="00CC0720">
        <w:rPr>
          <w:rFonts w:ascii="Times New Roman" w:hAnsi="Times New Roman"/>
          <w:i/>
          <w:sz w:val="28"/>
          <w:szCs w:val="28"/>
          <w:lang w:val="ro-RO"/>
        </w:rPr>
        <w:t>cheltuielile privind constituirea provizioanelor</w:t>
      </w:r>
      <w:r w:rsidRPr="00CC0720">
        <w:rPr>
          <w:rFonts w:ascii="Times New Roman" w:hAnsi="Times New Roman"/>
          <w:sz w:val="28"/>
          <w:szCs w:val="28"/>
          <w:lang w:val="ro-RO"/>
        </w:rPr>
        <w:t xml:space="preserve"> includ cheltuielile ce rezultă din constituirea provizioanelor pentru acoperirea pierderilor posibile provenite din nerambursarea la termen a împrumuturilor acordate, precum şi neachitarea dobânzilor aferente.</w:t>
      </w:r>
    </w:p>
    <w:p w:rsidR="00051C87" w:rsidRPr="00CC0720" w:rsidRDefault="00051C87" w:rsidP="00051C87">
      <w:pPr>
        <w:tabs>
          <w:tab w:val="left" w:pos="284"/>
        </w:tabs>
        <w:jc w:val="both"/>
        <w:rPr>
          <w:sz w:val="28"/>
          <w:szCs w:val="28"/>
          <w:lang w:val="ro-RO"/>
        </w:rPr>
      </w:pPr>
      <w:r w:rsidRPr="00CC0720">
        <w:rPr>
          <w:sz w:val="28"/>
          <w:szCs w:val="28"/>
          <w:lang w:val="ro-RO"/>
        </w:rPr>
        <w:t>Dacă veniturile din decontarea provizioanelor depăşesc cheltuielile aferente constituirii acestora, rezultatul se înscrie cu cifre obişnuite, în caz contrar, diferenţa se indică între paranteze.</w:t>
      </w:r>
    </w:p>
    <w:p w:rsidR="00051C87" w:rsidRPr="00CC0720" w:rsidRDefault="00051C87" w:rsidP="00051C87">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CC0720">
        <w:rPr>
          <w:rFonts w:ascii="Times New Roman" w:hAnsi="Times New Roman"/>
          <w:color w:val="000000"/>
          <w:sz w:val="28"/>
          <w:szCs w:val="28"/>
          <w:lang w:val="ro-RO"/>
        </w:rPr>
        <w:lastRenderedPageBreak/>
        <w:t xml:space="preserve">În rândul 040 </w:t>
      </w:r>
      <w:r w:rsidRPr="00CC0720">
        <w:rPr>
          <w:rFonts w:ascii="Times New Roman" w:hAnsi="Times New Roman"/>
          <w:sz w:val="28"/>
          <w:szCs w:val="28"/>
          <w:lang w:val="ro-RO"/>
        </w:rPr>
        <w:t>„</w:t>
      </w:r>
      <w:r w:rsidRPr="00CC0720">
        <w:rPr>
          <w:rFonts w:ascii="Times New Roman" w:hAnsi="Times New Roman"/>
          <w:color w:val="000000"/>
          <w:sz w:val="28"/>
          <w:szCs w:val="28"/>
          <w:lang w:val="ro-RO"/>
        </w:rPr>
        <w:t>Profit brut (pierdere brută)</w:t>
      </w:r>
      <w:r w:rsidRPr="00CC0720">
        <w:rPr>
          <w:rFonts w:ascii="Times New Roman" w:hAnsi="Times New Roman"/>
          <w:sz w:val="28"/>
          <w:szCs w:val="28"/>
          <w:lang w:val="en-US"/>
        </w:rPr>
        <w:t xml:space="preserve"> ”</w:t>
      </w:r>
      <w:r w:rsidRPr="00CC0720">
        <w:rPr>
          <w:rFonts w:ascii="Times New Roman" w:hAnsi="Times New Roman"/>
          <w:color w:val="000000"/>
          <w:sz w:val="28"/>
          <w:szCs w:val="28"/>
          <w:lang w:val="ro-RO"/>
        </w:rPr>
        <w:t xml:space="preserve"> se reflectă diferenţa dintre veniturile din dobânzile calculate şi cheltuielile privind dobânzile calculate, ajustate cu rezultatul net din constituirea şi decontarea provizioanelor, determinată prin relaţia: rd.010 - rd.020 + rd.030.</w:t>
      </w:r>
    </w:p>
    <w:p w:rsidR="00051C87" w:rsidRPr="00CC0720" w:rsidRDefault="00051C87" w:rsidP="00051C87">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CC0720">
        <w:rPr>
          <w:rFonts w:ascii="Times New Roman" w:hAnsi="Times New Roman"/>
          <w:color w:val="000000"/>
          <w:sz w:val="28"/>
          <w:szCs w:val="28"/>
          <w:lang w:val="ro-RO"/>
        </w:rPr>
        <w:t xml:space="preserve">În rândul 050 </w:t>
      </w:r>
      <w:r w:rsidRPr="00CC0720">
        <w:rPr>
          <w:rFonts w:ascii="Times New Roman" w:hAnsi="Times New Roman"/>
          <w:sz w:val="28"/>
          <w:szCs w:val="28"/>
          <w:lang w:val="ro-RO"/>
        </w:rPr>
        <w:t>„</w:t>
      </w:r>
      <w:r w:rsidRPr="00CC0720">
        <w:rPr>
          <w:rFonts w:ascii="Times New Roman" w:hAnsi="Times New Roman"/>
          <w:color w:val="000000"/>
          <w:sz w:val="28"/>
          <w:szCs w:val="28"/>
          <w:lang w:val="ro-RO"/>
        </w:rPr>
        <w:t>Alte venituri din activitatea operaţională</w:t>
      </w:r>
      <w:r w:rsidRPr="00CC0720">
        <w:rPr>
          <w:rFonts w:ascii="Times New Roman" w:hAnsi="Times New Roman"/>
          <w:sz w:val="28"/>
          <w:szCs w:val="28"/>
          <w:lang w:val="en-US"/>
        </w:rPr>
        <w:t>”</w:t>
      </w:r>
      <w:r w:rsidRPr="00CC0720">
        <w:rPr>
          <w:rFonts w:ascii="Times New Roman" w:hAnsi="Times New Roman"/>
          <w:color w:val="000000"/>
          <w:sz w:val="28"/>
          <w:szCs w:val="28"/>
          <w:lang w:val="ro-RO"/>
        </w:rPr>
        <w:t xml:space="preserve">  se reflectă veniturile înregistrate în procesul desfăşurării activităţii operaţionale, dar care nu pot fi atribuite la veniturile din dobânzi. </w:t>
      </w:r>
    </w:p>
    <w:p w:rsidR="00051C87" w:rsidRPr="00CC0720" w:rsidRDefault="00051C87" w:rsidP="00051C87">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CC0720">
        <w:rPr>
          <w:rFonts w:ascii="Times New Roman" w:hAnsi="Times New Roman"/>
          <w:color w:val="000000"/>
          <w:sz w:val="28"/>
          <w:szCs w:val="28"/>
          <w:lang w:val="ro-RO"/>
        </w:rPr>
        <w:t>Acestea includ veniturile din:</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servicii de consultanţă aferente activităţii de bază;</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 xml:space="preserve">prestarea serviciilor de intermediere în asigurări în calitate de agent bancassurance; </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recuperarea prejudiciului material cauzat organizației de microfinanțare;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plusuri de active constatate la inventariere;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alte operaţiuni aferente activităţii operaţionale.</w:t>
      </w:r>
    </w:p>
    <w:p w:rsidR="00051C87" w:rsidRPr="00CC0720" w:rsidRDefault="00051C87" w:rsidP="00051C87">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CC0720">
        <w:rPr>
          <w:rFonts w:ascii="Times New Roman" w:hAnsi="Times New Roman"/>
          <w:color w:val="000000"/>
          <w:sz w:val="28"/>
          <w:szCs w:val="28"/>
          <w:lang w:val="ro-RO"/>
        </w:rPr>
        <w:t xml:space="preserve">În rândul 060 </w:t>
      </w:r>
      <w:r w:rsidRPr="00CC0720">
        <w:rPr>
          <w:rFonts w:ascii="Times New Roman" w:hAnsi="Times New Roman"/>
          <w:sz w:val="28"/>
          <w:szCs w:val="28"/>
          <w:lang w:val="ro-RO"/>
        </w:rPr>
        <w:t>„</w:t>
      </w:r>
      <w:r w:rsidRPr="00CC0720">
        <w:rPr>
          <w:rFonts w:ascii="Times New Roman" w:hAnsi="Times New Roman"/>
          <w:color w:val="000000"/>
          <w:sz w:val="28"/>
          <w:szCs w:val="28"/>
          <w:lang w:val="ro-RO"/>
        </w:rPr>
        <w:t>Cheltuieli administrative</w:t>
      </w:r>
      <w:r w:rsidRPr="00CC0720">
        <w:rPr>
          <w:rFonts w:ascii="Times New Roman" w:hAnsi="Times New Roman"/>
          <w:sz w:val="28"/>
          <w:szCs w:val="28"/>
          <w:lang w:val="en-US"/>
        </w:rPr>
        <w:t>”</w:t>
      </w:r>
      <w:r w:rsidRPr="00CC0720">
        <w:rPr>
          <w:rFonts w:ascii="Times New Roman" w:hAnsi="Times New Roman"/>
          <w:color w:val="000000"/>
          <w:sz w:val="28"/>
          <w:szCs w:val="28"/>
          <w:lang w:val="ro-RO"/>
        </w:rPr>
        <w:t xml:space="preserve"> se reflectă cheltuielile privind deservirea şi gestiunea </w:t>
      </w:r>
      <w:r w:rsidRPr="00CC0720">
        <w:rPr>
          <w:rFonts w:ascii="Times New Roman" w:hAnsi="Times New Roman"/>
          <w:sz w:val="28"/>
          <w:szCs w:val="28"/>
          <w:lang w:val="ro-RO"/>
        </w:rPr>
        <w:t>organizației de microfinanțare</w:t>
      </w:r>
      <w:r w:rsidRPr="00CC0720">
        <w:rPr>
          <w:rFonts w:ascii="Times New Roman" w:hAnsi="Times New Roman"/>
          <w:color w:val="000000"/>
          <w:sz w:val="28"/>
          <w:szCs w:val="28"/>
          <w:lang w:val="ro-RO"/>
        </w:rPr>
        <w:t xml:space="preserve"> în ansamblu.</w:t>
      </w:r>
    </w:p>
    <w:p w:rsidR="00051C87" w:rsidRPr="00CC0720" w:rsidRDefault="00051C87" w:rsidP="00051C87">
      <w:pPr>
        <w:pStyle w:val="ListParagraph"/>
        <w:numPr>
          <w:ilvl w:val="0"/>
          <w:numId w:val="1"/>
        </w:numPr>
        <w:tabs>
          <w:tab w:val="left" w:pos="284"/>
          <w:tab w:val="left" w:pos="426"/>
          <w:tab w:val="left" w:pos="851"/>
        </w:tabs>
        <w:spacing w:after="0" w:line="240" w:lineRule="auto"/>
        <w:ind w:left="0" w:firstLine="0"/>
        <w:contextualSpacing w:val="0"/>
        <w:jc w:val="both"/>
        <w:rPr>
          <w:rFonts w:ascii="Times New Roman" w:hAnsi="Times New Roman"/>
          <w:color w:val="000000"/>
          <w:sz w:val="28"/>
          <w:szCs w:val="28"/>
          <w:lang w:val="ro-RO"/>
        </w:rPr>
      </w:pPr>
      <w:r w:rsidRPr="00CC0720">
        <w:rPr>
          <w:rFonts w:ascii="Times New Roman" w:hAnsi="Times New Roman"/>
          <w:color w:val="000000"/>
          <w:sz w:val="28"/>
          <w:szCs w:val="28"/>
          <w:lang w:val="ro-RO"/>
        </w:rPr>
        <w:t xml:space="preserve">În rândul 070 </w:t>
      </w:r>
      <w:r w:rsidRPr="00CC0720">
        <w:rPr>
          <w:rFonts w:ascii="Times New Roman" w:hAnsi="Times New Roman"/>
          <w:sz w:val="28"/>
          <w:szCs w:val="28"/>
          <w:lang w:val="ro-RO"/>
        </w:rPr>
        <w:t>„</w:t>
      </w:r>
      <w:r w:rsidRPr="00CC0720">
        <w:rPr>
          <w:rFonts w:ascii="Times New Roman" w:hAnsi="Times New Roman"/>
          <w:color w:val="000000"/>
          <w:sz w:val="28"/>
          <w:szCs w:val="28"/>
          <w:lang w:val="ro-RO"/>
        </w:rPr>
        <w:t>Alte cheltuieli din activitatea operaţională</w:t>
      </w:r>
      <w:r w:rsidRPr="00CC0720">
        <w:rPr>
          <w:rFonts w:ascii="Times New Roman" w:hAnsi="Times New Roman"/>
          <w:sz w:val="28"/>
          <w:szCs w:val="28"/>
          <w:lang w:val="en-US"/>
        </w:rPr>
        <w:t>”</w:t>
      </w:r>
      <w:r w:rsidRPr="00CC0720">
        <w:rPr>
          <w:rFonts w:ascii="Times New Roman" w:hAnsi="Times New Roman"/>
          <w:color w:val="000000"/>
          <w:sz w:val="28"/>
          <w:szCs w:val="28"/>
          <w:lang w:val="ro-RO"/>
        </w:rPr>
        <w:t xml:space="preserve"> se reflectă cheltuielile legate de desfăşurarea activităţii operaţionale a </w:t>
      </w:r>
      <w:r w:rsidRPr="00CC0720">
        <w:rPr>
          <w:rFonts w:ascii="Times New Roman" w:hAnsi="Times New Roman"/>
          <w:sz w:val="28"/>
          <w:szCs w:val="28"/>
          <w:lang w:val="ro-RO"/>
        </w:rPr>
        <w:t>organizației de microfinanțare,</w:t>
      </w:r>
      <w:r w:rsidRPr="00CC0720">
        <w:rPr>
          <w:rFonts w:ascii="Times New Roman" w:hAnsi="Times New Roman"/>
          <w:color w:val="000000"/>
          <w:sz w:val="28"/>
          <w:szCs w:val="28"/>
          <w:lang w:val="ro-RO"/>
        </w:rPr>
        <w:t xml:space="preserve"> dar care nu pot fi atribuite la cheltuieli privind dobânzile și cheltuielile administrative.</w:t>
      </w:r>
    </w:p>
    <w:p w:rsidR="00051C87" w:rsidRPr="00CC0720" w:rsidRDefault="00051C87" w:rsidP="00051C87">
      <w:pPr>
        <w:pStyle w:val="ListParagraph"/>
        <w:numPr>
          <w:ilvl w:val="0"/>
          <w:numId w:val="1"/>
        </w:numPr>
        <w:tabs>
          <w:tab w:val="left" w:pos="284"/>
          <w:tab w:val="left" w:pos="426"/>
          <w:tab w:val="left" w:pos="851"/>
        </w:tabs>
        <w:spacing w:after="0" w:line="240" w:lineRule="auto"/>
        <w:ind w:left="0" w:firstLine="0"/>
        <w:contextualSpacing w:val="0"/>
        <w:jc w:val="both"/>
        <w:rPr>
          <w:rFonts w:ascii="Times New Roman" w:hAnsi="Times New Roman"/>
          <w:color w:val="000000"/>
          <w:sz w:val="28"/>
          <w:szCs w:val="28"/>
          <w:lang w:val="ro-RO"/>
        </w:rPr>
      </w:pPr>
      <w:r w:rsidRPr="00CC0720">
        <w:rPr>
          <w:rFonts w:ascii="Times New Roman" w:hAnsi="Times New Roman"/>
          <w:color w:val="000000"/>
          <w:sz w:val="28"/>
          <w:szCs w:val="28"/>
          <w:lang w:val="ro-RO"/>
        </w:rPr>
        <w:t xml:space="preserve">În rândul 080 </w:t>
      </w:r>
      <w:r w:rsidRPr="00CC0720">
        <w:rPr>
          <w:rFonts w:ascii="Times New Roman" w:hAnsi="Times New Roman"/>
          <w:sz w:val="28"/>
          <w:szCs w:val="28"/>
          <w:lang w:val="ro-RO"/>
        </w:rPr>
        <w:t>„</w:t>
      </w:r>
      <w:r w:rsidRPr="00CC0720">
        <w:rPr>
          <w:rFonts w:ascii="Times New Roman" w:hAnsi="Times New Roman"/>
          <w:color w:val="000000"/>
          <w:sz w:val="28"/>
          <w:szCs w:val="28"/>
          <w:lang w:val="ro-RO"/>
        </w:rPr>
        <w:t>Rezultatul din activitatea operaţională: profit (pierdere)</w:t>
      </w:r>
      <w:r w:rsidRPr="00CC0720">
        <w:rPr>
          <w:rFonts w:ascii="Times New Roman" w:hAnsi="Times New Roman"/>
          <w:sz w:val="28"/>
          <w:szCs w:val="28"/>
          <w:lang w:val="en-US"/>
        </w:rPr>
        <w:t>”</w:t>
      </w:r>
      <w:r w:rsidRPr="00CC0720">
        <w:rPr>
          <w:rFonts w:ascii="Times New Roman" w:hAnsi="Times New Roman"/>
          <w:color w:val="000000"/>
          <w:sz w:val="28"/>
          <w:szCs w:val="28"/>
          <w:lang w:val="ro-RO"/>
        </w:rPr>
        <w:t xml:space="preserve"> se reflectă diferenţa dintre veniturile şi cheltuielile din activitatea operaţională din perioada de gestiune, determinată prin relaţia: rd.040 + rd.050 - rd.060 - rd.070.</w:t>
      </w:r>
    </w:p>
    <w:p w:rsidR="00051C87" w:rsidRPr="00CC0720" w:rsidRDefault="00051C87" w:rsidP="00051C87">
      <w:pPr>
        <w:pStyle w:val="ListParagraph"/>
        <w:numPr>
          <w:ilvl w:val="0"/>
          <w:numId w:val="1"/>
        </w:numPr>
        <w:tabs>
          <w:tab w:val="left" w:pos="284"/>
          <w:tab w:val="left" w:pos="426"/>
          <w:tab w:val="left" w:pos="851"/>
        </w:tabs>
        <w:spacing w:after="0" w:line="240" w:lineRule="auto"/>
        <w:ind w:left="0" w:firstLine="0"/>
        <w:contextualSpacing w:val="0"/>
        <w:jc w:val="both"/>
        <w:rPr>
          <w:rFonts w:ascii="Times New Roman" w:hAnsi="Times New Roman"/>
          <w:color w:val="000000"/>
          <w:sz w:val="28"/>
          <w:szCs w:val="28"/>
          <w:lang w:val="ro-RO"/>
        </w:rPr>
      </w:pPr>
      <w:r w:rsidRPr="00CC0720">
        <w:rPr>
          <w:rFonts w:ascii="Times New Roman" w:hAnsi="Times New Roman"/>
          <w:color w:val="000000"/>
          <w:sz w:val="28"/>
          <w:szCs w:val="28"/>
          <w:lang w:val="ro-RO"/>
        </w:rPr>
        <w:t xml:space="preserve">În rândul 090 </w:t>
      </w:r>
      <w:r w:rsidRPr="00CC0720">
        <w:rPr>
          <w:rFonts w:ascii="Times New Roman" w:hAnsi="Times New Roman"/>
          <w:sz w:val="28"/>
          <w:szCs w:val="28"/>
          <w:lang w:val="ro-RO"/>
        </w:rPr>
        <w:t>„</w:t>
      </w:r>
      <w:r w:rsidRPr="00CC0720">
        <w:rPr>
          <w:rFonts w:ascii="Times New Roman" w:hAnsi="Times New Roman"/>
          <w:color w:val="000000"/>
          <w:sz w:val="28"/>
          <w:szCs w:val="28"/>
          <w:lang w:val="ro-RO"/>
        </w:rPr>
        <w:t>Rezultatul din alte activităţi: profit (pierdere)</w:t>
      </w:r>
      <w:r w:rsidRPr="00CC0720">
        <w:rPr>
          <w:rFonts w:ascii="Times New Roman" w:hAnsi="Times New Roman"/>
          <w:sz w:val="28"/>
          <w:szCs w:val="28"/>
          <w:lang w:val="en-US"/>
        </w:rPr>
        <w:t>”</w:t>
      </w:r>
      <w:r w:rsidRPr="00CC0720">
        <w:rPr>
          <w:rFonts w:ascii="Times New Roman" w:hAnsi="Times New Roman"/>
          <w:color w:val="000000"/>
          <w:sz w:val="28"/>
          <w:szCs w:val="28"/>
          <w:lang w:val="ro-RO"/>
        </w:rPr>
        <w:t xml:space="preserve"> se reflectă diferenţa dintre veniturile şi cheltuielile din alte activităţi din perioada de gestiune.</w:t>
      </w:r>
    </w:p>
    <w:p w:rsidR="00051C87" w:rsidRPr="00CC0720" w:rsidRDefault="00051C87" w:rsidP="00051C87">
      <w:pPr>
        <w:tabs>
          <w:tab w:val="left" w:pos="284"/>
        </w:tabs>
        <w:jc w:val="both"/>
        <w:rPr>
          <w:color w:val="000000"/>
          <w:sz w:val="28"/>
          <w:szCs w:val="28"/>
          <w:lang w:val="ro-RO"/>
        </w:rPr>
      </w:pPr>
      <w:r w:rsidRPr="00CC0720">
        <w:rPr>
          <w:color w:val="000000"/>
          <w:sz w:val="28"/>
          <w:szCs w:val="28"/>
          <w:lang w:val="ro-RO"/>
        </w:rPr>
        <w:t>Veniturile din alte activităţi cuprind veniturile provenite din:</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dividende spre încasare sau încasate şi/sau participaţii;</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transmiterea dreptului la folosirea activelor imobilizate şi ieşirea lor, cu excepţia plusurilor de active constatate la inventariere;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diferenţe favorabile de curs valutar şi de sumă;</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reluarea pierderilor din deprecierea activelor imobilizate;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compensaţii pentru acoperirea pierderilor excepţionale;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alte fapte economice care nu se referă la activitatea operaţională.</w:t>
      </w:r>
    </w:p>
    <w:p w:rsidR="00051C87" w:rsidRPr="00CC0720" w:rsidRDefault="00051C87" w:rsidP="00051C87">
      <w:pPr>
        <w:tabs>
          <w:tab w:val="left" w:pos="284"/>
        </w:tabs>
        <w:jc w:val="both"/>
        <w:rPr>
          <w:color w:val="000000"/>
          <w:sz w:val="28"/>
          <w:szCs w:val="28"/>
          <w:lang w:val="ro-RO"/>
        </w:rPr>
      </w:pPr>
      <w:r w:rsidRPr="00CC0720">
        <w:rPr>
          <w:color w:val="000000"/>
          <w:sz w:val="28"/>
          <w:szCs w:val="28"/>
          <w:lang w:val="ro-RO"/>
        </w:rPr>
        <w:t>Cheltuielile altor activităţi cuprind cheltuielile: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aferente activelor imobilizate și ieșirii lor, cu excepţia lipsurilor şi deteriorărilor constatate la inventariere;</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din diferenţele nefavorabile de curs valutar şi de sumă;</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i/>
          <w:sz w:val="28"/>
          <w:szCs w:val="28"/>
          <w:lang w:val="ro-RO"/>
        </w:rPr>
      </w:pPr>
      <w:r w:rsidRPr="00CC0720">
        <w:rPr>
          <w:rFonts w:ascii="Times New Roman" w:hAnsi="Times New Roman"/>
          <w:i/>
          <w:sz w:val="28"/>
          <w:szCs w:val="28"/>
          <w:lang w:val="ro-RO"/>
        </w:rPr>
        <w:t>din acordarea donaţiilor și sponsorizărilor;</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sz w:val="28"/>
          <w:szCs w:val="28"/>
          <w:lang w:val="ro-RO"/>
        </w:rPr>
      </w:pPr>
      <w:r w:rsidRPr="00CC0720">
        <w:rPr>
          <w:rFonts w:ascii="Times New Roman" w:hAnsi="Times New Roman"/>
          <w:i/>
          <w:sz w:val="28"/>
          <w:szCs w:val="28"/>
          <w:lang w:val="ro-RO"/>
        </w:rPr>
        <w:t>din evenimentele excepţionale neprevăzute</w:t>
      </w:r>
      <w:r w:rsidRPr="00CC0720">
        <w:rPr>
          <w:rFonts w:ascii="Times New Roman" w:hAnsi="Times New Roman"/>
          <w:sz w:val="28"/>
          <w:szCs w:val="28"/>
          <w:lang w:val="ro-RO"/>
        </w:rPr>
        <w:t xml:space="preserve"> (acţiuni militare, revoluţie), modificări ale legislaţiei Republicii Moldova (hotărârile cu privire la naţionalizare, interzicere a activităţilor de anumită natură);</w:t>
      </w:r>
    </w:p>
    <w:p w:rsidR="00051C87" w:rsidRPr="00CC0720" w:rsidRDefault="00051C87" w:rsidP="00051C87">
      <w:pPr>
        <w:pStyle w:val="BodyText2"/>
        <w:numPr>
          <w:ilvl w:val="0"/>
          <w:numId w:val="2"/>
        </w:numPr>
        <w:tabs>
          <w:tab w:val="left" w:pos="284"/>
        </w:tabs>
        <w:spacing w:after="0" w:line="240" w:lineRule="auto"/>
        <w:ind w:left="0" w:firstLine="0"/>
        <w:jc w:val="both"/>
        <w:rPr>
          <w:rFonts w:ascii="Times New Roman" w:hAnsi="Times New Roman"/>
          <w:sz w:val="28"/>
          <w:szCs w:val="28"/>
          <w:lang w:val="ro-RO"/>
        </w:rPr>
      </w:pPr>
      <w:r w:rsidRPr="00CC0720">
        <w:rPr>
          <w:rFonts w:ascii="Times New Roman" w:hAnsi="Times New Roman"/>
          <w:i/>
          <w:sz w:val="28"/>
          <w:szCs w:val="28"/>
          <w:lang w:val="ro-RO"/>
        </w:rPr>
        <w:t>din alte fapte economice</w:t>
      </w:r>
      <w:r w:rsidRPr="00CC0720">
        <w:rPr>
          <w:rFonts w:ascii="Times New Roman" w:hAnsi="Times New Roman"/>
          <w:sz w:val="28"/>
          <w:szCs w:val="28"/>
          <w:lang w:val="ro-RO"/>
        </w:rPr>
        <w:t xml:space="preserve"> care nu se referă la activitatea operaţională.</w:t>
      </w:r>
    </w:p>
    <w:p w:rsidR="00051C87" w:rsidRPr="00CC0720" w:rsidRDefault="00051C87" w:rsidP="00051C87">
      <w:pPr>
        <w:pStyle w:val="ListParagraph"/>
        <w:numPr>
          <w:ilvl w:val="0"/>
          <w:numId w:val="1"/>
        </w:numPr>
        <w:tabs>
          <w:tab w:val="left" w:pos="284"/>
          <w:tab w:val="left" w:pos="426"/>
          <w:tab w:val="left" w:pos="851"/>
        </w:tabs>
        <w:spacing w:after="0" w:line="240" w:lineRule="auto"/>
        <w:ind w:left="0" w:firstLine="0"/>
        <w:contextualSpacing w:val="0"/>
        <w:jc w:val="both"/>
        <w:rPr>
          <w:rFonts w:ascii="Times New Roman" w:hAnsi="Times New Roman"/>
          <w:color w:val="000000"/>
          <w:sz w:val="28"/>
          <w:szCs w:val="28"/>
          <w:lang w:val="ro-RO"/>
        </w:rPr>
      </w:pPr>
      <w:r w:rsidRPr="00CC0720">
        <w:rPr>
          <w:rFonts w:ascii="Times New Roman" w:hAnsi="Times New Roman"/>
          <w:color w:val="000000"/>
          <w:sz w:val="28"/>
          <w:szCs w:val="28"/>
          <w:lang w:val="ro-RO"/>
        </w:rPr>
        <w:lastRenderedPageBreak/>
        <w:t xml:space="preserve">În rândul 100 </w:t>
      </w:r>
      <w:r w:rsidRPr="00CC0720">
        <w:rPr>
          <w:rFonts w:ascii="Times New Roman" w:hAnsi="Times New Roman"/>
          <w:sz w:val="28"/>
          <w:szCs w:val="28"/>
          <w:lang w:val="ro-RO"/>
        </w:rPr>
        <w:t>„</w:t>
      </w:r>
      <w:r w:rsidRPr="00CC0720">
        <w:rPr>
          <w:rFonts w:ascii="Times New Roman" w:hAnsi="Times New Roman"/>
          <w:color w:val="000000"/>
          <w:sz w:val="28"/>
          <w:szCs w:val="28"/>
          <w:lang w:val="ro-RO"/>
        </w:rPr>
        <w:t>Profit (pierdere) până la impozitare</w:t>
      </w:r>
      <w:r w:rsidRPr="00CC0720">
        <w:rPr>
          <w:rFonts w:ascii="Times New Roman" w:hAnsi="Times New Roman"/>
          <w:sz w:val="28"/>
          <w:szCs w:val="28"/>
          <w:lang w:val="en-US"/>
        </w:rPr>
        <w:t>”</w:t>
      </w:r>
      <w:r w:rsidRPr="00CC0720">
        <w:rPr>
          <w:rFonts w:ascii="Times New Roman" w:hAnsi="Times New Roman"/>
          <w:color w:val="000000"/>
          <w:sz w:val="28"/>
          <w:szCs w:val="28"/>
          <w:lang w:val="ro-RO"/>
        </w:rPr>
        <w:t xml:space="preserve"> se indică rezultatul financiar până la impozitare, determinat prin relaţia: rd.080 + rd.090.</w:t>
      </w:r>
    </w:p>
    <w:p w:rsidR="00051C87" w:rsidRPr="00CC0720" w:rsidRDefault="00051C87" w:rsidP="00051C87">
      <w:pPr>
        <w:pStyle w:val="ListParagraph"/>
        <w:numPr>
          <w:ilvl w:val="0"/>
          <w:numId w:val="1"/>
        </w:numPr>
        <w:tabs>
          <w:tab w:val="left" w:pos="284"/>
          <w:tab w:val="left" w:pos="426"/>
          <w:tab w:val="left" w:pos="851"/>
        </w:tabs>
        <w:spacing w:after="0" w:line="240" w:lineRule="auto"/>
        <w:ind w:left="0" w:firstLine="0"/>
        <w:contextualSpacing w:val="0"/>
        <w:jc w:val="both"/>
        <w:rPr>
          <w:rFonts w:ascii="Times New Roman" w:hAnsi="Times New Roman"/>
          <w:color w:val="000000"/>
          <w:sz w:val="28"/>
          <w:szCs w:val="28"/>
          <w:lang w:val="ro-RO"/>
        </w:rPr>
      </w:pPr>
      <w:r w:rsidRPr="00CC0720">
        <w:rPr>
          <w:rFonts w:ascii="Times New Roman" w:hAnsi="Times New Roman"/>
          <w:color w:val="000000"/>
          <w:sz w:val="28"/>
          <w:szCs w:val="28"/>
          <w:lang w:val="ro-RO"/>
        </w:rPr>
        <w:t xml:space="preserve">În rândul 110 </w:t>
      </w:r>
      <w:r w:rsidRPr="00CC0720">
        <w:rPr>
          <w:rFonts w:ascii="Times New Roman" w:hAnsi="Times New Roman"/>
          <w:sz w:val="28"/>
          <w:szCs w:val="28"/>
          <w:lang w:val="ro-RO"/>
        </w:rPr>
        <w:t>„</w:t>
      </w:r>
      <w:r w:rsidRPr="00CC0720">
        <w:rPr>
          <w:rFonts w:ascii="Times New Roman" w:hAnsi="Times New Roman"/>
          <w:color w:val="000000"/>
          <w:sz w:val="28"/>
          <w:szCs w:val="28"/>
          <w:lang w:val="ro-RO"/>
        </w:rPr>
        <w:t>Cheltuieli privind impozitul pe venit</w:t>
      </w:r>
      <w:r w:rsidRPr="00CC0720">
        <w:rPr>
          <w:rFonts w:ascii="Times New Roman" w:hAnsi="Times New Roman"/>
          <w:sz w:val="28"/>
          <w:szCs w:val="28"/>
          <w:lang w:val="en-US"/>
        </w:rPr>
        <w:t>”</w:t>
      </w:r>
      <w:r w:rsidRPr="00CC0720">
        <w:rPr>
          <w:rFonts w:ascii="Times New Roman" w:hAnsi="Times New Roman"/>
          <w:color w:val="000000"/>
          <w:sz w:val="28"/>
          <w:szCs w:val="28"/>
          <w:lang w:val="ro-RO"/>
        </w:rPr>
        <w:t xml:space="preserve"> se înscriu cheltuielile privind impozitul pe venit calculate anual.</w:t>
      </w:r>
    </w:p>
    <w:p w:rsidR="00051C87" w:rsidRPr="008A1067" w:rsidRDefault="00051C87" w:rsidP="00051C87">
      <w:pPr>
        <w:pStyle w:val="ListParagraph"/>
        <w:numPr>
          <w:ilvl w:val="0"/>
          <w:numId w:val="1"/>
        </w:numPr>
        <w:tabs>
          <w:tab w:val="left" w:pos="426"/>
        </w:tabs>
        <w:ind w:left="0" w:hanging="11"/>
        <w:jc w:val="both"/>
        <w:rPr>
          <w:rFonts w:ascii="Times New Roman" w:hAnsi="Times New Roman"/>
          <w:color w:val="000000"/>
          <w:sz w:val="28"/>
          <w:szCs w:val="28"/>
          <w:lang w:val="en-US"/>
        </w:rPr>
      </w:pPr>
      <w:r w:rsidRPr="00C77534">
        <w:rPr>
          <w:rFonts w:ascii="Times New Roman" w:hAnsi="Times New Roman"/>
          <w:color w:val="000000"/>
          <w:sz w:val="28"/>
          <w:szCs w:val="28"/>
          <w:lang w:val="ro-RO"/>
        </w:rPr>
        <w:t xml:space="preserve">În rândul 120 </w:t>
      </w:r>
      <w:r w:rsidRPr="00C77534">
        <w:rPr>
          <w:rFonts w:ascii="Times New Roman" w:hAnsi="Times New Roman"/>
          <w:sz w:val="28"/>
          <w:szCs w:val="28"/>
          <w:lang w:val="ro-RO"/>
        </w:rPr>
        <w:t>„</w:t>
      </w:r>
      <w:r w:rsidRPr="00C77534">
        <w:rPr>
          <w:rFonts w:ascii="Times New Roman" w:hAnsi="Times New Roman"/>
          <w:color w:val="000000"/>
          <w:sz w:val="28"/>
          <w:szCs w:val="28"/>
          <w:lang w:val="ro-RO"/>
        </w:rPr>
        <w:t>Profit net (pierdere netă) al perioadei de gestiune</w:t>
      </w:r>
      <w:r w:rsidRPr="00C77534">
        <w:rPr>
          <w:rFonts w:ascii="Times New Roman" w:hAnsi="Times New Roman"/>
          <w:sz w:val="28"/>
          <w:szCs w:val="28"/>
          <w:lang w:val="en-US"/>
        </w:rPr>
        <w:t>”</w:t>
      </w:r>
      <w:r w:rsidRPr="00C77534">
        <w:rPr>
          <w:rFonts w:ascii="Times New Roman" w:hAnsi="Times New Roman"/>
          <w:color w:val="000000"/>
          <w:sz w:val="28"/>
          <w:szCs w:val="28"/>
          <w:lang w:val="ro-RO"/>
        </w:rPr>
        <w:t xml:space="preserve"> se indică rezultatul financiar anual după impozitare determinat ca diferenţa dintre profitul (pierderea) până la impozitare şi cheltuielile privind impozitul pe venit prin relaţia: rd.100 - rd.110.</w:t>
      </w:r>
    </w:p>
    <w:p w:rsidR="00303418" w:rsidRDefault="00303418"/>
    <w:sectPr w:rsidR="00303418" w:rsidSect="003034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C6F"/>
    <w:multiLevelType w:val="hybridMultilevel"/>
    <w:tmpl w:val="29C49DCC"/>
    <w:lvl w:ilvl="0" w:tplc="E370C1CA">
      <w:start w:val="1"/>
      <w:numFmt w:val="bullet"/>
      <w:lvlText w:val="-"/>
      <w:lvlJc w:val="left"/>
      <w:pPr>
        <w:ind w:left="1440" w:hanging="360"/>
      </w:pPr>
      <w:rPr>
        <w:rFonts w:ascii="Times New Roman" w:hAnsi="Times New Roman"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014BE"/>
    <w:multiLevelType w:val="hybridMultilevel"/>
    <w:tmpl w:val="B096D5CE"/>
    <w:lvl w:ilvl="0" w:tplc="FB6C2C4C">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51C87"/>
    <w:rsid w:val="00051C87"/>
    <w:rsid w:val="00303418"/>
    <w:rsid w:val="009E60F0"/>
    <w:rsid w:val="00C43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1C87"/>
    <w:pPr>
      <w:ind w:firstLine="567"/>
      <w:jc w:val="both"/>
    </w:pPr>
    <w:rPr>
      <w:lang w:val="ru-RU" w:eastAsia="ru-RU"/>
    </w:rPr>
  </w:style>
  <w:style w:type="paragraph" w:styleId="ListParagraph">
    <w:name w:val="List Paragraph"/>
    <w:basedOn w:val="Normal"/>
    <w:uiPriority w:val="34"/>
    <w:qFormat/>
    <w:rsid w:val="00051C87"/>
    <w:pPr>
      <w:spacing w:after="200" w:line="276" w:lineRule="auto"/>
      <w:ind w:left="720"/>
      <w:contextualSpacing/>
    </w:pPr>
    <w:rPr>
      <w:rFonts w:ascii="Calibri" w:hAnsi="Calibri"/>
      <w:sz w:val="22"/>
      <w:szCs w:val="22"/>
      <w:lang w:val="ru-RU" w:eastAsia="ru-RU"/>
    </w:rPr>
  </w:style>
  <w:style w:type="paragraph" w:styleId="BodyText2">
    <w:name w:val="Body Text 2"/>
    <w:basedOn w:val="Normal"/>
    <w:link w:val="BodyText2Char"/>
    <w:uiPriority w:val="99"/>
    <w:rsid w:val="00051C87"/>
    <w:pPr>
      <w:spacing w:after="120" w:line="480" w:lineRule="auto"/>
    </w:pPr>
    <w:rPr>
      <w:rFonts w:ascii="Calibri" w:hAnsi="Calibri"/>
      <w:sz w:val="22"/>
      <w:szCs w:val="22"/>
      <w:lang w:val="ru-RU" w:eastAsia="ru-RU"/>
    </w:rPr>
  </w:style>
  <w:style w:type="character" w:customStyle="1" w:styleId="BodyText2Char">
    <w:name w:val="Body Text 2 Char"/>
    <w:basedOn w:val="DefaultParagraphFont"/>
    <w:link w:val="BodyText2"/>
    <w:uiPriority w:val="99"/>
    <w:rsid w:val="00051C87"/>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2</cp:revision>
  <dcterms:created xsi:type="dcterms:W3CDTF">2018-01-04T06:27:00Z</dcterms:created>
  <dcterms:modified xsi:type="dcterms:W3CDTF">2018-01-04T06:32:00Z</dcterms:modified>
</cp:coreProperties>
</file>