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4A0"/>
      </w:tblPr>
      <w:tblGrid>
        <w:gridCol w:w="500"/>
        <w:gridCol w:w="3895"/>
        <w:gridCol w:w="868"/>
        <w:gridCol w:w="1127"/>
        <w:gridCol w:w="981"/>
        <w:gridCol w:w="1017"/>
        <w:gridCol w:w="968"/>
      </w:tblGrid>
      <w:tr w:rsidR="00CD723B" w:rsidRPr="002E70D5" w:rsidTr="004570B2">
        <w:trPr>
          <w:trHeight w:val="300"/>
        </w:trPr>
        <w:tc>
          <w:tcPr>
            <w:tcW w:w="9356" w:type="dxa"/>
            <w:gridSpan w:val="7"/>
            <w:tcBorders>
              <w:top w:val="nil"/>
              <w:left w:val="nil"/>
              <w:bottom w:val="nil"/>
              <w:right w:val="nil"/>
            </w:tcBorders>
            <w:noWrap/>
            <w:vAlign w:val="center"/>
            <w:hideMark/>
          </w:tcPr>
          <w:p w:rsidR="00CD723B" w:rsidRPr="00502495" w:rsidRDefault="00CD723B" w:rsidP="004570B2">
            <w:pPr>
              <w:jc w:val="right"/>
              <w:rPr>
                <w:lang w:eastAsia="ru-RU"/>
              </w:rPr>
            </w:pPr>
            <w:r w:rsidRPr="00502495">
              <w:rPr>
                <w:lang w:eastAsia="ru-RU"/>
              </w:rPr>
              <w:t xml:space="preserve">Anexa nr. 6 </w:t>
            </w:r>
          </w:p>
          <w:p w:rsidR="00CD723B" w:rsidRPr="00502495" w:rsidRDefault="00CD723B" w:rsidP="004570B2">
            <w:pPr>
              <w:jc w:val="right"/>
              <w:rPr>
                <w:lang w:eastAsia="ru-RU"/>
              </w:rPr>
            </w:pPr>
            <w:r w:rsidRPr="00502495">
              <w:rPr>
                <w:lang w:eastAsia="ru-RU"/>
              </w:rPr>
              <w:t xml:space="preserve">la Instrucţiunea cu privire la raportarea </w:t>
            </w:r>
          </w:p>
          <w:p w:rsidR="00CD723B" w:rsidRPr="00502495" w:rsidRDefault="00CD723B" w:rsidP="004570B2">
            <w:pPr>
              <w:jc w:val="right"/>
              <w:rPr>
                <w:lang w:eastAsia="ru-RU"/>
              </w:rPr>
            </w:pPr>
            <w:r w:rsidRPr="00502495">
              <w:rPr>
                <w:lang w:eastAsia="ru-RU"/>
              </w:rPr>
              <w:t xml:space="preserve">organizațiilor de microfinanțare </w:t>
            </w:r>
          </w:p>
          <w:p w:rsidR="00CD723B" w:rsidRPr="00502495" w:rsidRDefault="00CD723B" w:rsidP="004570B2">
            <w:pPr>
              <w:jc w:val="both"/>
              <w:rPr>
                <w:lang w:eastAsia="ru-RU"/>
              </w:rPr>
            </w:pPr>
            <w:r w:rsidRPr="00502495">
              <w:rPr>
                <w:lang w:eastAsia="ru-RU"/>
              </w:rPr>
              <w:t xml:space="preserve">  </w:t>
            </w:r>
          </w:p>
          <w:p w:rsidR="00CD723B" w:rsidRPr="00502495" w:rsidRDefault="00CD723B" w:rsidP="004570B2">
            <w:pPr>
              <w:jc w:val="right"/>
              <w:rPr>
                <w:lang w:eastAsia="ru-RU"/>
              </w:rPr>
            </w:pPr>
            <w:r w:rsidRPr="00502495">
              <w:rPr>
                <w:lang w:eastAsia="ru-RU"/>
              </w:rPr>
              <w:t xml:space="preserve">Aprobată </w:t>
            </w:r>
          </w:p>
          <w:p w:rsidR="00CD723B" w:rsidRPr="00502495" w:rsidRDefault="00CD723B" w:rsidP="004570B2">
            <w:pPr>
              <w:jc w:val="right"/>
              <w:rPr>
                <w:lang w:eastAsia="ru-RU"/>
              </w:rPr>
            </w:pPr>
            <w:r w:rsidRPr="00502495">
              <w:rPr>
                <w:lang w:eastAsia="ru-RU"/>
              </w:rPr>
              <w:t>prin Hotărârea C.N.P.F.</w:t>
            </w:r>
          </w:p>
          <w:p w:rsidR="00CD723B" w:rsidRPr="00502495" w:rsidRDefault="00CD723B" w:rsidP="004570B2">
            <w:pPr>
              <w:jc w:val="right"/>
              <w:rPr>
                <w:lang w:eastAsia="ru-RU"/>
              </w:rPr>
            </w:pPr>
            <w:r w:rsidRPr="00502495">
              <w:rPr>
                <w:lang w:eastAsia="ru-RU"/>
              </w:rPr>
              <w:t xml:space="preserve">nr.54/4 din 11.12.2017 </w:t>
            </w:r>
          </w:p>
          <w:p w:rsidR="00CD723B" w:rsidRPr="00B742FA" w:rsidRDefault="00CD723B" w:rsidP="004570B2">
            <w:pPr>
              <w:jc w:val="both"/>
              <w:rPr>
                <w:lang w:eastAsia="ru-RU"/>
              </w:rPr>
            </w:pPr>
            <w:r w:rsidRPr="00B742FA">
              <w:rPr>
                <w:lang w:eastAsia="ru-RU"/>
              </w:rPr>
              <w:t xml:space="preserve">  </w:t>
            </w:r>
          </w:p>
          <w:p w:rsidR="00CD723B" w:rsidRPr="00B742FA" w:rsidRDefault="00CD723B" w:rsidP="004570B2">
            <w:pPr>
              <w:jc w:val="center"/>
              <w:rPr>
                <w:b/>
                <w:bCs/>
                <w:color w:val="000000"/>
                <w:lang w:val="ro-RO" w:eastAsia="ru-RU"/>
              </w:rPr>
            </w:pPr>
            <w:r w:rsidRPr="00B742FA">
              <w:rPr>
                <w:b/>
                <w:bCs/>
                <w:color w:val="000000"/>
                <w:lang w:val="ro-RO" w:eastAsia="ru-RU"/>
              </w:rPr>
              <w:t>RAPORTUL</w:t>
            </w:r>
          </w:p>
          <w:p w:rsidR="00CD723B" w:rsidRPr="00B742FA" w:rsidRDefault="00CD723B" w:rsidP="004570B2">
            <w:pPr>
              <w:jc w:val="center"/>
              <w:rPr>
                <w:b/>
                <w:bCs/>
                <w:color w:val="000000"/>
                <w:lang w:eastAsia="ru-RU"/>
              </w:rPr>
            </w:pPr>
            <w:r w:rsidRPr="00B742FA">
              <w:rPr>
                <w:b/>
                <w:bCs/>
                <w:color w:val="000000"/>
                <w:lang w:val="ro-RO" w:eastAsia="ru-RU"/>
              </w:rPr>
              <w:t>privind capitalul</w:t>
            </w:r>
            <w:r w:rsidRPr="00B742FA">
              <w:rPr>
                <w:b/>
                <w:bCs/>
                <w:color w:val="000000"/>
                <w:lang w:eastAsia="ru-RU"/>
              </w:rPr>
              <w:t xml:space="preserve"> </w:t>
            </w:r>
            <w:r>
              <w:rPr>
                <w:b/>
                <w:bCs/>
                <w:color w:val="000000"/>
                <w:lang w:eastAsia="ru-RU"/>
              </w:rPr>
              <w:t>propriu</w:t>
            </w:r>
          </w:p>
        </w:tc>
      </w:tr>
      <w:tr w:rsidR="00CD723B" w:rsidRPr="002E70D5" w:rsidTr="004570B2">
        <w:trPr>
          <w:trHeight w:val="315"/>
        </w:trPr>
        <w:tc>
          <w:tcPr>
            <w:tcW w:w="9356" w:type="dxa"/>
            <w:gridSpan w:val="7"/>
            <w:tcBorders>
              <w:top w:val="nil"/>
              <w:left w:val="nil"/>
              <w:bottom w:val="nil"/>
              <w:right w:val="nil"/>
            </w:tcBorders>
            <w:noWrap/>
            <w:vAlign w:val="center"/>
            <w:hideMark/>
          </w:tcPr>
          <w:p w:rsidR="00CD723B" w:rsidRPr="00B742FA" w:rsidRDefault="00CD723B" w:rsidP="004570B2">
            <w:pPr>
              <w:jc w:val="center"/>
              <w:rPr>
                <w:b/>
                <w:bCs/>
                <w:color w:val="000000"/>
                <w:lang w:eastAsia="ru-RU"/>
              </w:rPr>
            </w:pPr>
            <w:r w:rsidRPr="00B742FA">
              <w:rPr>
                <w:b/>
                <w:bCs/>
                <w:color w:val="000000"/>
                <w:lang w:eastAsia="ru-RU"/>
              </w:rPr>
              <w:t>de la _____________ până la _______________20__</w:t>
            </w:r>
          </w:p>
        </w:tc>
      </w:tr>
      <w:tr w:rsidR="00CD723B" w:rsidRPr="002E70D5" w:rsidTr="004570B2">
        <w:trPr>
          <w:trHeight w:val="270"/>
        </w:trPr>
        <w:tc>
          <w:tcPr>
            <w:tcW w:w="500" w:type="dxa"/>
            <w:tcBorders>
              <w:top w:val="nil"/>
              <w:left w:val="nil"/>
              <w:bottom w:val="nil"/>
              <w:right w:val="nil"/>
            </w:tcBorders>
            <w:noWrap/>
            <w:vAlign w:val="center"/>
            <w:hideMark/>
          </w:tcPr>
          <w:p w:rsidR="00CD723B" w:rsidRPr="002E70D5" w:rsidRDefault="00CD723B" w:rsidP="004570B2">
            <w:pPr>
              <w:rPr>
                <w:sz w:val="18"/>
                <w:szCs w:val="18"/>
                <w:lang w:eastAsia="ru-RU"/>
              </w:rPr>
            </w:pPr>
          </w:p>
        </w:tc>
        <w:tc>
          <w:tcPr>
            <w:tcW w:w="3895" w:type="dxa"/>
            <w:tcBorders>
              <w:top w:val="nil"/>
              <w:left w:val="nil"/>
              <w:bottom w:val="nil"/>
              <w:right w:val="nil"/>
            </w:tcBorders>
            <w:noWrap/>
            <w:vAlign w:val="bottom"/>
            <w:hideMark/>
          </w:tcPr>
          <w:p w:rsidR="00CD723B" w:rsidRPr="002E70D5" w:rsidRDefault="00CD723B" w:rsidP="004570B2">
            <w:pPr>
              <w:jc w:val="right"/>
              <w:rPr>
                <w:sz w:val="18"/>
                <w:szCs w:val="18"/>
                <w:lang w:eastAsia="ru-RU"/>
              </w:rPr>
            </w:pPr>
          </w:p>
        </w:tc>
        <w:tc>
          <w:tcPr>
            <w:tcW w:w="868" w:type="dxa"/>
            <w:tcBorders>
              <w:top w:val="nil"/>
              <w:left w:val="nil"/>
              <w:bottom w:val="nil"/>
              <w:right w:val="nil"/>
            </w:tcBorders>
            <w:noWrap/>
            <w:vAlign w:val="bottom"/>
            <w:hideMark/>
          </w:tcPr>
          <w:p w:rsidR="00CD723B" w:rsidRPr="002E70D5" w:rsidRDefault="00CD723B" w:rsidP="004570B2">
            <w:pPr>
              <w:rPr>
                <w:sz w:val="18"/>
                <w:szCs w:val="18"/>
                <w:lang w:eastAsia="ru-RU"/>
              </w:rPr>
            </w:pPr>
          </w:p>
        </w:tc>
        <w:tc>
          <w:tcPr>
            <w:tcW w:w="1127" w:type="dxa"/>
            <w:tcBorders>
              <w:top w:val="nil"/>
              <w:left w:val="nil"/>
              <w:bottom w:val="nil"/>
              <w:right w:val="nil"/>
            </w:tcBorders>
            <w:noWrap/>
            <w:vAlign w:val="bottom"/>
            <w:hideMark/>
          </w:tcPr>
          <w:p w:rsidR="00CD723B" w:rsidRPr="002E70D5" w:rsidRDefault="00CD723B" w:rsidP="004570B2">
            <w:pPr>
              <w:rPr>
                <w:sz w:val="18"/>
                <w:szCs w:val="18"/>
                <w:lang w:eastAsia="ru-RU"/>
              </w:rPr>
            </w:pPr>
          </w:p>
        </w:tc>
        <w:tc>
          <w:tcPr>
            <w:tcW w:w="981" w:type="dxa"/>
            <w:tcBorders>
              <w:top w:val="nil"/>
              <w:left w:val="nil"/>
              <w:bottom w:val="nil"/>
              <w:right w:val="nil"/>
            </w:tcBorders>
            <w:noWrap/>
            <w:vAlign w:val="bottom"/>
            <w:hideMark/>
          </w:tcPr>
          <w:p w:rsidR="00CD723B" w:rsidRPr="002E70D5" w:rsidRDefault="00CD723B" w:rsidP="004570B2">
            <w:pPr>
              <w:rPr>
                <w:sz w:val="18"/>
                <w:szCs w:val="18"/>
                <w:lang w:eastAsia="ru-RU"/>
              </w:rPr>
            </w:pPr>
          </w:p>
        </w:tc>
        <w:tc>
          <w:tcPr>
            <w:tcW w:w="1017" w:type="dxa"/>
            <w:tcBorders>
              <w:top w:val="nil"/>
              <w:left w:val="nil"/>
              <w:bottom w:val="nil"/>
              <w:right w:val="nil"/>
            </w:tcBorders>
            <w:noWrap/>
            <w:vAlign w:val="bottom"/>
            <w:hideMark/>
          </w:tcPr>
          <w:p w:rsidR="00CD723B" w:rsidRPr="002E70D5" w:rsidRDefault="00CD723B" w:rsidP="004570B2">
            <w:pPr>
              <w:jc w:val="right"/>
              <w:rPr>
                <w:sz w:val="18"/>
                <w:szCs w:val="18"/>
                <w:lang w:eastAsia="ru-RU"/>
              </w:rPr>
            </w:pPr>
          </w:p>
        </w:tc>
        <w:tc>
          <w:tcPr>
            <w:tcW w:w="968" w:type="dxa"/>
            <w:tcBorders>
              <w:top w:val="nil"/>
              <w:left w:val="nil"/>
              <w:bottom w:val="nil"/>
              <w:right w:val="nil"/>
            </w:tcBorders>
            <w:noWrap/>
            <w:vAlign w:val="bottom"/>
            <w:hideMark/>
          </w:tcPr>
          <w:p w:rsidR="00CD723B" w:rsidRPr="002E70D5" w:rsidRDefault="00CD723B" w:rsidP="004570B2">
            <w:pPr>
              <w:jc w:val="right"/>
              <w:rPr>
                <w:sz w:val="18"/>
                <w:szCs w:val="18"/>
                <w:lang w:eastAsia="ru-RU"/>
              </w:rPr>
            </w:pPr>
          </w:p>
        </w:tc>
      </w:tr>
      <w:tr w:rsidR="00CD723B" w:rsidRPr="002E70D5" w:rsidTr="004570B2">
        <w:trPr>
          <w:trHeight w:val="1020"/>
        </w:trPr>
        <w:tc>
          <w:tcPr>
            <w:tcW w:w="500" w:type="dxa"/>
            <w:tcBorders>
              <w:top w:val="single" w:sz="8" w:space="0" w:color="auto"/>
              <w:left w:val="single" w:sz="8" w:space="0" w:color="auto"/>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Nr. d/o</w:t>
            </w:r>
          </w:p>
        </w:tc>
        <w:tc>
          <w:tcPr>
            <w:tcW w:w="3895" w:type="dxa"/>
            <w:tcBorders>
              <w:top w:val="single" w:sz="8" w:space="0" w:color="auto"/>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Indicatori</w:t>
            </w:r>
          </w:p>
        </w:tc>
        <w:tc>
          <w:tcPr>
            <w:tcW w:w="868" w:type="dxa"/>
            <w:tcBorders>
              <w:top w:val="single" w:sz="8" w:space="0" w:color="auto"/>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Cod. rd</w:t>
            </w:r>
          </w:p>
        </w:tc>
        <w:tc>
          <w:tcPr>
            <w:tcW w:w="1127" w:type="dxa"/>
            <w:tcBorders>
              <w:top w:val="single" w:sz="8" w:space="0" w:color="auto"/>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Sold la</w:t>
            </w:r>
            <w:r w:rsidRPr="002E70D5">
              <w:rPr>
                <w:b/>
                <w:bCs/>
                <w:sz w:val="18"/>
                <w:szCs w:val="18"/>
                <w:lang w:eastAsia="ru-RU"/>
              </w:rPr>
              <w:br/>
              <w:t>începutul</w:t>
            </w:r>
            <w:r w:rsidRPr="002E70D5">
              <w:rPr>
                <w:b/>
                <w:bCs/>
                <w:sz w:val="18"/>
                <w:szCs w:val="18"/>
                <w:lang w:eastAsia="ru-RU"/>
              </w:rPr>
              <w:br/>
              <w:t>perioadei de</w:t>
            </w:r>
            <w:r w:rsidRPr="002E70D5">
              <w:rPr>
                <w:b/>
                <w:bCs/>
                <w:sz w:val="18"/>
                <w:szCs w:val="18"/>
                <w:lang w:eastAsia="ru-RU"/>
              </w:rPr>
              <w:br/>
              <w:t>gestiune</w:t>
            </w:r>
          </w:p>
        </w:tc>
        <w:tc>
          <w:tcPr>
            <w:tcW w:w="981" w:type="dxa"/>
            <w:tcBorders>
              <w:top w:val="single" w:sz="8" w:space="0" w:color="auto"/>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Majorări</w:t>
            </w:r>
          </w:p>
        </w:tc>
        <w:tc>
          <w:tcPr>
            <w:tcW w:w="1017" w:type="dxa"/>
            <w:tcBorders>
              <w:top w:val="single" w:sz="8" w:space="0" w:color="auto"/>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Diminuări</w:t>
            </w:r>
          </w:p>
        </w:tc>
        <w:tc>
          <w:tcPr>
            <w:tcW w:w="968" w:type="dxa"/>
            <w:tcBorders>
              <w:top w:val="single" w:sz="8" w:space="0" w:color="auto"/>
              <w:left w:val="nil"/>
              <w:bottom w:val="single" w:sz="4" w:space="0" w:color="auto"/>
              <w:right w:val="single" w:sz="8"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Sold la</w:t>
            </w:r>
            <w:r w:rsidRPr="002E70D5">
              <w:rPr>
                <w:b/>
                <w:bCs/>
                <w:sz w:val="18"/>
                <w:szCs w:val="18"/>
                <w:lang w:eastAsia="ru-RU"/>
              </w:rPr>
              <w:br/>
              <w:t>sf</w:t>
            </w:r>
            <w:r>
              <w:rPr>
                <w:b/>
                <w:bCs/>
                <w:sz w:val="18"/>
                <w:szCs w:val="18"/>
                <w:lang w:eastAsia="ru-RU"/>
              </w:rPr>
              <w:t>â</w:t>
            </w:r>
            <w:r w:rsidRPr="002E70D5">
              <w:rPr>
                <w:b/>
                <w:bCs/>
                <w:sz w:val="18"/>
                <w:szCs w:val="18"/>
                <w:lang w:eastAsia="ru-RU"/>
              </w:rPr>
              <w:t>rșitul</w:t>
            </w:r>
            <w:r w:rsidRPr="002E70D5">
              <w:rPr>
                <w:b/>
                <w:bCs/>
                <w:sz w:val="18"/>
                <w:szCs w:val="18"/>
                <w:lang w:eastAsia="ru-RU"/>
              </w:rPr>
              <w:br/>
              <w:t>perioadei de</w:t>
            </w:r>
            <w:r w:rsidRPr="002E70D5">
              <w:rPr>
                <w:b/>
                <w:bCs/>
                <w:sz w:val="18"/>
                <w:szCs w:val="18"/>
                <w:lang w:eastAsia="ru-RU"/>
              </w:rPr>
              <w:br/>
              <w:t>gestiune</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1</w:t>
            </w: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jc w:val="center"/>
              <w:rPr>
                <w:b/>
                <w:bCs/>
                <w:sz w:val="18"/>
                <w:szCs w:val="18"/>
                <w:lang w:eastAsia="ru-RU"/>
              </w:rPr>
            </w:pPr>
            <w:r w:rsidRPr="002E70D5">
              <w:rPr>
                <w:b/>
                <w:bCs/>
                <w:sz w:val="18"/>
                <w:szCs w:val="18"/>
                <w:lang w:eastAsia="ru-RU"/>
              </w:rPr>
              <w:t>2</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3</w:t>
            </w:r>
          </w:p>
        </w:tc>
        <w:tc>
          <w:tcPr>
            <w:tcW w:w="1127" w:type="dxa"/>
            <w:tcBorders>
              <w:top w:val="nil"/>
              <w:left w:val="nil"/>
              <w:bottom w:val="single" w:sz="4" w:space="0" w:color="auto"/>
              <w:right w:val="single" w:sz="4" w:space="0" w:color="auto"/>
            </w:tcBorders>
            <w:vAlign w:val="bottom"/>
            <w:hideMark/>
          </w:tcPr>
          <w:p w:rsidR="00CD723B" w:rsidRPr="002E70D5" w:rsidRDefault="00CD723B" w:rsidP="004570B2">
            <w:pPr>
              <w:jc w:val="center"/>
              <w:rPr>
                <w:b/>
                <w:bCs/>
                <w:sz w:val="18"/>
                <w:szCs w:val="18"/>
                <w:lang w:eastAsia="ru-RU"/>
              </w:rPr>
            </w:pPr>
            <w:r w:rsidRPr="002E70D5">
              <w:rPr>
                <w:b/>
                <w:bCs/>
                <w:sz w:val="18"/>
                <w:szCs w:val="18"/>
                <w:lang w:eastAsia="ru-RU"/>
              </w:rPr>
              <w:t>4</w:t>
            </w:r>
          </w:p>
        </w:tc>
        <w:tc>
          <w:tcPr>
            <w:tcW w:w="981" w:type="dxa"/>
            <w:tcBorders>
              <w:top w:val="nil"/>
              <w:left w:val="nil"/>
              <w:bottom w:val="single" w:sz="4" w:space="0" w:color="auto"/>
              <w:right w:val="single" w:sz="4" w:space="0" w:color="auto"/>
            </w:tcBorders>
            <w:vAlign w:val="bottom"/>
            <w:hideMark/>
          </w:tcPr>
          <w:p w:rsidR="00CD723B" w:rsidRPr="002E70D5" w:rsidRDefault="00CD723B" w:rsidP="004570B2">
            <w:pPr>
              <w:jc w:val="center"/>
              <w:rPr>
                <w:b/>
                <w:bCs/>
                <w:sz w:val="18"/>
                <w:szCs w:val="18"/>
                <w:lang w:eastAsia="ru-RU"/>
              </w:rPr>
            </w:pPr>
            <w:r w:rsidRPr="002E70D5">
              <w:rPr>
                <w:b/>
                <w:bCs/>
                <w:sz w:val="18"/>
                <w:szCs w:val="18"/>
                <w:lang w:eastAsia="ru-RU"/>
              </w:rPr>
              <w:t>5</w:t>
            </w:r>
          </w:p>
        </w:tc>
        <w:tc>
          <w:tcPr>
            <w:tcW w:w="1017" w:type="dxa"/>
            <w:tcBorders>
              <w:top w:val="nil"/>
              <w:left w:val="nil"/>
              <w:bottom w:val="single" w:sz="4" w:space="0" w:color="auto"/>
              <w:right w:val="single" w:sz="4" w:space="0" w:color="auto"/>
            </w:tcBorders>
            <w:vAlign w:val="bottom"/>
            <w:hideMark/>
          </w:tcPr>
          <w:p w:rsidR="00CD723B" w:rsidRPr="002E70D5" w:rsidRDefault="00CD723B" w:rsidP="004570B2">
            <w:pPr>
              <w:jc w:val="center"/>
              <w:rPr>
                <w:b/>
                <w:bCs/>
                <w:sz w:val="18"/>
                <w:szCs w:val="18"/>
                <w:lang w:eastAsia="ru-RU"/>
              </w:rPr>
            </w:pPr>
            <w:r w:rsidRPr="002E70D5">
              <w:rPr>
                <w:b/>
                <w:bCs/>
                <w:sz w:val="18"/>
                <w:szCs w:val="18"/>
                <w:lang w:eastAsia="ru-RU"/>
              </w:rPr>
              <w:t>6</w:t>
            </w:r>
          </w:p>
        </w:tc>
        <w:tc>
          <w:tcPr>
            <w:tcW w:w="968" w:type="dxa"/>
            <w:tcBorders>
              <w:top w:val="nil"/>
              <w:left w:val="nil"/>
              <w:bottom w:val="single" w:sz="4" w:space="0" w:color="auto"/>
              <w:right w:val="single" w:sz="8" w:space="0" w:color="auto"/>
            </w:tcBorders>
            <w:vAlign w:val="bottom"/>
            <w:hideMark/>
          </w:tcPr>
          <w:p w:rsidR="00CD723B" w:rsidRPr="002E70D5" w:rsidRDefault="00CD723B" w:rsidP="004570B2">
            <w:pPr>
              <w:jc w:val="center"/>
              <w:rPr>
                <w:b/>
                <w:bCs/>
                <w:sz w:val="18"/>
                <w:szCs w:val="18"/>
                <w:lang w:eastAsia="ru-RU"/>
              </w:rPr>
            </w:pPr>
            <w:r w:rsidRPr="002E70D5">
              <w:rPr>
                <w:b/>
                <w:bCs/>
                <w:sz w:val="18"/>
                <w:szCs w:val="18"/>
                <w:lang w:eastAsia="ru-RU"/>
              </w:rPr>
              <w:t>7</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1.</w:t>
            </w: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b/>
                <w:bCs/>
                <w:sz w:val="18"/>
                <w:szCs w:val="18"/>
                <w:lang w:eastAsia="ru-RU"/>
              </w:rPr>
            </w:pPr>
            <w:r w:rsidRPr="002E70D5">
              <w:rPr>
                <w:b/>
                <w:bCs/>
                <w:sz w:val="18"/>
                <w:szCs w:val="18"/>
                <w:lang w:eastAsia="ru-RU"/>
              </w:rPr>
              <w:t>Capital social și suplimentar</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1127"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981"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1017"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968" w:type="dxa"/>
            <w:tcBorders>
              <w:top w:val="nil"/>
              <w:left w:val="nil"/>
              <w:bottom w:val="single" w:sz="4" w:space="0" w:color="auto"/>
              <w:right w:val="single" w:sz="8"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sz w:val="18"/>
                <w:szCs w:val="18"/>
                <w:lang w:eastAsia="ru-RU"/>
              </w:rPr>
            </w:pPr>
            <w:r w:rsidRPr="002E70D5">
              <w:rPr>
                <w:sz w:val="18"/>
                <w:szCs w:val="18"/>
                <w:lang w:eastAsia="ru-RU"/>
              </w:rPr>
              <w:t xml:space="preserve">Capital social </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010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0" w:name="RANGE!F8"/>
            <w:bookmarkEnd w:id="0"/>
            <w:r w:rsidRPr="002E70D5">
              <w:rPr>
                <w:sz w:val="18"/>
                <w:szCs w:val="18"/>
                <w:lang w:eastAsia="ru-RU"/>
              </w:rPr>
              <w:t>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rPr>
                <w:sz w:val="18"/>
                <w:szCs w:val="18"/>
                <w:lang w:eastAsia="ru-RU"/>
              </w:rPr>
            </w:pPr>
            <w:bookmarkStart w:id="1" w:name="RANGE!G8"/>
            <w:bookmarkEnd w:id="1"/>
            <w:r w:rsidRPr="002E70D5">
              <w:rPr>
                <w:sz w:val="18"/>
                <w:szCs w:val="18"/>
                <w:lang w:eastAsia="ru-RU"/>
              </w:rPr>
              <w:t xml:space="preserve"> </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sz w:val="18"/>
                <w:szCs w:val="18"/>
                <w:lang w:eastAsia="ru-RU"/>
              </w:rPr>
            </w:pPr>
            <w:r w:rsidRPr="002E70D5">
              <w:rPr>
                <w:sz w:val="18"/>
                <w:szCs w:val="18"/>
                <w:lang w:eastAsia="ru-RU"/>
              </w:rPr>
              <w:t>Capital suplimentar</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020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rPr>
                <w:sz w:val="18"/>
                <w:szCs w:val="18"/>
                <w:lang w:eastAsia="ru-RU"/>
              </w:rPr>
            </w:pP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sz w:val="18"/>
                <w:szCs w:val="18"/>
                <w:lang w:eastAsia="ru-RU"/>
              </w:rPr>
            </w:pPr>
            <w:r w:rsidRPr="002E70D5">
              <w:rPr>
                <w:sz w:val="18"/>
                <w:szCs w:val="18"/>
                <w:lang w:eastAsia="ru-RU"/>
              </w:rPr>
              <w:t>Capital nevărsat</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030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rPr>
                <w:sz w:val="18"/>
                <w:szCs w:val="18"/>
                <w:lang w:eastAsia="ru-RU"/>
              </w:rPr>
            </w:pP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sz w:val="18"/>
                <w:szCs w:val="18"/>
                <w:lang w:eastAsia="ru-RU"/>
              </w:rPr>
            </w:pPr>
            <w:r w:rsidRPr="002E70D5">
              <w:rPr>
                <w:sz w:val="18"/>
                <w:szCs w:val="18"/>
                <w:lang w:eastAsia="ru-RU"/>
              </w:rPr>
              <w:t>Capital neînregistrat</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040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2" w:name="RANGE!F9"/>
            <w:bookmarkEnd w:id="2"/>
            <w:r w:rsidRPr="002E70D5">
              <w:rPr>
                <w:sz w:val="18"/>
                <w:szCs w:val="18"/>
                <w:lang w:eastAsia="ru-RU"/>
              </w:rPr>
              <w:t>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b/>
                <w:bCs/>
                <w:sz w:val="18"/>
                <w:szCs w:val="18"/>
                <w:lang w:val="ro-RO" w:eastAsia="ru-RU"/>
              </w:rPr>
            </w:pP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sz w:val="18"/>
                <w:szCs w:val="18"/>
                <w:lang w:eastAsia="ru-RU"/>
              </w:rPr>
            </w:pPr>
            <w:r w:rsidRPr="002E70D5">
              <w:rPr>
                <w:sz w:val="18"/>
                <w:szCs w:val="18"/>
                <w:lang w:eastAsia="ru-RU"/>
              </w:rPr>
              <w:t>Capital retras</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050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b/>
                <w:bCs/>
                <w:sz w:val="18"/>
                <w:szCs w:val="18"/>
                <w:lang w:val="ro-RO" w:eastAsia="ru-RU"/>
              </w:rPr>
            </w:pP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rPr>
                <w:b/>
                <w:bCs/>
                <w:sz w:val="18"/>
                <w:szCs w:val="18"/>
                <w:lang w:eastAsia="ru-RU"/>
              </w:rPr>
            </w:pPr>
            <w:r w:rsidRPr="002E70D5">
              <w:rPr>
                <w:b/>
                <w:bCs/>
                <w:sz w:val="18"/>
                <w:szCs w:val="18"/>
                <w:lang w:eastAsia="ru-RU"/>
              </w:rPr>
              <w:t> </w:t>
            </w: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b/>
                <w:bCs/>
                <w:sz w:val="18"/>
                <w:szCs w:val="18"/>
                <w:lang w:eastAsia="ru-RU"/>
              </w:rPr>
            </w:pPr>
            <w:r w:rsidRPr="002E70D5">
              <w:rPr>
                <w:b/>
                <w:bCs/>
                <w:sz w:val="18"/>
                <w:szCs w:val="18"/>
                <w:lang w:eastAsia="ru-RU"/>
              </w:rPr>
              <w:t>Total capital social și suplimentar (rd.010+rd.020+rd.030+rd.040+rd.050)</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060</w:t>
            </w:r>
          </w:p>
        </w:tc>
        <w:tc>
          <w:tcPr>
            <w:tcW w:w="1127" w:type="dxa"/>
            <w:tcBorders>
              <w:top w:val="nil"/>
              <w:left w:val="nil"/>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xml:space="preserve"> </w:t>
            </w:r>
          </w:p>
        </w:tc>
        <w:tc>
          <w:tcPr>
            <w:tcW w:w="981" w:type="dxa"/>
            <w:tcBorders>
              <w:top w:val="nil"/>
              <w:left w:val="nil"/>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xml:space="preserve"> </w:t>
            </w:r>
          </w:p>
        </w:tc>
        <w:tc>
          <w:tcPr>
            <w:tcW w:w="1017" w:type="dxa"/>
            <w:tcBorders>
              <w:top w:val="nil"/>
              <w:left w:val="nil"/>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bookmarkStart w:id="3" w:name="RANGE!F10"/>
            <w:bookmarkEnd w:id="3"/>
            <w:r w:rsidRPr="002E70D5">
              <w:rPr>
                <w:b/>
                <w:bCs/>
                <w:sz w:val="18"/>
                <w:szCs w:val="18"/>
                <w:lang w:eastAsia="ru-RU"/>
              </w:rPr>
              <w:t xml:space="preserve">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b/>
                <w:bCs/>
                <w:sz w:val="18"/>
                <w:szCs w:val="18"/>
                <w:lang w:eastAsia="ru-RU"/>
              </w:rPr>
            </w:pPr>
            <w:bookmarkStart w:id="4" w:name="RANGE!G10"/>
            <w:bookmarkEnd w:id="4"/>
            <w:r w:rsidRPr="002E70D5">
              <w:rPr>
                <w:b/>
                <w:bCs/>
                <w:sz w:val="18"/>
                <w:szCs w:val="18"/>
                <w:lang w:eastAsia="ru-RU"/>
              </w:rPr>
              <w:t xml:space="preserve"> </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2.</w:t>
            </w: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b/>
                <w:bCs/>
                <w:sz w:val="18"/>
                <w:szCs w:val="18"/>
                <w:lang w:eastAsia="ru-RU"/>
              </w:rPr>
            </w:pPr>
            <w:r w:rsidRPr="002E70D5">
              <w:rPr>
                <w:b/>
                <w:bCs/>
                <w:sz w:val="18"/>
                <w:szCs w:val="18"/>
                <w:lang w:eastAsia="ru-RU"/>
              </w:rPr>
              <w:t xml:space="preserve">Rezerve </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1127"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981"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1017"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968" w:type="dxa"/>
            <w:tcBorders>
              <w:top w:val="nil"/>
              <w:left w:val="nil"/>
              <w:bottom w:val="single" w:sz="4" w:space="0" w:color="auto"/>
              <w:right w:val="single" w:sz="8"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bCs/>
                <w:sz w:val="18"/>
                <w:szCs w:val="18"/>
                <w:lang w:eastAsia="ru-RU"/>
              </w:rPr>
            </w:pPr>
            <w:r w:rsidRPr="002E70D5">
              <w:rPr>
                <w:bCs/>
                <w:sz w:val="18"/>
                <w:szCs w:val="18"/>
                <w:lang w:eastAsia="ru-RU"/>
              </w:rPr>
              <w:t>Capital de rezervă</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bCs/>
                <w:sz w:val="18"/>
                <w:szCs w:val="18"/>
                <w:lang w:eastAsia="ru-RU"/>
              </w:rPr>
            </w:pPr>
            <w:r w:rsidRPr="002E70D5">
              <w:rPr>
                <w:bCs/>
                <w:sz w:val="18"/>
                <w:szCs w:val="18"/>
                <w:lang w:eastAsia="ru-RU"/>
              </w:rPr>
              <w:t>070</w:t>
            </w:r>
          </w:p>
        </w:tc>
        <w:tc>
          <w:tcPr>
            <w:tcW w:w="1127"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p>
        </w:tc>
        <w:tc>
          <w:tcPr>
            <w:tcW w:w="981"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p>
        </w:tc>
        <w:tc>
          <w:tcPr>
            <w:tcW w:w="1017"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p>
        </w:tc>
        <w:tc>
          <w:tcPr>
            <w:tcW w:w="968" w:type="dxa"/>
            <w:tcBorders>
              <w:top w:val="nil"/>
              <w:left w:val="nil"/>
              <w:bottom w:val="single" w:sz="4" w:space="0" w:color="auto"/>
              <w:right w:val="single" w:sz="8" w:space="0" w:color="auto"/>
            </w:tcBorders>
            <w:vAlign w:val="center"/>
            <w:hideMark/>
          </w:tcPr>
          <w:p w:rsidR="00CD723B" w:rsidRPr="002E70D5" w:rsidRDefault="00CD723B" w:rsidP="004570B2">
            <w:pPr>
              <w:jc w:val="center"/>
              <w:rPr>
                <w:b/>
                <w:bCs/>
                <w:sz w:val="18"/>
                <w:szCs w:val="18"/>
                <w:lang w:eastAsia="ru-RU"/>
              </w:rPr>
            </w:pP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sz w:val="18"/>
                <w:szCs w:val="18"/>
                <w:lang w:eastAsia="ru-RU"/>
              </w:rPr>
            </w:pPr>
            <w:r w:rsidRPr="002E70D5">
              <w:rPr>
                <w:sz w:val="18"/>
                <w:szCs w:val="18"/>
                <w:lang w:eastAsia="ru-RU"/>
              </w:rPr>
              <w:t>Rezerve statutare</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080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5" w:name="RANGE!F12"/>
            <w:bookmarkEnd w:id="5"/>
            <w:r w:rsidRPr="002E70D5">
              <w:rPr>
                <w:sz w:val="18"/>
                <w:szCs w:val="18"/>
                <w:lang w:eastAsia="ru-RU"/>
              </w:rPr>
              <w:t>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sz w:val="18"/>
                <w:szCs w:val="18"/>
                <w:lang w:eastAsia="ru-RU"/>
              </w:rPr>
            </w:pPr>
            <w:bookmarkStart w:id="6" w:name="RANGE!G12"/>
            <w:bookmarkEnd w:id="6"/>
            <w:r w:rsidRPr="002E70D5">
              <w:rPr>
                <w:sz w:val="18"/>
                <w:szCs w:val="18"/>
                <w:lang w:eastAsia="ru-RU"/>
              </w:rPr>
              <w:t xml:space="preserve"> </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sz w:val="18"/>
                <w:szCs w:val="18"/>
                <w:lang w:eastAsia="ru-RU"/>
              </w:rPr>
            </w:pPr>
            <w:r w:rsidRPr="002E70D5">
              <w:rPr>
                <w:sz w:val="18"/>
                <w:szCs w:val="18"/>
                <w:lang w:eastAsia="ru-RU"/>
              </w:rPr>
              <w:t>Alte rezerve</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090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sz w:val="18"/>
                <w:szCs w:val="18"/>
                <w:lang w:eastAsia="ru-RU"/>
              </w:rPr>
            </w:pP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b/>
                <w:sz w:val="18"/>
                <w:szCs w:val="18"/>
                <w:lang w:eastAsia="ru-RU"/>
              </w:rPr>
            </w:pPr>
            <w:r w:rsidRPr="002E70D5">
              <w:rPr>
                <w:b/>
                <w:sz w:val="18"/>
                <w:szCs w:val="18"/>
                <w:lang w:eastAsia="ru-RU"/>
              </w:rPr>
              <w:t>Total rezerve (rd.070+rd.080+rd.090)</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sz w:val="18"/>
                <w:szCs w:val="18"/>
                <w:lang w:eastAsia="ru-RU"/>
              </w:rPr>
            </w:pPr>
            <w:r w:rsidRPr="002E70D5">
              <w:rPr>
                <w:b/>
                <w:sz w:val="18"/>
                <w:szCs w:val="18"/>
                <w:lang w:eastAsia="ru-RU"/>
              </w:rPr>
              <w:t>100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sz w:val="18"/>
                <w:szCs w:val="18"/>
                <w:lang w:eastAsia="ru-RU"/>
              </w:rPr>
            </w:pP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3</w:t>
            </w: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sz w:val="18"/>
                <w:szCs w:val="18"/>
                <w:lang w:eastAsia="ru-RU"/>
              </w:rPr>
            </w:pPr>
            <w:r w:rsidRPr="002E70D5">
              <w:rPr>
                <w:b/>
                <w:bCs/>
                <w:sz w:val="18"/>
                <w:szCs w:val="18"/>
                <w:lang w:eastAsia="ru-RU"/>
              </w:rPr>
              <w:t>Profit nerepartizat (pierdere neacoperită)</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sz w:val="18"/>
                <w:szCs w:val="18"/>
                <w:lang w:eastAsia="ru-RU"/>
              </w:rPr>
            </w:pP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sz w:val="18"/>
                <w:szCs w:val="18"/>
                <w:lang w:eastAsia="ru-RU"/>
              </w:rPr>
            </w:pPr>
            <w:r w:rsidRPr="002E70D5">
              <w:rPr>
                <w:sz w:val="18"/>
                <w:szCs w:val="18"/>
                <w:lang w:eastAsia="ru-RU"/>
              </w:rPr>
              <w:t>Corecţii ale rezultatelor anilor precedenţi</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110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7" w:name="RANGE!E13"/>
            <w:bookmarkEnd w:id="7"/>
            <w:r w:rsidRPr="002E70D5">
              <w:rPr>
                <w:sz w:val="18"/>
                <w:szCs w:val="18"/>
                <w:lang w:eastAsia="ru-RU"/>
              </w:rPr>
              <w:t> </w:t>
            </w: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8" w:name="RANGE!F13"/>
            <w:bookmarkEnd w:id="8"/>
            <w:r w:rsidRPr="002E70D5">
              <w:rPr>
                <w:sz w:val="18"/>
                <w:szCs w:val="18"/>
                <w:lang w:eastAsia="ru-RU"/>
              </w:rPr>
              <w:t>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sz w:val="18"/>
                <w:szCs w:val="18"/>
                <w:lang w:eastAsia="ru-RU"/>
              </w:rPr>
            </w:pPr>
            <w:bookmarkStart w:id="9" w:name="RANGE!G13"/>
            <w:bookmarkEnd w:id="9"/>
            <w:r w:rsidRPr="002E70D5">
              <w:rPr>
                <w:sz w:val="18"/>
                <w:szCs w:val="18"/>
                <w:lang w:eastAsia="ru-RU"/>
              </w:rPr>
              <w:t xml:space="preserve"> </w:t>
            </w:r>
          </w:p>
        </w:tc>
      </w:tr>
      <w:tr w:rsidR="00CD723B" w:rsidRPr="002E70D5" w:rsidTr="004570B2">
        <w:trPr>
          <w:trHeight w:val="510"/>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sz w:val="18"/>
                <w:szCs w:val="18"/>
                <w:lang w:eastAsia="ru-RU"/>
              </w:rPr>
            </w:pPr>
            <w:r w:rsidRPr="002E70D5">
              <w:rPr>
                <w:sz w:val="18"/>
                <w:szCs w:val="18"/>
                <w:lang w:eastAsia="ru-RU"/>
              </w:rPr>
              <w:t>Profit nerepartizat (pierdere neacoperită) al</w:t>
            </w:r>
            <w:r>
              <w:rPr>
                <w:sz w:val="18"/>
                <w:szCs w:val="18"/>
                <w:lang w:eastAsia="ru-RU"/>
              </w:rPr>
              <w:t>/a</w:t>
            </w:r>
            <w:r w:rsidRPr="002E70D5">
              <w:rPr>
                <w:sz w:val="18"/>
                <w:szCs w:val="18"/>
                <w:lang w:eastAsia="ru-RU"/>
              </w:rPr>
              <w:t xml:space="preserve"> anilor precedenţi</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120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10" w:name="RANGE!E14"/>
            <w:bookmarkEnd w:id="10"/>
            <w:r w:rsidRPr="002E70D5">
              <w:rPr>
                <w:sz w:val="18"/>
                <w:szCs w:val="18"/>
                <w:lang w:eastAsia="ru-RU"/>
              </w:rPr>
              <w:t> </w:t>
            </w: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11" w:name="RANGE!F14"/>
            <w:bookmarkEnd w:id="11"/>
            <w:r w:rsidRPr="002E70D5">
              <w:rPr>
                <w:sz w:val="18"/>
                <w:szCs w:val="18"/>
                <w:lang w:eastAsia="ru-RU"/>
              </w:rPr>
              <w:t>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sz w:val="18"/>
                <w:szCs w:val="18"/>
                <w:lang w:eastAsia="ru-RU"/>
              </w:rPr>
            </w:pPr>
            <w:bookmarkStart w:id="12" w:name="RANGE!G14"/>
            <w:bookmarkEnd w:id="12"/>
            <w:r w:rsidRPr="002E70D5">
              <w:rPr>
                <w:sz w:val="18"/>
                <w:szCs w:val="18"/>
                <w:lang w:eastAsia="ru-RU"/>
              </w:rPr>
              <w:t xml:space="preserve"> </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sz w:val="18"/>
                <w:szCs w:val="18"/>
                <w:lang w:eastAsia="ru-RU"/>
              </w:rPr>
            </w:pPr>
            <w:r w:rsidRPr="002E70D5">
              <w:rPr>
                <w:sz w:val="18"/>
                <w:szCs w:val="18"/>
                <w:lang w:eastAsia="ru-RU"/>
              </w:rPr>
              <w:t>Profit net (pierdere netă) al</w:t>
            </w:r>
            <w:r>
              <w:rPr>
                <w:sz w:val="18"/>
                <w:szCs w:val="18"/>
                <w:lang w:eastAsia="ru-RU"/>
              </w:rPr>
              <w:t>/a</w:t>
            </w:r>
            <w:r w:rsidRPr="002E70D5">
              <w:rPr>
                <w:sz w:val="18"/>
                <w:szCs w:val="18"/>
                <w:lang w:eastAsia="ru-RU"/>
              </w:rPr>
              <w:t xml:space="preserve"> perioadei de gestiune</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130</w:t>
            </w:r>
          </w:p>
        </w:tc>
        <w:tc>
          <w:tcPr>
            <w:tcW w:w="1127" w:type="dxa"/>
            <w:tcBorders>
              <w:top w:val="nil"/>
              <w:left w:val="nil"/>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x</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13" w:name="RANGE!F15"/>
            <w:bookmarkEnd w:id="13"/>
            <w:r w:rsidRPr="002E70D5">
              <w:rPr>
                <w:sz w:val="18"/>
                <w:szCs w:val="18"/>
                <w:lang w:eastAsia="ru-RU"/>
              </w:rPr>
              <w:t>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sz w:val="18"/>
                <w:szCs w:val="18"/>
                <w:lang w:eastAsia="ru-RU"/>
              </w:rPr>
            </w:pPr>
            <w:bookmarkStart w:id="14" w:name="RANGE!G15"/>
            <w:bookmarkEnd w:id="14"/>
            <w:r w:rsidRPr="002E70D5">
              <w:rPr>
                <w:sz w:val="18"/>
                <w:szCs w:val="18"/>
                <w:lang w:eastAsia="ru-RU"/>
              </w:rPr>
              <w:t xml:space="preserve"> </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sz w:val="18"/>
                <w:szCs w:val="18"/>
                <w:lang w:eastAsia="ru-RU"/>
              </w:rPr>
            </w:pPr>
            <w:r w:rsidRPr="002E70D5">
              <w:rPr>
                <w:sz w:val="18"/>
                <w:szCs w:val="18"/>
                <w:lang w:eastAsia="ru-RU"/>
              </w:rPr>
              <w:t>Profit utilizat al perioadei de gestiune</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sz w:val="18"/>
                <w:szCs w:val="18"/>
                <w:lang w:eastAsia="ru-RU"/>
              </w:rPr>
            </w:pPr>
            <w:r w:rsidRPr="002E70D5">
              <w:rPr>
                <w:sz w:val="18"/>
                <w:szCs w:val="18"/>
                <w:lang w:eastAsia="ru-RU"/>
              </w:rPr>
              <w:t>140</w:t>
            </w:r>
          </w:p>
        </w:tc>
        <w:tc>
          <w:tcPr>
            <w:tcW w:w="1127" w:type="dxa"/>
            <w:tcBorders>
              <w:top w:val="nil"/>
              <w:left w:val="nil"/>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x</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r w:rsidRPr="002E70D5">
              <w:rPr>
                <w:sz w:val="18"/>
                <w:szCs w:val="18"/>
                <w:lang w:eastAsia="ru-RU"/>
              </w:rPr>
              <w:t> </w:t>
            </w: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sz w:val="18"/>
                <w:szCs w:val="18"/>
                <w:lang w:eastAsia="ru-RU"/>
              </w:rPr>
            </w:pPr>
            <w:bookmarkStart w:id="15" w:name="RANGE!F16"/>
            <w:bookmarkEnd w:id="15"/>
            <w:r w:rsidRPr="002E70D5">
              <w:rPr>
                <w:sz w:val="18"/>
                <w:szCs w:val="18"/>
                <w:lang w:eastAsia="ru-RU"/>
              </w:rPr>
              <w:t>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sz w:val="18"/>
                <w:szCs w:val="18"/>
                <w:lang w:eastAsia="ru-RU"/>
              </w:rPr>
            </w:pPr>
            <w:bookmarkStart w:id="16" w:name="RANGE!G16"/>
            <w:bookmarkEnd w:id="16"/>
            <w:r w:rsidRPr="002E70D5">
              <w:rPr>
                <w:sz w:val="18"/>
                <w:szCs w:val="18"/>
                <w:lang w:eastAsia="ru-RU"/>
              </w:rPr>
              <w:t xml:space="preserve"> </w:t>
            </w:r>
          </w:p>
        </w:tc>
      </w:tr>
      <w:tr w:rsidR="00CD723B" w:rsidRPr="002E70D5" w:rsidTr="004570B2">
        <w:trPr>
          <w:trHeight w:val="510"/>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3895" w:type="dxa"/>
            <w:tcBorders>
              <w:top w:val="nil"/>
              <w:left w:val="nil"/>
              <w:bottom w:val="single" w:sz="4" w:space="0" w:color="auto"/>
              <w:right w:val="single" w:sz="4" w:space="0" w:color="auto"/>
            </w:tcBorders>
            <w:vAlign w:val="center"/>
            <w:hideMark/>
          </w:tcPr>
          <w:p w:rsidR="00CD723B" w:rsidRPr="002E70D5" w:rsidRDefault="00CD723B" w:rsidP="004570B2">
            <w:pPr>
              <w:rPr>
                <w:b/>
                <w:bCs/>
                <w:sz w:val="18"/>
                <w:szCs w:val="18"/>
                <w:lang w:eastAsia="ru-RU"/>
              </w:rPr>
            </w:pPr>
            <w:r w:rsidRPr="002E70D5">
              <w:rPr>
                <w:b/>
                <w:bCs/>
                <w:sz w:val="18"/>
                <w:szCs w:val="18"/>
                <w:lang w:eastAsia="ru-RU"/>
              </w:rPr>
              <w:t>Total rezerve şi profit nerepartizat (pierdere neacoperită)(rd.110+rd.120+rd.130+rd.140)</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150</w:t>
            </w:r>
          </w:p>
        </w:tc>
        <w:tc>
          <w:tcPr>
            <w:tcW w:w="1127" w:type="dxa"/>
            <w:tcBorders>
              <w:top w:val="nil"/>
              <w:left w:val="nil"/>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xml:space="preserve"> </w:t>
            </w:r>
          </w:p>
        </w:tc>
        <w:tc>
          <w:tcPr>
            <w:tcW w:w="981" w:type="dxa"/>
            <w:tcBorders>
              <w:top w:val="nil"/>
              <w:left w:val="nil"/>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xml:space="preserve"> </w:t>
            </w:r>
          </w:p>
        </w:tc>
        <w:tc>
          <w:tcPr>
            <w:tcW w:w="1017" w:type="dxa"/>
            <w:tcBorders>
              <w:top w:val="nil"/>
              <w:left w:val="nil"/>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bookmarkStart w:id="17" w:name="RANGE!F17"/>
            <w:bookmarkEnd w:id="17"/>
            <w:r w:rsidRPr="002E70D5">
              <w:rPr>
                <w:b/>
                <w:bCs/>
                <w:sz w:val="18"/>
                <w:szCs w:val="18"/>
                <w:lang w:eastAsia="ru-RU"/>
              </w:rPr>
              <w:t xml:space="preserve">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b/>
                <w:bCs/>
                <w:sz w:val="18"/>
                <w:szCs w:val="18"/>
                <w:lang w:eastAsia="ru-RU"/>
              </w:rPr>
            </w:pPr>
            <w:bookmarkStart w:id="18" w:name="RANGE!G17"/>
            <w:bookmarkEnd w:id="18"/>
            <w:r w:rsidRPr="002E70D5">
              <w:rPr>
                <w:b/>
                <w:bCs/>
                <w:sz w:val="18"/>
                <w:szCs w:val="18"/>
                <w:lang w:eastAsia="ru-RU"/>
              </w:rPr>
              <w:t xml:space="preserve"> </w:t>
            </w:r>
          </w:p>
        </w:tc>
      </w:tr>
      <w:tr w:rsidR="00CD723B" w:rsidRPr="002E70D5" w:rsidTr="004570B2">
        <w:trPr>
          <w:trHeight w:val="255"/>
        </w:trPr>
        <w:tc>
          <w:tcPr>
            <w:tcW w:w="500" w:type="dxa"/>
            <w:tcBorders>
              <w:top w:val="nil"/>
              <w:left w:val="single" w:sz="8" w:space="0" w:color="auto"/>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3.</w:t>
            </w:r>
          </w:p>
        </w:tc>
        <w:tc>
          <w:tcPr>
            <w:tcW w:w="3895" w:type="dxa"/>
            <w:tcBorders>
              <w:top w:val="nil"/>
              <w:left w:val="nil"/>
              <w:bottom w:val="single" w:sz="4" w:space="0" w:color="auto"/>
              <w:right w:val="single" w:sz="4" w:space="0" w:color="auto"/>
            </w:tcBorders>
            <w:vAlign w:val="bottom"/>
            <w:hideMark/>
          </w:tcPr>
          <w:p w:rsidR="00CD723B" w:rsidRPr="002E70D5" w:rsidRDefault="00CD723B" w:rsidP="004570B2">
            <w:pPr>
              <w:rPr>
                <w:b/>
                <w:bCs/>
                <w:sz w:val="18"/>
                <w:szCs w:val="18"/>
                <w:lang w:eastAsia="ru-RU"/>
              </w:rPr>
            </w:pPr>
            <w:r w:rsidRPr="002E70D5">
              <w:rPr>
                <w:b/>
                <w:bCs/>
                <w:sz w:val="18"/>
                <w:szCs w:val="18"/>
                <w:lang w:eastAsia="ru-RU"/>
              </w:rPr>
              <w:t>Alte elemente de capital propriu</w:t>
            </w:r>
          </w:p>
        </w:tc>
        <w:tc>
          <w:tcPr>
            <w:tcW w:w="868" w:type="dxa"/>
            <w:tcBorders>
              <w:top w:val="nil"/>
              <w:left w:val="nil"/>
              <w:bottom w:val="single" w:sz="4"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160</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w:t>
            </w:r>
          </w:p>
        </w:tc>
        <w:tc>
          <w:tcPr>
            <w:tcW w:w="1017" w:type="dxa"/>
            <w:tcBorders>
              <w:top w:val="single" w:sz="4" w:space="0" w:color="auto"/>
              <w:left w:val="single" w:sz="4" w:space="0" w:color="auto"/>
              <w:bottom w:val="single" w:sz="4" w:space="0" w:color="auto"/>
              <w:right w:val="single" w:sz="4" w:space="0" w:color="auto"/>
            </w:tcBorders>
            <w:noWrap/>
            <w:vAlign w:val="center"/>
            <w:hideMark/>
          </w:tcPr>
          <w:p w:rsidR="00CD723B" w:rsidRPr="002E70D5" w:rsidRDefault="00CD723B" w:rsidP="004570B2">
            <w:pPr>
              <w:jc w:val="center"/>
              <w:rPr>
                <w:b/>
                <w:bCs/>
                <w:sz w:val="18"/>
                <w:szCs w:val="18"/>
                <w:lang w:eastAsia="ru-RU"/>
              </w:rPr>
            </w:pPr>
            <w:bookmarkStart w:id="19" w:name="RANGE!F18"/>
            <w:bookmarkEnd w:id="19"/>
            <w:r w:rsidRPr="002E70D5">
              <w:rPr>
                <w:b/>
                <w:bCs/>
                <w:sz w:val="18"/>
                <w:szCs w:val="18"/>
                <w:lang w:eastAsia="ru-RU"/>
              </w:rPr>
              <w:t> </w:t>
            </w:r>
          </w:p>
        </w:tc>
        <w:tc>
          <w:tcPr>
            <w:tcW w:w="968" w:type="dxa"/>
            <w:tcBorders>
              <w:top w:val="nil"/>
              <w:left w:val="nil"/>
              <w:bottom w:val="single" w:sz="4" w:space="0" w:color="auto"/>
              <w:right w:val="single" w:sz="8" w:space="0" w:color="auto"/>
            </w:tcBorders>
            <w:noWrap/>
            <w:vAlign w:val="center"/>
            <w:hideMark/>
          </w:tcPr>
          <w:p w:rsidR="00CD723B" w:rsidRPr="002E70D5" w:rsidRDefault="00CD723B" w:rsidP="004570B2">
            <w:pPr>
              <w:jc w:val="center"/>
              <w:rPr>
                <w:b/>
                <w:bCs/>
                <w:sz w:val="18"/>
                <w:szCs w:val="18"/>
                <w:lang w:eastAsia="ru-RU"/>
              </w:rPr>
            </w:pPr>
            <w:bookmarkStart w:id="20" w:name="RANGE!G18"/>
            <w:bookmarkEnd w:id="20"/>
            <w:r w:rsidRPr="002E70D5">
              <w:rPr>
                <w:b/>
                <w:bCs/>
                <w:sz w:val="18"/>
                <w:szCs w:val="18"/>
                <w:lang w:eastAsia="ru-RU"/>
              </w:rPr>
              <w:t xml:space="preserve"> </w:t>
            </w:r>
          </w:p>
        </w:tc>
      </w:tr>
      <w:tr w:rsidR="00CD723B" w:rsidRPr="002E70D5" w:rsidTr="004570B2">
        <w:trPr>
          <w:trHeight w:val="270"/>
        </w:trPr>
        <w:tc>
          <w:tcPr>
            <w:tcW w:w="500" w:type="dxa"/>
            <w:tcBorders>
              <w:top w:val="nil"/>
              <w:left w:val="single" w:sz="8" w:space="0" w:color="auto"/>
              <w:bottom w:val="single" w:sz="8"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4.</w:t>
            </w:r>
          </w:p>
        </w:tc>
        <w:tc>
          <w:tcPr>
            <w:tcW w:w="3895" w:type="dxa"/>
            <w:tcBorders>
              <w:top w:val="nil"/>
              <w:left w:val="nil"/>
              <w:bottom w:val="single" w:sz="8" w:space="0" w:color="auto"/>
              <w:right w:val="single" w:sz="4" w:space="0" w:color="auto"/>
            </w:tcBorders>
            <w:shd w:val="clear" w:color="000000" w:fill="FFFFFF"/>
            <w:vAlign w:val="center"/>
            <w:hideMark/>
          </w:tcPr>
          <w:p w:rsidR="00CD723B" w:rsidRPr="002E70D5" w:rsidRDefault="00CD723B" w:rsidP="004570B2">
            <w:pPr>
              <w:rPr>
                <w:b/>
                <w:bCs/>
                <w:sz w:val="18"/>
                <w:szCs w:val="18"/>
                <w:lang w:eastAsia="ru-RU"/>
              </w:rPr>
            </w:pPr>
            <w:r w:rsidRPr="002E70D5">
              <w:rPr>
                <w:b/>
                <w:bCs/>
                <w:sz w:val="18"/>
                <w:szCs w:val="18"/>
                <w:lang w:eastAsia="ru-RU"/>
              </w:rPr>
              <w:t>Total capital propriu (rd.060+rd.100+rd. 150+rd.160)</w:t>
            </w:r>
          </w:p>
        </w:tc>
        <w:tc>
          <w:tcPr>
            <w:tcW w:w="868" w:type="dxa"/>
            <w:tcBorders>
              <w:top w:val="nil"/>
              <w:left w:val="nil"/>
              <w:bottom w:val="single" w:sz="8" w:space="0" w:color="auto"/>
              <w:right w:val="single" w:sz="4" w:space="0" w:color="auto"/>
            </w:tcBorders>
            <w:vAlign w:val="center"/>
            <w:hideMark/>
          </w:tcPr>
          <w:p w:rsidR="00CD723B" w:rsidRPr="002E70D5" w:rsidRDefault="00CD723B" w:rsidP="004570B2">
            <w:pPr>
              <w:jc w:val="center"/>
              <w:rPr>
                <w:b/>
                <w:bCs/>
                <w:sz w:val="18"/>
                <w:szCs w:val="18"/>
                <w:lang w:eastAsia="ru-RU"/>
              </w:rPr>
            </w:pPr>
            <w:r w:rsidRPr="002E70D5">
              <w:rPr>
                <w:b/>
                <w:bCs/>
                <w:sz w:val="18"/>
                <w:szCs w:val="18"/>
                <w:lang w:eastAsia="ru-RU"/>
              </w:rPr>
              <w:t>170</w:t>
            </w:r>
          </w:p>
        </w:tc>
        <w:tc>
          <w:tcPr>
            <w:tcW w:w="1127" w:type="dxa"/>
            <w:tcBorders>
              <w:top w:val="nil"/>
              <w:left w:val="nil"/>
              <w:bottom w:val="single" w:sz="8" w:space="0" w:color="auto"/>
              <w:right w:val="single" w:sz="4" w:space="0" w:color="auto"/>
            </w:tcBorders>
            <w:noWrap/>
            <w:vAlign w:val="center"/>
            <w:hideMark/>
          </w:tcPr>
          <w:p w:rsidR="00CD723B" w:rsidRPr="002E70D5" w:rsidRDefault="00CD723B" w:rsidP="004570B2">
            <w:pPr>
              <w:jc w:val="center"/>
              <w:rPr>
                <w:b/>
                <w:bCs/>
                <w:sz w:val="18"/>
                <w:szCs w:val="18"/>
                <w:lang w:eastAsia="ru-RU"/>
              </w:rPr>
            </w:pPr>
            <w:r w:rsidRPr="002E70D5">
              <w:rPr>
                <w:b/>
                <w:bCs/>
                <w:sz w:val="18"/>
                <w:szCs w:val="18"/>
                <w:lang w:eastAsia="ru-RU"/>
              </w:rPr>
              <w:t xml:space="preserve"> </w:t>
            </w:r>
          </w:p>
        </w:tc>
        <w:tc>
          <w:tcPr>
            <w:tcW w:w="981" w:type="dxa"/>
            <w:tcBorders>
              <w:top w:val="nil"/>
              <w:left w:val="nil"/>
              <w:bottom w:val="single" w:sz="8" w:space="0" w:color="auto"/>
              <w:right w:val="single" w:sz="4" w:space="0" w:color="auto"/>
            </w:tcBorders>
            <w:noWrap/>
            <w:vAlign w:val="center"/>
            <w:hideMark/>
          </w:tcPr>
          <w:p w:rsidR="00CD723B" w:rsidRPr="002E70D5" w:rsidRDefault="00CD723B" w:rsidP="004570B2">
            <w:pPr>
              <w:jc w:val="center"/>
              <w:rPr>
                <w:b/>
                <w:bCs/>
                <w:sz w:val="18"/>
                <w:szCs w:val="18"/>
                <w:lang w:eastAsia="ru-RU"/>
              </w:rPr>
            </w:pPr>
            <w:bookmarkStart w:id="21" w:name="RANGE!E19"/>
            <w:bookmarkEnd w:id="21"/>
            <w:r w:rsidRPr="002E70D5">
              <w:rPr>
                <w:b/>
                <w:bCs/>
                <w:sz w:val="18"/>
                <w:szCs w:val="18"/>
                <w:lang w:eastAsia="ru-RU"/>
              </w:rPr>
              <w:t xml:space="preserve"> </w:t>
            </w:r>
          </w:p>
        </w:tc>
        <w:tc>
          <w:tcPr>
            <w:tcW w:w="1017" w:type="dxa"/>
            <w:tcBorders>
              <w:top w:val="nil"/>
              <w:left w:val="nil"/>
              <w:bottom w:val="single" w:sz="8" w:space="0" w:color="auto"/>
              <w:right w:val="single" w:sz="4" w:space="0" w:color="auto"/>
            </w:tcBorders>
            <w:noWrap/>
            <w:vAlign w:val="center"/>
            <w:hideMark/>
          </w:tcPr>
          <w:p w:rsidR="00CD723B" w:rsidRPr="002E70D5" w:rsidRDefault="00CD723B" w:rsidP="004570B2">
            <w:pPr>
              <w:jc w:val="center"/>
              <w:rPr>
                <w:b/>
                <w:bCs/>
                <w:sz w:val="18"/>
                <w:szCs w:val="18"/>
                <w:lang w:eastAsia="ru-RU"/>
              </w:rPr>
            </w:pPr>
            <w:bookmarkStart w:id="22" w:name="RANGE!F19"/>
            <w:bookmarkEnd w:id="22"/>
            <w:r w:rsidRPr="002E70D5">
              <w:rPr>
                <w:b/>
                <w:bCs/>
                <w:sz w:val="18"/>
                <w:szCs w:val="18"/>
                <w:lang w:eastAsia="ru-RU"/>
              </w:rPr>
              <w:t xml:space="preserve"> </w:t>
            </w:r>
          </w:p>
        </w:tc>
        <w:tc>
          <w:tcPr>
            <w:tcW w:w="968" w:type="dxa"/>
            <w:tcBorders>
              <w:top w:val="nil"/>
              <w:left w:val="nil"/>
              <w:bottom w:val="single" w:sz="8" w:space="0" w:color="auto"/>
              <w:right w:val="single" w:sz="8" w:space="0" w:color="auto"/>
            </w:tcBorders>
            <w:noWrap/>
            <w:vAlign w:val="center"/>
            <w:hideMark/>
          </w:tcPr>
          <w:p w:rsidR="00CD723B" w:rsidRPr="002E70D5" w:rsidRDefault="00CD723B" w:rsidP="004570B2">
            <w:pPr>
              <w:jc w:val="center"/>
              <w:rPr>
                <w:b/>
                <w:bCs/>
                <w:sz w:val="18"/>
                <w:szCs w:val="18"/>
                <w:lang w:eastAsia="ru-RU"/>
              </w:rPr>
            </w:pPr>
            <w:bookmarkStart w:id="23" w:name="RANGE!G19"/>
            <w:bookmarkEnd w:id="23"/>
            <w:r w:rsidRPr="002E70D5">
              <w:rPr>
                <w:b/>
                <w:bCs/>
                <w:sz w:val="18"/>
                <w:szCs w:val="18"/>
                <w:lang w:eastAsia="ru-RU"/>
              </w:rPr>
              <w:t xml:space="preserve"> </w:t>
            </w:r>
          </w:p>
        </w:tc>
      </w:tr>
    </w:tbl>
    <w:p w:rsidR="000D3E31" w:rsidRDefault="000D3E31" w:rsidP="00CD723B">
      <w:pPr>
        <w:jc w:val="center"/>
        <w:rPr>
          <w:b/>
          <w:sz w:val="28"/>
          <w:szCs w:val="28"/>
          <w:lang w:val="ro-MO"/>
        </w:rPr>
      </w:pPr>
    </w:p>
    <w:p w:rsidR="000D3E31" w:rsidRDefault="000D3E31">
      <w:pPr>
        <w:spacing w:after="200" w:line="276" w:lineRule="auto"/>
        <w:rPr>
          <w:b/>
          <w:sz w:val="28"/>
          <w:szCs w:val="28"/>
          <w:lang w:val="ro-MO"/>
        </w:rPr>
      </w:pPr>
      <w:r>
        <w:rPr>
          <w:b/>
          <w:sz w:val="28"/>
          <w:szCs w:val="28"/>
          <w:lang w:val="ro-MO"/>
        </w:rPr>
        <w:br w:type="page"/>
      </w:r>
    </w:p>
    <w:p w:rsidR="00CD723B" w:rsidRPr="002819A5" w:rsidRDefault="00CD723B" w:rsidP="00CD723B">
      <w:pPr>
        <w:jc w:val="center"/>
        <w:rPr>
          <w:b/>
          <w:sz w:val="28"/>
          <w:szCs w:val="28"/>
          <w:lang w:val="ro-MO"/>
        </w:rPr>
      </w:pPr>
      <w:r w:rsidRPr="002819A5">
        <w:rPr>
          <w:b/>
          <w:sz w:val="28"/>
          <w:szCs w:val="28"/>
          <w:lang w:val="ro-MO"/>
        </w:rPr>
        <w:lastRenderedPageBreak/>
        <w:t xml:space="preserve">Structura și </w:t>
      </w:r>
      <w:r>
        <w:rPr>
          <w:b/>
          <w:sz w:val="28"/>
          <w:szCs w:val="28"/>
          <w:lang w:val="ro-MO"/>
        </w:rPr>
        <w:t>m</w:t>
      </w:r>
      <w:r w:rsidRPr="002819A5">
        <w:rPr>
          <w:b/>
          <w:sz w:val="28"/>
          <w:szCs w:val="28"/>
          <w:lang w:val="ro-MO"/>
        </w:rPr>
        <w:t>odul de întocmire</w:t>
      </w:r>
    </w:p>
    <w:p w:rsidR="00CD723B" w:rsidRPr="002819A5" w:rsidRDefault="00CD723B" w:rsidP="00CD723B">
      <w:pPr>
        <w:tabs>
          <w:tab w:val="left" w:pos="284"/>
        </w:tabs>
        <w:jc w:val="center"/>
        <w:rPr>
          <w:b/>
          <w:bCs/>
          <w:color w:val="000000"/>
          <w:sz w:val="28"/>
          <w:szCs w:val="28"/>
        </w:rPr>
      </w:pPr>
      <w:r w:rsidRPr="002819A5">
        <w:rPr>
          <w:b/>
          <w:sz w:val="28"/>
          <w:szCs w:val="28"/>
          <w:lang w:val="ro-MO"/>
        </w:rPr>
        <w:t xml:space="preserve">a Raportului </w:t>
      </w:r>
      <w:r w:rsidRPr="002819A5">
        <w:rPr>
          <w:b/>
          <w:bCs/>
          <w:color w:val="000000"/>
          <w:sz w:val="28"/>
          <w:szCs w:val="28"/>
          <w:lang w:eastAsia="ru-RU"/>
        </w:rPr>
        <w:t>privind</w:t>
      </w:r>
      <w:r w:rsidRPr="002819A5">
        <w:rPr>
          <w:b/>
          <w:bCs/>
          <w:color w:val="000000"/>
          <w:sz w:val="28"/>
          <w:szCs w:val="28"/>
        </w:rPr>
        <w:t xml:space="preserve"> capitalul</w:t>
      </w:r>
      <w:r>
        <w:rPr>
          <w:b/>
          <w:bCs/>
          <w:color w:val="000000"/>
          <w:sz w:val="28"/>
          <w:szCs w:val="28"/>
        </w:rPr>
        <w:t xml:space="preserve"> propriu</w:t>
      </w:r>
    </w:p>
    <w:p w:rsidR="00CD723B" w:rsidRPr="002819A5" w:rsidRDefault="00CD723B" w:rsidP="00CD723B">
      <w:pPr>
        <w:pStyle w:val="ListParagraph"/>
        <w:tabs>
          <w:tab w:val="left" w:pos="284"/>
        </w:tabs>
        <w:spacing w:after="0" w:line="240" w:lineRule="auto"/>
        <w:ind w:left="0"/>
        <w:contextualSpacing w:val="0"/>
        <w:jc w:val="both"/>
        <w:rPr>
          <w:rFonts w:ascii="Times New Roman" w:hAnsi="Times New Roman"/>
          <w:color w:val="000000"/>
          <w:sz w:val="28"/>
          <w:szCs w:val="28"/>
          <w:lang w:val="ro-RO"/>
        </w:rPr>
      </w:pPr>
      <w:r w:rsidRPr="002819A5">
        <w:rPr>
          <w:rFonts w:ascii="Times New Roman" w:hAnsi="Times New Roman"/>
          <w:b/>
          <w:color w:val="000000"/>
          <w:sz w:val="28"/>
          <w:szCs w:val="28"/>
          <w:lang w:val="en-US"/>
        </w:rPr>
        <w:t>1.</w:t>
      </w:r>
      <w:r w:rsidRPr="002819A5">
        <w:rPr>
          <w:rFonts w:ascii="Times New Roman" w:hAnsi="Times New Roman"/>
          <w:color w:val="000000"/>
          <w:sz w:val="28"/>
          <w:szCs w:val="28"/>
          <w:lang w:val="en-US"/>
        </w:rPr>
        <w:t xml:space="preserve"> </w:t>
      </w:r>
      <w:r w:rsidRPr="002819A5">
        <w:rPr>
          <w:rFonts w:ascii="Times New Roman" w:hAnsi="Times New Roman"/>
          <w:color w:val="000000"/>
          <w:sz w:val="28"/>
          <w:szCs w:val="28"/>
          <w:lang w:val="ro-RO"/>
        </w:rPr>
        <w:t xml:space="preserve">Raportul privind capitalul </w:t>
      </w:r>
      <w:r>
        <w:rPr>
          <w:rFonts w:ascii="Times New Roman" w:hAnsi="Times New Roman"/>
          <w:color w:val="000000"/>
          <w:sz w:val="28"/>
          <w:szCs w:val="28"/>
          <w:lang w:val="ro-RO"/>
        </w:rPr>
        <w:t xml:space="preserve">propriu </w:t>
      </w:r>
      <w:r w:rsidRPr="002819A5">
        <w:rPr>
          <w:rFonts w:ascii="Times New Roman" w:hAnsi="Times New Roman"/>
          <w:color w:val="000000"/>
          <w:sz w:val="28"/>
          <w:szCs w:val="28"/>
          <w:lang w:val="ro-RO"/>
        </w:rPr>
        <w:t>caracterizează existenţa şi modificarea elementelor capitalului propriu în cursul perioadei de gestiune şi conţine informaţii privind:</w:t>
      </w:r>
    </w:p>
    <w:p w:rsidR="00CD723B" w:rsidRPr="002819A5" w:rsidRDefault="00CD723B" w:rsidP="00CD723B">
      <w:pPr>
        <w:pStyle w:val="BodyText2"/>
        <w:numPr>
          <w:ilvl w:val="0"/>
          <w:numId w:val="1"/>
        </w:numPr>
        <w:tabs>
          <w:tab w:val="left" w:pos="284"/>
        </w:tabs>
        <w:spacing w:after="0" w:line="240" w:lineRule="auto"/>
        <w:ind w:left="0" w:firstLine="0"/>
        <w:jc w:val="both"/>
        <w:rPr>
          <w:rFonts w:ascii="Times New Roman" w:hAnsi="Times New Roman"/>
          <w:sz w:val="28"/>
          <w:szCs w:val="28"/>
          <w:lang w:val="ro-RO"/>
        </w:rPr>
      </w:pPr>
      <w:r w:rsidRPr="002819A5">
        <w:rPr>
          <w:rFonts w:ascii="Times New Roman" w:hAnsi="Times New Roman"/>
          <w:i/>
          <w:iCs/>
          <w:sz w:val="28"/>
          <w:szCs w:val="28"/>
          <w:lang w:val="en-US"/>
        </w:rPr>
        <w:t>capitalul social şi suplimentar</w:t>
      </w:r>
      <w:r w:rsidRPr="002819A5">
        <w:rPr>
          <w:rFonts w:ascii="Times New Roman" w:hAnsi="Times New Roman"/>
          <w:sz w:val="28"/>
          <w:szCs w:val="28"/>
          <w:lang w:val="ro-RO"/>
        </w:rPr>
        <w:t xml:space="preserve"> – capitalul social, capitalul neînregistrat, nevărsat, retras şi capitalul suplimentar;</w:t>
      </w:r>
    </w:p>
    <w:p w:rsidR="00CD723B" w:rsidRPr="002819A5" w:rsidRDefault="00CD723B" w:rsidP="00CD723B">
      <w:pPr>
        <w:pStyle w:val="BodyText2"/>
        <w:numPr>
          <w:ilvl w:val="0"/>
          <w:numId w:val="1"/>
        </w:numPr>
        <w:tabs>
          <w:tab w:val="left" w:pos="284"/>
        </w:tabs>
        <w:spacing w:after="0" w:line="240" w:lineRule="auto"/>
        <w:ind w:left="0" w:firstLine="0"/>
        <w:jc w:val="both"/>
        <w:rPr>
          <w:rFonts w:ascii="Times New Roman" w:hAnsi="Times New Roman"/>
          <w:sz w:val="28"/>
          <w:szCs w:val="28"/>
          <w:lang w:val="ro-RO"/>
        </w:rPr>
      </w:pPr>
      <w:r w:rsidRPr="002819A5">
        <w:rPr>
          <w:rFonts w:ascii="Times New Roman" w:hAnsi="Times New Roman"/>
          <w:i/>
          <w:iCs/>
          <w:sz w:val="28"/>
          <w:szCs w:val="28"/>
          <w:lang w:val="en-US"/>
        </w:rPr>
        <w:t xml:space="preserve">rezervele - </w:t>
      </w:r>
      <w:r w:rsidRPr="002819A5">
        <w:rPr>
          <w:rFonts w:ascii="Times New Roman" w:hAnsi="Times New Roman"/>
          <w:iCs/>
          <w:sz w:val="28"/>
          <w:szCs w:val="28"/>
          <w:lang w:val="en-US"/>
        </w:rPr>
        <w:t xml:space="preserve">capitalul de rezervă, rezervele statutare </w:t>
      </w:r>
      <w:r w:rsidRPr="002819A5">
        <w:rPr>
          <w:rFonts w:ascii="Times New Roman" w:hAnsi="Times New Roman"/>
          <w:iCs/>
          <w:sz w:val="28"/>
          <w:szCs w:val="28"/>
          <w:lang w:val="ro-RO"/>
        </w:rPr>
        <w:t>ș</w:t>
      </w:r>
      <w:r w:rsidRPr="002819A5">
        <w:rPr>
          <w:rFonts w:ascii="Times New Roman" w:hAnsi="Times New Roman"/>
          <w:iCs/>
          <w:sz w:val="28"/>
          <w:szCs w:val="28"/>
          <w:lang w:val="en-US"/>
        </w:rPr>
        <w:t>i alte reserve;</w:t>
      </w:r>
    </w:p>
    <w:p w:rsidR="00CD723B" w:rsidRPr="002819A5" w:rsidRDefault="00CD723B" w:rsidP="00CD723B">
      <w:pPr>
        <w:pStyle w:val="BodyText2"/>
        <w:numPr>
          <w:ilvl w:val="0"/>
          <w:numId w:val="1"/>
        </w:numPr>
        <w:tabs>
          <w:tab w:val="left" w:pos="284"/>
        </w:tabs>
        <w:spacing w:after="0" w:line="240" w:lineRule="auto"/>
        <w:ind w:left="0" w:firstLine="0"/>
        <w:jc w:val="both"/>
        <w:rPr>
          <w:rFonts w:ascii="Times New Roman" w:hAnsi="Times New Roman"/>
          <w:sz w:val="28"/>
          <w:szCs w:val="28"/>
          <w:lang w:val="ro-RO"/>
        </w:rPr>
      </w:pPr>
      <w:r w:rsidRPr="002819A5">
        <w:rPr>
          <w:rFonts w:ascii="Times New Roman" w:hAnsi="Times New Roman"/>
          <w:sz w:val="28"/>
          <w:szCs w:val="28"/>
          <w:lang w:val="ro-RO"/>
        </w:rPr>
        <w:t xml:space="preserve"> </w:t>
      </w:r>
      <w:r w:rsidRPr="002819A5">
        <w:rPr>
          <w:rFonts w:ascii="Times New Roman" w:hAnsi="Times New Roman"/>
          <w:i/>
          <w:iCs/>
          <w:sz w:val="28"/>
          <w:szCs w:val="28"/>
          <w:lang w:val="en-US"/>
        </w:rPr>
        <w:t xml:space="preserve">profitul nerepartizat (pierderea neacoperită) </w:t>
      </w:r>
      <w:r w:rsidRPr="002819A5">
        <w:rPr>
          <w:rFonts w:ascii="Times New Roman" w:hAnsi="Times New Roman"/>
          <w:sz w:val="28"/>
          <w:szCs w:val="28"/>
          <w:lang w:val="ro-RO"/>
        </w:rPr>
        <w:t>- corecţiile rezultatelor anilor precedenţi, profitul net (pierderii nete)  al perioadei de gestiune, profitul utilizat al perioadei de gestiune;</w:t>
      </w:r>
    </w:p>
    <w:p w:rsidR="00CD723B" w:rsidRPr="002819A5" w:rsidRDefault="00CD723B" w:rsidP="00CD723B">
      <w:pPr>
        <w:pStyle w:val="BodyText2"/>
        <w:numPr>
          <w:ilvl w:val="0"/>
          <w:numId w:val="1"/>
        </w:numPr>
        <w:tabs>
          <w:tab w:val="left" w:pos="284"/>
        </w:tabs>
        <w:spacing w:after="0" w:line="240" w:lineRule="auto"/>
        <w:ind w:left="0" w:firstLine="0"/>
        <w:jc w:val="both"/>
        <w:rPr>
          <w:rFonts w:ascii="Times New Roman" w:hAnsi="Times New Roman"/>
          <w:sz w:val="28"/>
          <w:szCs w:val="28"/>
          <w:lang w:val="ro-RO"/>
        </w:rPr>
      </w:pPr>
      <w:r w:rsidRPr="002819A5">
        <w:rPr>
          <w:rFonts w:ascii="Times New Roman" w:hAnsi="Times New Roman"/>
          <w:i/>
          <w:iCs/>
          <w:sz w:val="28"/>
          <w:szCs w:val="28"/>
          <w:lang w:val="en-US"/>
        </w:rPr>
        <w:t>alte elemente de capital propriu care nu au fost enumerate mai sus</w:t>
      </w:r>
      <w:r w:rsidRPr="002819A5">
        <w:rPr>
          <w:rFonts w:ascii="Times New Roman" w:hAnsi="Times New Roman"/>
          <w:sz w:val="28"/>
          <w:szCs w:val="28"/>
          <w:lang w:val="ro-RO"/>
        </w:rPr>
        <w:t>.</w:t>
      </w:r>
    </w:p>
    <w:p w:rsidR="00CD723B" w:rsidRPr="002819A5" w:rsidRDefault="00CD723B" w:rsidP="00CD723B">
      <w:pPr>
        <w:pStyle w:val="ListParagraph"/>
        <w:tabs>
          <w:tab w:val="left" w:pos="0"/>
          <w:tab w:val="left" w:pos="284"/>
        </w:tabs>
        <w:spacing w:after="0" w:line="240" w:lineRule="auto"/>
        <w:ind w:left="0"/>
        <w:jc w:val="both"/>
        <w:rPr>
          <w:rFonts w:ascii="Times New Roman" w:hAnsi="Times New Roman"/>
          <w:color w:val="000000"/>
          <w:sz w:val="28"/>
          <w:szCs w:val="28"/>
          <w:lang w:val="ro-RO"/>
        </w:rPr>
      </w:pPr>
      <w:r w:rsidRPr="002819A5">
        <w:rPr>
          <w:rFonts w:ascii="Times New Roman" w:hAnsi="Times New Roman"/>
          <w:b/>
          <w:color w:val="000000"/>
          <w:sz w:val="28"/>
          <w:szCs w:val="28"/>
          <w:lang w:val="ro-RO"/>
        </w:rPr>
        <w:t>2.</w:t>
      </w:r>
      <w:r w:rsidRPr="002819A5">
        <w:rPr>
          <w:rFonts w:ascii="Times New Roman" w:hAnsi="Times New Roman"/>
          <w:color w:val="000000"/>
          <w:sz w:val="28"/>
          <w:szCs w:val="28"/>
          <w:lang w:val="ro-RO"/>
        </w:rPr>
        <w:t xml:space="preserve"> Soldurile la începutul perioadei de gestiune aferente corecţiilor rezultatelor anilor precedenţi, profitului net (pierderii nete) al</w:t>
      </w:r>
      <w:r>
        <w:rPr>
          <w:rFonts w:ascii="Times New Roman" w:hAnsi="Times New Roman"/>
          <w:color w:val="000000"/>
          <w:sz w:val="28"/>
          <w:szCs w:val="28"/>
          <w:lang w:val="ro-RO"/>
        </w:rPr>
        <w:t>/a</w:t>
      </w:r>
      <w:r w:rsidRPr="002819A5">
        <w:rPr>
          <w:rFonts w:ascii="Times New Roman" w:hAnsi="Times New Roman"/>
          <w:color w:val="000000"/>
          <w:sz w:val="28"/>
          <w:szCs w:val="28"/>
          <w:lang w:val="ro-RO"/>
        </w:rPr>
        <w:t xml:space="preserve"> perioadei de gestiune şi profitului utilizat al perioadei de gestiune întotdeauna s</w:t>
      </w:r>
      <w:r>
        <w:rPr>
          <w:rFonts w:ascii="Times New Roman" w:hAnsi="Times New Roman"/>
          <w:color w:val="000000"/>
          <w:sz w:val="28"/>
          <w:szCs w:val="28"/>
          <w:lang w:val="ro-RO"/>
        </w:rPr>
        <w:t>u</w:t>
      </w:r>
      <w:r w:rsidRPr="002819A5">
        <w:rPr>
          <w:rFonts w:ascii="Times New Roman" w:hAnsi="Times New Roman"/>
          <w:color w:val="000000"/>
          <w:sz w:val="28"/>
          <w:szCs w:val="28"/>
          <w:lang w:val="ro-RO"/>
        </w:rPr>
        <w:t>nt egale cu zero, ca urmare a reformării bilanţului pentru perioada de gestiune precedentă.</w:t>
      </w:r>
    </w:p>
    <w:p w:rsidR="00CD723B" w:rsidRPr="002819A5" w:rsidRDefault="00CD723B" w:rsidP="00CD723B">
      <w:pPr>
        <w:pStyle w:val="ListParagraph"/>
        <w:numPr>
          <w:ilvl w:val="0"/>
          <w:numId w:val="2"/>
        </w:numPr>
        <w:tabs>
          <w:tab w:val="left" w:pos="0"/>
          <w:tab w:val="left" w:pos="284"/>
        </w:tabs>
        <w:spacing w:after="0" w:line="240" w:lineRule="auto"/>
        <w:ind w:left="0" w:firstLine="0"/>
        <w:jc w:val="both"/>
        <w:rPr>
          <w:rFonts w:ascii="Times New Roman" w:hAnsi="Times New Roman"/>
          <w:color w:val="000000"/>
          <w:sz w:val="28"/>
          <w:szCs w:val="28"/>
          <w:lang w:val="ro-RO"/>
        </w:rPr>
      </w:pPr>
      <w:r w:rsidRPr="002819A5">
        <w:rPr>
          <w:rFonts w:ascii="Times New Roman" w:hAnsi="Times New Roman"/>
          <w:color w:val="000000"/>
          <w:sz w:val="28"/>
          <w:szCs w:val="28"/>
          <w:lang w:val="ro-RO"/>
        </w:rPr>
        <w:t>Mărimea elementelor care majorează capitalul propriu, cum ar fi capitalul social, capitalul neînregistrat, rezervele, profitul net al perioadei de gestiune, se reflectă în situaţia modificărilor capitalului propriu în mod obişnuit (fără paranteze). Mărimea elementelor care diminuează capitalul propriu, cum ar fi capitalul nevărsat, capitalul retras, profitul ut</w:t>
      </w:r>
      <w:r>
        <w:rPr>
          <w:rFonts w:ascii="Times New Roman" w:hAnsi="Times New Roman"/>
          <w:color w:val="000000"/>
          <w:sz w:val="28"/>
          <w:szCs w:val="28"/>
          <w:lang w:val="ro-RO"/>
        </w:rPr>
        <w:t>ilizat al perioadei de gestiune și</w:t>
      </w:r>
      <w:r w:rsidRPr="002819A5">
        <w:rPr>
          <w:rFonts w:ascii="Times New Roman" w:hAnsi="Times New Roman"/>
          <w:color w:val="000000"/>
          <w:sz w:val="28"/>
          <w:szCs w:val="28"/>
          <w:lang w:val="ro-RO"/>
        </w:rPr>
        <w:t xml:space="preserve"> pierderea netă a perioadei de gestiune, se reflectă </w:t>
      </w:r>
      <w:r>
        <w:rPr>
          <w:rFonts w:ascii="Times New Roman" w:hAnsi="Times New Roman"/>
          <w:color w:val="000000"/>
          <w:sz w:val="28"/>
          <w:szCs w:val="28"/>
          <w:lang w:val="ro-RO"/>
        </w:rPr>
        <w:t>în R</w:t>
      </w:r>
      <w:r w:rsidRPr="002819A5">
        <w:rPr>
          <w:rFonts w:ascii="Times New Roman" w:hAnsi="Times New Roman"/>
          <w:color w:val="000000"/>
          <w:sz w:val="28"/>
          <w:szCs w:val="28"/>
          <w:lang w:val="ro-RO"/>
        </w:rPr>
        <w:t>aportul privind capitalul</w:t>
      </w:r>
      <w:r>
        <w:rPr>
          <w:rFonts w:ascii="Times New Roman" w:hAnsi="Times New Roman"/>
          <w:color w:val="000000"/>
          <w:sz w:val="28"/>
          <w:szCs w:val="28"/>
          <w:lang w:val="ro-RO"/>
        </w:rPr>
        <w:t xml:space="preserve"> propriu</w:t>
      </w:r>
      <w:r w:rsidRPr="002819A5">
        <w:rPr>
          <w:rFonts w:ascii="Times New Roman" w:hAnsi="Times New Roman"/>
          <w:color w:val="000000"/>
          <w:sz w:val="28"/>
          <w:szCs w:val="28"/>
          <w:lang w:val="ro-RO"/>
        </w:rPr>
        <w:t xml:space="preserve"> cu semnul minus (între paranteze).</w:t>
      </w:r>
    </w:p>
    <w:p w:rsidR="00CD723B" w:rsidRPr="002819A5" w:rsidRDefault="00CD723B" w:rsidP="00CD723B">
      <w:pPr>
        <w:pStyle w:val="ListParagraph"/>
        <w:numPr>
          <w:ilvl w:val="0"/>
          <w:numId w:val="2"/>
        </w:numPr>
        <w:tabs>
          <w:tab w:val="left" w:pos="0"/>
          <w:tab w:val="left" w:pos="284"/>
        </w:tabs>
        <w:spacing w:after="0" w:line="240" w:lineRule="auto"/>
        <w:ind w:left="0" w:firstLine="0"/>
        <w:jc w:val="both"/>
        <w:rPr>
          <w:rFonts w:ascii="Times New Roman" w:hAnsi="Times New Roman"/>
          <w:sz w:val="28"/>
          <w:szCs w:val="28"/>
          <w:lang w:val="en-US"/>
        </w:rPr>
      </w:pPr>
      <w:r w:rsidRPr="002819A5">
        <w:rPr>
          <w:rFonts w:ascii="Times New Roman" w:hAnsi="Times New Roman"/>
          <w:color w:val="000000"/>
          <w:sz w:val="28"/>
          <w:szCs w:val="28"/>
          <w:lang w:val="ro-RO"/>
        </w:rPr>
        <w:t xml:space="preserve">În rândul 010 </w:t>
      </w:r>
      <w:r w:rsidRPr="00D2768F">
        <w:rPr>
          <w:rFonts w:ascii="Times New Roman" w:hAnsi="Times New Roman"/>
          <w:sz w:val="28"/>
          <w:szCs w:val="28"/>
          <w:lang w:val="ro-RO"/>
        </w:rPr>
        <w:t>„</w:t>
      </w:r>
      <w:r w:rsidRPr="002819A5">
        <w:rPr>
          <w:rFonts w:ascii="Times New Roman" w:hAnsi="Times New Roman"/>
          <w:color w:val="000000"/>
          <w:sz w:val="28"/>
          <w:szCs w:val="28"/>
          <w:lang w:val="ro-RO"/>
        </w:rPr>
        <w:t>Capital social</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soldurile şi modificările aferente</w:t>
      </w:r>
      <w:r w:rsidRPr="002819A5">
        <w:rPr>
          <w:rFonts w:ascii="Times New Roman" w:hAnsi="Times New Roman"/>
          <w:sz w:val="28"/>
          <w:szCs w:val="28"/>
          <w:lang w:val="en-US"/>
        </w:rPr>
        <w:t xml:space="preserve"> capitalului social. Constituirea capitalului social se contabilizează în mărimea indicată în actele de constituire ale organizației de microfinanțare înregistrate în modul stabilit de legislație.</w:t>
      </w:r>
    </w:p>
    <w:p w:rsidR="00CD723B" w:rsidRPr="002819A5" w:rsidRDefault="00CD723B" w:rsidP="00CD723B">
      <w:pPr>
        <w:pStyle w:val="NormalWeb"/>
        <w:numPr>
          <w:ilvl w:val="0"/>
          <w:numId w:val="2"/>
        </w:numPr>
        <w:tabs>
          <w:tab w:val="left" w:pos="284"/>
        </w:tabs>
        <w:ind w:left="0" w:firstLine="0"/>
        <w:rPr>
          <w:sz w:val="28"/>
          <w:szCs w:val="28"/>
          <w:lang w:val="en-US"/>
        </w:rPr>
      </w:pPr>
      <w:r w:rsidRPr="002819A5">
        <w:rPr>
          <w:color w:val="000000"/>
          <w:sz w:val="28"/>
          <w:szCs w:val="28"/>
          <w:lang w:val="ro-RO"/>
        </w:rPr>
        <w:t xml:space="preserve">În rândul 020 </w:t>
      </w:r>
      <w:r w:rsidRPr="00D2768F">
        <w:rPr>
          <w:sz w:val="28"/>
          <w:szCs w:val="28"/>
          <w:lang w:val="ro-RO"/>
        </w:rPr>
        <w:t>„</w:t>
      </w:r>
      <w:r w:rsidRPr="002819A5">
        <w:rPr>
          <w:color w:val="000000"/>
          <w:sz w:val="28"/>
          <w:szCs w:val="28"/>
          <w:lang w:val="ro-RO"/>
        </w:rPr>
        <w:t>Capital suplimentar</w:t>
      </w:r>
      <w:r w:rsidRPr="00D2768F">
        <w:rPr>
          <w:sz w:val="28"/>
          <w:szCs w:val="28"/>
          <w:lang w:val="en-US"/>
        </w:rPr>
        <w:t>”</w:t>
      </w:r>
      <w:r w:rsidRPr="002819A5">
        <w:rPr>
          <w:color w:val="000000"/>
          <w:sz w:val="28"/>
          <w:szCs w:val="28"/>
          <w:lang w:val="ro-RO"/>
        </w:rPr>
        <w:t xml:space="preserve"> se reflectă soldurile şi modificările aferente</w:t>
      </w:r>
      <w:r w:rsidRPr="002819A5">
        <w:rPr>
          <w:sz w:val="28"/>
          <w:szCs w:val="28"/>
          <w:lang w:val="en-US"/>
        </w:rPr>
        <w:t xml:space="preserve"> capitalului suplimentar. </w:t>
      </w:r>
    </w:p>
    <w:p w:rsidR="00CD723B" w:rsidRPr="002819A5" w:rsidRDefault="00CD723B" w:rsidP="00CD723B">
      <w:pPr>
        <w:pStyle w:val="NormalWeb"/>
        <w:tabs>
          <w:tab w:val="left" w:pos="284"/>
        </w:tabs>
        <w:ind w:firstLine="0"/>
        <w:rPr>
          <w:sz w:val="28"/>
          <w:szCs w:val="28"/>
          <w:lang w:val="en-US"/>
        </w:rPr>
      </w:pPr>
      <w:r w:rsidRPr="002819A5">
        <w:rPr>
          <w:sz w:val="28"/>
          <w:szCs w:val="28"/>
          <w:lang w:val="en-US"/>
        </w:rPr>
        <w:t>Dacă valoarea efectivă a activelor primite sau care urmează a fi primite ca aporturi în capitalul social depăşeşte mărimea nominală a aporturilor proprietarilor, diferenţa se contabilizează în conformitate cu decizia organului de conducere împuternicit al organizației de microfinanțare ca:</w:t>
      </w:r>
    </w:p>
    <w:p w:rsidR="00CD723B" w:rsidRPr="002819A5" w:rsidRDefault="00CD723B" w:rsidP="00CD723B">
      <w:pPr>
        <w:pStyle w:val="NormalWeb"/>
        <w:tabs>
          <w:tab w:val="left" w:pos="284"/>
        </w:tabs>
        <w:ind w:firstLine="0"/>
        <w:rPr>
          <w:sz w:val="28"/>
          <w:szCs w:val="28"/>
          <w:lang w:val="en-US"/>
        </w:rPr>
      </w:pPr>
      <w:r w:rsidRPr="002819A5">
        <w:rPr>
          <w:sz w:val="28"/>
          <w:szCs w:val="28"/>
          <w:lang w:val="en-US"/>
        </w:rPr>
        <w:t xml:space="preserve">- </w:t>
      </w:r>
      <w:r w:rsidRPr="00726252">
        <w:rPr>
          <w:i/>
          <w:sz w:val="28"/>
          <w:szCs w:val="28"/>
          <w:lang w:val="en-US"/>
        </w:rPr>
        <w:t>capital suplimentar</w:t>
      </w:r>
      <w:r w:rsidRPr="002819A5">
        <w:rPr>
          <w:sz w:val="28"/>
          <w:szCs w:val="28"/>
          <w:lang w:val="en-US"/>
        </w:rPr>
        <w:t>, dacă diferenţa respectivă nu urmează a fi restituită proprietarilor;</w:t>
      </w:r>
    </w:p>
    <w:p w:rsidR="00CD723B" w:rsidRPr="002819A5" w:rsidRDefault="00CD723B" w:rsidP="00CD723B">
      <w:pPr>
        <w:pStyle w:val="ListParagraph"/>
        <w:tabs>
          <w:tab w:val="left" w:pos="142"/>
        </w:tabs>
        <w:spacing w:after="0" w:line="240" w:lineRule="auto"/>
        <w:ind w:left="0"/>
        <w:jc w:val="both"/>
        <w:rPr>
          <w:rFonts w:ascii="Times New Roman" w:hAnsi="Times New Roman"/>
          <w:sz w:val="28"/>
          <w:szCs w:val="28"/>
          <w:lang w:val="en-US"/>
        </w:rPr>
      </w:pPr>
      <w:r w:rsidRPr="002819A5">
        <w:rPr>
          <w:rFonts w:ascii="Times New Roman" w:hAnsi="Times New Roman"/>
          <w:sz w:val="28"/>
          <w:szCs w:val="28"/>
          <w:lang w:val="en-US"/>
        </w:rPr>
        <w:t xml:space="preserve">- </w:t>
      </w:r>
      <w:r w:rsidRPr="00726252">
        <w:rPr>
          <w:rFonts w:ascii="Times New Roman" w:hAnsi="Times New Roman"/>
          <w:i/>
          <w:sz w:val="28"/>
          <w:szCs w:val="28"/>
          <w:lang w:val="en-US"/>
        </w:rPr>
        <w:t>datorii faţă de proprietari</w:t>
      </w:r>
      <w:r w:rsidRPr="002819A5">
        <w:rPr>
          <w:rFonts w:ascii="Times New Roman" w:hAnsi="Times New Roman"/>
          <w:sz w:val="28"/>
          <w:szCs w:val="28"/>
          <w:lang w:val="en-US"/>
        </w:rPr>
        <w:t>, când diferenţa respectivă urmează a fi restituită proprietarilor.</w:t>
      </w:r>
    </w:p>
    <w:p w:rsidR="00CD723B" w:rsidRPr="002819A5" w:rsidRDefault="00CD723B" w:rsidP="00CD723B">
      <w:pPr>
        <w:pStyle w:val="ListParagraph"/>
        <w:tabs>
          <w:tab w:val="left" w:pos="284"/>
        </w:tabs>
        <w:spacing w:after="0" w:line="240" w:lineRule="auto"/>
        <w:ind w:left="0"/>
        <w:jc w:val="both"/>
        <w:rPr>
          <w:rFonts w:ascii="Times New Roman" w:hAnsi="Times New Roman"/>
          <w:sz w:val="28"/>
          <w:szCs w:val="28"/>
          <w:lang w:val="en-US"/>
        </w:rPr>
      </w:pPr>
      <w:r w:rsidRPr="002819A5">
        <w:rPr>
          <w:rFonts w:ascii="Times New Roman" w:hAnsi="Times New Roman"/>
          <w:sz w:val="28"/>
          <w:szCs w:val="28"/>
          <w:lang w:val="en-US"/>
        </w:rPr>
        <w:t>La anularea sau înstrăinarea părţilor sociale retrase, diferenţele dintre valoarea efectivă de retragere şi valoarea nominală (fixată) sau de înstrăinare a acestora se trec la majorarea sau micşorarea capitalului suplimentar.</w:t>
      </w:r>
    </w:p>
    <w:p w:rsidR="00CD723B" w:rsidRPr="002819A5" w:rsidRDefault="00CD723B" w:rsidP="00CD723B">
      <w:pPr>
        <w:pStyle w:val="ListParagraph"/>
        <w:numPr>
          <w:ilvl w:val="0"/>
          <w:numId w:val="2"/>
        </w:numPr>
        <w:tabs>
          <w:tab w:val="left" w:pos="284"/>
        </w:tabs>
        <w:spacing w:after="0" w:line="240" w:lineRule="auto"/>
        <w:ind w:left="0" w:firstLine="0"/>
        <w:jc w:val="both"/>
        <w:rPr>
          <w:rFonts w:ascii="Times New Roman" w:hAnsi="Times New Roman"/>
          <w:sz w:val="28"/>
          <w:szCs w:val="28"/>
          <w:lang w:val="en-US"/>
        </w:rPr>
      </w:pPr>
      <w:r w:rsidRPr="002819A5">
        <w:rPr>
          <w:rFonts w:ascii="Times New Roman" w:hAnsi="Times New Roman"/>
          <w:sz w:val="28"/>
          <w:szCs w:val="28"/>
          <w:lang w:val="en-US"/>
        </w:rPr>
        <w:t xml:space="preserve">În </w:t>
      </w:r>
      <w:r w:rsidRPr="002819A5">
        <w:rPr>
          <w:rFonts w:ascii="Times New Roman" w:hAnsi="Times New Roman"/>
          <w:color w:val="000000"/>
          <w:sz w:val="28"/>
          <w:szCs w:val="28"/>
          <w:lang w:val="ro-RO"/>
        </w:rPr>
        <w:t xml:space="preserve">rândul 030 </w:t>
      </w:r>
      <w:r w:rsidRPr="00D2768F">
        <w:rPr>
          <w:rFonts w:ascii="Times New Roman" w:hAnsi="Times New Roman"/>
          <w:sz w:val="28"/>
          <w:szCs w:val="28"/>
          <w:lang w:val="ro-RO"/>
        </w:rPr>
        <w:t>„</w:t>
      </w:r>
      <w:r w:rsidRPr="002819A5">
        <w:rPr>
          <w:rFonts w:ascii="Times New Roman" w:hAnsi="Times New Roman"/>
          <w:color w:val="000000"/>
          <w:sz w:val="28"/>
          <w:szCs w:val="28"/>
          <w:lang w:val="ro-RO"/>
        </w:rPr>
        <w:t>Capital nevărsat</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w:t>
      </w:r>
      <w:r>
        <w:rPr>
          <w:rFonts w:ascii="Times New Roman" w:hAnsi="Times New Roman"/>
          <w:color w:val="000000"/>
          <w:sz w:val="28"/>
          <w:szCs w:val="28"/>
          <w:lang w:val="ro-RO"/>
        </w:rPr>
        <w:t>,</w:t>
      </w:r>
      <w:r w:rsidRPr="002819A5">
        <w:rPr>
          <w:rFonts w:ascii="Times New Roman" w:hAnsi="Times New Roman"/>
          <w:color w:val="000000"/>
          <w:sz w:val="28"/>
          <w:szCs w:val="28"/>
          <w:lang w:val="ro-RO"/>
        </w:rPr>
        <w:t xml:space="preserve"> în paranteze</w:t>
      </w:r>
      <w:r>
        <w:rPr>
          <w:rFonts w:ascii="Times New Roman" w:hAnsi="Times New Roman"/>
          <w:color w:val="000000"/>
          <w:sz w:val="28"/>
          <w:szCs w:val="28"/>
          <w:lang w:val="ro-RO"/>
        </w:rPr>
        <w:t>,</w:t>
      </w:r>
      <w:r w:rsidRPr="002819A5">
        <w:rPr>
          <w:rFonts w:ascii="Times New Roman" w:hAnsi="Times New Roman"/>
          <w:color w:val="000000"/>
          <w:sz w:val="28"/>
          <w:szCs w:val="28"/>
          <w:lang w:val="ro-RO"/>
        </w:rPr>
        <w:t xml:space="preserve"> soldurile şi modificările creanțelor proprietarilor aferente</w:t>
      </w:r>
      <w:r w:rsidRPr="002819A5">
        <w:rPr>
          <w:rFonts w:ascii="Times New Roman" w:hAnsi="Times New Roman"/>
          <w:sz w:val="28"/>
          <w:szCs w:val="28"/>
          <w:lang w:val="en-US"/>
        </w:rPr>
        <w:t xml:space="preserve"> capitalului nevărsat. La data înregistrării de stat a organizației de microfinanțare se contabilizează majorarea </w:t>
      </w:r>
      <w:r w:rsidRPr="002819A5">
        <w:rPr>
          <w:rFonts w:ascii="Times New Roman" w:hAnsi="Times New Roman"/>
          <w:sz w:val="28"/>
          <w:szCs w:val="28"/>
          <w:lang w:val="en-US"/>
        </w:rPr>
        <w:lastRenderedPageBreak/>
        <w:t>concomitentă a capitalului nevărsat şi a capitalului social (în societăţile pe acţiuni – a capitalului neînregistrat). Primirea aporturilor fondatorilor în capitalul social se contabilizează ca majorare a activelor respective şi diminuare a capitalului nevărsat.</w:t>
      </w:r>
    </w:p>
    <w:p w:rsidR="00CD723B" w:rsidRPr="002819A5" w:rsidRDefault="00CD723B" w:rsidP="00CD723B">
      <w:pPr>
        <w:pStyle w:val="ListParagraph"/>
        <w:numPr>
          <w:ilvl w:val="0"/>
          <w:numId w:val="2"/>
        </w:numPr>
        <w:tabs>
          <w:tab w:val="left" w:pos="284"/>
        </w:tabs>
        <w:spacing w:after="0" w:line="240" w:lineRule="auto"/>
        <w:ind w:left="0" w:firstLine="0"/>
        <w:jc w:val="both"/>
        <w:rPr>
          <w:rFonts w:ascii="Times New Roman" w:hAnsi="Times New Roman"/>
          <w:sz w:val="28"/>
          <w:szCs w:val="28"/>
          <w:lang w:val="en-US"/>
        </w:rPr>
      </w:pPr>
      <w:r w:rsidRPr="002819A5">
        <w:rPr>
          <w:rFonts w:ascii="Times New Roman" w:hAnsi="Times New Roman"/>
          <w:sz w:val="28"/>
          <w:szCs w:val="28"/>
          <w:lang w:val="en-US"/>
        </w:rPr>
        <w:t xml:space="preserve">În </w:t>
      </w:r>
      <w:r w:rsidRPr="002819A5">
        <w:rPr>
          <w:rFonts w:ascii="Times New Roman" w:hAnsi="Times New Roman"/>
          <w:color w:val="000000"/>
          <w:sz w:val="28"/>
          <w:szCs w:val="28"/>
          <w:lang w:val="ro-RO"/>
        </w:rPr>
        <w:t xml:space="preserve">rândul 040 </w:t>
      </w:r>
      <w:r w:rsidRPr="00D2768F">
        <w:rPr>
          <w:rFonts w:ascii="Times New Roman" w:hAnsi="Times New Roman"/>
          <w:sz w:val="28"/>
          <w:szCs w:val="28"/>
          <w:lang w:val="ro-RO"/>
        </w:rPr>
        <w:t>„</w:t>
      </w:r>
      <w:r w:rsidRPr="002819A5">
        <w:rPr>
          <w:rFonts w:ascii="Times New Roman" w:hAnsi="Times New Roman"/>
          <w:color w:val="000000"/>
          <w:sz w:val="28"/>
          <w:szCs w:val="28"/>
          <w:lang w:val="ro-RO"/>
        </w:rPr>
        <w:t>Capital neînregistrat</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soldurile şi modificările aferente</w:t>
      </w:r>
      <w:r w:rsidRPr="002819A5">
        <w:rPr>
          <w:rFonts w:ascii="Times New Roman" w:hAnsi="Times New Roman"/>
          <w:sz w:val="28"/>
          <w:szCs w:val="28"/>
          <w:lang w:val="en-US"/>
        </w:rPr>
        <w:t xml:space="preserve"> capitalului neînregistrat. Aporturile aferente majorării capitalului social primite până la înregistrarea de stat a modificărilor introduse în actele de constituire ale organizației de microfinanțare, se contabilizează ca majorare concomitentă a activelor respective şi a capitalului neînregistrat. După înregistrarea de stat a modificărilor introduse în actele de constituire ale organizației de microfinanțare, se contabilizează diminuarea capitalului neînregistrat şi majorarea capitalului social.</w:t>
      </w:r>
    </w:p>
    <w:p w:rsidR="00CD723B" w:rsidRPr="002819A5" w:rsidRDefault="00CD723B" w:rsidP="00CD723B">
      <w:pPr>
        <w:pStyle w:val="ListParagraph"/>
        <w:tabs>
          <w:tab w:val="left" w:pos="284"/>
        </w:tabs>
        <w:spacing w:after="0" w:line="240" w:lineRule="auto"/>
        <w:ind w:left="0"/>
        <w:jc w:val="both"/>
        <w:rPr>
          <w:rFonts w:ascii="Times New Roman" w:hAnsi="Times New Roman"/>
          <w:sz w:val="28"/>
          <w:szCs w:val="28"/>
          <w:lang w:val="en-US"/>
        </w:rPr>
      </w:pPr>
      <w:r w:rsidRPr="002819A5">
        <w:rPr>
          <w:rFonts w:ascii="Times New Roman" w:hAnsi="Times New Roman"/>
          <w:sz w:val="28"/>
          <w:szCs w:val="28"/>
          <w:lang w:val="en-US"/>
        </w:rPr>
        <w:t>După înregistrarea de stat a acţiunilor plasate la înfiinţarea societăţii pe acţiuni, valoarea nominală (fixată) a acestora se contabilizează ca diminuare a capitalului neînregistrat şi majorare a capitalului social. În cazul în care înfiinţarea societăţii pe acţiuni a fost recunoscută drept neefectuată, valoarea aporturilor spre restituire se contabilizează ca diminuare a capitalului neînregistrat şi majorare a datoriilor faţă de proprietari.</w:t>
      </w:r>
    </w:p>
    <w:p w:rsidR="00CD723B" w:rsidRPr="002819A5" w:rsidRDefault="00CD723B" w:rsidP="00CD723B">
      <w:pPr>
        <w:pStyle w:val="ListParagraph"/>
        <w:numPr>
          <w:ilvl w:val="0"/>
          <w:numId w:val="2"/>
        </w:numPr>
        <w:tabs>
          <w:tab w:val="left" w:pos="284"/>
        </w:tabs>
        <w:spacing w:after="0" w:line="240" w:lineRule="auto"/>
        <w:ind w:left="0" w:firstLine="0"/>
        <w:jc w:val="both"/>
        <w:rPr>
          <w:rFonts w:ascii="Times New Roman" w:hAnsi="Times New Roman"/>
          <w:sz w:val="28"/>
          <w:szCs w:val="28"/>
          <w:lang w:val="en-US"/>
        </w:rPr>
      </w:pPr>
      <w:r w:rsidRPr="002819A5">
        <w:rPr>
          <w:rFonts w:ascii="Times New Roman" w:hAnsi="Times New Roman"/>
          <w:sz w:val="28"/>
          <w:szCs w:val="28"/>
          <w:lang w:val="en-US"/>
        </w:rPr>
        <w:t xml:space="preserve">În </w:t>
      </w:r>
      <w:r w:rsidRPr="002819A5">
        <w:rPr>
          <w:rFonts w:ascii="Times New Roman" w:hAnsi="Times New Roman"/>
          <w:color w:val="000000"/>
          <w:sz w:val="28"/>
          <w:szCs w:val="28"/>
          <w:lang w:val="ro-RO"/>
        </w:rPr>
        <w:t xml:space="preserve">rândul 050 </w:t>
      </w:r>
      <w:r w:rsidRPr="00D2768F">
        <w:rPr>
          <w:rFonts w:ascii="Times New Roman" w:hAnsi="Times New Roman"/>
          <w:sz w:val="28"/>
          <w:szCs w:val="28"/>
          <w:lang w:val="ro-RO"/>
        </w:rPr>
        <w:t>„</w:t>
      </w:r>
      <w:r w:rsidRPr="002819A5">
        <w:rPr>
          <w:rFonts w:ascii="Times New Roman" w:hAnsi="Times New Roman"/>
          <w:color w:val="000000"/>
          <w:sz w:val="28"/>
          <w:szCs w:val="28"/>
          <w:lang w:val="ro-RO"/>
        </w:rPr>
        <w:t>Capital retras</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între paranteze soldurile şi modificările aferente</w:t>
      </w:r>
      <w:r w:rsidRPr="002819A5">
        <w:rPr>
          <w:rFonts w:ascii="Times New Roman" w:hAnsi="Times New Roman"/>
          <w:sz w:val="28"/>
          <w:szCs w:val="28"/>
          <w:lang w:val="en-US"/>
        </w:rPr>
        <w:t xml:space="preserve"> capitalului retras. Părţile sociale proprii retrase (achiziţionate, răscumpărate sau dobândite de organizația de microfinanțare de la deţinătorii sau succesorii acestora) se contabilizează la valoarea efectivă de retragere (achiziţionare, răscumpărare sau dobândire) ca majorare a capitalului retras concomitent cu diminuarea activelor care au servit drept sursa de plată sau majorarea datoriilor faţă de proprietari în cazul achitării ulterioare.</w:t>
      </w:r>
    </w:p>
    <w:p w:rsidR="00CD723B" w:rsidRPr="002819A5" w:rsidRDefault="00CD723B" w:rsidP="00CD723B">
      <w:pPr>
        <w:pStyle w:val="ListParagraph"/>
        <w:numPr>
          <w:ilvl w:val="0"/>
          <w:numId w:val="2"/>
        </w:numPr>
        <w:tabs>
          <w:tab w:val="left" w:pos="284"/>
        </w:tabs>
        <w:spacing w:after="0" w:line="240" w:lineRule="auto"/>
        <w:ind w:left="0" w:firstLine="0"/>
        <w:jc w:val="both"/>
        <w:rPr>
          <w:rFonts w:ascii="Times New Roman" w:hAnsi="Times New Roman"/>
          <w:sz w:val="28"/>
          <w:szCs w:val="28"/>
          <w:lang w:val="en-US"/>
        </w:rPr>
      </w:pPr>
      <w:r w:rsidRPr="002819A5">
        <w:rPr>
          <w:rFonts w:ascii="Times New Roman" w:hAnsi="Times New Roman"/>
          <w:color w:val="000000"/>
          <w:sz w:val="28"/>
          <w:szCs w:val="28"/>
          <w:lang w:val="ro-RO"/>
        </w:rPr>
        <w:t xml:space="preserve">În rândul 060 </w:t>
      </w:r>
      <w:r w:rsidRPr="00D2768F">
        <w:rPr>
          <w:rFonts w:ascii="Times New Roman" w:hAnsi="Times New Roman"/>
          <w:sz w:val="28"/>
          <w:szCs w:val="28"/>
          <w:lang w:val="ro-RO"/>
        </w:rPr>
        <w:t>„</w:t>
      </w:r>
      <w:r w:rsidRPr="002819A5">
        <w:rPr>
          <w:rFonts w:ascii="Times New Roman" w:hAnsi="Times New Roman"/>
          <w:bCs/>
          <w:sz w:val="28"/>
          <w:szCs w:val="28"/>
          <w:lang w:val="en-US"/>
        </w:rPr>
        <w:t xml:space="preserve"> Total </w:t>
      </w:r>
      <w:r w:rsidRPr="002819A5">
        <w:rPr>
          <w:rFonts w:ascii="Times New Roman" w:hAnsi="Times New Roman"/>
          <w:bCs/>
          <w:sz w:val="28"/>
          <w:szCs w:val="28"/>
          <w:lang w:val="ro-RO"/>
        </w:rPr>
        <w:t>c</w:t>
      </w:r>
      <w:r w:rsidRPr="002819A5">
        <w:rPr>
          <w:rFonts w:ascii="Times New Roman" w:hAnsi="Times New Roman"/>
          <w:bCs/>
          <w:sz w:val="28"/>
          <w:szCs w:val="28"/>
          <w:lang w:val="en-US"/>
        </w:rPr>
        <w:t>apital social și suplimentar</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indică totalul determinat prin relaţia: </w:t>
      </w:r>
      <w:r w:rsidRPr="002819A5">
        <w:rPr>
          <w:rFonts w:ascii="Times New Roman" w:hAnsi="Times New Roman"/>
          <w:bCs/>
          <w:sz w:val="28"/>
          <w:szCs w:val="28"/>
          <w:lang w:val="en-US"/>
        </w:rPr>
        <w:t>rd.010+rd.020+rd.030+rd.040+rd.050</w:t>
      </w:r>
      <w:r w:rsidRPr="002819A5">
        <w:rPr>
          <w:rFonts w:ascii="Times New Roman" w:hAnsi="Times New Roman"/>
          <w:color w:val="000000"/>
          <w:sz w:val="28"/>
          <w:szCs w:val="28"/>
          <w:lang w:val="ro-RO"/>
        </w:rPr>
        <w:t>.</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sz w:val="28"/>
          <w:szCs w:val="28"/>
          <w:lang w:val="en-US"/>
        </w:rPr>
        <w:t xml:space="preserve">În </w:t>
      </w:r>
      <w:r w:rsidRPr="002819A5">
        <w:rPr>
          <w:rFonts w:ascii="Times New Roman" w:hAnsi="Times New Roman"/>
          <w:color w:val="000000"/>
          <w:sz w:val="28"/>
          <w:szCs w:val="28"/>
          <w:lang w:val="ro-RO"/>
        </w:rPr>
        <w:t xml:space="preserve">rândul 070 </w:t>
      </w:r>
      <w:r w:rsidRPr="00D2768F">
        <w:rPr>
          <w:rFonts w:ascii="Times New Roman" w:hAnsi="Times New Roman"/>
          <w:sz w:val="28"/>
          <w:szCs w:val="28"/>
          <w:lang w:val="ro-RO"/>
        </w:rPr>
        <w:t>„</w:t>
      </w:r>
      <w:r w:rsidRPr="002819A5">
        <w:rPr>
          <w:rFonts w:ascii="Times New Roman" w:hAnsi="Times New Roman"/>
          <w:color w:val="000000"/>
          <w:sz w:val="28"/>
          <w:szCs w:val="28"/>
          <w:lang w:val="ro-RO"/>
        </w:rPr>
        <w:t>Capital de rezervă</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w:t>
      </w:r>
      <w:r w:rsidRPr="002819A5">
        <w:rPr>
          <w:rFonts w:ascii="Times New Roman" w:hAnsi="Times New Roman"/>
          <w:sz w:val="28"/>
          <w:szCs w:val="28"/>
          <w:lang w:val="en-US"/>
        </w:rPr>
        <w:t>soldurile şi modificările rezervelor a căror constituire este prevăzută de legislaţia în vigoare.</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sz w:val="28"/>
          <w:szCs w:val="28"/>
          <w:lang w:val="en-US"/>
        </w:rPr>
        <w:t xml:space="preserve">În </w:t>
      </w:r>
      <w:r w:rsidRPr="002819A5">
        <w:rPr>
          <w:rFonts w:ascii="Times New Roman" w:hAnsi="Times New Roman"/>
          <w:color w:val="000000"/>
          <w:sz w:val="28"/>
          <w:szCs w:val="28"/>
          <w:lang w:val="ro-RO"/>
        </w:rPr>
        <w:t xml:space="preserve">rândul 080 </w:t>
      </w:r>
      <w:r w:rsidRPr="00D2768F">
        <w:rPr>
          <w:rFonts w:ascii="Times New Roman" w:hAnsi="Times New Roman"/>
          <w:sz w:val="28"/>
          <w:szCs w:val="28"/>
          <w:lang w:val="ro-RO"/>
        </w:rPr>
        <w:t>„</w:t>
      </w:r>
      <w:r w:rsidRPr="002819A5">
        <w:rPr>
          <w:rFonts w:ascii="Times New Roman" w:hAnsi="Times New Roman"/>
          <w:color w:val="000000"/>
          <w:sz w:val="28"/>
          <w:szCs w:val="28"/>
          <w:lang w:val="ro-RO"/>
        </w:rPr>
        <w:t>Rezerve statutare</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w:t>
      </w:r>
      <w:r w:rsidRPr="002819A5">
        <w:rPr>
          <w:rFonts w:ascii="Times New Roman" w:hAnsi="Times New Roman"/>
          <w:sz w:val="28"/>
          <w:szCs w:val="28"/>
          <w:lang w:val="en-US"/>
        </w:rPr>
        <w:t xml:space="preserve">soldurile şi modificările rezervelor constituite în conformitate cu statutul organizației de microfinanțare cu excepţia rezervelor indicate în rd.070 din </w:t>
      </w:r>
      <w:r>
        <w:rPr>
          <w:rFonts w:ascii="Times New Roman" w:hAnsi="Times New Roman"/>
          <w:sz w:val="28"/>
          <w:szCs w:val="28"/>
          <w:lang w:val="en-US"/>
        </w:rPr>
        <w:t xml:space="preserve">prezentul </w:t>
      </w:r>
      <w:r w:rsidRPr="002819A5">
        <w:rPr>
          <w:rFonts w:ascii="Times New Roman" w:hAnsi="Times New Roman"/>
          <w:sz w:val="28"/>
          <w:szCs w:val="28"/>
          <w:lang w:val="en-US"/>
        </w:rPr>
        <w:t>raport.</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sz w:val="28"/>
          <w:szCs w:val="28"/>
          <w:lang w:val="en-US"/>
        </w:rPr>
        <w:t xml:space="preserve">În </w:t>
      </w:r>
      <w:r w:rsidRPr="002819A5">
        <w:rPr>
          <w:rFonts w:ascii="Times New Roman" w:hAnsi="Times New Roman"/>
          <w:color w:val="000000"/>
          <w:sz w:val="28"/>
          <w:szCs w:val="28"/>
          <w:lang w:val="ro-RO"/>
        </w:rPr>
        <w:t xml:space="preserve">rândul 090 </w:t>
      </w:r>
      <w:r w:rsidRPr="00D2768F">
        <w:rPr>
          <w:rFonts w:ascii="Times New Roman" w:hAnsi="Times New Roman"/>
          <w:sz w:val="28"/>
          <w:szCs w:val="28"/>
          <w:lang w:val="ro-RO"/>
        </w:rPr>
        <w:t>„</w:t>
      </w:r>
      <w:r w:rsidRPr="002819A5">
        <w:rPr>
          <w:rFonts w:ascii="Times New Roman" w:hAnsi="Times New Roman"/>
          <w:color w:val="000000"/>
          <w:sz w:val="28"/>
          <w:szCs w:val="28"/>
          <w:lang w:val="ro-RO"/>
        </w:rPr>
        <w:t>Alte rezerve</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w:t>
      </w:r>
      <w:r w:rsidRPr="002819A5">
        <w:rPr>
          <w:rFonts w:ascii="Times New Roman" w:hAnsi="Times New Roman"/>
          <w:sz w:val="28"/>
          <w:szCs w:val="28"/>
          <w:lang w:val="en-US"/>
        </w:rPr>
        <w:t xml:space="preserve"> soldurile şi modificările rezervelor constituite în conformitate cu decizia organului de conducere împuternicit al organizației de microfinanțare, cu excepţia rezervelor indicate în rd.070 şi 080 din</w:t>
      </w:r>
      <w:r>
        <w:rPr>
          <w:rFonts w:ascii="Times New Roman" w:hAnsi="Times New Roman"/>
          <w:sz w:val="28"/>
          <w:szCs w:val="28"/>
          <w:lang w:val="en-US"/>
        </w:rPr>
        <w:t xml:space="preserve"> prezentul</w:t>
      </w:r>
      <w:r w:rsidRPr="002819A5">
        <w:rPr>
          <w:rFonts w:ascii="Times New Roman" w:hAnsi="Times New Roman"/>
          <w:sz w:val="28"/>
          <w:szCs w:val="28"/>
          <w:lang w:val="en-US"/>
        </w:rPr>
        <w:t xml:space="preserve"> raport.</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sz w:val="28"/>
          <w:szCs w:val="28"/>
          <w:lang w:val="en-US"/>
        </w:rPr>
        <w:t xml:space="preserve">În </w:t>
      </w:r>
      <w:r w:rsidRPr="002819A5">
        <w:rPr>
          <w:rFonts w:ascii="Times New Roman" w:hAnsi="Times New Roman"/>
          <w:color w:val="000000"/>
          <w:sz w:val="28"/>
          <w:szCs w:val="28"/>
          <w:lang w:val="ro-RO"/>
        </w:rPr>
        <w:t xml:space="preserve">rândul 100 </w:t>
      </w:r>
      <w:r w:rsidRPr="00D2768F">
        <w:rPr>
          <w:rFonts w:ascii="Times New Roman" w:hAnsi="Times New Roman"/>
          <w:sz w:val="28"/>
          <w:szCs w:val="28"/>
          <w:lang w:val="ro-RO"/>
        </w:rPr>
        <w:t>„</w:t>
      </w:r>
      <w:r w:rsidRPr="002819A5">
        <w:rPr>
          <w:rFonts w:ascii="Times New Roman" w:hAnsi="Times New Roman"/>
          <w:color w:val="000000"/>
          <w:sz w:val="28"/>
          <w:szCs w:val="28"/>
          <w:lang w:val="ro-RO"/>
        </w:rPr>
        <w:t>Total rezerve</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totalul determinat prin relaţia: </w:t>
      </w:r>
      <w:r w:rsidRPr="002819A5">
        <w:rPr>
          <w:rFonts w:ascii="Times New Roman" w:hAnsi="Times New Roman"/>
          <w:bCs/>
          <w:sz w:val="28"/>
          <w:szCs w:val="28"/>
          <w:lang w:val="en-US"/>
        </w:rPr>
        <w:t>rd.070+rd.080+rd.090</w:t>
      </w:r>
      <w:r w:rsidRPr="002819A5">
        <w:rPr>
          <w:rFonts w:ascii="Times New Roman" w:hAnsi="Times New Roman"/>
          <w:color w:val="000000"/>
          <w:sz w:val="28"/>
          <w:szCs w:val="28"/>
          <w:lang w:val="ro-RO"/>
        </w:rPr>
        <w:t>.</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color w:val="000000"/>
          <w:sz w:val="28"/>
          <w:szCs w:val="28"/>
          <w:lang w:val="ro-RO"/>
        </w:rPr>
        <w:t xml:space="preserve">În rândul 110 </w:t>
      </w:r>
      <w:r w:rsidRPr="00D2768F">
        <w:rPr>
          <w:rFonts w:ascii="Times New Roman" w:hAnsi="Times New Roman"/>
          <w:sz w:val="28"/>
          <w:szCs w:val="28"/>
          <w:lang w:val="ro-RO"/>
        </w:rPr>
        <w:t>„</w:t>
      </w:r>
      <w:r w:rsidRPr="002819A5">
        <w:rPr>
          <w:rFonts w:ascii="Times New Roman" w:hAnsi="Times New Roman"/>
          <w:color w:val="000000"/>
          <w:sz w:val="28"/>
          <w:szCs w:val="28"/>
          <w:lang w:val="ro-RO"/>
        </w:rPr>
        <w:t>Corecţii ale rezultatelor anilor precedenţi</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soldurile şi modificările sumei profitului (pierderii) rezultat(e) din corectarea erorilor comise în anii precedenţi, depistate în perioada de gestiune.</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color w:val="000000"/>
          <w:sz w:val="28"/>
          <w:szCs w:val="28"/>
          <w:lang w:val="ro-RO"/>
        </w:rPr>
        <w:t xml:space="preserve">În rândul 120 </w:t>
      </w:r>
      <w:r w:rsidRPr="00D2768F">
        <w:rPr>
          <w:rFonts w:ascii="Times New Roman" w:hAnsi="Times New Roman"/>
          <w:sz w:val="28"/>
          <w:szCs w:val="28"/>
          <w:lang w:val="ro-RO"/>
        </w:rPr>
        <w:t>„</w:t>
      </w:r>
      <w:r w:rsidRPr="002819A5">
        <w:rPr>
          <w:rFonts w:ascii="Times New Roman" w:hAnsi="Times New Roman"/>
          <w:color w:val="000000"/>
          <w:sz w:val="28"/>
          <w:szCs w:val="28"/>
          <w:lang w:val="ro-RO"/>
        </w:rPr>
        <w:t>Profit nerepartizat (pierdere neacoperită) al anilor precedenţi</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soldurile şi modificările profitului nerepartizat (pierderii </w:t>
      </w:r>
      <w:r w:rsidRPr="002819A5">
        <w:rPr>
          <w:rFonts w:ascii="Times New Roman" w:hAnsi="Times New Roman"/>
          <w:color w:val="000000"/>
          <w:sz w:val="28"/>
          <w:szCs w:val="28"/>
          <w:lang w:val="ro-RO"/>
        </w:rPr>
        <w:lastRenderedPageBreak/>
        <w:t>neacoperite) al anilor precedenţi. Soldul la începutul perioadei de gestiune se determină după reformarea bilanţului pe anul precedent.</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color w:val="000000"/>
          <w:sz w:val="28"/>
          <w:szCs w:val="28"/>
          <w:lang w:val="ro-RO"/>
        </w:rPr>
        <w:t xml:space="preserve">În rândul 130 </w:t>
      </w:r>
      <w:r w:rsidRPr="00D2768F">
        <w:rPr>
          <w:rFonts w:ascii="Times New Roman" w:hAnsi="Times New Roman"/>
          <w:sz w:val="28"/>
          <w:szCs w:val="28"/>
          <w:lang w:val="ro-RO"/>
        </w:rPr>
        <w:t>„</w:t>
      </w:r>
      <w:r w:rsidRPr="002819A5">
        <w:rPr>
          <w:rFonts w:ascii="Times New Roman" w:hAnsi="Times New Roman"/>
          <w:color w:val="000000"/>
          <w:sz w:val="28"/>
          <w:szCs w:val="28"/>
          <w:lang w:val="ro-RO"/>
        </w:rPr>
        <w:t>Profit net (pierdere netă) al perioadei de gestiune</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w:t>
      </w:r>
      <w:r>
        <w:rPr>
          <w:rFonts w:ascii="Times New Roman" w:hAnsi="Times New Roman"/>
          <w:color w:val="000000"/>
          <w:sz w:val="28"/>
          <w:szCs w:val="28"/>
          <w:lang w:val="ro-RO"/>
        </w:rPr>
        <w:t>ctă profitul net fără paranteze</w:t>
      </w:r>
      <w:r w:rsidRPr="002819A5">
        <w:rPr>
          <w:rFonts w:ascii="Times New Roman" w:hAnsi="Times New Roman"/>
          <w:color w:val="000000"/>
          <w:sz w:val="28"/>
          <w:szCs w:val="28"/>
          <w:lang w:val="ro-RO"/>
        </w:rPr>
        <w:t xml:space="preserve"> sau între paranteze pierderea netă a perioadei de gestiune curente, determinate în raportul privind veniturile și cheltuielile.</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color w:val="000000"/>
          <w:sz w:val="28"/>
          <w:szCs w:val="28"/>
          <w:lang w:val="ro-RO"/>
        </w:rPr>
        <w:t xml:space="preserve">În rândul 140 </w:t>
      </w:r>
      <w:r w:rsidRPr="00D2768F">
        <w:rPr>
          <w:rFonts w:ascii="Times New Roman" w:hAnsi="Times New Roman"/>
          <w:sz w:val="28"/>
          <w:szCs w:val="28"/>
          <w:lang w:val="ro-RO"/>
        </w:rPr>
        <w:t>„</w:t>
      </w:r>
      <w:r w:rsidRPr="002819A5">
        <w:rPr>
          <w:rFonts w:ascii="Times New Roman" w:hAnsi="Times New Roman"/>
          <w:color w:val="000000"/>
          <w:sz w:val="28"/>
          <w:szCs w:val="28"/>
          <w:lang w:val="ro-RO"/>
        </w:rPr>
        <w:t>Profit utilizat al perioadei de gestiune</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indică între paranteze profitul anului de gestiune utilizat în cursul acestui an pentru constituirea rezervelor şi în alte scopuri, conform deciziei organului de conducere împuternicit al organizației de microfinanțare.</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color w:val="000000"/>
          <w:sz w:val="28"/>
          <w:szCs w:val="28"/>
          <w:lang w:val="ro-RO"/>
        </w:rPr>
        <w:t xml:space="preserve">În rândul 150 </w:t>
      </w:r>
      <w:r w:rsidRPr="00D2768F">
        <w:rPr>
          <w:rFonts w:ascii="Times New Roman" w:hAnsi="Times New Roman"/>
          <w:sz w:val="28"/>
          <w:szCs w:val="28"/>
          <w:lang w:val="ro-RO"/>
        </w:rPr>
        <w:t>„</w:t>
      </w:r>
      <w:r w:rsidRPr="002819A5">
        <w:rPr>
          <w:rFonts w:ascii="Times New Roman" w:hAnsi="Times New Roman"/>
          <w:color w:val="000000"/>
          <w:sz w:val="28"/>
          <w:szCs w:val="28"/>
          <w:lang w:val="ro-RO"/>
        </w:rPr>
        <w:t>Total rezerve şi profit nerepartizat (pierdere neacoperită)</w:t>
      </w:r>
      <w:r w:rsidRPr="00F6390A">
        <w:rPr>
          <w:rFonts w:ascii="Times New Roman" w:hAnsi="Times New Roman"/>
          <w:sz w:val="28"/>
          <w:szCs w:val="28"/>
          <w:lang w:val="en-US"/>
        </w:rPr>
        <w:t xml:space="preserve"> </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înscrie totalul determinat prin relaţia: rd.110 + rd.120 + rd.130 + rd.140.</w:t>
      </w:r>
    </w:p>
    <w:p w:rsidR="00CD723B" w:rsidRPr="002819A5"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sz w:val="28"/>
          <w:szCs w:val="28"/>
          <w:lang w:val="en-US"/>
        </w:rPr>
      </w:pPr>
      <w:r w:rsidRPr="002819A5">
        <w:rPr>
          <w:rFonts w:ascii="Times New Roman" w:hAnsi="Times New Roman"/>
          <w:color w:val="000000"/>
          <w:sz w:val="28"/>
          <w:szCs w:val="28"/>
          <w:lang w:val="ro-RO"/>
        </w:rPr>
        <w:t xml:space="preserve">În rândul 160 </w:t>
      </w:r>
      <w:r w:rsidRPr="00D2768F">
        <w:rPr>
          <w:rFonts w:ascii="Times New Roman" w:hAnsi="Times New Roman"/>
          <w:sz w:val="28"/>
          <w:szCs w:val="28"/>
          <w:lang w:val="ro-RO"/>
        </w:rPr>
        <w:t>„</w:t>
      </w:r>
      <w:r w:rsidRPr="002819A5">
        <w:rPr>
          <w:rFonts w:ascii="Times New Roman" w:hAnsi="Times New Roman"/>
          <w:color w:val="000000"/>
          <w:sz w:val="28"/>
          <w:szCs w:val="28"/>
          <w:lang w:val="ro-RO"/>
        </w:rPr>
        <w:t>Alte elemente de capital propriu</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reflectă soldurile şi modificările sumei totale a elementelor capitalului propriu care nu au fost inc</w:t>
      </w:r>
      <w:r>
        <w:rPr>
          <w:rFonts w:ascii="Times New Roman" w:hAnsi="Times New Roman"/>
          <w:color w:val="000000"/>
          <w:sz w:val="28"/>
          <w:szCs w:val="28"/>
          <w:lang w:val="ro-RO"/>
        </w:rPr>
        <w:t>luse în rândurile 010-150 din R</w:t>
      </w:r>
      <w:r w:rsidRPr="002819A5">
        <w:rPr>
          <w:rFonts w:ascii="Times New Roman" w:hAnsi="Times New Roman"/>
          <w:color w:val="000000"/>
          <w:sz w:val="28"/>
          <w:szCs w:val="28"/>
          <w:lang w:val="ro-RO"/>
        </w:rPr>
        <w:t>aportul privind capitalul</w:t>
      </w:r>
      <w:r>
        <w:rPr>
          <w:rFonts w:ascii="Times New Roman" w:hAnsi="Times New Roman"/>
          <w:color w:val="000000"/>
          <w:sz w:val="28"/>
          <w:szCs w:val="28"/>
          <w:lang w:val="ro-RO"/>
        </w:rPr>
        <w:t xml:space="preserve"> propriu</w:t>
      </w:r>
      <w:r w:rsidRPr="002819A5">
        <w:rPr>
          <w:rFonts w:ascii="Times New Roman" w:hAnsi="Times New Roman"/>
          <w:color w:val="000000"/>
          <w:sz w:val="28"/>
          <w:szCs w:val="28"/>
          <w:lang w:val="ro-RO"/>
        </w:rPr>
        <w:t>.</w:t>
      </w:r>
    </w:p>
    <w:p w:rsidR="00CD723B" w:rsidRDefault="00CD723B" w:rsidP="00CD723B">
      <w:pPr>
        <w:pStyle w:val="ListParagraph"/>
        <w:numPr>
          <w:ilvl w:val="0"/>
          <w:numId w:val="2"/>
        </w:numPr>
        <w:tabs>
          <w:tab w:val="left" w:pos="284"/>
          <w:tab w:val="left" w:pos="426"/>
        </w:tabs>
        <w:spacing w:after="0" w:line="240" w:lineRule="auto"/>
        <w:ind w:left="0" w:firstLine="0"/>
        <w:jc w:val="both"/>
        <w:rPr>
          <w:rFonts w:ascii="Times New Roman" w:hAnsi="Times New Roman"/>
          <w:color w:val="000000"/>
          <w:sz w:val="28"/>
          <w:szCs w:val="28"/>
          <w:lang w:val="ro-RO"/>
        </w:rPr>
      </w:pPr>
      <w:r w:rsidRPr="002819A5">
        <w:rPr>
          <w:rFonts w:ascii="Times New Roman" w:hAnsi="Times New Roman"/>
          <w:color w:val="000000"/>
          <w:sz w:val="28"/>
          <w:szCs w:val="28"/>
          <w:lang w:val="ro-RO"/>
        </w:rPr>
        <w:t xml:space="preserve">În rândul 170 </w:t>
      </w:r>
      <w:r w:rsidRPr="00D2768F">
        <w:rPr>
          <w:rFonts w:ascii="Times New Roman" w:hAnsi="Times New Roman"/>
          <w:sz w:val="28"/>
          <w:szCs w:val="28"/>
          <w:lang w:val="ro-RO"/>
        </w:rPr>
        <w:t>„</w:t>
      </w:r>
      <w:r w:rsidRPr="002819A5">
        <w:rPr>
          <w:rFonts w:ascii="Times New Roman" w:hAnsi="Times New Roman"/>
          <w:color w:val="000000"/>
          <w:sz w:val="28"/>
          <w:szCs w:val="28"/>
          <w:lang w:val="ro-RO"/>
        </w:rPr>
        <w:t>Total capital propriu</w:t>
      </w:r>
      <w:r w:rsidRPr="00D2768F">
        <w:rPr>
          <w:rFonts w:ascii="Times New Roman" w:hAnsi="Times New Roman"/>
          <w:sz w:val="28"/>
          <w:szCs w:val="28"/>
          <w:lang w:val="en-US"/>
        </w:rPr>
        <w:t>”</w:t>
      </w:r>
      <w:r w:rsidRPr="002819A5">
        <w:rPr>
          <w:rFonts w:ascii="Times New Roman" w:hAnsi="Times New Roman"/>
          <w:color w:val="000000"/>
          <w:sz w:val="28"/>
          <w:szCs w:val="28"/>
          <w:lang w:val="ro-RO"/>
        </w:rPr>
        <w:t xml:space="preserve"> se înscrie totalul elementelor de capital propriu, determinat prin relaţia: rd.060 + rd.100 + rd.150 + rd.160.</w:t>
      </w:r>
    </w:p>
    <w:p w:rsidR="00303418" w:rsidRPr="00CD723B" w:rsidRDefault="00303418">
      <w:pPr>
        <w:rPr>
          <w:lang w:val="ro-RO"/>
        </w:rPr>
      </w:pPr>
    </w:p>
    <w:sectPr w:rsidR="00303418" w:rsidRPr="00CD723B" w:rsidSect="003034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B6A"/>
    <w:multiLevelType w:val="hybridMultilevel"/>
    <w:tmpl w:val="92928CDA"/>
    <w:lvl w:ilvl="0" w:tplc="CC4E5288">
      <w:start w:val="3"/>
      <w:numFmt w:val="decimal"/>
      <w:lvlText w:val="%1."/>
      <w:lvlJc w:val="left"/>
      <w:pPr>
        <w:ind w:left="295" w:hanging="360"/>
      </w:pPr>
      <w:rPr>
        <w:rFonts w:cs="Times New Roman" w:hint="default"/>
        <w:b/>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1">
    <w:nsid w:val="08F97C6F"/>
    <w:multiLevelType w:val="hybridMultilevel"/>
    <w:tmpl w:val="29C49DCC"/>
    <w:lvl w:ilvl="0" w:tplc="E370C1CA">
      <w:start w:val="1"/>
      <w:numFmt w:val="bullet"/>
      <w:lvlText w:val="-"/>
      <w:lvlJc w:val="left"/>
      <w:pPr>
        <w:ind w:left="1440" w:hanging="360"/>
      </w:pPr>
      <w:rPr>
        <w:rFonts w:ascii="Times New Roman" w:hAnsi="Times New Roman"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D723B"/>
    <w:rsid w:val="000D3E31"/>
    <w:rsid w:val="00303418"/>
    <w:rsid w:val="00CD723B"/>
    <w:rsid w:val="00DF1F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723B"/>
    <w:pPr>
      <w:ind w:firstLine="567"/>
      <w:jc w:val="both"/>
    </w:pPr>
    <w:rPr>
      <w:lang w:val="ru-RU" w:eastAsia="ru-RU"/>
    </w:rPr>
  </w:style>
  <w:style w:type="paragraph" w:styleId="ListParagraph">
    <w:name w:val="List Paragraph"/>
    <w:basedOn w:val="Normal"/>
    <w:uiPriority w:val="34"/>
    <w:qFormat/>
    <w:rsid w:val="00CD723B"/>
    <w:pPr>
      <w:spacing w:after="200" w:line="276" w:lineRule="auto"/>
      <w:ind w:left="720"/>
      <w:contextualSpacing/>
    </w:pPr>
    <w:rPr>
      <w:rFonts w:ascii="Calibri" w:hAnsi="Calibri"/>
      <w:sz w:val="22"/>
      <w:szCs w:val="22"/>
      <w:lang w:val="ru-RU" w:eastAsia="ru-RU"/>
    </w:rPr>
  </w:style>
  <w:style w:type="paragraph" w:styleId="BodyText2">
    <w:name w:val="Body Text 2"/>
    <w:basedOn w:val="Normal"/>
    <w:link w:val="BodyText2Char"/>
    <w:uiPriority w:val="99"/>
    <w:rsid w:val="00CD723B"/>
    <w:pPr>
      <w:spacing w:after="120" w:line="480" w:lineRule="auto"/>
    </w:pPr>
    <w:rPr>
      <w:rFonts w:ascii="Calibri" w:hAnsi="Calibri"/>
      <w:sz w:val="22"/>
      <w:szCs w:val="22"/>
      <w:lang w:val="ru-RU" w:eastAsia="ru-RU"/>
    </w:rPr>
  </w:style>
  <w:style w:type="character" w:customStyle="1" w:styleId="BodyText2Char">
    <w:name w:val="Body Text 2 Char"/>
    <w:basedOn w:val="DefaultParagraphFont"/>
    <w:link w:val="BodyText2"/>
    <w:uiPriority w:val="99"/>
    <w:rsid w:val="00CD723B"/>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2</cp:revision>
  <dcterms:created xsi:type="dcterms:W3CDTF">2018-01-04T06:28:00Z</dcterms:created>
  <dcterms:modified xsi:type="dcterms:W3CDTF">2018-01-04T06:33:00Z</dcterms:modified>
</cp:coreProperties>
</file>