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876"/>
        <w:tblW w:w="9948" w:type="dxa"/>
        <w:tblLook w:val="04A0"/>
      </w:tblPr>
      <w:tblGrid>
        <w:gridCol w:w="5529"/>
        <w:gridCol w:w="708"/>
        <w:gridCol w:w="142"/>
        <w:gridCol w:w="1166"/>
        <w:gridCol w:w="110"/>
        <w:gridCol w:w="1276"/>
        <w:gridCol w:w="211"/>
        <w:gridCol w:w="806"/>
      </w:tblGrid>
      <w:tr w:rsidR="006C7862" w:rsidRPr="004A4733" w:rsidTr="005A4BCB">
        <w:trPr>
          <w:gridAfter w:val="2"/>
          <w:wAfter w:w="1017" w:type="dxa"/>
          <w:trHeight w:val="315"/>
        </w:trPr>
        <w:tc>
          <w:tcPr>
            <w:tcW w:w="8931" w:type="dxa"/>
            <w:gridSpan w:val="6"/>
            <w:tcBorders>
              <w:top w:val="nil"/>
              <w:left w:val="nil"/>
              <w:bottom w:val="nil"/>
              <w:right w:val="nil"/>
            </w:tcBorders>
            <w:noWrap/>
            <w:vAlign w:val="bottom"/>
            <w:hideMark/>
          </w:tcPr>
          <w:p w:rsidR="006C7862" w:rsidRDefault="006C7862" w:rsidP="005A4BCB">
            <w:pPr>
              <w:rPr>
                <w:color w:val="000000"/>
                <w:lang w:val="ro-RO"/>
              </w:rPr>
            </w:pPr>
          </w:p>
          <w:p w:rsidR="006C7862" w:rsidRPr="00502495" w:rsidRDefault="006C7862" w:rsidP="005A4BCB">
            <w:pPr>
              <w:ind w:left="426"/>
              <w:jc w:val="right"/>
              <w:rPr>
                <w:lang w:eastAsia="ru-RU"/>
              </w:rPr>
            </w:pPr>
            <w:proofErr w:type="spellStart"/>
            <w:r w:rsidRPr="00502495">
              <w:rPr>
                <w:lang w:eastAsia="ru-RU"/>
              </w:rPr>
              <w:t>Anexa</w:t>
            </w:r>
            <w:proofErr w:type="spellEnd"/>
            <w:r w:rsidRPr="00502495">
              <w:rPr>
                <w:lang w:eastAsia="ru-RU"/>
              </w:rPr>
              <w:t xml:space="preserve"> nr. 7 </w:t>
            </w:r>
          </w:p>
          <w:p w:rsidR="006C7862" w:rsidRPr="00502495" w:rsidRDefault="006C7862" w:rsidP="005A4BCB">
            <w:pPr>
              <w:ind w:left="426"/>
              <w:jc w:val="right"/>
              <w:rPr>
                <w:lang w:eastAsia="ru-RU"/>
              </w:rPr>
            </w:pPr>
            <w:r w:rsidRPr="00502495">
              <w:rPr>
                <w:lang w:eastAsia="ru-RU"/>
              </w:rPr>
              <w:t xml:space="preserve">la </w:t>
            </w:r>
            <w:proofErr w:type="spellStart"/>
            <w:r w:rsidRPr="00502495">
              <w:rPr>
                <w:lang w:eastAsia="ru-RU"/>
              </w:rPr>
              <w:t>Instrucţiunea</w:t>
            </w:r>
            <w:proofErr w:type="spellEnd"/>
            <w:r w:rsidRPr="00502495">
              <w:rPr>
                <w:lang w:eastAsia="ru-RU"/>
              </w:rPr>
              <w:t xml:space="preserve"> cu </w:t>
            </w:r>
            <w:proofErr w:type="spellStart"/>
            <w:r w:rsidRPr="00502495">
              <w:rPr>
                <w:lang w:eastAsia="ru-RU"/>
              </w:rPr>
              <w:t>privire</w:t>
            </w:r>
            <w:proofErr w:type="spellEnd"/>
            <w:r w:rsidRPr="00502495">
              <w:rPr>
                <w:lang w:eastAsia="ru-RU"/>
              </w:rPr>
              <w:t xml:space="preserve"> la </w:t>
            </w:r>
            <w:proofErr w:type="spellStart"/>
            <w:r w:rsidRPr="00502495">
              <w:rPr>
                <w:lang w:eastAsia="ru-RU"/>
              </w:rPr>
              <w:t>raportarea</w:t>
            </w:r>
            <w:proofErr w:type="spellEnd"/>
            <w:r w:rsidRPr="00502495">
              <w:rPr>
                <w:lang w:eastAsia="ru-RU"/>
              </w:rPr>
              <w:t xml:space="preserve"> </w:t>
            </w:r>
          </w:p>
          <w:p w:rsidR="006C7862" w:rsidRPr="00502495" w:rsidRDefault="006C7862" w:rsidP="005A4BCB">
            <w:pPr>
              <w:ind w:left="426"/>
              <w:jc w:val="right"/>
              <w:rPr>
                <w:lang w:eastAsia="ru-RU"/>
              </w:rPr>
            </w:pPr>
            <w:proofErr w:type="spellStart"/>
            <w:r w:rsidRPr="00502495">
              <w:rPr>
                <w:lang w:eastAsia="ru-RU"/>
              </w:rPr>
              <w:t>organizațiilor</w:t>
            </w:r>
            <w:proofErr w:type="spellEnd"/>
            <w:r w:rsidRPr="00502495">
              <w:rPr>
                <w:lang w:eastAsia="ru-RU"/>
              </w:rPr>
              <w:t xml:space="preserve"> de </w:t>
            </w:r>
            <w:proofErr w:type="spellStart"/>
            <w:r w:rsidRPr="00502495">
              <w:rPr>
                <w:lang w:eastAsia="ru-RU"/>
              </w:rPr>
              <w:t>microfinanțare</w:t>
            </w:r>
            <w:proofErr w:type="spellEnd"/>
            <w:r w:rsidRPr="00502495">
              <w:rPr>
                <w:lang w:eastAsia="ru-RU"/>
              </w:rPr>
              <w:t xml:space="preserve"> </w:t>
            </w:r>
          </w:p>
          <w:p w:rsidR="006C7862" w:rsidRPr="004A4733" w:rsidRDefault="006C7862" w:rsidP="005A4BCB">
            <w:pPr>
              <w:ind w:left="426"/>
              <w:jc w:val="right"/>
              <w:rPr>
                <w:b/>
                <w:lang w:eastAsia="ru-RU"/>
              </w:rPr>
            </w:pPr>
            <w:r w:rsidRPr="004A4733">
              <w:rPr>
                <w:b/>
                <w:lang w:eastAsia="ru-RU"/>
              </w:rPr>
              <w:t xml:space="preserve"> </w:t>
            </w:r>
          </w:p>
          <w:p w:rsidR="006C7862" w:rsidRPr="00502495" w:rsidRDefault="006C7862" w:rsidP="005A4BCB">
            <w:pPr>
              <w:ind w:left="426"/>
              <w:jc w:val="right"/>
              <w:rPr>
                <w:lang w:eastAsia="ru-RU"/>
              </w:rPr>
            </w:pPr>
            <w:r w:rsidRPr="00502495">
              <w:rPr>
                <w:lang w:eastAsia="ru-RU"/>
              </w:rPr>
              <w:t xml:space="preserve">  </w:t>
            </w:r>
            <w:proofErr w:type="spellStart"/>
            <w:r w:rsidRPr="00502495">
              <w:rPr>
                <w:lang w:eastAsia="ru-RU"/>
              </w:rPr>
              <w:t>Aprobată</w:t>
            </w:r>
            <w:proofErr w:type="spellEnd"/>
            <w:r w:rsidRPr="00502495">
              <w:rPr>
                <w:lang w:eastAsia="ru-RU"/>
              </w:rPr>
              <w:t xml:space="preserve"> </w:t>
            </w:r>
          </w:p>
          <w:p w:rsidR="006C7862" w:rsidRPr="00502495" w:rsidRDefault="006C7862" w:rsidP="005A4BCB">
            <w:pPr>
              <w:ind w:left="426"/>
              <w:jc w:val="right"/>
              <w:rPr>
                <w:lang w:eastAsia="ru-RU"/>
              </w:rPr>
            </w:pPr>
            <w:proofErr w:type="spellStart"/>
            <w:proofErr w:type="gramStart"/>
            <w:r w:rsidRPr="00502495">
              <w:rPr>
                <w:lang w:eastAsia="ru-RU"/>
              </w:rPr>
              <w:t>prin</w:t>
            </w:r>
            <w:proofErr w:type="spellEnd"/>
            <w:proofErr w:type="gramEnd"/>
            <w:r w:rsidRPr="00502495">
              <w:rPr>
                <w:lang w:eastAsia="ru-RU"/>
              </w:rPr>
              <w:t xml:space="preserve"> </w:t>
            </w:r>
            <w:proofErr w:type="spellStart"/>
            <w:r w:rsidRPr="00502495">
              <w:rPr>
                <w:lang w:eastAsia="ru-RU"/>
              </w:rPr>
              <w:t>Hotărârea</w:t>
            </w:r>
            <w:proofErr w:type="spellEnd"/>
            <w:r w:rsidRPr="00502495">
              <w:rPr>
                <w:lang w:eastAsia="ru-RU"/>
              </w:rPr>
              <w:t xml:space="preserve"> C.N.P.F. </w:t>
            </w:r>
          </w:p>
          <w:p w:rsidR="006C7862" w:rsidRPr="004A4733" w:rsidRDefault="006C7862" w:rsidP="005A4BCB">
            <w:pPr>
              <w:ind w:left="426"/>
              <w:jc w:val="right"/>
              <w:rPr>
                <w:b/>
                <w:lang w:eastAsia="ru-RU"/>
              </w:rPr>
            </w:pPr>
            <w:r w:rsidRPr="00502495">
              <w:rPr>
                <w:lang w:eastAsia="ru-RU"/>
              </w:rPr>
              <w:t>nr.54/4 din 11.12.2017</w:t>
            </w:r>
            <w:r w:rsidRPr="004A4733">
              <w:rPr>
                <w:b/>
                <w:lang w:eastAsia="ru-RU"/>
              </w:rPr>
              <w:t xml:space="preserve"> </w:t>
            </w:r>
          </w:p>
          <w:p w:rsidR="006C7862" w:rsidRPr="004A4733" w:rsidRDefault="006C7862" w:rsidP="005A4BCB">
            <w:pPr>
              <w:ind w:left="426"/>
              <w:jc w:val="center"/>
              <w:rPr>
                <w:b/>
                <w:bCs/>
                <w:lang w:val="ro-RO" w:eastAsia="ru-RU"/>
              </w:rPr>
            </w:pPr>
            <w:r w:rsidRPr="004A4733">
              <w:rPr>
                <w:b/>
                <w:lang w:eastAsia="ru-RU"/>
              </w:rPr>
              <w:t xml:space="preserve">  </w:t>
            </w:r>
            <w:r w:rsidRPr="004A4733">
              <w:rPr>
                <w:b/>
                <w:bCs/>
                <w:lang w:val="ro-RO" w:eastAsia="ru-RU"/>
              </w:rPr>
              <w:t>RAPORTUL</w:t>
            </w:r>
          </w:p>
          <w:p w:rsidR="006C7862" w:rsidRPr="004A4733" w:rsidRDefault="006C7862" w:rsidP="005A4BCB">
            <w:pPr>
              <w:ind w:left="426"/>
              <w:jc w:val="center"/>
              <w:rPr>
                <w:b/>
                <w:bCs/>
                <w:lang w:val="ro-RO" w:eastAsia="ru-RU"/>
              </w:rPr>
            </w:pPr>
            <w:r w:rsidRPr="004A4733">
              <w:rPr>
                <w:b/>
                <w:bCs/>
                <w:lang w:val="ro-RO" w:eastAsia="ru-RU"/>
              </w:rPr>
              <w:t>privind fluxul numerarului</w:t>
            </w:r>
          </w:p>
        </w:tc>
      </w:tr>
      <w:tr w:rsidR="006C7862" w:rsidRPr="004A4733" w:rsidTr="005A4BCB">
        <w:trPr>
          <w:gridAfter w:val="1"/>
          <w:wAfter w:w="806" w:type="dxa"/>
          <w:trHeight w:val="330"/>
        </w:trPr>
        <w:tc>
          <w:tcPr>
            <w:tcW w:w="9142" w:type="dxa"/>
            <w:gridSpan w:val="7"/>
            <w:tcBorders>
              <w:top w:val="nil"/>
              <w:left w:val="nil"/>
              <w:bottom w:val="nil"/>
              <w:right w:val="nil"/>
            </w:tcBorders>
            <w:noWrap/>
            <w:vAlign w:val="bottom"/>
            <w:hideMark/>
          </w:tcPr>
          <w:p w:rsidR="006C7862" w:rsidRPr="004A4733" w:rsidRDefault="006C7862" w:rsidP="005A4BCB">
            <w:pPr>
              <w:ind w:left="426"/>
              <w:jc w:val="center"/>
              <w:rPr>
                <w:b/>
                <w:bCs/>
                <w:lang w:eastAsia="ru-RU"/>
              </w:rPr>
            </w:pPr>
            <w:r w:rsidRPr="004A4733">
              <w:rPr>
                <w:b/>
                <w:bCs/>
                <w:lang w:eastAsia="ru-RU"/>
              </w:rPr>
              <w:t xml:space="preserve">de la _____________ </w:t>
            </w:r>
            <w:proofErr w:type="spellStart"/>
            <w:r w:rsidRPr="004A4733">
              <w:rPr>
                <w:b/>
                <w:bCs/>
                <w:lang w:eastAsia="ru-RU"/>
              </w:rPr>
              <w:t>până</w:t>
            </w:r>
            <w:proofErr w:type="spellEnd"/>
            <w:r w:rsidRPr="004A4733">
              <w:rPr>
                <w:b/>
                <w:bCs/>
                <w:lang w:eastAsia="ru-RU"/>
              </w:rPr>
              <w:t xml:space="preserve"> la _______________20__</w:t>
            </w:r>
          </w:p>
        </w:tc>
      </w:tr>
      <w:tr w:rsidR="006C7862" w:rsidRPr="002E70D5" w:rsidTr="005A4BCB">
        <w:trPr>
          <w:trHeight w:val="171"/>
        </w:trPr>
        <w:tc>
          <w:tcPr>
            <w:tcW w:w="6237" w:type="dxa"/>
            <w:gridSpan w:val="2"/>
            <w:tcBorders>
              <w:top w:val="nil"/>
              <w:left w:val="nil"/>
              <w:bottom w:val="nil"/>
              <w:right w:val="nil"/>
            </w:tcBorders>
            <w:noWrap/>
            <w:vAlign w:val="bottom"/>
            <w:hideMark/>
          </w:tcPr>
          <w:p w:rsidR="006C7862" w:rsidRPr="002E70D5" w:rsidRDefault="006C7862" w:rsidP="005A4BCB">
            <w:pPr>
              <w:ind w:left="426"/>
              <w:jc w:val="center"/>
              <w:rPr>
                <w:sz w:val="18"/>
                <w:szCs w:val="18"/>
                <w:lang w:eastAsia="ru-RU"/>
              </w:rPr>
            </w:pPr>
          </w:p>
        </w:tc>
        <w:tc>
          <w:tcPr>
            <w:tcW w:w="1308" w:type="dxa"/>
            <w:gridSpan w:val="2"/>
            <w:tcBorders>
              <w:top w:val="nil"/>
              <w:left w:val="nil"/>
              <w:bottom w:val="nil"/>
              <w:right w:val="nil"/>
            </w:tcBorders>
            <w:noWrap/>
            <w:vAlign w:val="center"/>
            <w:hideMark/>
          </w:tcPr>
          <w:p w:rsidR="006C7862" w:rsidRPr="002E70D5" w:rsidRDefault="006C7862" w:rsidP="005A4BCB">
            <w:pPr>
              <w:ind w:left="426"/>
              <w:jc w:val="right"/>
              <w:rPr>
                <w:sz w:val="18"/>
                <w:szCs w:val="18"/>
                <w:lang w:eastAsia="ru-RU"/>
              </w:rPr>
            </w:pPr>
          </w:p>
        </w:tc>
        <w:tc>
          <w:tcPr>
            <w:tcW w:w="1597" w:type="dxa"/>
            <w:gridSpan w:val="3"/>
            <w:tcBorders>
              <w:top w:val="nil"/>
              <w:left w:val="nil"/>
              <w:bottom w:val="nil"/>
              <w:right w:val="nil"/>
            </w:tcBorders>
            <w:noWrap/>
            <w:vAlign w:val="center"/>
            <w:hideMark/>
          </w:tcPr>
          <w:p w:rsidR="006C7862" w:rsidRPr="002E70D5" w:rsidRDefault="006C7862" w:rsidP="005A4BCB">
            <w:pPr>
              <w:ind w:left="426"/>
              <w:jc w:val="center"/>
              <w:rPr>
                <w:sz w:val="18"/>
                <w:szCs w:val="18"/>
                <w:lang w:eastAsia="ru-RU"/>
              </w:rPr>
            </w:pPr>
          </w:p>
        </w:tc>
        <w:tc>
          <w:tcPr>
            <w:tcW w:w="806" w:type="dxa"/>
            <w:tcBorders>
              <w:top w:val="nil"/>
              <w:left w:val="nil"/>
              <w:bottom w:val="nil"/>
              <w:right w:val="nil"/>
            </w:tcBorders>
            <w:noWrap/>
            <w:vAlign w:val="center"/>
            <w:hideMark/>
          </w:tcPr>
          <w:p w:rsidR="006C7862" w:rsidRPr="002E70D5" w:rsidRDefault="006C7862" w:rsidP="005A4BCB">
            <w:pPr>
              <w:ind w:left="426"/>
              <w:jc w:val="center"/>
              <w:rPr>
                <w:sz w:val="18"/>
                <w:szCs w:val="18"/>
                <w:lang w:eastAsia="ru-RU"/>
              </w:rPr>
            </w:pPr>
          </w:p>
        </w:tc>
      </w:tr>
      <w:tr w:rsidR="006C7862" w:rsidRPr="002E70D5" w:rsidTr="005A4BCB">
        <w:trPr>
          <w:gridAfter w:val="2"/>
          <w:wAfter w:w="1017" w:type="dxa"/>
          <w:trHeight w:val="256"/>
        </w:trPr>
        <w:tc>
          <w:tcPr>
            <w:tcW w:w="5529" w:type="dxa"/>
            <w:vMerge w:val="restart"/>
            <w:tcBorders>
              <w:top w:val="single" w:sz="8" w:space="0" w:color="auto"/>
              <w:left w:val="single" w:sz="8" w:space="0" w:color="auto"/>
              <w:bottom w:val="single" w:sz="8" w:space="0" w:color="000000"/>
              <w:right w:val="single" w:sz="4" w:space="0" w:color="auto"/>
            </w:tcBorders>
            <w:vAlign w:val="center"/>
            <w:hideMark/>
          </w:tcPr>
          <w:p w:rsidR="006C7862" w:rsidRPr="002E70D5" w:rsidRDefault="006C7862" w:rsidP="005A4BCB">
            <w:pPr>
              <w:jc w:val="center"/>
              <w:rPr>
                <w:b/>
                <w:bCs/>
                <w:sz w:val="18"/>
                <w:szCs w:val="18"/>
                <w:lang w:eastAsia="ru-RU"/>
              </w:rPr>
            </w:pPr>
            <w:proofErr w:type="spellStart"/>
            <w:r w:rsidRPr="002E70D5">
              <w:rPr>
                <w:b/>
                <w:bCs/>
                <w:sz w:val="18"/>
                <w:szCs w:val="18"/>
                <w:lang w:eastAsia="ru-RU"/>
              </w:rPr>
              <w:t>Indicatori</w:t>
            </w:r>
            <w:proofErr w:type="spellEnd"/>
          </w:p>
        </w:tc>
        <w:tc>
          <w:tcPr>
            <w:tcW w:w="850" w:type="dxa"/>
            <w:gridSpan w:val="2"/>
            <w:vMerge w:val="restart"/>
            <w:tcBorders>
              <w:top w:val="single" w:sz="8" w:space="0" w:color="auto"/>
              <w:left w:val="single" w:sz="4" w:space="0" w:color="auto"/>
              <w:bottom w:val="single" w:sz="8" w:space="0" w:color="000000"/>
              <w:right w:val="single" w:sz="4" w:space="0" w:color="auto"/>
            </w:tcBorders>
            <w:vAlign w:val="center"/>
            <w:hideMark/>
          </w:tcPr>
          <w:p w:rsidR="006C7862" w:rsidRPr="002E70D5" w:rsidRDefault="006C7862" w:rsidP="005A4BCB">
            <w:pPr>
              <w:jc w:val="center"/>
              <w:rPr>
                <w:b/>
                <w:bCs/>
                <w:sz w:val="18"/>
                <w:szCs w:val="18"/>
                <w:lang w:eastAsia="ru-RU"/>
              </w:rPr>
            </w:pPr>
            <w:r w:rsidRPr="002E70D5">
              <w:rPr>
                <w:b/>
                <w:bCs/>
                <w:sz w:val="18"/>
                <w:szCs w:val="18"/>
                <w:lang w:eastAsia="ru-RU"/>
              </w:rPr>
              <w:t>Cod rd.</w:t>
            </w:r>
          </w:p>
        </w:tc>
        <w:tc>
          <w:tcPr>
            <w:tcW w:w="2552" w:type="dxa"/>
            <w:gridSpan w:val="3"/>
            <w:tcBorders>
              <w:top w:val="single" w:sz="4" w:space="0" w:color="auto"/>
              <w:left w:val="nil"/>
              <w:bottom w:val="single" w:sz="4" w:space="0" w:color="auto"/>
              <w:right w:val="single" w:sz="4" w:space="0" w:color="auto"/>
            </w:tcBorders>
            <w:vAlign w:val="center"/>
            <w:hideMark/>
          </w:tcPr>
          <w:p w:rsidR="006C7862" w:rsidRPr="002E70D5" w:rsidRDefault="006C7862" w:rsidP="005A4BCB">
            <w:pPr>
              <w:jc w:val="center"/>
              <w:rPr>
                <w:b/>
                <w:bCs/>
                <w:sz w:val="18"/>
                <w:szCs w:val="18"/>
                <w:lang w:eastAsia="ru-RU"/>
              </w:rPr>
            </w:pPr>
            <w:proofErr w:type="spellStart"/>
            <w:r w:rsidRPr="002E70D5">
              <w:rPr>
                <w:b/>
                <w:bCs/>
                <w:sz w:val="20"/>
                <w:szCs w:val="20"/>
                <w:lang w:eastAsia="ru-RU"/>
              </w:rPr>
              <w:t>Perioada</w:t>
            </w:r>
            <w:proofErr w:type="spellEnd"/>
            <w:r w:rsidRPr="002E70D5">
              <w:rPr>
                <w:b/>
                <w:bCs/>
                <w:sz w:val="20"/>
                <w:szCs w:val="20"/>
                <w:lang w:eastAsia="ru-RU"/>
              </w:rPr>
              <w:t xml:space="preserve"> de </w:t>
            </w:r>
            <w:proofErr w:type="spellStart"/>
            <w:r w:rsidRPr="002E70D5">
              <w:rPr>
                <w:b/>
                <w:bCs/>
                <w:sz w:val="20"/>
                <w:szCs w:val="20"/>
                <w:lang w:eastAsia="ru-RU"/>
              </w:rPr>
              <w:t>gestiune</w:t>
            </w:r>
            <w:proofErr w:type="spellEnd"/>
          </w:p>
        </w:tc>
      </w:tr>
      <w:tr w:rsidR="006C7862" w:rsidRPr="002E70D5" w:rsidTr="005A4BCB">
        <w:trPr>
          <w:gridAfter w:val="2"/>
          <w:wAfter w:w="1017" w:type="dxa"/>
          <w:trHeight w:val="217"/>
        </w:trPr>
        <w:tc>
          <w:tcPr>
            <w:tcW w:w="5529" w:type="dxa"/>
            <w:vMerge/>
            <w:tcBorders>
              <w:top w:val="single" w:sz="8" w:space="0" w:color="auto"/>
              <w:left w:val="single" w:sz="8" w:space="0" w:color="auto"/>
              <w:bottom w:val="single" w:sz="8" w:space="0" w:color="000000"/>
              <w:right w:val="single" w:sz="4" w:space="0" w:color="auto"/>
            </w:tcBorders>
            <w:vAlign w:val="center"/>
            <w:hideMark/>
          </w:tcPr>
          <w:p w:rsidR="006C7862" w:rsidRPr="002E70D5" w:rsidRDefault="006C7862" w:rsidP="005A4BCB">
            <w:pPr>
              <w:rPr>
                <w:b/>
                <w:bCs/>
                <w:sz w:val="18"/>
                <w:szCs w:val="18"/>
                <w:lang w:eastAsia="ru-RU"/>
              </w:rPr>
            </w:pPr>
          </w:p>
        </w:tc>
        <w:tc>
          <w:tcPr>
            <w:tcW w:w="850" w:type="dxa"/>
            <w:gridSpan w:val="2"/>
            <w:vMerge/>
            <w:tcBorders>
              <w:top w:val="single" w:sz="8" w:space="0" w:color="auto"/>
              <w:left w:val="single" w:sz="4" w:space="0" w:color="auto"/>
              <w:bottom w:val="single" w:sz="8" w:space="0" w:color="000000"/>
              <w:right w:val="single" w:sz="4" w:space="0" w:color="auto"/>
            </w:tcBorders>
            <w:vAlign w:val="center"/>
            <w:hideMark/>
          </w:tcPr>
          <w:p w:rsidR="006C7862" w:rsidRPr="002E70D5" w:rsidRDefault="006C7862" w:rsidP="005A4BCB">
            <w:pPr>
              <w:rPr>
                <w:b/>
                <w:bCs/>
                <w:sz w:val="18"/>
                <w:szCs w:val="18"/>
                <w:lang w:eastAsia="ru-RU"/>
              </w:rPr>
            </w:pPr>
          </w:p>
        </w:tc>
        <w:tc>
          <w:tcPr>
            <w:tcW w:w="1276" w:type="dxa"/>
            <w:gridSpan w:val="2"/>
            <w:tcBorders>
              <w:top w:val="nil"/>
              <w:left w:val="nil"/>
              <w:bottom w:val="single" w:sz="8" w:space="0" w:color="auto"/>
              <w:right w:val="single" w:sz="4" w:space="0" w:color="auto"/>
            </w:tcBorders>
            <w:vAlign w:val="center"/>
            <w:hideMark/>
          </w:tcPr>
          <w:p w:rsidR="006C7862" w:rsidRPr="002E70D5" w:rsidRDefault="006C7862" w:rsidP="005A4BCB">
            <w:pPr>
              <w:jc w:val="center"/>
              <w:rPr>
                <w:b/>
                <w:bCs/>
                <w:sz w:val="18"/>
                <w:szCs w:val="18"/>
                <w:lang w:eastAsia="ru-RU"/>
              </w:rPr>
            </w:pPr>
            <w:r w:rsidRPr="002E70D5">
              <w:rPr>
                <w:b/>
                <w:bCs/>
                <w:sz w:val="18"/>
                <w:szCs w:val="18"/>
                <w:lang w:eastAsia="ru-RU"/>
              </w:rPr>
              <w:t xml:space="preserve"> </w:t>
            </w:r>
            <w:proofErr w:type="spellStart"/>
            <w:r w:rsidRPr="002E70D5">
              <w:rPr>
                <w:b/>
                <w:bCs/>
                <w:sz w:val="18"/>
                <w:szCs w:val="18"/>
                <w:lang w:eastAsia="ru-RU"/>
              </w:rPr>
              <w:t>precedentă</w:t>
            </w:r>
            <w:proofErr w:type="spellEnd"/>
            <w:r w:rsidRPr="002E70D5">
              <w:rPr>
                <w:b/>
                <w:bCs/>
                <w:sz w:val="18"/>
                <w:szCs w:val="18"/>
                <w:lang w:eastAsia="ru-RU"/>
              </w:rPr>
              <w:t xml:space="preserve"> </w:t>
            </w:r>
          </w:p>
        </w:tc>
        <w:tc>
          <w:tcPr>
            <w:tcW w:w="1276" w:type="dxa"/>
            <w:tcBorders>
              <w:top w:val="nil"/>
              <w:left w:val="nil"/>
              <w:bottom w:val="single" w:sz="8" w:space="0" w:color="auto"/>
              <w:right w:val="single" w:sz="8" w:space="0" w:color="auto"/>
            </w:tcBorders>
            <w:vAlign w:val="center"/>
            <w:hideMark/>
          </w:tcPr>
          <w:p w:rsidR="006C7862" w:rsidRPr="002E70D5" w:rsidRDefault="006C7862" w:rsidP="005A4BCB">
            <w:pPr>
              <w:jc w:val="center"/>
              <w:rPr>
                <w:b/>
                <w:bCs/>
                <w:sz w:val="18"/>
                <w:szCs w:val="18"/>
                <w:lang w:eastAsia="ru-RU"/>
              </w:rPr>
            </w:pPr>
            <w:proofErr w:type="spellStart"/>
            <w:r w:rsidRPr="002E70D5">
              <w:rPr>
                <w:b/>
                <w:bCs/>
                <w:sz w:val="18"/>
                <w:szCs w:val="18"/>
                <w:lang w:eastAsia="ru-RU"/>
              </w:rPr>
              <w:t>curentă</w:t>
            </w:r>
            <w:proofErr w:type="spellEnd"/>
            <w:r w:rsidRPr="002E70D5">
              <w:rPr>
                <w:b/>
                <w:bCs/>
                <w:sz w:val="18"/>
                <w:szCs w:val="18"/>
                <w:lang w:eastAsia="ru-RU"/>
              </w:rPr>
              <w:t xml:space="preserve"> </w:t>
            </w:r>
          </w:p>
        </w:tc>
      </w:tr>
      <w:tr w:rsidR="006C7862" w:rsidRPr="002E70D5" w:rsidTr="005A4BCB">
        <w:trPr>
          <w:gridAfter w:val="2"/>
          <w:wAfter w:w="1017" w:type="dxa"/>
          <w:trHeight w:val="300"/>
        </w:trPr>
        <w:tc>
          <w:tcPr>
            <w:tcW w:w="5529" w:type="dxa"/>
            <w:tcBorders>
              <w:top w:val="nil"/>
              <w:left w:val="single" w:sz="8" w:space="0" w:color="auto"/>
              <w:bottom w:val="single" w:sz="4" w:space="0" w:color="auto"/>
              <w:right w:val="single" w:sz="4" w:space="0" w:color="auto"/>
            </w:tcBorders>
            <w:vAlign w:val="center"/>
            <w:hideMark/>
          </w:tcPr>
          <w:p w:rsidR="006C7862" w:rsidRPr="002E70D5" w:rsidRDefault="006C7862" w:rsidP="005A4BCB">
            <w:pPr>
              <w:jc w:val="center"/>
              <w:rPr>
                <w:sz w:val="18"/>
                <w:szCs w:val="18"/>
                <w:lang w:eastAsia="ru-RU"/>
              </w:rPr>
            </w:pPr>
            <w:r w:rsidRPr="002E70D5">
              <w:rPr>
                <w:sz w:val="18"/>
                <w:szCs w:val="18"/>
                <w:lang w:eastAsia="ru-RU"/>
              </w:rPr>
              <w:t>1</w:t>
            </w:r>
          </w:p>
        </w:tc>
        <w:tc>
          <w:tcPr>
            <w:tcW w:w="850" w:type="dxa"/>
            <w:gridSpan w:val="2"/>
            <w:tcBorders>
              <w:top w:val="nil"/>
              <w:left w:val="nil"/>
              <w:bottom w:val="single" w:sz="4" w:space="0" w:color="auto"/>
              <w:right w:val="single" w:sz="4" w:space="0" w:color="auto"/>
            </w:tcBorders>
            <w:vAlign w:val="center"/>
            <w:hideMark/>
          </w:tcPr>
          <w:p w:rsidR="006C7862" w:rsidRPr="002E70D5" w:rsidRDefault="006C7862" w:rsidP="005A4BCB">
            <w:pPr>
              <w:jc w:val="center"/>
              <w:rPr>
                <w:sz w:val="18"/>
                <w:szCs w:val="18"/>
                <w:lang w:eastAsia="ru-RU"/>
              </w:rPr>
            </w:pPr>
            <w:r w:rsidRPr="002E70D5">
              <w:rPr>
                <w:sz w:val="18"/>
                <w:szCs w:val="18"/>
                <w:lang w:eastAsia="ru-RU"/>
              </w:rPr>
              <w:t>2</w:t>
            </w:r>
          </w:p>
        </w:tc>
        <w:tc>
          <w:tcPr>
            <w:tcW w:w="1276" w:type="dxa"/>
            <w:gridSpan w:val="2"/>
            <w:tcBorders>
              <w:top w:val="nil"/>
              <w:left w:val="nil"/>
              <w:bottom w:val="single" w:sz="4" w:space="0" w:color="auto"/>
              <w:right w:val="single" w:sz="4" w:space="0" w:color="auto"/>
            </w:tcBorders>
            <w:vAlign w:val="center"/>
            <w:hideMark/>
          </w:tcPr>
          <w:p w:rsidR="006C7862" w:rsidRPr="002E70D5" w:rsidRDefault="006C7862" w:rsidP="005A4BCB">
            <w:pPr>
              <w:jc w:val="center"/>
              <w:rPr>
                <w:sz w:val="18"/>
                <w:szCs w:val="18"/>
                <w:lang w:eastAsia="ru-RU"/>
              </w:rPr>
            </w:pPr>
            <w:r w:rsidRPr="002E70D5">
              <w:rPr>
                <w:sz w:val="18"/>
                <w:szCs w:val="18"/>
                <w:lang w:eastAsia="ru-RU"/>
              </w:rPr>
              <w:t>3</w:t>
            </w:r>
          </w:p>
        </w:tc>
        <w:tc>
          <w:tcPr>
            <w:tcW w:w="1276" w:type="dxa"/>
            <w:tcBorders>
              <w:top w:val="nil"/>
              <w:left w:val="nil"/>
              <w:bottom w:val="single" w:sz="4" w:space="0" w:color="auto"/>
              <w:right w:val="single" w:sz="8" w:space="0" w:color="auto"/>
            </w:tcBorders>
            <w:vAlign w:val="center"/>
            <w:hideMark/>
          </w:tcPr>
          <w:p w:rsidR="006C7862" w:rsidRPr="002E70D5" w:rsidRDefault="006C7862" w:rsidP="005A4BCB">
            <w:pPr>
              <w:jc w:val="center"/>
              <w:rPr>
                <w:sz w:val="18"/>
                <w:szCs w:val="18"/>
                <w:lang w:eastAsia="ru-RU"/>
              </w:rPr>
            </w:pPr>
            <w:r w:rsidRPr="002E70D5">
              <w:rPr>
                <w:sz w:val="18"/>
                <w:szCs w:val="18"/>
                <w:lang w:eastAsia="ru-RU"/>
              </w:rPr>
              <w:t>4</w:t>
            </w:r>
          </w:p>
        </w:tc>
      </w:tr>
      <w:tr w:rsidR="006C7862" w:rsidRPr="002E70D5" w:rsidTr="005A4BCB">
        <w:trPr>
          <w:gridAfter w:val="2"/>
          <w:wAfter w:w="1017" w:type="dxa"/>
          <w:trHeight w:val="315"/>
        </w:trPr>
        <w:tc>
          <w:tcPr>
            <w:tcW w:w="5529" w:type="dxa"/>
            <w:tcBorders>
              <w:top w:val="nil"/>
              <w:left w:val="single" w:sz="8" w:space="0" w:color="auto"/>
              <w:bottom w:val="single" w:sz="4" w:space="0" w:color="auto"/>
              <w:right w:val="single" w:sz="4" w:space="0" w:color="auto"/>
            </w:tcBorders>
            <w:hideMark/>
          </w:tcPr>
          <w:p w:rsidR="006C7862" w:rsidRPr="002E70D5" w:rsidRDefault="006C7862" w:rsidP="005A4BCB">
            <w:pPr>
              <w:rPr>
                <w:b/>
                <w:bCs/>
                <w:color w:val="000000"/>
                <w:sz w:val="18"/>
                <w:szCs w:val="18"/>
                <w:lang w:eastAsia="ru-RU"/>
              </w:rPr>
            </w:pPr>
            <w:r w:rsidRPr="002E70D5">
              <w:rPr>
                <w:b/>
                <w:bCs/>
                <w:color w:val="000000"/>
                <w:sz w:val="18"/>
                <w:szCs w:val="18"/>
                <w:lang w:eastAsia="ru-RU"/>
              </w:rPr>
              <w:t xml:space="preserve">1. </w:t>
            </w:r>
            <w:proofErr w:type="spellStart"/>
            <w:r w:rsidRPr="002E70D5">
              <w:rPr>
                <w:b/>
                <w:bCs/>
                <w:color w:val="000000"/>
                <w:sz w:val="18"/>
                <w:szCs w:val="18"/>
                <w:lang w:eastAsia="ru-RU"/>
              </w:rPr>
              <w:t>Fluxuri</w:t>
            </w:r>
            <w:proofErr w:type="spellEnd"/>
            <w:r w:rsidRPr="002E70D5">
              <w:rPr>
                <w:b/>
                <w:bCs/>
                <w:color w:val="000000"/>
                <w:sz w:val="18"/>
                <w:szCs w:val="18"/>
                <w:lang w:eastAsia="ru-RU"/>
              </w:rPr>
              <w:t xml:space="preserve"> de </w:t>
            </w:r>
            <w:proofErr w:type="spellStart"/>
            <w:r w:rsidRPr="002E70D5">
              <w:rPr>
                <w:b/>
                <w:bCs/>
                <w:color w:val="000000"/>
                <w:sz w:val="18"/>
                <w:szCs w:val="18"/>
                <w:lang w:eastAsia="ru-RU"/>
              </w:rPr>
              <w:t>numerar</w:t>
            </w:r>
            <w:proofErr w:type="spellEnd"/>
            <w:r w:rsidRPr="002E70D5">
              <w:rPr>
                <w:b/>
                <w:bCs/>
                <w:color w:val="000000"/>
                <w:sz w:val="18"/>
                <w:szCs w:val="18"/>
                <w:lang w:eastAsia="ru-RU"/>
              </w:rPr>
              <w:t xml:space="preserve"> din </w:t>
            </w:r>
            <w:proofErr w:type="spellStart"/>
            <w:r w:rsidRPr="002E70D5">
              <w:rPr>
                <w:b/>
                <w:bCs/>
                <w:color w:val="000000"/>
                <w:sz w:val="18"/>
                <w:szCs w:val="18"/>
                <w:lang w:eastAsia="ru-RU"/>
              </w:rPr>
              <w:t>activitatea</w:t>
            </w:r>
            <w:proofErr w:type="spellEnd"/>
            <w:r w:rsidRPr="002E70D5">
              <w:rPr>
                <w:b/>
                <w:bCs/>
                <w:color w:val="000000"/>
                <w:sz w:val="18"/>
                <w:szCs w:val="18"/>
                <w:lang w:eastAsia="ru-RU"/>
              </w:rPr>
              <w:t xml:space="preserve"> </w:t>
            </w:r>
            <w:proofErr w:type="spellStart"/>
            <w:r w:rsidRPr="002E70D5">
              <w:rPr>
                <w:b/>
                <w:bCs/>
                <w:color w:val="000000"/>
                <w:sz w:val="18"/>
                <w:szCs w:val="18"/>
                <w:lang w:eastAsia="ru-RU"/>
              </w:rPr>
              <w:t>operaţională</w:t>
            </w:r>
            <w:proofErr w:type="spellEnd"/>
          </w:p>
        </w:tc>
        <w:tc>
          <w:tcPr>
            <w:tcW w:w="850" w:type="dxa"/>
            <w:gridSpan w:val="2"/>
            <w:tcBorders>
              <w:top w:val="nil"/>
              <w:left w:val="nil"/>
              <w:bottom w:val="single" w:sz="4" w:space="0" w:color="auto"/>
              <w:right w:val="single" w:sz="4" w:space="0" w:color="auto"/>
            </w:tcBorders>
            <w:vAlign w:val="center"/>
            <w:hideMark/>
          </w:tcPr>
          <w:p w:rsidR="006C7862" w:rsidRPr="002E70D5" w:rsidRDefault="006C7862" w:rsidP="005A4BCB">
            <w:pPr>
              <w:jc w:val="center"/>
              <w:rPr>
                <w:sz w:val="18"/>
                <w:szCs w:val="18"/>
                <w:lang w:eastAsia="ru-RU"/>
              </w:rPr>
            </w:pPr>
            <w:r w:rsidRPr="002E70D5">
              <w:rPr>
                <w:sz w:val="18"/>
                <w:szCs w:val="18"/>
                <w:lang w:eastAsia="ru-RU"/>
              </w:rPr>
              <w:t> </w:t>
            </w:r>
          </w:p>
        </w:tc>
        <w:tc>
          <w:tcPr>
            <w:tcW w:w="1276" w:type="dxa"/>
            <w:gridSpan w:val="2"/>
            <w:tcBorders>
              <w:top w:val="nil"/>
              <w:left w:val="nil"/>
              <w:bottom w:val="single" w:sz="4" w:space="0" w:color="auto"/>
              <w:right w:val="single" w:sz="4" w:space="0" w:color="auto"/>
            </w:tcBorders>
            <w:noWrap/>
            <w:vAlign w:val="center"/>
            <w:hideMark/>
          </w:tcPr>
          <w:p w:rsidR="006C7862" w:rsidRPr="002E70D5" w:rsidRDefault="006C7862" w:rsidP="005A4BCB">
            <w:pPr>
              <w:jc w:val="center"/>
              <w:rPr>
                <w:color w:val="000000"/>
                <w:sz w:val="18"/>
                <w:szCs w:val="18"/>
                <w:lang w:eastAsia="ru-RU"/>
              </w:rPr>
            </w:pPr>
            <w:r w:rsidRPr="002E70D5">
              <w:rPr>
                <w:color w:val="000000"/>
                <w:sz w:val="18"/>
                <w:szCs w:val="18"/>
                <w:lang w:eastAsia="ru-RU"/>
              </w:rPr>
              <w:t> </w:t>
            </w:r>
          </w:p>
        </w:tc>
        <w:tc>
          <w:tcPr>
            <w:tcW w:w="1276" w:type="dxa"/>
            <w:tcBorders>
              <w:top w:val="nil"/>
              <w:left w:val="nil"/>
              <w:bottom w:val="single" w:sz="4" w:space="0" w:color="auto"/>
              <w:right w:val="single" w:sz="8" w:space="0" w:color="auto"/>
            </w:tcBorders>
            <w:noWrap/>
            <w:vAlign w:val="center"/>
            <w:hideMark/>
          </w:tcPr>
          <w:p w:rsidR="006C7862" w:rsidRPr="002E70D5" w:rsidRDefault="006C7862" w:rsidP="005A4BCB">
            <w:pPr>
              <w:jc w:val="center"/>
              <w:rPr>
                <w:color w:val="000000"/>
                <w:sz w:val="18"/>
                <w:szCs w:val="18"/>
                <w:lang w:eastAsia="ru-RU"/>
              </w:rPr>
            </w:pPr>
            <w:r w:rsidRPr="002E70D5">
              <w:rPr>
                <w:color w:val="000000"/>
                <w:sz w:val="18"/>
                <w:szCs w:val="18"/>
                <w:lang w:eastAsia="ru-RU"/>
              </w:rPr>
              <w:t> </w:t>
            </w:r>
          </w:p>
        </w:tc>
      </w:tr>
      <w:tr w:rsidR="006C7862" w:rsidRPr="002E70D5" w:rsidTr="005A4BCB">
        <w:trPr>
          <w:gridAfter w:val="2"/>
          <w:wAfter w:w="1017" w:type="dxa"/>
          <w:trHeight w:val="381"/>
        </w:trPr>
        <w:tc>
          <w:tcPr>
            <w:tcW w:w="5529" w:type="dxa"/>
            <w:tcBorders>
              <w:top w:val="nil"/>
              <w:left w:val="single" w:sz="8" w:space="0" w:color="auto"/>
              <w:bottom w:val="single" w:sz="4" w:space="0" w:color="auto"/>
              <w:right w:val="single" w:sz="4" w:space="0" w:color="auto"/>
            </w:tcBorders>
            <w:vAlign w:val="bottom"/>
            <w:hideMark/>
          </w:tcPr>
          <w:p w:rsidR="006C7862" w:rsidRPr="002E70D5" w:rsidRDefault="006C7862" w:rsidP="005A4BCB">
            <w:pPr>
              <w:rPr>
                <w:b/>
                <w:bCs/>
                <w:sz w:val="18"/>
                <w:szCs w:val="18"/>
                <w:lang w:eastAsia="ru-RU"/>
              </w:rPr>
            </w:pPr>
            <w:r w:rsidRPr="002E70D5">
              <w:rPr>
                <w:b/>
                <w:bCs/>
                <w:sz w:val="18"/>
                <w:szCs w:val="18"/>
                <w:lang w:eastAsia="ru-RU"/>
              </w:rPr>
              <w:t xml:space="preserve">1.1 Flux de </w:t>
            </w:r>
            <w:proofErr w:type="spellStart"/>
            <w:r w:rsidRPr="002E70D5">
              <w:rPr>
                <w:b/>
                <w:bCs/>
                <w:sz w:val="18"/>
                <w:szCs w:val="18"/>
                <w:lang w:eastAsia="ru-RU"/>
              </w:rPr>
              <w:t>numerar</w:t>
            </w:r>
            <w:proofErr w:type="spellEnd"/>
            <w:r w:rsidRPr="002E70D5">
              <w:rPr>
                <w:b/>
                <w:bCs/>
                <w:sz w:val="18"/>
                <w:szCs w:val="18"/>
                <w:lang w:eastAsia="ru-RU"/>
              </w:rPr>
              <w:t xml:space="preserve"> – generator al  </w:t>
            </w:r>
            <w:proofErr w:type="spellStart"/>
            <w:r w:rsidRPr="002E70D5">
              <w:rPr>
                <w:b/>
                <w:bCs/>
                <w:sz w:val="18"/>
                <w:szCs w:val="18"/>
                <w:lang w:eastAsia="ru-RU"/>
              </w:rPr>
              <w:t>principalei</w:t>
            </w:r>
            <w:proofErr w:type="spellEnd"/>
            <w:r w:rsidRPr="002E70D5">
              <w:rPr>
                <w:b/>
                <w:bCs/>
                <w:sz w:val="18"/>
                <w:szCs w:val="18"/>
                <w:lang w:eastAsia="ru-RU"/>
              </w:rPr>
              <w:t xml:space="preserve"> </w:t>
            </w:r>
            <w:proofErr w:type="spellStart"/>
            <w:r w:rsidRPr="002E70D5">
              <w:rPr>
                <w:b/>
                <w:bCs/>
                <w:sz w:val="18"/>
                <w:szCs w:val="18"/>
                <w:lang w:eastAsia="ru-RU"/>
              </w:rPr>
              <w:t>surse</w:t>
            </w:r>
            <w:proofErr w:type="spellEnd"/>
            <w:r w:rsidRPr="002E70D5">
              <w:rPr>
                <w:b/>
                <w:bCs/>
                <w:sz w:val="18"/>
                <w:szCs w:val="18"/>
                <w:lang w:eastAsia="ru-RU"/>
              </w:rPr>
              <w:t xml:space="preserve"> de </w:t>
            </w:r>
            <w:proofErr w:type="spellStart"/>
            <w:r w:rsidRPr="002E70D5">
              <w:rPr>
                <w:b/>
                <w:bCs/>
                <w:sz w:val="18"/>
                <w:szCs w:val="18"/>
                <w:lang w:eastAsia="ru-RU"/>
              </w:rPr>
              <w:t>venituri</w:t>
            </w:r>
            <w:proofErr w:type="spellEnd"/>
            <w:r w:rsidRPr="002E70D5">
              <w:rPr>
                <w:b/>
                <w:bCs/>
                <w:sz w:val="18"/>
                <w:szCs w:val="18"/>
                <w:lang w:eastAsia="ru-RU"/>
              </w:rPr>
              <w:t>:</w:t>
            </w:r>
            <w:r w:rsidRPr="002E70D5">
              <w:rPr>
                <w:b/>
                <w:bCs/>
                <w:sz w:val="18"/>
                <w:szCs w:val="18"/>
                <w:lang w:eastAsia="ru-RU"/>
              </w:rPr>
              <w:br/>
            </w:r>
            <w:proofErr w:type="spellStart"/>
            <w:r>
              <w:rPr>
                <w:sz w:val="18"/>
                <w:szCs w:val="18"/>
                <w:lang w:eastAsia="ru-RU"/>
              </w:rPr>
              <w:t>Dobân</w:t>
            </w:r>
            <w:r w:rsidRPr="002E70D5">
              <w:rPr>
                <w:sz w:val="18"/>
                <w:szCs w:val="18"/>
                <w:lang w:eastAsia="ru-RU"/>
              </w:rPr>
              <w:t>zi</w:t>
            </w:r>
            <w:proofErr w:type="spellEnd"/>
            <w:r w:rsidRPr="002E70D5">
              <w:rPr>
                <w:sz w:val="18"/>
                <w:szCs w:val="18"/>
                <w:lang w:eastAsia="ru-RU"/>
              </w:rPr>
              <w:t xml:space="preserve"> </w:t>
            </w:r>
            <w:proofErr w:type="spellStart"/>
            <w:r w:rsidRPr="002E70D5">
              <w:rPr>
                <w:sz w:val="18"/>
                <w:szCs w:val="18"/>
                <w:lang w:eastAsia="ru-RU"/>
              </w:rPr>
              <w:t>încasate</w:t>
            </w:r>
            <w:proofErr w:type="spellEnd"/>
          </w:p>
        </w:tc>
        <w:tc>
          <w:tcPr>
            <w:tcW w:w="850" w:type="dxa"/>
            <w:gridSpan w:val="2"/>
            <w:tcBorders>
              <w:top w:val="nil"/>
              <w:left w:val="nil"/>
              <w:bottom w:val="single" w:sz="4" w:space="0" w:color="auto"/>
              <w:right w:val="single" w:sz="4" w:space="0" w:color="auto"/>
            </w:tcBorders>
            <w:vAlign w:val="center"/>
            <w:hideMark/>
          </w:tcPr>
          <w:p w:rsidR="006C7862" w:rsidRPr="002E70D5" w:rsidRDefault="006C7862" w:rsidP="005A4BCB">
            <w:pPr>
              <w:jc w:val="center"/>
              <w:rPr>
                <w:sz w:val="18"/>
                <w:szCs w:val="18"/>
                <w:lang w:eastAsia="ru-RU"/>
              </w:rPr>
            </w:pPr>
            <w:r w:rsidRPr="002E70D5">
              <w:rPr>
                <w:sz w:val="18"/>
                <w:szCs w:val="18"/>
                <w:lang w:eastAsia="ru-RU"/>
              </w:rPr>
              <w:t>010</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c>
          <w:tcPr>
            <w:tcW w:w="1276" w:type="dxa"/>
            <w:tcBorders>
              <w:top w:val="single" w:sz="4" w:space="0" w:color="auto"/>
              <w:left w:val="single" w:sz="4" w:space="0" w:color="auto"/>
              <w:bottom w:val="single" w:sz="4" w:space="0" w:color="auto"/>
              <w:right w:val="single" w:sz="8"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r>
      <w:tr w:rsidR="006C7862" w:rsidRPr="002E70D5" w:rsidTr="005A4BCB">
        <w:trPr>
          <w:gridAfter w:val="2"/>
          <w:wAfter w:w="1017" w:type="dxa"/>
          <w:trHeight w:val="246"/>
        </w:trPr>
        <w:tc>
          <w:tcPr>
            <w:tcW w:w="5529" w:type="dxa"/>
            <w:tcBorders>
              <w:top w:val="nil"/>
              <w:left w:val="single" w:sz="8" w:space="0" w:color="auto"/>
              <w:bottom w:val="single" w:sz="4" w:space="0" w:color="auto"/>
              <w:right w:val="single" w:sz="4" w:space="0" w:color="auto"/>
            </w:tcBorders>
            <w:vAlign w:val="bottom"/>
            <w:hideMark/>
          </w:tcPr>
          <w:p w:rsidR="006C7862" w:rsidRPr="002E70D5" w:rsidRDefault="006C7862" w:rsidP="005A4BCB">
            <w:pPr>
              <w:rPr>
                <w:sz w:val="18"/>
                <w:szCs w:val="18"/>
                <w:lang w:eastAsia="ru-RU"/>
              </w:rPr>
            </w:pPr>
            <w:proofErr w:type="spellStart"/>
            <w:r>
              <w:rPr>
                <w:sz w:val="18"/>
                <w:szCs w:val="18"/>
                <w:lang w:eastAsia="ru-RU"/>
              </w:rPr>
              <w:t>Dobân</w:t>
            </w:r>
            <w:r w:rsidRPr="002E70D5">
              <w:rPr>
                <w:sz w:val="18"/>
                <w:szCs w:val="18"/>
                <w:lang w:eastAsia="ru-RU"/>
              </w:rPr>
              <w:t>zi</w:t>
            </w:r>
            <w:proofErr w:type="spellEnd"/>
            <w:r w:rsidRPr="002E70D5">
              <w:rPr>
                <w:sz w:val="18"/>
                <w:szCs w:val="18"/>
                <w:lang w:eastAsia="ru-RU"/>
              </w:rPr>
              <w:t xml:space="preserve"> </w:t>
            </w:r>
            <w:proofErr w:type="spellStart"/>
            <w:r w:rsidRPr="002E70D5">
              <w:rPr>
                <w:sz w:val="18"/>
                <w:szCs w:val="18"/>
                <w:lang w:eastAsia="ru-RU"/>
              </w:rPr>
              <w:t>plătite</w:t>
            </w:r>
            <w:proofErr w:type="spellEnd"/>
          </w:p>
        </w:tc>
        <w:tc>
          <w:tcPr>
            <w:tcW w:w="850" w:type="dxa"/>
            <w:gridSpan w:val="2"/>
            <w:tcBorders>
              <w:top w:val="nil"/>
              <w:left w:val="nil"/>
              <w:bottom w:val="single" w:sz="4" w:space="0" w:color="auto"/>
              <w:right w:val="single" w:sz="4" w:space="0" w:color="auto"/>
            </w:tcBorders>
            <w:vAlign w:val="center"/>
            <w:hideMark/>
          </w:tcPr>
          <w:p w:rsidR="006C7862" w:rsidRPr="002E70D5" w:rsidRDefault="006C7862" w:rsidP="005A4BCB">
            <w:pPr>
              <w:jc w:val="center"/>
              <w:rPr>
                <w:sz w:val="18"/>
                <w:szCs w:val="18"/>
                <w:lang w:eastAsia="ru-RU"/>
              </w:rPr>
            </w:pPr>
            <w:r w:rsidRPr="002E70D5">
              <w:rPr>
                <w:sz w:val="18"/>
                <w:szCs w:val="18"/>
                <w:lang w:eastAsia="ru-RU"/>
              </w:rPr>
              <w:t>020</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c>
          <w:tcPr>
            <w:tcW w:w="1276" w:type="dxa"/>
            <w:tcBorders>
              <w:top w:val="single" w:sz="4" w:space="0" w:color="auto"/>
              <w:left w:val="single" w:sz="4" w:space="0" w:color="auto"/>
              <w:bottom w:val="single" w:sz="4" w:space="0" w:color="auto"/>
              <w:right w:val="single" w:sz="8"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r>
      <w:tr w:rsidR="006C7862" w:rsidRPr="002E70D5" w:rsidTr="005A4BCB">
        <w:trPr>
          <w:gridAfter w:val="2"/>
          <w:wAfter w:w="1017" w:type="dxa"/>
          <w:trHeight w:val="300"/>
        </w:trPr>
        <w:tc>
          <w:tcPr>
            <w:tcW w:w="5529" w:type="dxa"/>
            <w:tcBorders>
              <w:top w:val="nil"/>
              <w:left w:val="single" w:sz="8" w:space="0" w:color="auto"/>
              <w:bottom w:val="single" w:sz="4" w:space="0" w:color="auto"/>
              <w:right w:val="single" w:sz="4" w:space="0" w:color="auto"/>
            </w:tcBorders>
            <w:vAlign w:val="bottom"/>
            <w:hideMark/>
          </w:tcPr>
          <w:p w:rsidR="006C7862" w:rsidRPr="002E70D5" w:rsidRDefault="006C7862" w:rsidP="005A4BCB">
            <w:pPr>
              <w:rPr>
                <w:sz w:val="18"/>
                <w:szCs w:val="18"/>
                <w:lang w:eastAsia="ru-RU"/>
              </w:rPr>
            </w:pPr>
            <w:proofErr w:type="spellStart"/>
            <w:r w:rsidRPr="002E70D5">
              <w:rPr>
                <w:sz w:val="18"/>
                <w:szCs w:val="18"/>
                <w:lang w:eastAsia="ru-RU"/>
              </w:rPr>
              <w:t>Încasări</w:t>
            </w:r>
            <w:proofErr w:type="spellEnd"/>
            <w:r w:rsidRPr="002E70D5">
              <w:rPr>
                <w:sz w:val="18"/>
                <w:szCs w:val="18"/>
                <w:lang w:eastAsia="ru-RU"/>
              </w:rPr>
              <w:t xml:space="preserve"> din </w:t>
            </w:r>
            <w:proofErr w:type="spellStart"/>
            <w:r w:rsidRPr="002E70D5">
              <w:rPr>
                <w:sz w:val="18"/>
                <w:szCs w:val="18"/>
                <w:lang w:eastAsia="ru-RU"/>
              </w:rPr>
              <w:t>recuperarea</w:t>
            </w:r>
            <w:proofErr w:type="spellEnd"/>
            <w:r w:rsidRPr="002E70D5">
              <w:rPr>
                <w:sz w:val="18"/>
                <w:szCs w:val="18"/>
                <w:lang w:eastAsia="ru-RU"/>
              </w:rPr>
              <w:t xml:space="preserve"> </w:t>
            </w:r>
            <w:proofErr w:type="spellStart"/>
            <w:r w:rsidRPr="002E70D5">
              <w:rPr>
                <w:sz w:val="18"/>
                <w:szCs w:val="18"/>
                <w:lang w:eastAsia="ru-RU"/>
              </w:rPr>
              <w:t>împrumuturilor</w:t>
            </w:r>
            <w:proofErr w:type="spellEnd"/>
            <w:r w:rsidRPr="002E70D5">
              <w:rPr>
                <w:sz w:val="18"/>
                <w:szCs w:val="18"/>
                <w:lang w:eastAsia="ru-RU"/>
              </w:rPr>
              <w:t xml:space="preserve"> </w:t>
            </w:r>
            <w:proofErr w:type="spellStart"/>
            <w:r w:rsidRPr="002E70D5">
              <w:rPr>
                <w:sz w:val="18"/>
                <w:szCs w:val="18"/>
                <w:lang w:eastAsia="ru-RU"/>
              </w:rPr>
              <w:t>și</w:t>
            </w:r>
            <w:proofErr w:type="spellEnd"/>
            <w:r w:rsidRPr="002E70D5">
              <w:rPr>
                <w:sz w:val="18"/>
                <w:szCs w:val="18"/>
                <w:lang w:eastAsia="ru-RU"/>
              </w:rPr>
              <w:t xml:space="preserve"> </w:t>
            </w:r>
            <w:proofErr w:type="spellStart"/>
            <w:r w:rsidRPr="002E70D5">
              <w:rPr>
                <w:sz w:val="18"/>
                <w:szCs w:val="18"/>
                <w:lang w:eastAsia="ru-RU"/>
              </w:rPr>
              <w:t>creanţelor</w:t>
            </w:r>
            <w:proofErr w:type="spellEnd"/>
            <w:r w:rsidRPr="002E70D5">
              <w:rPr>
                <w:sz w:val="18"/>
                <w:szCs w:val="18"/>
                <w:lang w:eastAsia="ru-RU"/>
              </w:rPr>
              <w:t xml:space="preserve"> </w:t>
            </w:r>
            <w:proofErr w:type="spellStart"/>
            <w:r w:rsidRPr="002E70D5">
              <w:rPr>
                <w:sz w:val="18"/>
                <w:szCs w:val="18"/>
                <w:lang w:eastAsia="ru-RU"/>
              </w:rPr>
              <w:t>decontate</w:t>
            </w:r>
            <w:proofErr w:type="spellEnd"/>
            <w:r w:rsidRPr="002E70D5">
              <w:rPr>
                <w:sz w:val="18"/>
                <w:szCs w:val="18"/>
                <w:lang w:eastAsia="ru-RU"/>
              </w:rPr>
              <w:t xml:space="preserve"> anterior</w:t>
            </w:r>
          </w:p>
        </w:tc>
        <w:tc>
          <w:tcPr>
            <w:tcW w:w="850" w:type="dxa"/>
            <w:gridSpan w:val="2"/>
            <w:tcBorders>
              <w:top w:val="nil"/>
              <w:left w:val="nil"/>
              <w:bottom w:val="single" w:sz="4" w:space="0" w:color="auto"/>
              <w:right w:val="single" w:sz="4" w:space="0" w:color="auto"/>
            </w:tcBorders>
            <w:vAlign w:val="center"/>
            <w:hideMark/>
          </w:tcPr>
          <w:p w:rsidR="006C7862" w:rsidRPr="002E70D5" w:rsidRDefault="006C7862" w:rsidP="005A4BCB">
            <w:pPr>
              <w:jc w:val="center"/>
              <w:rPr>
                <w:sz w:val="18"/>
                <w:szCs w:val="18"/>
                <w:lang w:eastAsia="ru-RU"/>
              </w:rPr>
            </w:pPr>
            <w:r w:rsidRPr="002E70D5">
              <w:rPr>
                <w:sz w:val="18"/>
                <w:szCs w:val="18"/>
                <w:lang w:eastAsia="ru-RU"/>
              </w:rPr>
              <w:t>030</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c>
          <w:tcPr>
            <w:tcW w:w="1276" w:type="dxa"/>
            <w:tcBorders>
              <w:top w:val="single" w:sz="4" w:space="0" w:color="auto"/>
              <w:left w:val="single" w:sz="4" w:space="0" w:color="auto"/>
              <w:bottom w:val="single" w:sz="4" w:space="0" w:color="auto"/>
              <w:right w:val="single" w:sz="8"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r>
      <w:tr w:rsidR="006C7862" w:rsidRPr="002E70D5" w:rsidTr="005A4BCB">
        <w:trPr>
          <w:gridAfter w:val="2"/>
          <w:wAfter w:w="1017" w:type="dxa"/>
          <w:trHeight w:val="300"/>
        </w:trPr>
        <w:tc>
          <w:tcPr>
            <w:tcW w:w="5529" w:type="dxa"/>
            <w:tcBorders>
              <w:top w:val="nil"/>
              <w:left w:val="single" w:sz="8" w:space="0" w:color="auto"/>
              <w:bottom w:val="single" w:sz="4" w:space="0" w:color="auto"/>
              <w:right w:val="single" w:sz="4" w:space="0" w:color="auto"/>
            </w:tcBorders>
            <w:vAlign w:val="bottom"/>
            <w:hideMark/>
          </w:tcPr>
          <w:p w:rsidR="006C7862" w:rsidRPr="002E70D5" w:rsidRDefault="006C7862" w:rsidP="005A4BCB">
            <w:pPr>
              <w:rPr>
                <w:sz w:val="18"/>
                <w:szCs w:val="18"/>
                <w:lang w:eastAsia="ru-RU"/>
              </w:rPr>
            </w:pPr>
            <w:proofErr w:type="spellStart"/>
            <w:r w:rsidRPr="002E70D5">
              <w:rPr>
                <w:sz w:val="18"/>
                <w:szCs w:val="18"/>
                <w:lang w:eastAsia="ru-RU"/>
              </w:rPr>
              <w:t>Plăţi</w:t>
            </w:r>
            <w:proofErr w:type="spellEnd"/>
            <w:r w:rsidRPr="002E70D5">
              <w:rPr>
                <w:sz w:val="18"/>
                <w:szCs w:val="18"/>
                <w:lang w:eastAsia="ru-RU"/>
              </w:rPr>
              <w:t xml:space="preserve"> </w:t>
            </w:r>
            <w:proofErr w:type="spellStart"/>
            <w:r w:rsidRPr="002E70D5">
              <w:rPr>
                <w:sz w:val="18"/>
                <w:szCs w:val="18"/>
                <w:lang w:eastAsia="ru-RU"/>
              </w:rPr>
              <w:t>către</w:t>
            </w:r>
            <w:proofErr w:type="spellEnd"/>
            <w:r w:rsidRPr="002E70D5">
              <w:rPr>
                <w:sz w:val="18"/>
                <w:szCs w:val="18"/>
                <w:lang w:eastAsia="ru-RU"/>
              </w:rPr>
              <w:t xml:space="preserve"> </w:t>
            </w:r>
            <w:proofErr w:type="spellStart"/>
            <w:r w:rsidRPr="002E70D5">
              <w:rPr>
                <w:sz w:val="18"/>
                <w:szCs w:val="18"/>
                <w:lang w:eastAsia="ru-RU"/>
              </w:rPr>
              <w:t>angajaţi</w:t>
            </w:r>
            <w:proofErr w:type="spellEnd"/>
            <w:r w:rsidRPr="002E70D5">
              <w:rPr>
                <w:sz w:val="18"/>
                <w:szCs w:val="18"/>
                <w:lang w:eastAsia="ru-RU"/>
              </w:rPr>
              <w:t xml:space="preserve"> </w:t>
            </w:r>
            <w:proofErr w:type="spellStart"/>
            <w:r w:rsidRPr="002E70D5">
              <w:rPr>
                <w:sz w:val="18"/>
                <w:szCs w:val="18"/>
                <w:lang w:eastAsia="ru-RU"/>
              </w:rPr>
              <w:t>şi</w:t>
            </w:r>
            <w:proofErr w:type="spellEnd"/>
            <w:r w:rsidRPr="002E70D5">
              <w:rPr>
                <w:sz w:val="18"/>
                <w:szCs w:val="18"/>
                <w:lang w:eastAsia="ru-RU"/>
              </w:rPr>
              <w:t xml:space="preserve"> </w:t>
            </w:r>
            <w:proofErr w:type="spellStart"/>
            <w:r w:rsidRPr="002E70D5">
              <w:rPr>
                <w:sz w:val="18"/>
                <w:szCs w:val="18"/>
                <w:lang w:eastAsia="ru-RU"/>
              </w:rPr>
              <w:t>organe</w:t>
            </w:r>
            <w:proofErr w:type="spellEnd"/>
            <w:r w:rsidRPr="002E70D5">
              <w:rPr>
                <w:sz w:val="18"/>
                <w:szCs w:val="18"/>
                <w:lang w:eastAsia="ru-RU"/>
              </w:rPr>
              <w:t xml:space="preserve"> de </w:t>
            </w:r>
            <w:proofErr w:type="spellStart"/>
            <w:r w:rsidRPr="002E70D5">
              <w:rPr>
                <w:sz w:val="18"/>
                <w:szCs w:val="18"/>
                <w:lang w:eastAsia="ru-RU"/>
              </w:rPr>
              <w:t>asigurare</w:t>
            </w:r>
            <w:proofErr w:type="spellEnd"/>
            <w:r w:rsidRPr="002E70D5">
              <w:rPr>
                <w:sz w:val="18"/>
                <w:szCs w:val="18"/>
                <w:lang w:eastAsia="ru-RU"/>
              </w:rPr>
              <w:t xml:space="preserve"> </w:t>
            </w:r>
            <w:proofErr w:type="spellStart"/>
            <w:r w:rsidRPr="002E70D5">
              <w:rPr>
                <w:sz w:val="18"/>
                <w:szCs w:val="18"/>
                <w:lang w:eastAsia="ru-RU"/>
              </w:rPr>
              <w:t>socială</w:t>
            </w:r>
            <w:proofErr w:type="spellEnd"/>
            <w:r w:rsidRPr="002E70D5">
              <w:rPr>
                <w:sz w:val="18"/>
                <w:szCs w:val="18"/>
                <w:lang w:eastAsia="ru-RU"/>
              </w:rPr>
              <w:t xml:space="preserve"> </w:t>
            </w:r>
            <w:proofErr w:type="spellStart"/>
            <w:r w:rsidRPr="002E70D5">
              <w:rPr>
                <w:sz w:val="18"/>
                <w:szCs w:val="18"/>
                <w:lang w:eastAsia="ru-RU"/>
              </w:rPr>
              <w:t>şi</w:t>
            </w:r>
            <w:proofErr w:type="spellEnd"/>
            <w:r w:rsidRPr="002E70D5">
              <w:rPr>
                <w:sz w:val="18"/>
                <w:szCs w:val="18"/>
                <w:lang w:eastAsia="ru-RU"/>
              </w:rPr>
              <w:t xml:space="preserve"> </w:t>
            </w:r>
            <w:proofErr w:type="spellStart"/>
            <w:r w:rsidRPr="002E70D5">
              <w:rPr>
                <w:sz w:val="18"/>
                <w:szCs w:val="18"/>
                <w:lang w:eastAsia="ru-RU"/>
              </w:rPr>
              <w:t>medicală</w:t>
            </w:r>
            <w:proofErr w:type="spellEnd"/>
          </w:p>
        </w:tc>
        <w:tc>
          <w:tcPr>
            <w:tcW w:w="850" w:type="dxa"/>
            <w:gridSpan w:val="2"/>
            <w:tcBorders>
              <w:top w:val="nil"/>
              <w:left w:val="nil"/>
              <w:bottom w:val="single" w:sz="4" w:space="0" w:color="auto"/>
              <w:right w:val="single" w:sz="4" w:space="0" w:color="auto"/>
            </w:tcBorders>
            <w:vAlign w:val="center"/>
            <w:hideMark/>
          </w:tcPr>
          <w:p w:rsidR="006C7862" w:rsidRPr="002E70D5" w:rsidRDefault="006C7862" w:rsidP="005A4BCB">
            <w:pPr>
              <w:jc w:val="center"/>
              <w:rPr>
                <w:sz w:val="18"/>
                <w:szCs w:val="18"/>
                <w:lang w:eastAsia="ru-RU"/>
              </w:rPr>
            </w:pPr>
            <w:r w:rsidRPr="002E70D5">
              <w:rPr>
                <w:sz w:val="18"/>
                <w:szCs w:val="18"/>
                <w:lang w:eastAsia="ru-RU"/>
              </w:rPr>
              <w:t>040</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c>
          <w:tcPr>
            <w:tcW w:w="1276" w:type="dxa"/>
            <w:tcBorders>
              <w:top w:val="single" w:sz="4" w:space="0" w:color="auto"/>
              <w:left w:val="single" w:sz="4" w:space="0" w:color="auto"/>
              <w:bottom w:val="single" w:sz="4" w:space="0" w:color="auto"/>
              <w:right w:val="single" w:sz="8"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r>
      <w:tr w:rsidR="006C7862" w:rsidRPr="002E70D5" w:rsidTr="005A4BCB">
        <w:trPr>
          <w:gridAfter w:val="2"/>
          <w:wAfter w:w="1017" w:type="dxa"/>
          <w:trHeight w:val="300"/>
        </w:trPr>
        <w:tc>
          <w:tcPr>
            <w:tcW w:w="5529" w:type="dxa"/>
            <w:tcBorders>
              <w:top w:val="nil"/>
              <w:left w:val="single" w:sz="8" w:space="0" w:color="auto"/>
              <w:bottom w:val="single" w:sz="4" w:space="0" w:color="auto"/>
              <w:right w:val="single" w:sz="4" w:space="0" w:color="auto"/>
            </w:tcBorders>
            <w:vAlign w:val="bottom"/>
            <w:hideMark/>
          </w:tcPr>
          <w:p w:rsidR="006C7862" w:rsidRPr="002E70D5" w:rsidRDefault="006C7862" w:rsidP="005A4BCB">
            <w:pPr>
              <w:rPr>
                <w:sz w:val="18"/>
                <w:szCs w:val="18"/>
                <w:lang w:eastAsia="ru-RU"/>
              </w:rPr>
            </w:pPr>
            <w:r w:rsidRPr="002E70D5">
              <w:rPr>
                <w:sz w:val="18"/>
                <w:szCs w:val="18"/>
                <w:lang w:eastAsia="ru-RU"/>
              </w:rPr>
              <w:t xml:space="preserve">Plata </w:t>
            </w:r>
            <w:proofErr w:type="spellStart"/>
            <w:r w:rsidRPr="002E70D5">
              <w:rPr>
                <w:sz w:val="18"/>
                <w:szCs w:val="18"/>
                <w:lang w:eastAsia="ru-RU"/>
              </w:rPr>
              <w:t>impozitului</w:t>
            </w:r>
            <w:proofErr w:type="spellEnd"/>
            <w:r w:rsidRPr="002E70D5">
              <w:rPr>
                <w:sz w:val="18"/>
                <w:szCs w:val="18"/>
                <w:lang w:eastAsia="ru-RU"/>
              </w:rPr>
              <w:t xml:space="preserve"> </w:t>
            </w:r>
            <w:proofErr w:type="spellStart"/>
            <w:r w:rsidRPr="002E70D5">
              <w:rPr>
                <w:sz w:val="18"/>
                <w:szCs w:val="18"/>
                <w:lang w:eastAsia="ru-RU"/>
              </w:rPr>
              <w:t>pe</w:t>
            </w:r>
            <w:proofErr w:type="spellEnd"/>
            <w:r w:rsidRPr="002E70D5">
              <w:rPr>
                <w:sz w:val="18"/>
                <w:szCs w:val="18"/>
                <w:lang w:eastAsia="ru-RU"/>
              </w:rPr>
              <w:t xml:space="preserve"> </w:t>
            </w:r>
            <w:proofErr w:type="spellStart"/>
            <w:r w:rsidRPr="002E70D5">
              <w:rPr>
                <w:sz w:val="18"/>
                <w:szCs w:val="18"/>
                <w:lang w:eastAsia="ru-RU"/>
              </w:rPr>
              <w:t>venit</w:t>
            </w:r>
            <w:proofErr w:type="spellEnd"/>
          </w:p>
        </w:tc>
        <w:tc>
          <w:tcPr>
            <w:tcW w:w="850" w:type="dxa"/>
            <w:gridSpan w:val="2"/>
            <w:tcBorders>
              <w:top w:val="nil"/>
              <w:left w:val="nil"/>
              <w:bottom w:val="single" w:sz="4" w:space="0" w:color="auto"/>
              <w:right w:val="single" w:sz="4" w:space="0" w:color="auto"/>
            </w:tcBorders>
            <w:vAlign w:val="center"/>
            <w:hideMark/>
          </w:tcPr>
          <w:p w:rsidR="006C7862" w:rsidRPr="002E70D5" w:rsidRDefault="006C7862" w:rsidP="005A4BCB">
            <w:pPr>
              <w:jc w:val="center"/>
              <w:rPr>
                <w:sz w:val="18"/>
                <w:szCs w:val="18"/>
                <w:lang w:eastAsia="ru-RU"/>
              </w:rPr>
            </w:pPr>
            <w:r w:rsidRPr="002E70D5">
              <w:rPr>
                <w:sz w:val="18"/>
                <w:szCs w:val="18"/>
                <w:lang w:eastAsia="ru-RU"/>
              </w:rPr>
              <w:t>050</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c>
          <w:tcPr>
            <w:tcW w:w="1276" w:type="dxa"/>
            <w:tcBorders>
              <w:top w:val="single" w:sz="4" w:space="0" w:color="auto"/>
              <w:left w:val="single" w:sz="4" w:space="0" w:color="auto"/>
              <w:bottom w:val="single" w:sz="4" w:space="0" w:color="auto"/>
              <w:right w:val="single" w:sz="8"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r>
      <w:tr w:rsidR="006C7862" w:rsidRPr="002E70D5" w:rsidTr="005A4BCB">
        <w:trPr>
          <w:gridAfter w:val="2"/>
          <w:wAfter w:w="1017" w:type="dxa"/>
          <w:trHeight w:val="300"/>
        </w:trPr>
        <w:tc>
          <w:tcPr>
            <w:tcW w:w="5529" w:type="dxa"/>
            <w:tcBorders>
              <w:top w:val="nil"/>
              <w:left w:val="single" w:sz="8" w:space="0" w:color="auto"/>
              <w:bottom w:val="single" w:sz="4" w:space="0" w:color="auto"/>
              <w:right w:val="single" w:sz="4" w:space="0" w:color="auto"/>
            </w:tcBorders>
            <w:vAlign w:val="bottom"/>
            <w:hideMark/>
          </w:tcPr>
          <w:p w:rsidR="006C7862" w:rsidRPr="002E70D5" w:rsidRDefault="006C7862" w:rsidP="005A4BCB">
            <w:pPr>
              <w:rPr>
                <w:sz w:val="18"/>
                <w:szCs w:val="18"/>
                <w:lang w:eastAsia="ru-RU"/>
              </w:rPr>
            </w:pPr>
            <w:proofErr w:type="spellStart"/>
            <w:r w:rsidRPr="002E70D5">
              <w:rPr>
                <w:sz w:val="18"/>
                <w:szCs w:val="18"/>
                <w:lang w:eastAsia="ru-RU"/>
              </w:rPr>
              <w:t>Alte</w:t>
            </w:r>
            <w:proofErr w:type="spellEnd"/>
            <w:r w:rsidRPr="002E70D5">
              <w:rPr>
                <w:sz w:val="18"/>
                <w:szCs w:val="18"/>
                <w:lang w:eastAsia="ru-RU"/>
              </w:rPr>
              <w:t xml:space="preserve"> </w:t>
            </w:r>
            <w:proofErr w:type="spellStart"/>
            <w:r w:rsidRPr="002E70D5">
              <w:rPr>
                <w:sz w:val="18"/>
                <w:szCs w:val="18"/>
                <w:lang w:eastAsia="ru-RU"/>
              </w:rPr>
              <w:t>încasări</w:t>
            </w:r>
            <w:proofErr w:type="spellEnd"/>
          </w:p>
        </w:tc>
        <w:tc>
          <w:tcPr>
            <w:tcW w:w="850" w:type="dxa"/>
            <w:gridSpan w:val="2"/>
            <w:tcBorders>
              <w:top w:val="nil"/>
              <w:left w:val="nil"/>
              <w:bottom w:val="single" w:sz="4" w:space="0" w:color="auto"/>
              <w:right w:val="single" w:sz="4" w:space="0" w:color="auto"/>
            </w:tcBorders>
            <w:vAlign w:val="center"/>
            <w:hideMark/>
          </w:tcPr>
          <w:p w:rsidR="006C7862" w:rsidRPr="002E70D5" w:rsidRDefault="006C7862" w:rsidP="005A4BCB">
            <w:pPr>
              <w:jc w:val="center"/>
              <w:rPr>
                <w:sz w:val="18"/>
                <w:szCs w:val="18"/>
                <w:lang w:eastAsia="ru-RU"/>
              </w:rPr>
            </w:pPr>
            <w:r w:rsidRPr="002E70D5">
              <w:rPr>
                <w:sz w:val="18"/>
                <w:szCs w:val="18"/>
                <w:lang w:eastAsia="ru-RU"/>
              </w:rPr>
              <w:t>060</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c>
          <w:tcPr>
            <w:tcW w:w="1276" w:type="dxa"/>
            <w:tcBorders>
              <w:top w:val="single" w:sz="4" w:space="0" w:color="auto"/>
              <w:left w:val="single" w:sz="4" w:space="0" w:color="auto"/>
              <w:bottom w:val="single" w:sz="4" w:space="0" w:color="auto"/>
              <w:right w:val="single" w:sz="8"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r>
      <w:tr w:rsidR="006C7862" w:rsidRPr="002E70D5" w:rsidTr="005A4BCB">
        <w:trPr>
          <w:gridAfter w:val="2"/>
          <w:wAfter w:w="1017" w:type="dxa"/>
          <w:trHeight w:val="315"/>
        </w:trPr>
        <w:tc>
          <w:tcPr>
            <w:tcW w:w="5529" w:type="dxa"/>
            <w:tcBorders>
              <w:top w:val="nil"/>
              <w:left w:val="single" w:sz="8" w:space="0" w:color="auto"/>
              <w:bottom w:val="nil"/>
              <w:right w:val="single" w:sz="4" w:space="0" w:color="auto"/>
            </w:tcBorders>
            <w:vAlign w:val="bottom"/>
            <w:hideMark/>
          </w:tcPr>
          <w:p w:rsidR="006C7862" w:rsidRPr="002E70D5" w:rsidRDefault="006C7862" w:rsidP="005A4BCB">
            <w:pPr>
              <w:rPr>
                <w:sz w:val="18"/>
                <w:szCs w:val="18"/>
                <w:lang w:eastAsia="ru-RU"/>
              </w:rPr>
            </w:pPr>
            <w:proofErr w:type="spellStart"/>
            <w:r w:rsidRPr="002E70D5">
              <w:rPr>
                <w:sz w:val="18"/>
                <w:szCs w:val="18"/>
                <w:lang w:eastAsia="ru-RU"/>
              </w:rPr>
              <w:t>Alte</w:t>
            </w:r>
            <w:proofErr w:type="spellEnd"/>
            <w:r w:rsidRPr="002E70D5">
              <w:rPr>
                <w:sz w:val="18"/>
                <w:szCs w:val="18"/>
                <w:lang w:eastAsia="ru-RU"/>
              </w:rPr>
              <w:t xml:space="preserve"> </w:t>
            </w:r>
            <w:proofErr w:type="spellStart"/>
            <w:r w:rsidRPr="002E70D5">
              <w:rPr>
                <w:sz w:val="18"/>
                <w:szCs w:val="18"/>
                <w:lang w:eastAsia="ru-RU"/>
              </w:rPr>
              <w:t>plăţi</w:t>
            </w:r>
            <w:proofErr w:type="spellEnd"/>
          </w:p>
        </w:tc>
        <w:tc>
          <w:tcPr>
            <w:tcW w:w="850" w:type="dxa"/>
            <w:gridSpan w:val="2"/>
            <w:tcBorders>
              <w:top w:val="nil"/>
              <w:left w:val="nil"/>
              <w:bottom w:val="nil"/>
              <w:right w:val="single" w:sz="4" w:space="0" w:color="auto"/>
            </w:tcBorders>
            <w:vAlign w:val="center"/>
            <w:hideMark/>
          </w:tcPr>
          <w:p w:rsidR="006C7862" w:rsidRPr="002E70D5" w:rsidRDefault="006C7862" w:rsidP="005A4BCB">
            <w:pPr>
              <w:jc w:val="center"/>
              <w:rPr>
                <w:sz w:val="18"/>
                <w:szCs w:val="18"/>
                <w:lang w:eastAsia="ru-RU"/>
              </w:rPr>
            </w:pPr>
            <w:r w:rsidRPr="002E70D5">
              <w:rPr>
                <w:sz w:val="18"/>
                <w:szCs w:val="18"/>
                <w:lang w:eastAsia="ru-RU"/>
              </w:rPr>
              <w:t>070</w:t>
            </w:r>
          </w:p>
        </w:tc>
        <w:tc>
          <w:tcPr>
            <w:tcW w:w="1276" w:type="dxa"/>
            <w:gridSpan w:val="2"/>
            <w:tcBorders>
              <w:top w:val="single" w:sz="4" w:space="0" w:color="auto"/>
              <w:left w:val="single" w:sz="4" w:space="0" w:color="auto"/>
              <w:bottom w:val="nil"/>
              <w:right w:val="single" w:sz="4"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c>
          <w:tcPr>
            <w:tcW w:w="1276" w:type="dxa"/>
            <w:tcBorders>
              <w:top w:val="single" w:sz="4" w:space="0" w:color="auto"/>
              <w:left w:val="single" w:sz="4" w:space="0" w:color="auto"/>
              <w:bottom w:val="nil"/>
              <w:right w:val="single" w:sz="8"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r>
      <w:tr w:rsidR="006C7862" w:rsidRPr="002E70D5" w:rsidTr="005A4BCB">
        <w:trPr>
          <w:gridAfter w:val="2"/>
          <w:wAfter w:w="1017" w:type="dxa"/>
          <w:trHeight w:val="270"/>
        </w:trPr>
        <w:tc>
          <w:tcPr>
            <w:tcW w:w="5529" w:type="dxa"/>
            <w:tcBorders>
              <w:top w:val="single" w:sz="8" w:space="0" w:color="auto"/>
              <w:left w:val="single" w:sz="8" w:space="0" w:color="auto"/>
              <w:bottom w:val="single" w:sz="8" w:space="0" w:color="auto"/>
              <w:right w:val="single" w:sz="4" w:space="0" w:color="auto"/>
            </w:tcBorders>
            <w:vAlign w:val="bottom"/>
            <w:hideMark/>
          </w:tcPr>
          <w:p w:rsidR="006C7862" w:rsidRPr="002E70D5" w:rsidRDefault="006C7862" w:rsidP="005A4BCB">
            <w:pPr>
              <w:rPr>
                <w:b/>
                <w:bCs/>
                <w:sz w:val="18"/>
                <w:szCs w:val="18"/>
                <w:lang w:eastAsia="ru-RU"/>
              </w:rPr>
            </w:pPr>
            <w:r w:rsidRPr="002E70D5">
              <w:rPr>
                <w:b/>
                <w:bCs/>
                <w:sz w:val="18"/>
                <w:szCs w:val="18"/>
                <w:lang w:eastAsia="ru-RU"/>
              </w:rPr>
              <w:t xml:space="preserve">Total flux net </w:t>
            </w:r>
            <w:r w:rsidRPr="002E70D5">
              <w:rPr>
                <w:b/>
                <w:bCs/>
                <w:color w:val="000000"/>
                <w:sz w:val="18"/>
                <w:szCs w:val="18"/>
                <w:lang w:eastAsia="ru-RU"/>
              </w:rPr>
              <w:t>(rd.010 - rd.020 + rd.030 - rd.040 - rd.050 + rd.060 - rd.070)</w:t>
            </w:r>
          </w:p>
        </w:tc>
        <w:tc>
          <w:tcPr>
            <w:tcW w:w="850" w:type="dxa"/>
            <w:gridSpan w:val="2"/>
            <w:tcBorders>
              <w:top w:val="single" w:sz="8" w:space="0" w:color="auto"/>
              <w:left w:val="nil"/>
              <w:bottom w:val="single" w:sz="8" w:space="0" w:color="auto"/>
              <w:right w:val="single" w:sz="4" w:space="0" w:color="auto"/>
            </w:tcBorders>
            <w:vAlign w:val="center"/>
            <w:hideMark/>
          </w:tcPr>
          <w:p w:rsidR="006C7862" w:rsidRPr="002E70D5" w:rsidRDefault="006C7862" w:rsidP="005A4BCB">
            <w:pPr>
              <w:jc w:val="center"/>
              <w:rPr>
                <w:b/>
                <w:bCs/>
                <w:sz w:val="18"/>
                <w:szCs w:val="18"/>
                <w:lang w:eastAsia="ru-RU"/>
              </w:rPr>
            </w:pPr>
            <w:r w:rsidRPr="002E70D5">
              <w:rPr>
                <w:b/>
                <w:bCs/>
                <w:sz w:val="18"/>
                <w:szCs w:val="18"/>
                <w:lang w:eastAsia="ru-RU"/>
              </w:rPr>
              <w:t>080</w:t>
            </w:r>
          </w:p>
        </w:tc>
        <w:tc>
          <w:tcPr>
            <w:tcW w:w="1276" w:type="dxa"/>
            <w:gridSpan w:val="2"/>
            <w:tcBorders>
              <w:top w:val="single" w:sz="8" w:space="0" w:color="auto"/>
              <w:left w:val="nil"/>
              <w:bottom w:val="single" w:sz="8" w:space="0" w:color="auto"/>
              <w:right w:val="single" w:sz="4" w:space="0" w:color="auto"/>
            </w:tcBorders>
            <w:noWrap/>
            <w:vAlign w:val="center"/>
            <w:hideMark/>
          </w:tcPr>
          <w:p w:rsidR="006C7862" w:rsidRPr="002E70D5" w:rsidRDefault="006C7862" w:rsidP="005A4BCB">
            <w:pPr>
              <w:jc w:val="center"/>
              <w:rPr>
                <w:b/>
                <w:bCs/>
                <w:sz w:val="18"/>
                <w:szCs w:val="18"/>
                <w:lang w:eastAsia="ru-RU"/>
              </w:rPr>
            </w:pPr>
            <w:r w:rsidRPr="002E70D5">
              <w:rPr>
                <w:b/>
                <w:bCs/>
                <w:sz w:val="18"/>
                <w:szCs w:val="18"/>
                <w:lang w:eastAsia="ru-RU"/>
              </w:rPr>
              <w:t xml:space="preserve"> </w:t>
            </w:r>
          </w:p>
        </w:tc>
        <w:tc>
          <w:tcPr>
            <w:tcW w:w="1276" w:type="dxa"/>
            <w:tcBorders>
              <w:top w:val="single" w:sz="8" w:space="0" w:color="auto"/>
              <w:left w:val="nil"/>
              <w:bottom w:val="single" w:sz="8" w:space="0" w:color="auto"/>
              <w:right w:val="single" w:sz="8" w:space="0" w:color="auto"/>
            </w:tcBorders>
            <w:noWrap/>
            <w:vAlign w:val="center"/>
            <w:hideMark/>
          </w:tcPr>
          <w:p w:rsidR="006C7862" w:rsidRPr="002E70D5" w:rsidRDefault="006C7862" w:rsidP="005A4BCB">
            <w:pPr>
              <w:jc w:val="center"/>
              <w:rPr>
                <w:b/>
                <w:bCs/>
                <w:sz w:val="18"/>
                <w:szCs w:val="18"/>
                <w:lang w:eastAsia="ru-RU"/>
              </w:rPr>
            </w:pPr>
            <w:r w:rsidRPr="002E70D5">
              <w:rPr>
                <w:b/>
                <w:bCs/>
                <w:sz w:val="18"/>
                <w:szCs w:val="18"/>
                <w:lang w:eastAsia="ru-RU"/>
              </w:rPr>
              <w:t xml:space="preserve"> </w:t>
            </w:r>
          </w:p>
        </w:tc>
      </w:tr>
      <w:tr w:rsidR="006C7862" w:rsidRPr="002E70D5" w:rsidTr="005A4BCB">
        <w:trPr>
          <w:gridAfter w:val="2"/>
          <w:wAfter w:w="1017" w:type="dxa"/>
          <w:trHeight w:val="323"/>
        </w:trPr>
        <w:tc>
          <w:tcPr>
            <w:tcW w:w="5529" w:type="dxa"/>
            <w:tcBorders>
              <w:top w:val="nil"/>
              <w:left w:val="single" w:sz="8" w:space="0" w:color="auto"/>
              <w:bottom w:val="single" w:sz="4" w:space="0" w:color="auto"/>
              <w:right w:val="single" w:sz="4" w:space="0" w:color="auto"/>
            </w:tcBorders>
            <w:vAlign w:val="bottom"/>
            <w:hideMark/>
          </w:tcPr>
          <w:p w:rsidR="006C7862" w:rsidRPr="002E70D5" w:rsidRDefault="006C7862" w:rsidP="005A4BCB">
            <w:pPr>
              <w:rPr>
                <w:b/>
                <w:bCs/>
                <w:sz w:val="18"/>
                <w:szCs w:val="18"/>
                <w:lang w:eastAsia="ru-RU"/>
              </w:rPr>
            </w:pPr>
            <w:r w:rsidRPr="002E70D5">
              <w:rPr>
                <w:b/>
                <w:bCs/>
                <w:sz w:val="18"/>
                <w:szCs w:val="18"/>
                <w:lang w:eastAsia="ru-RU"/>
              </w:rPr>
              <w:t>1.2 </w:t>
            </w:r>
            <w:proofErr w:type="spellStart"/>
            <w:r w:rsidRPr="002E70D5">
              <w:rPr>
                <w:b/>
                <w:bCs/>
                <w:sz w:val="18"/>
                <w:szCs w:val="18"/>
                <w:lang w:eastAsia="ru-RU"/>
              </w:rPr>
              <w:t>Majorarea</w:t>
            </w:r>
            <w:proofErr w:type="spellEnd"/>
            <w:r w:rsidRPr="002E70D5">
              <w:rPr>
                <w:b/>
                <w:bCs/>
                <w:sz w:val="18"/>
                <w:szCs w:val="18"/>
                <w:lang w:eastAsia="ru-RU"/>
              </w:rPr>
              <w:t xml:space="preserve"> (</w:t>
            </w:r>
            <w:proofErr w:type="spellStart"/>
            <w:r w:rsidRPr="002E70D5">
              <w:rPr>
                <w:b/>
                <w:bCs/>
                <w:sz w:val="18"/>
                <w:szCs w:val="18"/>
                <w:lang w:eastAsia="ru-RU"/>
              </w:rPr>
              <w:t>diminuarea</w:t>
            </w:r>
            <w:proofErr w:type="spellEnd"/>
            <w:r w:rsidRPr="002E70D5">
              <w:rPr>
                <w:b/>
                <w:bCs/>
                <w:sz w:val="18"/>
                <w:szCs w:val="18"/>
                <w:lang w:eastAsia="ru-RU"/>
              </w:rPr>
              <w:t xml:space="preserve">) </w:t>
            </w:r>
            <w:proofErr w:type="spellStart"/>
            <w:r w:rsidRPr="002E70D5">
              <w:rPr>
                <w:b/>
                <w:bCs/>
                <w:sz w:val="18"/>
                <w:szCs w:val="18"/>
                <w:lang w:eastAsia="ru-RU"/>
              </w:rPr>
              <w:t>activelor</w:t>
            </w:r>
            <w:proofErr w:type="spellEnd"/>
            <w:r w:rsidRPr="002E70D5">
              <w:rPr>
                <w:b/>
                <w:bCs/>
                <w:sz w:val="18"/>
                <w:szCs w:val="18"/>
                <w:lang w:eastAsia="ru-RU"/>
              </w:rPr>
              <w:br/>
            </w:r>
            <w:proofErr w:type="spellStart"/>
            <w:r w:rsidRPr="002E70D5">
              <w:rPr>
                <w:sz w:val="18"/>
                <w:szCs w:val="18"/>
                <w:lang w:eastAsia="ru-RU"/>
              </w:rPr>
              <w:t>Încasări</w:t>
            </w:r>
            <w:proofErr w:type="spellEnd"/>
            <w:r w:rsidRPr="002E70D5">
              <w:rPr>
                <w:sz w:val="18"/>
                <w:szCs w:val="18"/>
                <w:lang w:eastAsia="ru-RU"/>
              </w:rPr>
              <w:t xml:space="preserve"> din </w:t>
            </w:r>
            <w:proofErr w:type="spellStart"/>
            <w:r w:rsidRPr="002E70D5">
              <w:rPr>
                <w:sz w:val="18"/>
                <w:szCs w:val="18"/>
                <w:lang w:eastAsia="ru-RU"/>
              </w:rPr>
              <w:t>rambursarea</w:t>
            </w:r>
            <w:proofErr w:type="spellEnd"/>
            <w:r w:rsidRPr="002E70D5">
              <w:rPr>
                <w:sz w:val="18"/>
                <w:szCs w:val="18"/>
                <w:lang w:eastAsia="ru-RU"/>
              </w:rPr>
              <w:t xml:space="preserve"> </w:t>
            </w:r>
            <w:proofErr w:type="spellStart"/>
            <w:r w:rsidRPr="002E70D5">
              <w:rPr>
                <w:sz w:val="18"/>
                <w:szCs w:val="18"/>
                <w:lang w:eastAsia="ru-RU"/>
              </w:rPr>
              <w:t>împrumuturilor</w:t>
            </w:r>
            <w:proofErr w:type="spellEnd"/>
            <w:r w:rsidRPr="002E70D5">
              <w:rPr>
                <w:sz w:val="18"/>
                <w:szCs w:val="18"/>
                <w:lang w:eastAsia="ru-RU"/>
              </w:rPr>
              <w:t xml:space="preserve"> </w:t>
            </w:r>
            <w:proofErr w:type="spellStart"/>
            <w:r w:rsidRPr="002E70D5">
              <w:rPr>
                <w:sz w:val="18"/>
                <w:szCs w:val="18"/>
                <w:lang w:eastAsia="ru-RU"/>
              </w:rPr>
              <w:t>acordate</w:t>
            </w:r>
            <w:proofErr w:type="spellEnd"/>
          </w:p>
        </w:tc>
        <w:tc>
          <w:tcPr>
            <w:tcW w:w="850" w:type="dxa"/>
            <w:gridSpan w:val="2"/>
            <w:tcBorders>
              <w:top w:val="nil"/>
              <w:left w:val="nil"/>
              <w:bottom w:val="single" w:sz="4" w:space="0" w:color="auto"/>
              <w:right w:val="single" w:sz="4" w:space="0" w:color="auto"/>
            </w:tcBorders>
            <w:vAlign w:val="center"/>
            <w:hideMark/>
          </w:tcPr>
          <w:p w:rsidR="006C7862" w:rsidRPr="002E70D5" w:rsidRDefault="006C7862" w:rsidP="005A4BCB">
            <w:pPr>
              <w:jc w:val="center"/>
              <w:rPr>
                <w:sz w:val="18"/>
                <w:szCs w:val="18"/>
                <w:lang w:eastAsia="ru-RU"/>
              </w:rPr>
            </w:pPr>
            <w:r w:rsidRPr="002E70D5">
              <w:rPr>
                <w:sz w:val="18"/>
                <w:szCs w:val="18"/>
                <w:lang w:eastAsia="ru-RU"/>
              </w:rPr>
              <w:t>090</w:t>
            </w:r>
          </w:p>
        </w:tc>
        <w:tc>
          <w:tcPr>
            <w:tcW w:w="1276" w:type="dxa"/>
            <w:gridSpan w:val="2"/>
            <w:tcBorders>
              <w:top w:val="nil"/>
              <w:left w:val="single" w:sz="4" w:space="0" w:color="auto"/>
              <w:bottom w:val="single" w:sz="4" w:space="0" w:color="auto"/>
              <w:right w:val="single" w:sz="4"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c>
          <w:tcPr>
            <w:tcW w:w="1276" w:type="dxa"/>
            <w:tcBorders>
              <w:top w:val="nil"/>
              <w:left w:val="single" w:sz="4" w:space="0" w:color="auto"/>
              <w:bottom w:val="single" w:sz="4" w:space="0" w:color="auto"/>
              <w:right w:val="single" w:sz="8"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r>
      <w:tr w:rsidR="006C7862" w:rsidRPr="002E70D5" w:rsidTr="005A4BCB">
        <w:trPr>
          <w:gridAfter w:val="2"/>
          <w:wAfter w:w="1017" w:type="dxa"/>
          <w:trHeight w:val="255"/>
        </w:trPr>
        <w:tc>
          <w:tcPr>
            <w:tcW w:w="5529" w:type="dxa"/>
            <w:tcBorders>
              <w:top w:val="nil"/>
              <w:left w:val="single" w:sz="8" w:space="0" w:color="auto"/>
              <w:bottom w:val="single" w:sz="4" w:space="0" w:color="auto"/>
              <w:right w:val="single" w:sz="4" w:space="0" w:color="auto"/>
            </w:tcBorders>
            <w:vAlign w:val="bottom"/>
            <w:hideMark/>
          </w:tcPr>
          <w:p w:rsidR="006C7862" w:rsidRPr="002E70D5" w:rsidRDefault="006C7862" w:rsidP="005A4BCB">
            <w:pPr>
              <w:rPr>
                <w:sz w:val="18"/>
                <w:szCs w:val="18"/>
                <w:lang w:eastAsia="ru-RU"/>
              </w:rPr>
            </w:pPr>
            <w:proofErr w:type="spellStart"/>
            <w:r w:rsidRPr="002E70D5">
              <w:rPr>
                <w:sz w:val="18"/>
                <w:szCs w:val="18"/>
                <w:lang w:eastAsia="ru-RU"/>
              </w:rPr>
              <w:t>Încasări</w:t>
            </w:r>
            <w:proofErr w:type="spellEnd"/>
            <w:r w:rsidRPr="002E70D5">
              <w:rPr>
                <w:sz w:val="18"/>
                <w:szCs w:val="18"/>
                <w:lang w:eastAsia="ru-RU"/>
              </w:rPr>
              <w:t xml:space="preserve"> din </w:t>
            </w:r>
            <w:proofErr w:type="spellStart"/>
            <w:r w:rsidRPr="002E70D5">
              <w:rPr>
                <w:sz w:val="18"/>
                <w:szCs w:val="18"/>
                <w:lang w:eastAsia="ru-RU"/>
              </w:rPr>
              <w:t>rambursarea</w:t>
            </w:r>
            <w:proofErr w:type="spellEnd"/>
            <w:r w:rsidRPr="002E70D5">
              <w:rPr>
                <w:sz w:val="18"/>
                <w:szCs w:val="18"/>
                <w:lang w:eastAsia="ru-RU"/>
              </w:rPr>
              <w:t xml:space="preserve"> </w:t>
            </w:r>
            <w:proofErr w:type="spellStart"/>
            <w:r w:rsidRPr="002E70D5">
              <w:rPr>
                <w:sz w:val="18"/>
                <w:szCs w:val="18"/>
                <w:lang w:eastAsia="ru-RU"/>
              </w:rPr>
              <w:t>depozitelor</w:t>
            </w:r>
            <w:proofErr w:type="spellEnd"/>
            <w:r w:rsidRPr="002E70D5">
              <w:rPr>
                <w:sz w:val="18"/>
                <w:szCs w:val="18"/>
                <w:lang w:eastAsia="ru-RU"/>
              </w:rPr>
              <w:t xml:space="preserve"> </w:t>
            </w:r>
            <w:proofErr w:type="spellStart"/>
            <w:r w:rsidRPr="002E70D5">
              <w:rPr>
                <w:sz w:val="18"/>
                <w:szCs w:val="18"/>
                <w:lang w:eastAsia="ru-RU"/>
              </w:rPr>
              <w:t>bancare</w:t>
            </w:r>
            <w:proofErr w:type="spellEnd"/>
          </w:p>
        </w:tc>
        <w:tc>
          <w:tcPr>
            <w:tcW w:w="850" w:type="dxa"/>
            <w:gridSpan w:val="2"/>
            <w:tcBorders>
              <w:top w:val="nil"/>
              <w:left w:val="nil"/>
              <w:bottom w:val="single" w:sz="4" w:space="0" w:color="auto"/>
              <w:right w:val="single" w:sz="4" w:space="0" w:color="auto"/>
            </w:tcBorders>
            <w:vAlign w:val="center"/>
            <w:hideMark/>
          </w:tcPr>
          <w:p w:rsidR="006C7862" w:rsidRPr="002E70D5" w:rsidRDefault="006C7862" w:rsidP="005A4BCB">
            <w:pPr>
              <w:jc w:val="center"/>
              <w:rPr>
                <w:sz w:val="18"/>
                <w:szCs w:val="18"/>
                <w:lang w:eastAsia="ru-RU"/>
              </w:rPr>
            </w:pPr>
            <w:r w:rsidRPr="002E70D5">
              <w:rPr>
                <w:sz w:val="18"/>
                <w:szCs w:val="18"/>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c>
          <w:tcPr>
            <w:tcW w:w="1276" w:type="dxa"/>
            <w:tcBorders>
              <w:top w:val="single" w:sz="4" w:space="0" w:color="auto"/>
              <w:left w:val="single" w:sz="4" w:space="0" w:color="auto"/>
              <w:bottom w:val="single" w:sz="4" w:space="0" w:color="auto"/>
              <w:right w:val="single" w:sz="8"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r>
      <w:tr w:rsidR="006C7862" w:rsidRPr="002E70D5" w:rsidTr="005A4BCB">
        <w:trPr>
          <w:gridAfter w:val="2"/>
          <w:wAfter w:w="1017" w:type="dxa"/>
          <w:trHeight w:val="300"/>
        </w:trPr>
        <w:tc>
          <w:tcPr>
            <w:tcW w:w="5529" w:type="dxa"/>
            <w:tcBorders>
              <w:top w:val="nil"/>
              <w:left w:val="single" w:sz="8" w:space="0" w:color="auto"/>
              <w:bottom w:val="single" w:sz="4" w:space="0" w:color="auto"/>
              <w:right w:val="single" w:sz="4" w:space="0" w:color="auto"/>
            </w:tcBorders>
            <w:vAlign w:val="bottom"/>
            <w:hideMark/>
          </w:tcPr>
          <w:p w:rsidR="006C7862" w:rsidRPr="002E70D5" w:rsidRDefault="006C7862" w:rsidP="005A4BCB">
            <w:pPr>
              <w:rPr>
                <w:sz w:val="18"/>
                <w:szCs w:val="18"/>
                <w:lang w:eastAsia="ru-RU"/>
              </w:rPr>
            </w:pPr>
            <w:proofErr w:type="spellStart"/>
            <w:r w:rsidRPr="002E70D5">
              <w:rPr>
                <w:sz w:val="18"/>
                <w:szCs w:val="18"/>
                <w:lang w:eastAsia="ru-RU"/>
              </w:rPr>
              <w:t>Plăţi</w:t>
            </w:r>
            <w:proofErr w:type="spellEnd"/>
            <w:r w:rsidRPr="002E70D5">
              <w:rPr>
                <w:sz w:val="18"/>
                <w:szCs w:val="18"/>
                <w:lang w:eastAsia="ru-RU"/>
              </w:rPr>
              <w:t xml:space="preserve"> </w:t>
            </w:r>
            <w:proofErr w:type="spellStart"/>
            <w:r w:rsidRPr="002E70D5">
              <w:rPr>
                <w:sz w:val="18"/>
                <w:szCs w:val="18"/>
                <w:lang w:eastAsia="ru-RU"/>
              </w:rPr>
              <w:t>privind</w:t>
            </w:r>
            <w:proofErr w:type="spellEnd"/>
            <w:r w:rsidRPr="002E70D5">
              <w:rPr>
                <w:sz w:val="18"/>
                <w:szCs w:val="18"/>
                <w:lang w:eastAsia="ru-RU"/>
              </w:rPr>
              <w:t xml:space="preserve"> </w:t>
            </w:r>
            <w:proofErr w:type="spellStart"/>
            <w:r w:rsidRPr="002E70D5">
              <w:rPr>
                <w:sz w:val="18"/>
                <w:szCs w:val="18"/>
                <w:lang w:eastAsia="ru-RU"/>
              </w:rPr>
              <w:t>acordarea</w:t>
            </w:r>
            <w:proofErr w:type="spellEnd"/>
            <w:r w:rsidRPr="002E70D5">
              <w:rPr>
                <w:sz w:val="18"/>
                <w:szCs w:val="18"/>
                <w:lang w:eastAsia="ru-RU"/>
              </w:rPr>
              <w:t xml:space="preserve"> </w:t>
            </w:r>
            <w:proofErr w:type="spellStart"/>
            <w:r w:rsidRPr="002E70D5">
              <w:rPr>
                <w:sz w:val="18"/>
                <w:szCs w:val="18"/>
                <w:lang w:eastAsia="ru-RU"/>
              </w:rPr>
              <w:t>împrumuturilor</w:t>
            </w:r>
            <w:proofErr w:type="spellEnd"/>
          </w:p>
        </w:tc>
        <w:tc>
          <w:tcPr>
            <w:tcW w:w="850" w:type="dxa"/>
            <w:gridSpan w:val="2"/>
            <w:tcBorders>
              <w:top w:val="nil"/>
              <w:left w:val="nil"/>
              <w:bottom w:val="single" w:sz="4" w:space="0" w:color="auto"/>
              <w:right w:val="single" w:sz="4" w:space="0" w:color="auto"/>
            </w:tcBorders>
            <w:vAlign w:val="center"/>
            <w:hideMark/>
          </w:tcPr>
          <w:p w:rsidR="006C7862" w:rsidRPr="002E70D5" w:rsidRDefault="006C7862" w:rsidP="005A4BCB">
            <w:pPr>
              <w:jc w:val="center"/>
              <w:rPr>
                <w:sz w:val="18"/>
                <w:szCs w:val="18"/>
                <w:lang w:eastAsia="ru-RU"/>
              </w:rPr>
            </w:pPr>
            <w:r w:rsidRPr="002E70D5">
              <w:rPr>
                <w:sz w:val="18"/>
                <w:szCs w:val="18"/>
                <w:lang w:eastAsia="ru-RU"/>
              </w:rPr>
              <w:t>110</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c>
          <w:tcPr>
            <w:tcW w:w="1276" w:type="dxa"/>
            <w:tcBorders>
              <w:top w:val="single" w:sz="4" w:space="0" w:color="auto"/>
              <w:left w:val="single" w:sz="4" w:space="0" w:color="auto"/>
              <w:bottom w:val="single" w:sz="4" w:space="0" w:color="auto"/>
              <w:right w:val="single" w:sz="8"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r>
      <w:tr w:rsidR="006C7862" w:rsidRPr="002E70D5" w:rsidTr="005A4BCB">
        <w:trPr>
          <w:gridAfter w:val="2"/>
          <w:wAfter w:w="1017" w:type="dxa"/>
          <w:trHeight w:val="300"/>
        </w:trPr>
        <w:tc>
          <w:tcPr>
            <w:tcW w:w="5529" w:type="dxa"/>
            <w:tcBorders>
              <w:top w:val="nil"/>
              <w:left w:val="single" w:sz="8" w:space="0" w:color="auto"/>
              <w:bottom w:val="single" w:sz="4" w:space="0" w:color="auto"/>
              <w:right w:val="single" w:sz="4" w:space="0" w:color="auto"/>
            </w:tcBorders>
            <w:vAlign w:val="bottom"/>
            <w:hideMark/>
          </w:tcPr>
          <w:p w:rsidR="006C7862" w:rsidRPr="002E70D5" w:rsidRDefault="006C7862" w:rsidP="005A4BCB">
            <w:pPr>
              <w:rPr>
                <w:sz w:val="18"/>
                <w:szCs w:val="18"/>
                <w:lang w:eastAsia="ru-RU"/>
              </w:rPr>
            </w:pPr>
            <w:proofErr w:type="spellStart"/>
            <w:r w:rsidRPr="002E70D5">
              <w:rPr>
                <w:sz w:val="18"/>
                <w:szCs w:val="18"/>
                <w:lang w:eastAsia="ru-RU"/>
              </w:rPr>
              <w:t>Plăţi</w:t>
            </w:r>
            <w:proofErr w:type="spellEnd"/>
            <w:r w:rsidRPr="002E70D5">
              <w:rPr>
                <w:sz w:val="18"/>
                <w:szCs w:val="18"/>
                <w:lang w:eastAsia="ru-RU"/>
              </w:rPr>
              <w:t xml:space="preserve"> </w:t>
            </w:r>
            <w:proofErr w:type="spellStart"/>
            <w:r w:rsidRPr="002E70D5">
              <w:rPr>
                <w:sz w:val="18"/>
                <w:szCs w:val="18"/>
                <w:lang w:eastAsia="ru-RU"/>
              </w:rPr>
              <w:t>în</w:t>
            </w:r>
            <w:proofErr w:type="spellEnd"/>
            <w:r w:rsidRPr="002E70D5">
              <w:rPr>
                <w:sz w:val="18"/>
                <w:szCs w:val="18"/>
                <w:lang w:eastAsia="ru-RU"/>
              </w:rPr>
              <w:t xml:space="preserve"> </w:t>
            </w:r>
            <w:proofErr w:type="spellStart"/>
            <w:r w:rsidRPr="002E70D5">
              <w:rPr>
                <w:sz w:val="18"/>
                <w:szCs w:val="18"/>
                <w:lang w:eastAsia="ru-RU"/>
              </w:rPr>
              <w:t>depozitele</w:t>
            </w:r>
            <w:proofErr w:type="spellEnd"/>
            <w:r w:rsidRPr="002E70D5">
              <w:rPr>
                <w:sz w:val="18"/>
                <w:szCs w:val="18"/>
                <w:lang w:eastAsia="ru-RU"/>
              </w:rPr>
              <w:t xml:space="preserve"> </w:t>
            </w:r>
            <w:proofErr w:type="spellStart"/>
            <w:r w:rsidRPr="002E70D5">
              <w:rPr>
                <w:sz w:val="18"/>
                <w:szCs w:val="18"/>
                <w:lang w:eastAsia="ru-RU"/>
              </w:rPr>
              <w:t>bancare</w:t>
            </w:r>
            <w:proofErr w:type="spellEnd"/>
          </w:p>
        </w:tc>
        <w:tc>
          <w:tcPr>
            <w:tcW w:w="850" w:type="dxa"/>
            <w:gridSpan w:val="2"/>
            <w:tcBorders>
              <w:top w:val="nil"/>
              <w:left w:val="nil"/>
              <w:bottom w:val="single" w:sz="4" w:space="0" w:color="auto"/>
              <w:right w:val="single" w:sz="4" w:space="0" w:color="auto"/>
            </w:tcBorders>
            <w:vAlign w:val="center"/>
            <w:hideMark/>
          </w:tcPr>
          <w:p w:rsidR="006C7862" w:rsidRPr="002E70D5" w:rsidRDefault="006C7862" w:rsidP="005A4BCB">
            <w:pPr>
              <w:jc w:val="center"/>
              <w:rPr>
                <w:sz w:val="18"/>
                <w:szCs w:val="18"/>
                <w:lang w:eastAsia="ru-RU"/>
              </w:rPr>
            </w:pPr>
            <w:r w:rsidRPr="002E70D5">
              <w:rPr>
                <w:sz w:val="18"/>
                <w:szCs w:val="18"/>
                <w:lang w:eastAsia="ru-RU"/>
              </w:rPr>
              <w:t>120</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c>
          <w:tcPr>
            <w:tcW w:w="1276" w:type="dxa"/>
            <w:tcBorders>
              <w:top w:val="single" w:sz="4" w:space="0" w:color="auto"/>
              <w:left w:val="single" w:sz="4" w:space="0" w:color="auto"/>
              <w:bottom w:val="single" w:sz="4" w:space="0" w:color="auto"/>
              <w:right w:val="single" w:sz="8"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r>
      <w:tr w:rsidR="006C7862" w:rsidRPr="002E70D5" w:rsidTr="005A4BCB">
        <w:trPr>
          <w:gridAfter w:val="2"/>
          <w:wAfter w:w="1017" w:type="dxa"/>
          <w:trHeight w:val="315"/>
        </w:trPr>
        <w:tc>
          <w:tcPr>
            <w:tcW w:w="5529" w:type="dxa"/>
            <w:tcBorders>
              <w:top w:val="nil"/>
              <w:left w:val="single" w:sz="8" w:space="0" w:color="auto"/>
              <w:bottom w:val="nil"/>
              <w:right w:val="single" w:sz="4" w:space="0" w:color="auto"/>
            </w:tcBorders>
            <w:vAlign w:val="bottom"/>
            <w:hideMark/>
          </w:tcPr>
          <w:p w:rsidR="006C7862" w:rsidRPr="002E70D5" w:rsidRDefault="006C7862" w:rsidP="005A4BCB">
            <w:pPr>
              <w:rPr>
                <w:sz w:val="18"/>
                <w:szCs w:val="18"/>
                <w:lang w:eastAsia="ru-RU"/>
              </w:rPr>
            </w:pPr>
            <w:proofErr w:type="spellStart"/>
            <w:r w:rsidRPr="002E70D5">
              <w:rPr>
                <w:sz w:val="18"/>
                <w:szCs w:val="18"/>
                <w:lang w:eastAsia="ru-RU"/>
              </w:rPr>
              <w:t>Încasări</w:t>
            </w:r>
            <w:proofErr w:type="spellEnd"/>
            <w:r w:rsidRPr="002E70D5">
              <w:rPr>
                <w:sz w:val="18"/>
                <w:szCs w:val="18"/>
                <w:lang w:eastAsia="ru-RU"/>
              </w:rPr>
              <w:t xml:space="preserve"> (</w:t>
            </w:r>
            <w:proofErr w:type="spellStart"/>
            <w:r w:rsidRPr="002E70D5">
              <w:rPr>
                <w:sz w:val="18"/>
                <w:szCs w:val="18"/>
                <w:lang w:eastAsia="ru-RU"/>
              </w:rPr>
              <w:t>plăţi</w:t>
            </w:r>
            <w:proofErr w:type="spellEnd"/>
            <w:r w:rsidRPr="002E70D5">
              <w:rPr>
                <w:sz w:val="18"/>
                <w:szCs w:val="18"/>
                <w:lang w:eastAsia="ru-RU"/>
              </w:rPr>
              <w:t xml:space="preserve">) </w:t>
            </w:r>
            <w:proofErr w:type="spellStart"/>
            <w:r w:rsidRPr="002E70D5">
              <w:rPr>
                <w:sz w:val="18"/>
                <w:szCs w:val="18"/>
                <w:lang w:eastAsia="ru-RU"/>
              </w:rPr>
              <w:t>aferente</w:t>
            </w:r>
            <w:proofErr w:type="spellEnd"/>
            <w:r w:rsidRPr="002E70D5">
              <w:rPr>
                <w:sz w:val="18"/>
                <w:szCs w:val="18"/>
                <w:lang w:eastAsia="ru-RU"/>
              </w:rPr>
              <w:t xml:space="preserve"> </w:t>
            </w:r>
            <w:proofErr w:type="spellStart"/>
            <w:r w:rsidRPr="002E70D5">
              <w:rPr>
                <w:sz w:val="18"/>
                <w:szCs w:val="18"/>
                <w:lang w:eastAsia="ru-RU"/>
              </w:rPr>
              <w:t>altor</w:t>
            </w:r>
            <w:proofErr w:type="spellEnd"/>
            <w:r w:rsidRPr="002E70D5">
              <w:rPr>
                <w:sz w:val="18"/>
                <w:szCs w:val="18"/>
                <w:lang w:eastAsia="ru-RU"/>
              </w:rPr>
              <w:t xml:space="preserve"> active </w:t>
            </w:r>
            <w:proofErr w:type="spellStart"/>
            <w:r w:rsidRPr="002E70D5">
              <w:rPr>
                <w:sz w:val="18"/>
                <w:szCs w:val="18"/>
                <w:lang w:eastAsia="ru-RU"/>
              </w:rPr>
              <w:t>circulante</w:t>
            </w:r>
            <w:proofErr w:type="spellEnd"/>
          </w:p>
        </w:tc>
        <w:tc>
          <w:tcPr>
            <w:tcW w:w="850" w:type="dxa"/>
            <w:gridSpan w:val="2"/>
            <w:tcBorders>
              <w:top w:val="nil"/>
              <w:left w:val="nil"/>
              <w:bottom w:val="nil"/>
              <w:right w:val="single" w:sz="4" w:space="0" w:color="auto"/>
            </w:tcBorders>
            <w:vAlign w:val="center"/>
            <w:hideMark/>
          </w:tcPr>
          <w:p w:rsidR="006C7862" w:rsidRPr="002E70D5" w:rsidRDefault="006C7862" w:rsidP="005A4BCB">
            <w:pPr>
              <w:jc w:val="center"/>
              <w:rPr>
                <w:sz w:val="18"/>
                <w:szCs w:val="18"/>
                <w:lang w:eastAsia="ru-RU"/>
              </w:rPr>
            </w:pPr>
            <w:r w:rsidRPr="002E70D5">
              <w:rPr>
                <w:sz w:val="18"/>
                <w:szCs w:val="18"/>
                <w:lang w:eastAsia="ru-RU"/>
              </w:rPr>
              <w:t>130</w:t>
            </w:r>
          </w:p>
        </w:tc>
        <w:tc>
          <w:tcPr>
            <w:tcW w:w="1276" w:type="dxa"/>
            <w:gridSpan w:val="2"/>
            <w:tcBorders>
              <w:top w:val="single" w:sz="4" w:space="0" w:color="auto"/>
              <w:left w:val="single" w:sz="4" w:space="0" w:color="auto"/>
              <w:bottom w:val="nil"/>
              <w:right w:val="single" w:sz="4"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c>
          <w:tcPr>
            <w:tcW w:w="1276" w:type="dxa"/>
            <w:tcBorders>
              <w:top w:val="single" w:sz="4" w:space="0" w:color="auto"/>
              <w:left w:val="single" w:sz="4" w:space="0" w:color="auto"/>
              <w:bottom w:val="nil"/>
              <w:right w:val="single" w:sz="8"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r>
      <w:tr w:rsidR="006C7862" w:rsidRPr="002E70D5" w:rsidTr="005A4BCB">
        <w:trPr>
          <w:gridAfter w:val="2"/>
          <w:wAfter w:w="1017" w:type="dxa"/>
          <w:trHeight w:val="270"/>
        </w:trPr>
        <w:tc>
          <w:tcPr>
            <w:tcW w:w="5529" w:type="dxa"/>
            <w:tcBorders>
              <w:top w:val="single" w:sz="8" w:space="0" w:color="auto"/>
              <w:left w:val="single" w:sz="8" w:space="0" w:color="auto"/>
              <w:bottom w:val="single" w:sz="8" w:space="0" w:color="auto"/>
              <w:right w:val="single" w:sz="4" w:space="0" w:color="auto"/>
            </w:tcBorders>
            <w:vAlign w:val="bottom"/>
            <w:hideMark/>
          </w:tcPr>
          <w:p w:rsidR="006C7862" w:rsidRPr="002E70D5" w:rsidRDefault="006C7862" w:rsidP="005A4BCB">
            <w:pPr>
              <w:rPr>
                <w:b/>
                <w:bCs/>
                <w:sz w:val="18"/>
                <w:szCs w:val="18"/>
                <w:lang w:eastAsia="ru-RU"/>
              </w:rPr>
            </w:pPr>
            <w:r w:rsidRPr="002E70D5">
              <w:rPr>
                <w:b/>
                <w:bCs/>
                <w:sz w:val="18"/>
                <w:szCs w:val="18"/>
                <w:lang w:eastAsia="ru-RU"/>
              </w:rPr>
              <w:t xml:space="preserve">Total </w:t>
            </w:r>
            <w:proofErr w:type="spellStart"/>
            <w:r w:rsidRPr="002E70D5">
              <w:rPr>
                <w:b/>
                <w:bCs/>
                <w:sz w:val="18"/>
                <w:szCs w:val="18"/>
                <w:lang w:eastAsia="ru-RU"/>
              </w:rPr>
              <w:t>majorarea</w:t>
            </w:r>
            <w:proofErr w:type="spellEnd"/>
            <w:r w:rsidRPr="002E70D5">
              <w:rPr>
                <w:b/>
                <w:bCs/>
                <w:sz w:val="18"/>
                <w:szCs w:val="18"/>
                <w:lang w:eastAsia="ru-RU"/>
              </w:rPr>
              <w:t xml:space="preserve"> (</w:t>
            </w:r>
            <w:proofErr w:type="spellStart"/>
            <w:r w:rsidRPr="002E70D5">
              <w:rPr>
                <w:b/>
                <w:bCs/>
                <w:sz w:val="18"/>
                <w:szCs w:val="18"/>
                <w:lang w:eastAsia="ru-RU"/>
              </w:rPr>
              <w:t>diminuarea</w:t>
            </w:r>
            <w:proofErr w:type="spellEnd"/>
            <w:r w:rsidRPr="002E70D5">
              <w:rPr>
                <w:b/>
                <w:bCs/>
                <w:sz w:val="18"/>
                <w:szCs w:val="18"/>
                <w:lang w:eastAsia="ru-RU"/>
              </w:rPr>
              <w:t xml:space="preserve">) </w:t>
            </w:r>
            <w:proofErr w:type="spellStart"/>
            <w:r w:rsidRPr="002E70D5">
              <w:rPr>
                <w:b/>
                <w:bCs/>
                <w:sz w:val="18"/>
                <w:szCs w:val="18"/>
                <w:lang w:eastAsia="ru-RU"/>
              </w:rPr>
              <w:t>activelor</w:t>
            </w:r>
            <w:proofErr w:type="spellEnd"/>
            <w:r w:rsidRPr="002E70D5">
              <w:rPr>
                <w:b/>
                <w:bCs/>
                <w:sz w:val="18"/>
                <w:szCs w:val="18"/>
                <w:lang w:eastAsia="ru-RU"/>
              </w:rPr>
              <w:t xml:space="preserve"> (rd.090+rd.100-rd.110-rd.120+rd.130)</w:t>
            </w:r>
          </w:p>
        </w:tc>
        <w:tc>
          <w:tcPr>
            <w:tcW w:w="850" w:type="dxa"/>
            <w:gridSpan w:val="2"/>
            <w:tcBorders>
              <w:top w:val="single" w:sz="8" w:space="0" w:color="auto"/>
              <w:left w:val="nil"/>
              <w:bottom w:val="single" w:sz="8" w:space="0" w:color="auto"/>
              <w:right w:val="single" w:sz="4" w:space="0" w:color="auto"/>
            </w:tcBorders>
            <w:vAlign w:val="center"/>
            <w:hideMark/>
          </w:tcPr>
          <w:p w:rsidR="006C7862" w:rsidRPr="002E70D5" w:rsidRDefault="006C7862" w:rsidP="005A4BCB">
            <w:pPr>
              <w:jc w:val="center"/>
              <w:rPr>
                <w:b/>
                <w:bCs/>
                <w:sz w:val="18"/>
                <w:szCs w:val="18"/>
                <w:lang w:eastAsia="ru-RU"/>
              </w:rPr>
            </w:pPr>
            <w:r w:rsidRPr="002E70D5">
              <w:rPr>
                <w:b/>
                <w:bCs/>
                <w:sz w:val="18"/>
                <w:szCs w:val="18"/>
                <w:lang w:eastAsia="ru-RU"/>
              </w:rPr>
              <w:t>140</w:t>
            </w:r>
          </w:p>
        </w:tc>
        <w:tc>
          <w:tcPr>
            <w:tcW w:w="1276" w:type="dxa"/>
            <w:gridSpan w:val="2"/>
            <w:tcBorders>
              <w:top w:val="single" w:sz="8" w:space="0" w:color="auto"/>
              <w:left w:val="nil"/>
              <w:bottom w:val="single" w:sz="8" w:space="0" w:color="auto"/>
              <w:right w:val="single" w:sz="4" w:space="0" w:color="auto"/>
            </w:tcBorders>
            <w:noWrap/>
            <w:vAlign w:val="center"/>
            <w:hideMark/>
          </w:tcPr>
          <w:p w:rsidR="006C7862" w:rsidRPr="002E70D5" w:rsidRDefault="006C7862" w:rsidP="005A4BCB">
            <w:pPr>
              <w:jc w:val="center"/>
              <w:rPr>
                <w:b/>
                <w:bCs/>
                <w:sz w:val="18"/>
                <w:szCs w:val="18"/>
                <w:lang w:eastAsia="ru-RU"/>
              </w:rPr>
            </w:pPr>
            <w:r w:rsidRPr="002E70D5">
              <w:rPr>
                <w:b/>
                <w:bCs/>
                <w:sz w:val="18"/>
                <w:szCs w:val="18"/>
                <w:lang w:eastAsia="ru-RU"/>
              </w:rPr>
              <w:t xml:space="preserve"> </w:t>
            </w:r>
          </w:p>
        </w:tc>
        <w:tc>
          <w:tcPr>
            <w:tcW w:w="1276" w:type="dxa"/>
            <w:tcBorders>
              <w:top w:val="single" w:sz="8" w:space="0" w:color="auto"/>
              <w:left w:val="nil"/>
              <w:bottom w:val="single" w:sz="8" w:space="0" w:color="auto"/>
              <w:right w:val="single" w:sz="8" w:space="0" w:color="auto"/>
            </w:tcBorders>
            <w:noWrap/>
            <w:vAlign w:val="center"/>
            <w:hideMark/>
          </w:tcPr>
          <w:p w:rsidR="006C7862" w:rsidRPr="002E70D5" w:rsidRDefault="006C7862" w:rsidP="005A4BCB">
            <w:pPr>
              <w:jc w:val="center"/>
              <w:rPr>
                <w:b/>
                <w:bCs/>
                <w:sz w:val="18"/>
                <w:szCs w:val="18"/>
                <w:lang w:eastAsia="ru-RU"/>
              </w:rPr>
            </w:pPr>
            <w:r w:rsidRPr="002E70D5">
              <w:rPr>
                <w:b/>
                <w:bCs/>
                <w:sz w:val="18"/>
                <w:szCs w:val="18"/>
                <w:lang w:eastAsia="ru-RU"/>
              </w:rPr>
              <w:t xml:space="preserve"> </w:t>
            </w:r>
          </w:p>
        </w:tc>
      </w:tr>
      <w:tr w:rsidR="006C7862" w:rsidRPr="002E70D5" w:rsidTr="005A4BCB">
        <w:trPr>
          <w:gridAfter w:val="2"/>
          <w:wAfter w:w="1017" w:type="dxa"/>
          <w:trHeight w:val="337"/>
        </w:trPr>
        <w:tc>
          <w:tcPr>
            <w:tcW w:w="5529" w:type="dxa"/>
            <w:tcBorders>
              <w:top w:val="nil"/>
              <w:left w:val="single" w:sz="8" w:space="0" w:color="auto"/>
              <w:bottom w:val="single" w:sz="4" w:space="0" w:color="auto"/>
              <w:right w:val="single" w:sz="4" w:space="0" w:color="auto"/>
            </w:tcBorders>
            <w:vAlign w:val="bottom"/>
            <w:hideMark/>
          </w:tcPr>
          <w:p w:rsidR="006C7862" w:rsidRPr="002E70D5" w:rsidRDefault="006C7862" w:rsidP="005A4BCB">
            <w:pPr>
              <w:rPr>
                <w:b/>
                <w:bCs/>
                <w:sz w:val="18"/>
                <w:szCs w:val="18"/>
                <w:lang w:eastAsia="ru-RU"/>
              </w:rPr>
            </w:pPr>
            <w:r w:rsidRPr="002E70D5">
              <w:rPr>
                <w:b/>
                <w:bCs/>
                <w:sz w:val="18"/>
                <w:szCs w:val="18"/>
                <w:lang w:eastAsia="ru-RU"/>
              </w:rPr>
              <w:t xml:space="preserve">1.3 </w:t>
            </w:r>
            <w:proofErr w:type="spellStart"/>
            <w:r w:rsidRPr="002E70D5">
              <w:rPr>
                <w:b/>
                <w:bCs/>
                <w:sz w:val="18"/>
                <w:szCs w:val="18"/>
                <w:lang w:eastAsia="ru-RU"/>
              </w:rPr>
              <w:t>Majorarea</w:t>
            </w:r>
            <w:proofErr w:type="spellEnd"/>
            <w:r w:rsidRPr="002E70D5">
              <w:rPr>
                <w:b/>
                <w:bCs/>
                <w:sz w:val="18"/>
                <w:szCs w:val="18"/>
                <w:lang w:eastAsia="ru-RU"/>
              </w:rPr>
              <w:t xml:space="preserve"> (</w:t>
            </w:r>
            <w:proofErr w:type="spellStart"/>
            <w:r w:rsidRPr="002E70D5">
              <w:rPr>
                <w:b/>
                <w:bCs/>
                <w:sz w:val="18"/>
                <w:szCs w:val="18"/>
                <w:lang w:eastAsia="ru-RU"/>
              </w:rPr>
              <w:t>diminuarea</w:t>
            </w:r>
            <w:proofErr w:type="spellEnd"/>
            <w:r w:rsidRPr="002E70D5">
              <w:rPr>
                <w:b/>
                <w:bCs/>
                <w:sz w:val="18"/>
                <w:szCs w:val="18"/>
                <w:lang w:eastAsia="ru-RU"/>
              </w:rPr>
              <w:t xml:space="preserve">) </w:t>
            </w:r>
            <w:proofErr w:type="spellStart"/>
            <w:r w:rsidRPr="002E70D5">
              <w:rPr>
                <w:b/>
                <w:bCs/>
                <w:sz w:val="18"/>
                <w:szCs w:val="18"/>
                <w:lang w:eastAsia="ru-RU"/>
              </w:rPr>
              <w:t>obligaţiilor</w:t>
            </w:r>
            <w:proofErr w:type="spellEnd"/>
            <w:r w:rsidRPr="002E70D5">
              <w:rPr>
                <w:b/>
                <w:bCs/>
                <w:sz w:val="18"/>
                <w:szCs w:val="18"/>
                <w:lang w:eastAsia="ru-RU"/>
              </w:rPr>
              <w:br/>
            </w:r>
            <w:proofErr w:type="spellStart"/>
            <w:r w:rsidRPr="002E70D5">
              <w:rPr>
                <w:sz w:val="18"/>
                <w:szCs w:val="18"/>
                <w:lang w:eastAsia="ru-RU"/>
              </w:rPr>
              <w:t>Încasări</w:t>
            </w:r>
            <w:proofErr w:type="spellEnd"/>
            <w:r w:rsidRPr="002E70D5">
              <w:rPr>
                <w:sz w:val="18"/>
                <w:szCs w:val="18"/>
                <w:lang w:eastAsia="ru-RU"/>
              </w:rPr>
              <w:t xml:space="preserve"> sub </w:t>
            </w:r>
            <w:proofErr w:type="spellStart"/>
            <w:r w:rsidRPr="002E70D5">
              <w:rPr>
                <w:sz w:val="18"/>
                <w:szCs w:val="18"/>
                <w:lang w:eastAsia="ru-RU"/>
              </w:rPr>
              <w:t>formă</w:t>
            </w:r>
            <w:proofErr w:type="spellEnd"/>
            <w:r w:rsidRPr="002E70D5">
              <w:rPr>
                <w:sz w:val="18"/>
                <w:szCs w:val="18"/>
                <w:lang w:eastAsia="ru-RU"/>
              </w:rPr>
              <w:t xml:space="preserve"> de </w:t>
            </w:r>
            <w:proofErr w:type="spellStart"/>
            <w:r w:rsidRPr="002E70D5">
              <w:rPr>
                <w:sz w:val="18"/>
                <w:szCs w:val="18"/>
                <w:lang w:eastAsia="ru-RU"/>
              </w:rPr>
              <w:t>credite</w:t>
            </w:r>
            <w:proofErr w:type="spellEnd"/>
            <w:r w:rsidRPr="002E70D5">
              <w:rPr>
                <w:sz w:val="18"/>
                <w:szCs w:val="18"/>
                <w:lang w:eastAsia="ru-RU"/>
              </w:rPr>
              <w:t xml:space="preserve"> </w:t>
            </w:r>
            <w:proofErr w:type="spellStart"/>
            <w:r w:rsidRPr="002E70D5">
              <w:rPr>
                <w:sz w:val="18"/>
                <w:szCs w:val="18"/>
                <w:lang w:eastAsia="ru-RU"/>
              </w:rPr>
              <w:t>și</w:t>
            </w:r>
            <w:proofErr w:type="spellEnd"/>
            <w:r w:rsidRPr="002E70D5">
              <w:rPr>
                <w:sz w:val="18"/>
                <w:szCs w:val="18"/>
                <w:lang w:eastAsia="ru-RU"/>
              </w:rPr>
              <w:t xml:space="preserve"> </w:t>
            </w:r>
            <w:proofErr w:type="spellStart"/>
            <w:r w:rsidRPr="002E70D5">
              <w:rPr>
                <w:sz w:val="18"/>
                <w:szCs w:val="18"/>
                <w:lang w:eastAsia="ru-RU"/>
              </w:rPr>
              <w:t>împrumuturi</w:t>
            </w:r>
            <w:proofErr w:type="spellEnd"/>
            <w:r w:rsidRPr="002E70D5">
              <w:rPr>
                <w:sz w:val="18"/>
                <w:szCs w:val="18"/>
                <w:lang w:eastAsia="ru-RU"/>
              </w:rPr>
              <w:t xml:space="preserve"> </w:t>
            </w:r>
            <w:proofErr w:type="spellStart"/>
            <w:r w:rsidRPr="002E70D5">
              <w:rPr>
                <w:sz w:val="18"/>
                <w:szCs w:val="18"/>
                <w:lang w:eastAsia="ru-RU"/>
              </w:rPr>
              <w:t>primite</w:t>
            </w:r>
            <w:proofErr w:type="spellEnd"/>
          </w:p>
        </w:tc>
        <w:tc>
          <w:tcPr>
            <w:tcW w:w="850" w:type="dxa"/>
            <w:gridSpan w:val="2"/>
            <w:tcBorders>
              <w:top w:val="nil"/>
              <w:left w:val="nil"/>
              <w:bottom w:val="single" w:sz="4" w:space="0" w:color="auto"/>
              <w:right w:val="single" w:sz="4" w:space="0" w:color="auto"/>
            </w:tcBorders>
            <w:vAlign w:val="center"/>
            <w:hideMark/>
          </w:tcPr>
          <w:p w:rsidR="006C7862" w:rsidRPr="002E70D5" w:rsidRDefault="006C7862" w:rsidP="005A4BCB">
            <w:pPr>
              <w:jc w:val="center"/>
              <w:rPr>
                <w:sz w:val="18"/>
                <w:szCs w:val="18"/>
                <w:lang w:eastAsia="ru-RU"/>
              </w:rPr>
            </w:pPr>
            <w:r w:rsidRPr="002E70D5">
              <w:rPr>
                <w:sz w:val="18"/>
                <w:szCs w:val="18"/>
                <w:lang w:eastAsia="ru-RU"/>
              </w:rPr>
              <w:t>150</w:t>
            </w:r>
          </w:p>
        </w:tc>
        <w:tc>
          <w:tcPr>
            <w:tcW w:w="1276" w:type="dxa"/>
            <w:gridSpan w:val="2"/>
            <w:tcBorders>
              <w:top w:val="nil"/>
              <w:left w:val="single" w:sz="4" w:space="0" w:color="auto"/>
              <w:bottom w:val="single" w:sz="4" w:space="0" w:color="auto"/>
              <w:right w:val="single" w:sz="4"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c>
          <w:tcPr>
            <w:tcW w:w="1276" w:type="dxa"/>
            <w:tcBorders>
              <w:top w:val="nil"/>
              <w:left w:val="single" w:sz="4" w:space="0" w:color="auto"/>
              <w:bottom w:val="single" w:sz="4" w:space="0" w:color="auto"/>
              <w:right w:val="single" w:sz="8"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r>
      <w:tr w:rsidR="006C7862" w:rsidRPr="002E70D5" w:rsidTr="005A4BCB">
        <w:trPr>
          <w:gridAfter w:val="2"/>
          <w:wAfter w:w="1017" w:type="dxa"/>
          <w:trHeight w:val="300"/>
        </w:trPr>
        <w:tc>
          <w:tcPr>
            <w:tcW w:w="5529" w:type="dxa"/>
            <w:tcBorders>
              <w:top w:val="nil"/>
              <w:left w:val="single" w:sz="8" w:space="0" w:color="auto"/>
              <w:bottom w:val="single" w:sz="4" w:space="0" w:color="auto"/>
              <w:right w:val="single" w:sz="4" w:space="0" w:color="auto"/>
            </w:tcBorders>
            <w:vAlign w:val="bottom"/>
            <w:hideMark/>
          </w:tcPr>
          <w:p w:rsidR="006C7862" w:rsidRPr="002E70D5" w:rsidRDefault="006C7862" w:rsidP="005A4BCB">
            <w:pPr>
              <w:rPr>
                <w:sz w:val="18"/>
                <w:szCs w:val="18"/>
                <w:lang w:eastAsia="ru-RU"/>
              </w:rPr>
            </w:pPr>
            <w:proofErr w:type="spellStart"/>
            <w:r w:rsidRPr="002E70D5">
              <w:rPr>
                <w:sz w:val="18"/>
                <w:szCs w:val="18"/>
                <w:lang w:eastAsia="ru-RU"/>
              </w:rPr>
              <w:t>Plăți</w:t>
            </w:r>
            <w:proofErr w:type="spellEnd"/>
            <w:r w:rsidRPr="002E70D5">
              <w:rPr>
                <w:sz w:val="18"/>
                <w:szCs w:val="18"/>
                <w:lang w:eastAsia="ru-RU"/>
              </w:rPr>
              <w:t xml:space="preserve"> </w:t>
            </w:r>
            <w:proofErr w:type="spellStart"/>
            <w:r w:rsidRPr="002E70D5">
              <w:rPr>
                <w:sz w:val="18"/>
                <w:szCs w:val="18"/>
                <w:lang w:eastAsia="ru-RU"/>
              </w:rPr>
              <w:t>privind</w:t>
            </w:r>
            <w:proofErr w:type="spellEnd"/>
            <w:r w:rsidRPr="002E70D5">
              <w:rPr>
                <w:sz w:val="18"/>
                <w:szCs w:val="18"/>
                <w:lang w:eastAsia="ru-RU"/>
              </w:rPr>
              <w:t xml:space="preserve"> </w:t>
            </w:r>
            <w:proofErr w:type="spellStart"/>
            <w:r w:rsidRPr="002E70D5">
              <w:rPr>
                <w:sz w:val="18"/>
                <w:szCs w:val="18"/>
                <w:lang w:eastAsia="ru-RU"/>
              </w:rPr>
              <w:t>rambursarea</w:t>
            </w:r>
            <w:proofErr w:type="spellEnd"/>
            <w:r w:rsidRPr="002E70D5">
              <w:rPr>
                <w:sz w:val="18"/>
                <w:szCs w:val="18"/>
                <w:lang w:eastAsia="ru-RU"/>
              </w:rPr>
              <w:t xml:space="preserve"> </w:t>
            </w:r>
            <w:proofErr w:type="spellStart"/>
            <w:r w:rsidRPr="002E70D5">
              <w:rPr>
                <w:sz w:val="18"/>
                <w:szCs w:val="18"/>
                <w:lang w:eastAsia="ru-RU"/>
              </w:rPr>
              <w:t>creditelor</w:t>
            </w:r>
            <w:proofErr w:type="spellEnd"/>
            <w:r w:rsidRPr="002E70D5">
              <w:rPr>
                <w:sz w:val="18"/>
                <w:szCs w:val="18"/>
                <w:lang w:eastAsia="ru-RU"/>
              </w:rPr>
              <w:t xml:space="preserve"> </w:t>
            </w:r>
            <w:proofErr w:type="spellStart"/>
            <w:r w:rsidRPr="002E70D5">
              <w:rPr>
                <w:sz w:val="18"/>
                <w:szCs w:val="18"/>
                <w:lang w:eastAsia="ru-RU"/>
              </w:rPr>
              <w:t>și</w:t>
            </w:r>
            <w:proofErr w:type="spellEnd"/>
            <w:r w:rsidRPr="002E70D5">
              <w:rPr>
                <w:sz w:val="18"/>
                <w:szCs w:val="18"/>
                <w:lang w:eastAsia="ru-RU"/>
              </w:rPr>
              <w:t xml:space="preserve"> </w:t>
            </w:r>
            <w:proofErr w:type="spellStart"/>
            <w:r w:rsidRPr="002E70D5">
              <w:rPr>
                <w:sz w:val="18"/>
                <w:szCs w:val="18"/>
                <w:lang w:eastAsia="ru-RU"/>
              </w:rPr>
              <w:t>împrumuturilor</w:t>
            </w:r>
            <w:proofErr w:type="spellEnd"/>
            <w:r w:rsidRPr="002E70D5">
              <w:rPr>
                <w:sz w:val="18"/>
                <w:szCs w:val="18"/>
                <w:lang w:eastAsia="ru-RU"/>
              </w:rPr>
              <w:t xml:space="preserve"> </w:t>
            </w:r>
            <w:proofErr w:type="spellStart"/>
            <w:r w:rsidRPr="002E70D5">
              <w:rPr>
                <w:sz w:val="18"/>
                <w:szCs w:val="18"/>
                <w:lang w:eastAsia="ru-RU"/>
              </w:rPr>
              <w:t>primite</w:t>
            </w:r>
            <w:proofErr w:type="spellEnd"/>
          </w:p>
        </w:tc>
        <w:tc>
          <w:tcPr>
            <w:tcW w:w="850" w:type="dxa"/>
            <w:gridSpan w:val="2"/>
            <w:tcBorders>
              <w:top w:val="nil"/>
              <w:left w:val="nil"/>
              <w:bottom w:val="single" w:sz="4" w:space="0" w:color="auto"/>
              <w:right w:val="single" w:sz="4" w:space="0" w:color="auto"/>
            </w:tcBorders>
            <w:vAlign w:val="center"/>
            <w:hideMark/>
          </w:tcPr>
          <w:p w:rsidR="006C7862" w:rsidRPr="002E70D5" w:rsidRDefault="006C7862" w:rsidP="005A4BCB">
            <w:pPr>
              <w:jc w:val="center"/>
              <w:rPr>
                <w:sz w:val="18"/>
                <w:szCs w:val="18"/>
                <w:lang w:eastAsia="ru-RU"/>
              </w:rPr>
            </w:pPr>
            <w:r w:rsidRPr="002E70D5">
              <w:rPr>
                <w:sz w:val="18"/>
                <w:szCs w:val="18"/>
                <w:lang w:eastAsia="ru-RU"/>
              </w:rPr>
              <w:t>160</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6C7862" w:rsidRPr="002E70D5" w:rsidRDefault="006C7862" w:rsidP="005A4BCB">
            <w:pPr>
              <w:jc w:val="center"/>
              <w:rPr>
                <w:sz w:val="18"/>
                <w:szCs w:val="18"/>
                <w:lang w:eastAsia="ru-RU"/>
              </w:rPr>
            </w:pPr>
            <w:bookmarkStart w:id="0" w:name="RANGE!C24"/>
            <w:bookmarkEnd w:id="0"/>
            <w:r w:rsidRPr="002E70D5">
              <w:rPr>
                <w:sz w:val="18"/>
                <w:szCs w:val="18"/>
                <w:lang w:eastAsia="ru-RU"/>
              </w:rPr>
              <w:t> </w:t>
            </w:r>
          </w:p>
        </w:tc>
        <w:tc>
          <w:tcPr>
            <w:tcW w:w="1276" w:type="dxa"/>
            <w:tcBorders>
              <w:top w:val="single" w:sz="4" w:space="0" w:color="auto"/>
              <w:left w:val="single" w:sz="4" w:space="0" w:color="auto"/>
              <w:bottom w:val="single" w:sz="4" w:space="0" w:color="auto"/>
              <w:right w:val="single" w:sz="8" w:space="0" w:color="auto"/>
            </w:tcBorders>
            <w:noWrap/>
            <w:vAlign w:val="center"/>
            <w:hideMark/>
          </w:tcPr>
          <w:p w:rsidR="006C7862" w:rsidRPr="002E70D5" w:rsidRDefault="006C7862" w:rsidP="005A4BCB">
            <w:pPr>
              <w:jc w:val="center"/>
              <w:rPr>
                <w:sz w:val="18"/>
                <w:szCs w:val="18"/>
                <w:lang w:eastAsia="ru-RU"/>
              </w:rPr>
            </w:pPr>
            <w:bookmarkStart w:id="1" w:name="RANGE!D24"/>
            <w:bookmarkEnd w:id="1"/>
            <w:r w:rsidRPr="002E70D5">
              <w:rPr>
                <w:sz w:val="18"/>
                <w:szCs w:val="18"/>
                <w:lang w:eastAsia="ru-RU"/>
              </w:rPr>
              <w:t> </w:t>
            </w:r>
          </w:p>
        </w:tc>
      </w:tr>
      <w:tr w:rsidR="006C7862" w:rsidRPr="002E70D5" w:rsidTr="005A4BCB">
        <w:trPr>
          <w:gridAfter w:val="2"/>
          <w:wAfter w:w="1017" w:type="dxa"/>
          <w:trHeight w:val="300"/>
        </w:trPr>
        <w:tc>
          <w:tcPr>
            <w:tcW w:w="5529" w:type="dxa"/>
            <w:tcBorders>
              <w:top w:val="nil"/>
              <w:left w:val="single" w:sz="8" w:space="0" w:color="auto"/>
              <w:bottom w:val="single" w:sz="4" w:space="0" w:color="auto"/>
              <w:right w:val="single" w:sz="4" w:space="0" w:color="auto"/>
            </w:tcBorders>
            <w:vAlign w:val="bottom"/>
            <w:hideMark/>
          </w:tcPr>
          <w:p w:rsidR="006C7862" w:rsidRPr="002E70D5" w:rsidRDefault="006C7862" w:rsidP="005A4BCB">
            <w:pPr>
              <w:rPr>
                <w:sz w:val="18"/>
                <w:szCs w:val="18"/>
                <w:lang w:eastAsia="ru-RU"/>
              </w:rPr>
            </w:pPr>
            <w:proofErr w:type="spellStart"/>
            <w:r w:rsidRPr="002E70D5">
              <w:rPr>
                <w:sz w:val="18"/>
                <w:szCs w:val="18"/>
                <w:lang w:eastAsia="ru-RU"/>
              </w:rPr>
              <w:t>Încasări</w:t>
            </w:r>
            <w:proofErr w:type="spellEnd"/>
            <w:r w:rsidRPr="002E70D5">
              <w:rPr>
                <w:sz w:val="18"/>
                <w:szCs w:val="18"/>
                <w:lang w:eastAsia="ru-RU"/>
              </w:rPr>
              <w:t xml:space="preserve"> (</w:t>
            </w:r>
            <w:proofErr w:type="spellStart"/>
            <w:r w:rsidRPr="002E70D5">
              <w:rPr>
                <w:sz w:val="18"/>
                <w:szCs w:val="18"/>
                <w:lang w:eastAsia="ru-RU"/>
              </w:rPr>
              <w:t>plăţi</w:t>
            </w:r>
            <w:proofErr w:type="spellEnd"/>
            <w:r w:rsidRPr="002E70D5">
              <w:rPr>
                <w:sz w:val="18"/>
                <w:szCs w:val="18"/>
                <w:lang w:eastAsia="ru-RU"/>
              </w:rPr>
              <w:t xml:space="preserve">) </w:t>
            </w:r>
            <w:proofErr w:type="spellStart"/>
            <w:r w:rsidRPr="002E70D5">
              <w:rPr>
                <w:sz w:val="18"/>
                <w:szCs w:val="18"/>
                <w:lang w:eastAsia="ru-RU"/>
              </w:rPr>
              <w:t>aferente</w:t>
            </w:r>
            <w:proofErr w:type="spellEnd"/>
            <w:r w:rsidRPr="002E70D5">
              <w:rPr>
                <w:sz w:val="18"/>
                <w:szCs w:val="18"/>
                <w:lang w:eastAsia="ru-RU"/>
              </w:rPr>
              <w:t xml:space="preserve"> </w:t>
            </w:r>
            <w:proofErr w:type="spellStart"/>
            <w:r w:rsidRPr="002E70D5">
              <w:rPr>
                <w:sz w:val="18"/>
                <w:szCs w:val="18"/>
                <w:lang w:eastAsia="ru-RU"/>
              </w:rPr>
              <w:t>altor</w:t>
            </w:r>
            <w:proofErr w:type="spellEnd"/>
            <w:r w:rsidRPr="002E70D5">
              <w:rPr>
                <w:sz w:val="18"/>
                <w:szCs w:val="18"/>
                <w:lang w:eastAsia="ru-RU"/>
              </w:rPr>
              <w:t xml:space="preserve"> </w:t>
            </w:r>
            <w:proofErr w:type="spellStart"/>
            <w:r w:rsidRPr="002E70D5">
              <w:rPr>
                <w:sz w:val="18"/>
                <w:szCs w:val="18"/>
                <w:lang w:eastAsia="ru-RU"/>
              </w:rPr>
              <w:t>obligaţii</w:t>
            </w:r>
            <w:proofErr w:type="spellEnd"/>
          </w:p>
        </w:tc>
        <w:tc>
          <w:tcPr>
            <w:tcW w:w="850" w:type="dxa"/>
            <w:gridSpan w:val="2"/>
            <w:tcBorders>
              <w:top w:val="nil"/>
              <w:left w:val="nil"/>
              <w:bottom w:val="single" w:sz="4" w:space="0" w:color="auto"/>
              <w:right w:val="single" w:sz="4" w:space="0" w:color="auto"/>
            </w:tcBorders>
            <w:vAlign w:val="center"/>
            <w:hideMark/>
          </w:tcPr>
          <w:p w:rsidR="006C7862" w:rsidRPr="002E70D5" w:rsidRDefault="006C7862" w:rsidP="005A4BCB">
            <w:pPr>
              <w:jc w:val="center"/>
              <w:rPr>
                <w:sz w:val="18"/>
                <w:szCs w:val="18"/>
                <w:lang w:eastAsia="ru-RU"/>
              </w:rPr>
            </w:pPr>
            <w:r w:rsidRPr="002E70D5">
              <w:rPr>
                <w:sz w:val="18"/>
                <w:szCs w:val="18"/>
                <w:lang w:eastAsia="ru-RU"/>
              </w:rPr>
              <w:t>170</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c>
          <w:tcPr>
            <w:tcW w:w="1276" w:type="dxa"/>
            <w:tcBorders>
              <w:top w:val="single" w:sz="4" w:space="0" w:color="auto"/>
              <w:left w:val="single" w:sz="4" w:space="0" w:color="auto"/>
              <w:bottom w:val="single" w:sz="4" w:space="0" w:color="auto"/>
              <w:right w:val="single" w:sz="8"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r>
      <w:tr w:rsidR="006C7862" w:rsidRPr="002E70D5" w:rsidTr="005A4BCB">
        <w:trPr>
          <w:gridAfter w:val="2"/>
          <w:wAfter w:w="1017" w:type="dxa"/>
          <w:trHeight w:val="270"/>
        </w:trPr>
        <w:tc>
          <w:tcPr>
            <w:tcW w:w="5529" w:type="dxa"/>
            <w:tcBorders>
              <w:top w:val="single" w:sz="8" w:space="0" w:color="auto"/>
              <w:left w:val="single" w:sz="8" w:space="0" w:color="auto"/>
              <w:bottom w:val="single" w:sz="8" w:space="0" w:color="auto"/>
              <w:right w:val="single" w:sz="4" w:space="0" w:color="auto"/>
            </w:tcBorders>
            <w:vAlign w:val="bottom"/>
            <w:hideMark/>
          </w:tcPr>
          <w:p w:rsidR="006C7862" w:rsidRPr="002E70D5" w:rsidRDefault="006C7862" w:rsidP="005A4BCB">
            <w:pPr>
              <w:rPr>
                <w:b/>
                <w:bCs/>
                <w:sz w:val="18"/>
                <w:szCs w:val="18"/>
                <w:lang w:eastAsia="ru-RU"/>
              </w:rPr>
            </w:pPr>
            <w:r w:rsidRPr="002E70D5">
              <w:rPr>
                <w:b/>
                <w:bCs/>
                <w:sz w:val="18"/>
                <w:szCs w:val="18"/>
                <w:lang w:eastAsia="ru-RU"/>
              </w:rPr>
              <w:t xml:space="preserve">Total </w:t>
            </w:r>
            <w:proofErr w:type="spellStart"/>
            <w:r w:rsidRPr="002E70D5">
              <w:rPr>
                <w:b/>
                <w:bCs/>
                <w:sz w:val="18"/>
                <w:szCs w:val="18"/>
                <w:lang w:eastAsia="ru-RU"/>
              </w:rPr>
              <w:t>majorarea</w:t>
            </w:r>
            <w:proofErr w:type="spellEnd"/>
            <w:r w:rsidRPr="002E70D5">
              <w:rPr>
                <w:b/>
                <w:bCs/>
                <w:sz w:val="18"/>
                <w:szCs w:val="18"/>
                <w:lang w:eastAsia="ru-RU"/>
              </w:rPr>
              <w:t xml:space="preserve"> (</w:t>
            </w:r>
            <w:proofErr w:type="spellStart"/>
            <w:r w:rsidRPr="002E70D5">
              <w:rPr>
                <w:b/>
                <w:bCs/>
                <w:sz w:val="18"/>
                <w:szCs w:val="18"/>
                <w:lang w:eastAsia="ru-RU"/>
              </w:rPr>
              <w:t>diminuarea</w:t>
            </w:r>
            <w:proofErr w:type="spellEnd"/>
            <w:r w:rsidRPr="002E70D5">
              <w:rPr>
                <w:b/>
                <w:bCs/>
                <w:sz w:val="18"/>
                <w:szCs w:val="18"/>
                <w:lang w:eastAsia="ru-RU"/>
              </w:rPr>
              <w:t xml:space="preserve">) </w:t>
            </w:r>
            <w:proofErr w:type="spellStart"/>
            <w:r w:rsidRPr="002E70D5">
              <w:rPr>
                <w:b/>
                <w:bCs/>
                <w:sz w:val="18"/>
                <w:szCs w:val="18"/>
                <w:lang w:eastAsia="ru-RU"/>
              </w:rPr>
              <w:t>obligaţiilor</w:t>
            </w:r>
            <w:proofErr w:type="spellEnd"/>
            <w:r w:rsidRPr="002E70D5">
              <w:rPr>
                <w:b/>
                <w:bCs/>
                <w:sz w:val="18"/>
                <w:szCs w:val="18"/>
                <w:lang w:eastAsia="ru-RU"/>
              </w:rPr>
              <w:t xml:space="preserve"> (rd.150-rd.160</w:t>
            </w:r>
            <w:r w:rsidRPr="002E70D5">
              <w:rPr>
                <w:b/>
                <w:bCs/>
                <w:sz w:val="18"/>
                <w:szCs w:val="18"/>
                <w:u w:val="single"/>
                <w:lang w:eastAsia="ru-RU"/>
              </w:rPr>
              <w:t>+</w:t>
            </w:r>
            <w:r w:rsidRPr="002E70D5">
              <w:rPr>
                <w:b/>
                <w:bCs/>
                <w:sz w:val="18"/>
                <w:szCs w:val="18"/>
                <w:lang w:eastAsia="ru-RU"/>
              </w:rPr>
              <w:t>rd.170)</w:t>
            </w:r>
          </w:p>
        </w:tc>
        <w:tc>
          <w:tcPr>
            <w:tcW w:w="850" w:type="dxa"/>
            <w:gridSpan w:val="2"/>
            <w:tcBorders>
              <w:top w:val="single" w:sz="8" w:space="0" w:color="auto"/>
              <w:left w:val="nil"/>
              <w:bottom w:val="single" w:sz="8" w:space="0" w:color="auto"/>
              <w:right w:val="single" w:sz="4" w:space="0" w:color="auto"/>
            </w:tcBorders>
            <w:vAlign w:val="center"/>
            <w:hideMark/>
          </w:tcPr>
          <w:p w:rsidR="006C7862" w:rsidRPr="002E70D5" w:rsidRDefault="006C7862" w:rsidP="005A4BCB">
            <w:pPr>
              <w:jc w:val="center"/>
              <w:rPr>
                <w:b/>
                <w:bCs/>
                <w:sz w:val="18"/>
                <w:szCs w:val="18"/>
                <w:lang w:eastAsia="ru-RU"/>
              </w:rPr>
            </w:pPr>
            <w:r w:rsidRPr="002E70D5">
              <w:rPr>
                <w:b/>
                <w:bCs/>
                <w:sz w:val="18"/>
                <w:szCs w:val="18"/>
                <w:lang w:eastAsia="ru-RU"/>
              </w:rPr>
              <w:t>180</w:t>
            </w:r>
          </w:p>
        </w:tc>
        <w:tc>
          <w:tcPr>
            <w:tcW w:w="1276" w:type="dxa"/>
            <w:gridSpan w:val="2"/>
            <w:tcBorders>
              <w:top w:val="single" w:sz="8" w:space="0" w:color="auto"/>
              <w:left w:val="nil"/>
              <w:bottom w:val="single" w:sz="8" w:space="0" w:color="auto"/>
              <w:right w:val="single" w:sz="4" w:space="0" w:color="auto"/>
            </w:tcBorders>
            <w:noWrap/>
            <w:vAlign w:val="center"/>
            <w:hideMark/>
          </w:tcPr>
          <w:p w:rsidR="006C7862" w:rsidRPr="002E70D5" w:rsidRDefault="006C7862" w:rsidP="005A4BCB">
            <w:pPr>
              <w:jc w:val="center"/>
              <w:rPr>
                <w:b/>
                <w:bCs/>
                <w:sz w:val="18"/>
                <w:szCs w:val="18"/>
                <w:lang w:eastAsia="ru-RU"/>
              </w:rPr>
            </w:pPr>
            <w:r w:rsidRPr="002E70D5">
              <w:rPr>
                <w:b/>
                <w:bCs/>
                <w:sz w:val="18"/>
                <w:szCs w:val="18"/>
                <w:lang w:eastAsia="ru-RU"/>
              </w:rPr>
              <w:t xml:space="preserve"> </w:t>
            </w:r>
          </w:p>
        </w:tc>
        <w:tc>
          <w:tcPr>
            <w:tcW w:w="1276" w:type="dxa"/>
            <w:tcBorders>
              <w:top w:val="single" w:sz="8" w:space="0" w:color="auto"/>
              <w:left w:val="nil"/>
              <w:bottom w:val="single" w:sz="8" w:space="0" w:color="auto"/>
              <w:right w:val="single" w:sz="8" w:space="0" w:color="auto"/>
            </w:tcBorders>
            <w:noWrap/>
            <w:vAlign w:val="center"/>
            <w:hideMark/>
          </w:tcPr>
          <w:p w:rsidR="006C7862" w:rsidRPr="002E70D5" w:rsidRDefault="006C7862" w:rsidP="005A4BCB">
            <w:pPr>
              <w:jc w:val="center"/>
              <w:rPr>
                <w:b/>
                <w:bCs/>
                <w:sz w:val="18"/>
                <w:szCs w:val="18"/>
                <w:lang w:eastAsia="ru-RU"/>
              </w:rPr>
            </w:pPr>
            <w:r w:rsidRPr="002E70D5">
              <w:rPr>
                <w:b/>
                <w:bCs/>
                <w:sz w:val="18"/>
                <w:szCs w:val="18"/>
                <w:lang w:eastAsia="ru-RU"/>
              </w:rPr>
              <w:t xml:space="preserve"> </w:t>
            </w:r>
          </w:p>
        </w:tc>
      </w:tr>
      <w:tr w:rsidR="006C7862" w:rsidRPr="002E70D5" w:rsidTr="005A4BCB">
        <w:trPr>
          <w:gridAfter w:val="2"/>
          <w:wAfter w:w="1017" w:type="dxa"/>
          <w:trHeight w:val="270"/>
        </w:trPr>
        <w:tc>
          <w:tcPr>
            <w:tcW w:w="5529" w:type="dxa"/>
            <w:tcBorders>
              <w:top w:val="nil"/>
              <w:left w:val="single" w:sz="8" w:space="0" w:color="auto"/>
              <w:bottom w:val="single" w:sz="4" w:space="0" w:color="auto"/>
              <w:right w:val="single" w:sz="4" w:space="0" w:color="auto"/>
            </w:tcBorders>
            <w:vAlign w:val="bottom"/>
            <w:hideMark/>
          </w:tcPr>
          <w:p w:rsidR="006C7862" w:rsidRPr="002E70D5" w:rsidRDefault="006C7862" w:rsidP="005A4BCB">
            <w:pPr>
              <w:rPr>
                <w:b/>
                <w:bCs/>
                <w:sz w:val="18"/>
                <w:szCs w:val="18"/>
                <w:lang w:eastAsia="ru-RU"/>
              </w:rPr>
            </w:pPr>
            <w:proofErr w:type="spellStart"/>
            <w:r w:rsidRPr="002E70D5">
              <w:rPr>
                <w:b/>
                <w:bCs/>
                <w:sz w:val="18"/>
                <w:szCs w:val="18"/>
                <w:lang w:eastAsia="ru-RU"/>
              </w:rPr>
              <w:t>Fluxul</w:t>
            </w:r>
            <w:proofErr w:type="spellEnd"/>
            <w:r w:rsidRPr="002E70D5">
              <w:rPr>
                <w:b/>
                <w:bCs/>
                <w:sz w:val="18"/>
                <w:szCs w:val="18"/>
                <w:lang w:eastAsia="ru-RU"/>
              </w:rPr>
              <w:t xml:space="preserve"> net de </w:t>
            </w:r>
            <w:proofErr w:type="spellStart"/>
            <w:r w:rsidRPr="002E70D5">
              <w:rPr>
                <w:b/>
                <w:bCs/>
                <w:sz w:val="18"/>
                <w:szCs w:val="18"/>
                <w:lang w:eastAsia="ru-RU"/>
              </w:rPr>
              <w:t>numerar</w:t>
            </w:r>
            <w:proofErr w:type="spellEnd"/>
            <w:r w:rsidRPr="002E70D5">
              <w:rPr>
                <w:b/>
                <w:bCs/>
                <w:sz w:val="18"/>
                <w:szCs w:val="18"/>
                <w:lang w:eastAsia="ru-RU"/>
              </w:rPr>
              <w:t xml:space="preserve"> din </w:t>
            </w:r>
            <w:proofErr w:type="spellStart"/>
            <w:r w:rsidRPr="002E70D5">
              <w:rPr>
                <w:b/>
                <w:bCs/>
                <w:sz w:val="18"/>
                <w:szCs w:val="18"/>
                <w:lang w:eastAsia="ru-RU"/>
              </w:rPr>
              <w:t>activitatea</w:t>
            </w:r>
            <w:proofErr w:type="spellEnd"/>
            <w:r w:rsidRPr="002E70D5">
              <w:rPr>
                <w:b/>
                <w:bCs/>
                <w:sz w:val="18"/>
                <w:szCs w:val="18"/>
                <w:lang w:eastAsia="ru-RU"/>
              </w:rPr>
              <w:t xml:space="preserve"> </w:t>
            </w:r>
            <w:proofErr w:type="spellStart"/>
            <w:r w:rsidRPr="002E70D5">
              <w:rPr>
                <w:b/>
                <w:bCs/>
                <w:sz w:val="18"/>
                <w:szCs w:val="18"/>
                <w:lang w:eastAsia="ru-RU"/>
              </w:rPr>
              <w:t>operaţională</w:t>
            </w:r>
            <w:proofErr w:type="spellEnd"/>
            <w:r w:rsidRPr="002E70D5">
              <w:rPr>
                <w:b/>
                <w:bCs/>
                <w:sz w:val="18"/>
                <w:szCs w:val="18"/>
                <w:lang w:eastAsia="ru-RU"/>
              </w:rPr>
              <w:t xml:space="preserve"> (rd.080</w:t>
            </w:r>
            <w:r w:rsidRPr="002E70D5">
              <w:rPr>
                <w:b/>
                <w:bCs/>
                <w:sz w:val="18"/>
                <w:szCs w:val="18"/>
                <w:u w:val="single"/>
                <w:lang w:eastAsia="ru-RU"/>
              </w:rPr>
              <w:t>+</w:t>
            </w:r>
            <w:r w:rsidRPr="002E70D5">
              <w:rPr>
                <w:b/>
                <w:bCs/>
                <w:sz w:val="18"/>
                <w:szCs w:val="18"/>
                <w:lang w:eastAsia="ru-RU"/>
              </w:rPr>
              <w:t>rd.140</w:t>
            </w:r>
            <w:r w:rsidRPr="002E70D5">
              <w:rPr>
                <w:b/>
                <w:bCs/>
                <w:sz w:val="18"/>
                <w:szCs w:val="18"/>
                <w:u w:val="single"/>
                <w:lang w:eastAsia="ru-RU"/>
              </w:rPr>
              <w:t>+</w:t>
            </w:r>
            <w:r w:rsidRPr="002E70D5">
              <w:rPr>
                <w:b/>
                <w:bCs/>
                <w:sz w:val="18"/>
                <w:szCs w:val="18"/>
                <w:lang w:eastAsia="ru-RU"/>
              </w:rPr>
              <w:t>rd.180)</w:t>
            </w:r>
          </w:p>
        </w:tc>
        <w:tc>
          <w:tcPr>
            <w:tcW w:w="850" w:type="dxa"/>
            <w:gridSpan w:val="2"/>
            <w:tcBorders>
              <w:top w:val="nil"/>
              <w:left w:val="nil"/>
              <w:bottom w:val="single" w:sz="4" w:space="0" w:color="auto"/>
              <w:right w:val="single" w:sz="4" w:space="0" w:color="auto"/>
            </w:tcBorders>
            <w:vAlign w:val="center"/>
            <w:hideMark/>
          </w:tcPr>
          <w:p w:rsidR="006C7862" w:rsidRPr="002E70D5" w:rsidRDefault="006C7862" w:rsidP="005A4BCB">
            <w:pPr>
              <w:jc w:val="center"/>
              <w:rPr>
                <w:b/>
                <w:bCs/>
                <w:sz w:val="18"/>
                <w:szCs w:val="18"/>
                <w:lang w:eastAsia="ru-RU"/>
              </w:rPr>
            </w:pPr>
            <w:r w:rsidRPr="002E70D5">
              <w:rPr>
                <w:b/>
                <w:bCs/>
                <w:sz w:val="18"/>
                <w:szCs w:val="18"/>
                <w:lang w:eastAsia="ru-RU"/>
              </w:rPr>
              <w:t>190</w:t>
            </w:r>
          </w:p>
        </w:tc>
        <w:tc>
          <w:tcPr>
            <w:tcW w:w="1276" w:type="dxa"/>
            <w:gridSpan w:val="2"/>
            <w:tcBorders>
              <w:top w:val="nil"/>
              <w:left w:val="nil"/>
              <w:bottom w:val="single" w:sz="4" w:space="0" w:color="auto"/>
              <w:right w:val="single" w:sz="4" w:space="0" w:color="auto"/>
            </w:tcBorders>
            <w:noWrap/>
            <w:vAlign w:val="center"/>
            <w:hideMark/>
          </w:tcPr>
          <w:p w:rsidR="006C7862" w:rsidRPr="002E70D5" w:rsidRDefault="006C7862" w:rsidP="005A4BCB">
            <w:pPr>
              <w:jc w:val="center"/>
              <w:rPr>
                <w:b/>
                <w:bCs/>
                <w:sz w:val="18"/>
                <w:szCs w:val="18"/>
                <w:lang w:eastAsia="ru-RU"/>
              </w:rPr>
            </w:pPr>
            <w:r w:rsidRPr="002E70D5">
              <w:rPr>
                <w:b/>
                <w:bCs/>
                <w:sz w:val="18"/>
                <w:szCs w:val="18"/>
                <w:lang w:eastAsia="ru-RU"/>
              </w:rPr>
              <w:t xml:space="preserve"> </w:t>
            </w:r>
          </w:p>
        </w:tc>
        <w:tc>
          <w:tcPr>
            <w:tcW w:w="1276" w:type="dxa"/>
            <w:tcBorders>
              <w:top w:val="nil"/>
              <w:left w:val="nil"/>
              <w:bottom w:val="single" w:sz="4" w:space="0" w:color="auto"/>
              <w:right w:val="single" w:sz="8" w:space="0" w:color="auto"/>
            </w:tcBorders>
            <w:noWrap/>
            <w:vAlign w:val="center"/>
            <w:hideMark/>
          </w:tcPr>
          <w:p w:rsidR="006C7862" w:rsidRPr="002E70D5" w:rsidRDefault="006C7862" w:rsidP="005A4BCB">
            <w:pPr>
              <w:jc w:val="center"/>
              <w:rPr>
                <w:b/>
                <w:bCs/>
                <w:sz w:val="18"/>
                <w:szCs w:val="18"/>
                <w:lang w:eastAsia="ru-RU"/>
              </w:rPr>
            </w:pPr>
            <w:r w:rsidRPr="002E70D5">
              <w:rPr>
                <w:b/>
                <w:bCs/>
                <w:sz w:val="18"/>
                <w:szCs w:val="18"/>
                <w:lang w:eastAsia="ru-RU"/>
              </w:rPr>
              <w:t xml:space="preserve"> </w:t>
            </w:r>
          </w:p>
        </w:tc>
      </w:tr>
      <w:tr w:rsidR="006C7862" w:rsidRPr="002E70D5" w:rsidTr="005A4BCB">
        <w:trPr>
          <w:gridAfter w:val="2"/>
          <w:wAfter w:w="1017" w:type="dxa"/>
          <w:trHeight w:val="280"/>
        </w:trPr>
        <w:tc>
          <w:tcPr>
            <w:tcW w:w="5529" w:type="dxa"/>
            <w:tcBorders>
              <w:top w:val="single" w:sz="4" w:space="0" w:color="auto"/>
              <w:left w:val="single" w:sz="4" w:space="0" w:color="auto"/>
              <w:bottom w:val="single" w:sz="4" w:space="0" w:color="auto"/>
              <w:right w:val="single" w:sz="4" w:space="0" w:color="auto"/>
            </w:tcBorders>
            <w:vAlign w:val="bottom"/>
            <w:hideMark/>
          </w:tcPr>
          <w:p w:rsidR="006C7862" w:rsidRPr="002E70D5" w:rsidRDefault="006C7862" w:rsidP="005A4BCB">
            <w:pPr>
              <w:rPr>
                <w:b/>
                <w:bCs/>
                <w:sz w:val="18"/>
                <w:szCs w:val="18"/>
                <w:lang w:eastAsia="ru-RU"/>
              </w:rPr>
            </w:pPr>
            <w:r w:rsidRPr="002E70D5">
              <w:rPr>
                <w:b/>
                <w:bCs/>
                <w:sz w:val="18"/>
                <w:szCs w:val="18"/>
                <w:lang w:eastAsia="ru-RU"/>
              </w:rPr>
              <w:t xml:space="preserve">2. </w:t>
            </w:r>
            <w:proofErr w:type="spellStart"/>
            <w:r w:rsidRPr="002E70D5">
              <w:rPr>
                <w:b/>
                <w:bCs/>
                <w:sz w:val="18"/>
                <w:szCs w:val="18"/>
                <w:lang w:eastAsia="ru-RU"/>
              </w:rPr>
              <w:t>Fluxuri</w:t>
            </w:r>
            <w:proofErr w:type="spellEnd"/>
            <w:r w:rsidRPr="002E70D5">
              <w:rPr>
                <w:b/>
                <w:bCs/>
                <w:sz w:val="18"/>
                <w:szCs w:val="18"/>
                <w:lang w:eastAsia="ru-RU"/>
              </w:rPr>
              <w:t xml:space="preserve"> de </w:t>
            </w:r>
            <w:proofErr w:type="spellStart"/>
            <w:r w:rsidRPr="002E70D5">
              <w:rPr>
                <w:b/>
                <w:bCs/>
                <w:sz w:val="18"/>
                <w:szCs w:val="18"/>
                <w:lang w:eastAsia="ru-RU"/>
              </w:rPr>
              <w:t>numerar</w:t>
            </w:r>
            <w:proofErr w:type="spellEnd"/>
            <w:r w:rsidRPr="002E70D5">
              <w:rPr>
                <w:b/>
                <w:bCs/>
                <w:sz w:val="18"/>
                <w:szCs w:val="18"/>
                <w:lang w:eastAsia="ru-RU"/>
              </w:rPr>
              <w:t xml:space="preserve"> din </w:t>
            </w:r>
            <w:proofErr w:type="spellStart"/>
            <w:r w:rsidRPr="002E70D5">
              <w:rPr>
                <w:b/>
                <w:bCs/>
                <w:sz w:val="18"/>
                <w:szCs w:val="18"/>
                <w:lang w:eastAsia="ru-RU"/>
              </w:rPr>
              <w:t>activitatea</w:t>
            </w:r>
            <w:proofErr w:type="spellEnd"/>
            <w:r w:rsidRPr="002E70D5">
              <w:rPr>
                <w:b/>
                <w:bCs/>
                <w:sz w:val="18"/>
                <w:szCs w:val="18"/>
                <w:lang w:eastAsia="ru-RU"/>
              </w:rPr>
              <w:t xml:space="preserve"> de </w:t>
            </w:r>
            <w:proofErr w:type="spellStart"/>
            <w:r w:rsidRPr="002E70D5">
              <w:rPr>
                <w:b/>
                <w:bCs/>
                <w:sz w:val="18"/>
                <w:szCs w:val="18"/>
                <w:lang w:eastAsia="ru-RU"/>
              </w:rPr>
              <w:t>investiţii</w:t>
            </w:r>
            <w:proofErr w:type="spellEnd"/>
            <w:r w:rsidRPr="002E70D5">
              <w:rPr>
                <w:b/>
                <w:bCs/>
                <w:sz w:val="18"/>
                <w:szCs w:val="18"/>
                <w:lang w:eastAsia="ru-RU"/>
              </w:rPr>
              <w:t xml:space="preserve"> </w:t>
            </w:r>
            <w:proofErr w:type="spellStart"/>
            <w:r w:rsidRPr="002E70D5">
              <w:rPr>
                <w:b/>
                <w:bCs/>
                <w:sz w:val="18"/>
                <w:szCs w:val="18"/>
                <w:lang w:eastAsia="ru-RU"/>
              </w:rPr>
              <w:t>și</w:t>
            </w:r>
            <w:proofErr w:type="spellEnd"/>
            <w:r w:rsidRPr="002E70D5">
              <w:rPr>
                <w:b/>
                <w:bCs/>
                <w:sz w:val="18"/>
                <w:szCs w:val="18"/>
                <w:lang w:eastAsia="ru-RU"/>
              </w:rPr>
              <w:t xml:space="preserve"> </w:t>
            </w:r>
            <w:proofErr w:type="spellStart"/>
            <w:r w:rsidRPr="002E70D5">
              <w:rPr>
                <w:b/>
                <w:bCs/>
                <w:sz w:val="18"/>
                <w:szCs w:val="18"/>
                <w:lang w:eastAsia="ru-RU"/>
              </w:rPr>
              <w:t>financiară</w:t>
            </w:r>
            <w:proofErr w:type="spellEnd"/>
          </w:p>
        </w:tc>
        <w:tc>
          <w:tcPr>
            <w:tcW w:w="850" w:type="dxa"/>
            <w:gridSpan w:val="2"/>
            <w:tcBorders>
              <w:top w:val="single" w:sz="4" w:space="0" w:color="auto"/>
              <w:left w:val="nil"/>
              <w:bottom w:val="single" w:sz="4" w:space="0" w:color="auto"/>
              <w:right w:val="single" w:sz="4" w:space="0" w:color="auto"/>
            </w:tcBorders>
            <w:vAlign w:val="center"/>
            <w:hideMark/>
          </w:tcPr>
          <w:p w:rsidR="006C7862" w:rsidRPr="002E70D5" w:rsidRDefault="006C7862" w:rsidP="005A4BCB">
            <w:pPr>
              <w:jc w:val="center"/>
              <w:rPr>
                <w:sz w:val="18"/>
                <w:szCs w:val="18"/>
                <w:lang w:eastAsia="ru-RU"/>
              </w:rPr>
            </w:pPr>
            <w:r w:rsidRPr="002E70D5">
              <w:rPr>
                <w:sz w:val="18"/>
                <w:szCs w:val="18"/>
                <w:lang w:eastAsia="ru-RU"/>
              </w:rPr>
              <w:t> </w:t>
            </w:r>
          </w:p>
        </w:tc>
        <w:tc>
          <w:tcPr>
            <w:tcW w:w="1276" w:type="dxa"/>
            <w:gridSpan w:val="2"/>
            <w:tcBorders>
              <w:top w:val="single" w:sz="4" w:space="0" w:color="auto"/>
              <w:left w:val="nil"/>
              <w:bottom w:val="single" w:sz="4" w:space="0" w:color="auto"/>
              <w:right w:val="single" w:sz="4" w:space="0" w:color="auto"/>
            </w:tcBorders>
            <w:noWrap/>
            <w:vAlign w:val="center"/>
            <w:hideMark/>
          </w:tcPr>
          <w:p w:rsidR="006C7862" w:rsidRPr="002E70D5" w:rsidRDefault="006C7862" w:rsidP="005A4BCB">
            <w:pPr>
              <w:jc w:val="center"/>
              <w:rPr>
                <w:b/>
                <w:bCs/>
                <w:sz w:val="18"/>
                <w:szCs w:val="18"/>
                <w:lang w:eastAsia="ru-RU"/>
              </w:rPr>
            </w:pPr>
            <w:r w:rsidRPr="002E70D5">
              <w:rPr>
                <w:b/>
                <w:bCs/>
                <w:sz w:val="18"/>
                <w:szCs w:val="18"/>
                <w:lang w:eastAsia="ru-RU"/>
              </w:rPr>
              <w:t> </w:t>
            </w:r>
          </w:p>
        </w:tc>
        <w:tc>
          <w:tcPr>
            <w:tcW w:w="1276" w:type="dxa"/>
            <w:tcBorders>
              <w:top w:val="single" w:sz="4" w:space="0" w:color="auto"/>
              <w:left w:val="nil"/>
              <w:bottom w:val="single" w:sz="4" w:space="0" w:color="auto"/>
              <w:right w:val="single" w:sz="4" w:space="0" w:color="auto"/>
            </w:tcBorders>
            <w:noWrap/>
            <w:vAlign w:val="center"/>
            <w:hideMark/>
          </w:tcPr>
          <w:p w:rsidR="006C7862" w:rsidRPr="002E70D5" w:rsidRDefault="006C7862" w:rsidP="005A4BCB">
            <w:pPr>
              <w:jc w:val="center"/>
              <w:rPr>
                <w:b/>
                <w:bCs/>
                <w:sz w:val="18"/>
                <w:szCs w:val="18"/>
                <w:lang w:eastAsia="ru-RU"/>
              </w:rPr>
            </w:pPr>
            <w:r w:rsidRPr="002E70D5">
              <w:rPr>
                <w:b/>
                <w:bCs/>
                <w:sz w:val="18"/>
                <w:szCs w:val="18"/>
                <w:lang w:eastAsia="ru-RU"/>
              </w:rPr>
              <w:t> </w:t>
            </w:r>
          </w:p>
        </w:tc>
      </w:tr>
      <w:tr w:rsidR="006C7862" w:rsidRPr="002E70D5" w:rsidTr="005A4BCB">
        <w:trPr>
          <w:gridAfter w:val="2"/>
          <w:wAfter w:w="1017" w:type="dxa"/>
          <w:trHeight w:val="300"/>
        </w:trPr>
        <w:tc>
          <w:tcPr>
            <w:tcW w:w="5529" w:type="dxa"/>
            <w:tcBorders>
              <w:top w:val="single" w:sz="4" w:space="0" w:color="auto"/>
              <w:left w:val="single" w:sz="4" w:space="0" w:color="auto"/>
              <w:bottom w:val="single" w:sz="4" w:space="0" w:color="auto"/>
              <w:right w:val="single" w:sz="4" w:space="0" w:color="auto"/>
            </w:tcBorders>
            <w:vAlign w:val="bottom"/>
            <w:hideMark/>
          </w:tcPr>
          <w:p w:rsidR="006C7862" w:rsidRPr="002E70D5" w:rsidRDefault="006C7862" w:rsidP="005A4BCB">
            <w:pPr>
              <w:rPr>
                <w:sz w:val="18"/>
                <w:szCs w:val="18"/>
                <w:lang w:eastAsia="ru-RU"/>
              </w:rPr>
            </w:pPr>
            <w:proofErr w:type="spellStart"/>
            <w:r w:rsidRPr="002E70D5">
              <w:rPr>
                <w:sz w:val="18"/>
                <w:szCs w:val="18"/>
                <w:lang w:eastAsia="ru-RU"/>
              </w:rPr>
              <w:t>Încasări</w:t>
            </w:r>
            <w:proofErr w:type="spellEnd"/>
            <w:r w:rsidRPr="002E70D5">
              <w:rPr>
                <w:sz w:val="18"/>
                <w:szCs w:val="18"/>
                <w:lang w:eastAsia="ru-RU"/>
              </w:rPr>
              <w:t xml:space="preserve"> din </w:t>
            </w:r>
            <w:proofErr w:type="spellStart"/>
            <w:r w:rsidRPr="002E70D5">
              <w:rPr>
                <w:sz w:val="18"/>
                <w:szCs w:val="18"/>
                <w:lang w:eastAsia="ru-RU"/>
              </w:rPr>
              <w:t>vînzarea</w:t>
            </w:r>
            <w:proofErr w:type="spellEnd"/>
            <w:r w:rsidRPr="002E70D5">
              <w:rPr>
                <w:sz w:val="18"/>
                <w:szCs w:val="18"/>
                <w:lang w:eastAsia="ru-RU"/>
              </w:rPr>
              <w:t xml:space="preserve"> </w:t>
            </w:r>
            <w:proofErr w:type="spellStart"/>
            <w:r w:rsidRPr="002E70D5">
              <w:rPr>
                <w:sz w:val="18"/>
                <w:szCs w:val="18"/>
                <w:lang w:eastAsia="ru-RU"/>
              </w:rPr>
              <w:t>valorilor</w:t>
            </w:r>
            <w:proofErr w:type="spellEnd"/>
            <w:r w:rsidRPr="002E70D5">
              <w:rPr>
                <w:sz w:val="18"/>
                <w:szCs w:val="18"/>
                <w:lang w:eastAsia="ru-RU"/>
              </w:rPr>
              <w:t xml:space="preserve"> </w:t>
            </w:r>
            <w:proofErr w:type="spellStart"/>
            <w:r w:rsidRPr="002E70D5">
              <w:rPr>
                <w:sz w:val="18"/>
                <w:szCs w:val="18"/>
                <w:lang w:eastAsia="ru-RU"/>
              </w:rPr>
              <w:t>mobiliare</w:t>
            </w:r>
            <w:proofErr w:type="spellEnd"/>
          </w:p>
        </w:tc>
        <w:tc>
          <w:tcPr>
            <w:tcW w:w="850" w:type="dxa"/>
            <w:gridSpan w:val="2"/>
            <w:tcBorders>
              <w:top w:val="single" w:sz="4" w:space="0" w:color="auto"/>
              <w:left w:val="nil"/>
              <w:bottom w:val="single" w:sz="4" w:space="0" w:color="auto"/>
              <w:right w:val="single" w:sz="4" w:space="0" w:color="auto"/>
            </w:tcBorders>
            <w:vAlign w:val="center"/>
            <w:hideMark/>
          </w:tcPr>
          <w:p w:rsidR="006C7862" w:rsidRPr="002E70D5" w:rsidRDefault="006C7862" w:rsidP="005A4BCB">
            <w:pPr>
              <w:jc w:val="center"/>
              <w:rPr>
                <w:sz w:val="18"/>
                <w:szCs w:val="18"/>
                <w:lang w:eastAsia="ru-RU"/>
              </w:rPr>
            </w:pPr>
            <w:r w:rsidRPr="002E70D5">
              <w:rPr>
                <w:sz w:val="18"/>
                <w:szCs w:val="18"/>
                <w:lang w:eastAsia="ru-RU"/>
              </w:rPr>
              <w:t>200</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r>
      <w:tr w:rsidR="006C7862" w:rsidRPr="002E70D5" w:rsidTr="005A4BCB">
        <w:trPr>
          <w:gridAfter w:val="2"/>
          <w:wAfter w:w="1017" w:type="dxa"/>
          <w:trHeight w:val="300"/>
        </w:trPr>
        <w:tc>
          <w:tcPr>
            <w:tcW w:w="5529" w:type="dxa"/>
            <w:tcBorders>
              <w:top w:val="nil"/>
              <w:left w:val="single" w:sz="8" w:space="0" w:color="auto"/>
              <w:bottom w:val="single" w:sz="4" w:space="0" w:color="auto"/>
              <w:right w:val="single" w:sz="4" w:space="0" w:color="auto"/>
            </w:tcBorders>
            <w:vAlign w:val="bottom"/>
            <w:hideMark/>
          </w:tcPr>
          <w:p w:rsidR="006C7862" w:rsidRPr="002E70D5" w:rsidRDefault="006C7862" w:rsidP="005A4BCB">
            <w:pPr>
              <w:rPr>
                <w:sz w:val="18"/>
                <w:szCs w:val="18"/>
                <w:lang w:eastAsia="ru-RU"/>
              </w:rPr>
            </w:pPr>
            <w:proofErr w:type="spellStart"/>
            <w:r w:rsidRPr="002E70D5">
              <w:rPr>
                <w:sz w:val="18"/>
                <w:szCs w:val="18"/>
                <w:lang w:eastAsia="ru-RU"/>
              </w:rPr>
              <w:t>Dividende</w:t>
            </w:r>
            <w:proofErr w:type="spellEnd"/>
            <w:r w:rsidRPr="002E70D5">
              <w:rPr>
                <w:sz w:val="18"/>
                <w:szCs w:val="18"/>
                <w:lang w:eastAsia="ru-RU"/>
              </w:rPr>
              <w:t xml:space="preserve"> </w:t>
            </w:r>
            <w:proofErr w:type="spellStart"/>
            <w:r w:rsidRPr="002E70D5">
              <w:rPr>
                <w:sz w:val="18"/>
                <w:szCs w:val="18"/>
                <w:lang w:eastAsia="ru-RU"/>
              </w:rPr>
              <w:t>incasate</w:t>
            </w:r>
            <w:proofErr w:type="spellEnd"/>
          </w:p>
        </w:tc>
        <w:tc>
          <w:tcPr>
            <w:tcW w:w="850" w:type="dxa"/>
            <w:gridSpan w:val="2"/>
            <w:tcBorders>
              <w:top w:val="nil"/>
              <w:left w:val="nil"/>
              <w:bottom w:val="single" w:sz="4" w:space="0" w:color="auto"/>
              <w:right w:val="single" w:sz="4" w:space="0" w:color="auto"/>
            </w:tcBorders>
            <w:vAlign w:val="center"/>
            <w:hideMark/>
          </w:tcPr>
          <w:p w:rsidR="006C7862" w:rsidRPr="002E70D5" w:rsidRDefault="006C7862" w:rsidP="005A4BCB">
            <w:pPr>
              <w:jc w:val="center"/>
              <w:rPr>
                <w:sz w:val="18"/>
                <w:szCs w:val="18"/>
                <w:lang w:eastAsia="ru-RU"/>
              </w:rPr>
            </w:pPr>
            <w:r w:rsidRPr="002E70D5">
              <w:rPr>
                <w:sz w:val="18"/>
                <w:szCs w:val="18"/>
                <w:lang w:eastAsia="ru-RU"/>
              </w:rPr>
              <w:t>210</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c>
          <w:tcPr>
            <w:tcW w:w="1276" w:type="dxa"/>
            <w:tcBorders>
              <w:top w:val="single" w:sz="4" w:space="0" w:color="auto"/>
              <w:left w:val="single" w:sz="4" w:space="0" w:color="auto"/>
              <w:bottom w:val="single" w:sz="4" w:space="0" w:color="auto"/>
              <w:right w:val="single" w:sz="8"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r>
      <w:tr w:rsidR="006C7862" w:rsidRPr="002E70D5" w:rsidTr="005A4BCB">
        <w:trPr>
          <w:gridAfter w:val="2"/>
          <w:wAfter w:w="1017" w:type="dxa"/>
          <w:trHeight w:val="300"/>
        </w:trPr>
        <w:tc>
          <w:tcPr>
            <w:tcW w:w="5529" w:type="dxa"/>
            <w:tcBorders>
              <w:top w:val="nil"/>
              <w:left w:val="single" w:sz="8" w:space="0" w:color="auto"/>
              <w:bottom w:val="single" w:sz="4" w:space="0" w:color="auto"/>
              <w:right w:val="single" w:sz="4" w:space="0" w:color="auto"/>
            </w:tcBorders>
            <w:vAlign w:val="bottom"/>
            <w:hideMark/>
          </w:tcPr>
          <w:p w:rsidR="006C7862" w:rsidRPr="002E70D5" w:rsidRDefault="006C7862" w:rsidP="005A4BCB">
            <w:pPr>
              <w:rPr>
                <w:sz w:val="18"/>
                <w:szCs w:val="18"/>
                <w:lang w:eastAsia="ru-RU"/>
              </w:rPr>
            </w:pPr>
            <w:proofErr w:type="spellStart"/>
            <w:r w:rsidRPr="002E70D5">
              <w:rPr>
                <w:sz w:val="18"/>
                <w:szCs w:val="18"/>
                <w:lang w:eastAsia="ru-RU"/>
              </w:rPr>
              <w:t>Plăţi</w:t>
            </w:r>
            <w:proofErr w:type="spellEnd"/>
            <w:r w:rsidRPr="002E70D5">
              <w:rPr>
                <w:sz w:val="18"/>
                <w:szCs w:val="18"/>
                <w:lang w:eastAsia="ru-RU"/>
              </w:rPr>
              <w:t xml:space="preserve"> </w:t>
            </w:r>
            <w:proofErr w:type="spellStart"/>
            <w:r w:rsidRPr="002E70D5">
              <w:rPr>
                <w:sz w:val="18"/>
                <w:szCs w:val="18"/>
                <w:lang w:eastAsia="ru-RU"/>
              </w:rPr>
              <w:t>privind</w:t>
            </w:r>
            <w:proofErr w:type="spellEnd"/>
            <w:r w:rsidRPr="002E70D5">
              <w:rPr>
                <w:sz w:val="18"/>
                <w:szCs w:val="18"/>
                <w:lang w:eastAsia="ru-RU"/>
              </w:rPr>
              <w:t xml:space="preserve"> </w:t>
            </w:r>
            <w:proofErr w:type="spellStart"/>
            <w:r w:rsidRPr="002E70D5">
              <w:rPr>
                <w:sz w:val="18"/>
                <w:szCs w:val="18"/>
                <w:lang w:eastAsia="ru-RU"/>
              </w:rPr>
              <w:t>procurarea</w:t>
            </w:r>
            <w:proofErr w:type="spellEnd"/>
            <w:r w:rsidRPr="002E70D5">
              <w:rPr>
                <w:sz w:val="18"/>
                <w:szCs w:val="18"/>
                <w:lang w:eastAsia="ru-RU"/>
              </w:rPr>
              <w:t xml:space="preserve"> </w:t>
            </w:r>
            <w:proofErr w:type="spellStart"/>
            <w:r w:rsidRPr="002E70D5">
              <w:rPr>
                <w:sz w:val="18"/>
                <w:szCs w:val="18"/>
                <w:lang w:eastAsia="ru-RU"/>
              </w:rPr>
              <w:t>valorilor</w:t>
            </w:r>
            <w:proofErr w:type="spellEnd"/>
            <w:r w:rsidRPr="002E70D5">
              <w:rPr>
                <w:sz w:val="18"/>
                <w:szCs w:val="18"/>
                <w:lang w:eastAsia="ru-RU"/>
              </w:rPr>
              <w:t xml:space="preserve"> </w:t>
            </w:r>
            <w:proofErr w:type="spellStart"/>
            <w:r w:rsidRPr="002E70D5">
              <w:rPr>
                <w:sz w:val="18"/>
                <w:szCs w:val="18"/>
                <w:lang w:eastAsia="ru-RU"/>
              </w:rPr>
              <w:t>mobiliare</w:t>
            </w:r>
            <w:proofErr w:type="spellEnd"/>
          </w:p>
        </w:tc>
        <w:tc>
          <w:tcPr>
            <w:tcW w:w="850" w:type="dxa"/>
            <w:gridSpan w:val="2"/>
            <w:tcBorders>
              <w:top w:val="nil"/>
              <w:left w:val="nil"/>
              <w:bottom w:val="single" w:sz="4" w:space="0" w:color="auto"/>
              <w:right w:val="single" w:sz="4" w:space="0" w:color="auto"/>
            </w:tcBorders>
            <w:vAlign w:val="center"/>
            <w:hideMark/>
          </w:tcPr>
          <w:p w:rsidR="006C7862" w:rsidRPr="002E70D5" w:rsidRDefault="006C7862" w:rsidP="005A4BCB">
            <w:pPr>
              <w:jc w:val="center"/>
              <w:rPr>
                <w:sz w:val="18"/>
                <w:szCs w:val="18"/>
                <w:lang w:eastAsia="ru-RU"/>
              </w:rPr>
            </w:pPr>
            <w:r w:rsidRPr="002E70D5">
              <w:rPr>
                <w:sz w:val="18"/>
                <w:szCs w:val="18"/>
                <w:lang w:eastAsia="ru-RU"/>
              </w:rPr>
              <w:t>220</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c>
          <w:tcPr>
            <w:tcW w:w="1276" w:type="dxa"/>
            <w:tcBorders>
              <w:top w:val="single" w:sz="4" w:space="0" w:color="auto"/>
              <w:left w:val="single" w:sz="4" w:space="0" w:color="auto"/>
              <w:bottom w:val="single" w:sz="4" w:space="0" w:color="auto"/>
              <w:right w:val="single" w:sz="8" w:space="0" w:color="auto"/>
            </w:tcBorders>
            <w:noWrap/>
            <w:vAlign w:val="center"/>
            <w:hideMark/>
          </w:tcPr>
          <w:p w:rsidR="006C7862" w:rsidRPr="002E70D5" w:rsidRDefault="006C7862" w:rsidP="005A4BCB">
            <w:pPr>
              <w:jc w:val="center"/>
              <w:rPr>
                <w:sz w:val="18"/>
                <w:szCs w:val="18"/>
                <w:lang w:eastAsia="ru-RU"/>
              </w:rPr>
            </w:pPr>
            <w:r w:rsidRPr="002E70D5">
              <w:rPr>
                <w:sz w:val="18"/>
                <w:szCs w:val="18"/>
                <w:lang w:eastAsia="ru-RU"/>
              </w:rPr>
              <w:t> </w:t>
            </w:r>
          </w:p>
        </w:tc>
      </w:tr>
      <w:tr w:rsidR="006C7862" w:rsidRPr="002E70D5" w:rsidTr="005A4BCB">
        <w:trPr>
          <w:gridAfter w:val="2"/>
          <w:wAfter w:w="1017" w:type="dxa"/>
          <w:trHeight w:val="300"/>
        </w:trPr>
        <w:tc>
          <w:tcPr>
            <w:tcW w:w="5529" w:type="dxa"/>
            <w:tcBorders>
              <w:top w:val="nil"/>
              <w:left w:val="single" w:sz="8" w:space="0" w:color="auto"/>
              <w:bottom w:val="single" w:sz="4" w:space="0" w:color="auto"/>
              <w:right w:val="single" w:sz="4" w:space="0" w:color="auto"/>
            </w:tcBorders>
            <w:vAlign w:val="bottom"/>
            <w:hideMark/>
          </w:tcPr>
          <w:p w:rsidR="006C7862" w:rsidRPr="002E70D5" w:rsidRDefault="006C7862" w:rsidP="005A4BCB">
            <w:pPr>
              <w:rPr>
                <w:sz w:val="18"/>
                <w:szCs w:val="18"/>
                <w:lang w:eastAsia="ru-RU"/>
              </w:rPr>
            </w:pPr>
            <w:proofErr w:type="spellStart"/>
            <w:r w:rsidRPr="002E70D5">
              <w:rPr>
                <w:sz w:val="18"/>
                <w:szCs w:val="18"/>
                <w:lang w:eastAsia="ru-RU"/>
              </w:rPr>
              <w:t>Încasări</w:t>
            </w:r>
            <w:proofErr w:type="spellEnd"/>
            <w:r w:rsidRPr="002E70D5">
              <w:rPr>
                <w:sz w:val="18"/>
                <w:szCs w:val="18"/>
                <w:lang w:eastAsia="ru-RU"/>
              </w:rPr>
              <w:t xml:space="preserve"> (</w:t>
            </w:r>
            <w:proofErr w:type="spellStart"/>
            <w:r w:rsidRPr="002E70D5">
              <w:rPr>
                <w:sz w:val="18"/>
                <w:szCs w:val="18"/>
                <w:lang w:eastAsia="ru-RU"/>
              </w:rPr>
              <w:t>plăţi</w:t>
            </w:r>
            <w:proofErr w:type="spellEnd"/>
            <w:r w:rsidRPr="002E70D5">
              <w:rPr>
                <w:sz w:val="18"/>
                <w:szCs w:val="18"/>
                <w:lang w:eastAsia="ru-RU"/>
              </w:rPr>
              <w:t xml:space="preserve">) </w:t>
            </w:r>
            <w:proofErr w:type="spellStart"/>
            <w:r w:rsidRPr="002E70D5">
              <w:rPr>
                <w:sz w:val="18"/>
                <w:szCs w:val="18"/>
                <w:lang w:eastAsia="ru-RU"/>
              </w:rPr>
              <w:t>aferente</w:t>
            </w:r>
            <w:proofErr w:type="spellEnd"/>
            <w:r w:rsidRPr="002E70D5">
              <w:rPr>
                <w:sz w:val="18"/>
                <w:szCs w:val="18"/>
                <w:lang w:eastAsia="ru-RU"/>
              </w:rPr>
              <w:t xml:space="preserve"> </w:t>
            </w:r>
            <w:proofErr w:type="spellStart"/>
            <w:r w:rsidRPr="002E70D5">
              <w:rPr>
                <w:sz w:val="18"/>
                <w:szCs w:val="18"/>
                <w:lang w:eastAsia="ru-RU"/>
              </w:rPr>
              <w:t>operațiunilor</w:t>
            </w:r>
            <w:proofErr w:type="spellEnd"/>
            <w:r w:rsidRPr="002E70D5">
              <w:rPr>
                <w:sz w:val="18"/>
                <w:szCs w:val="18"/>
                <w:lang w:eastAsia="ru-RU"/>
              </w:rPr>
              <w:t xml:space="preserve"> de capital</w:t>
            </w:r>
          </w:p>
        </w:tc>
        <w:tc>
          <w:tcPr>
            <w:tcW w:w="850" w:type="dxa"/>
            <w:gridSpan w:val="2"/>
            <w:tcBorders>
              <w:top w:val="nil"/>
              <w:left w:val="nil"/>
              <w:bottom w:val="single" w:sz="4" w:space="0" w:color="auto"/>
              <w:right w:val="single" w:sz="4" w:space="0" w:color="auto"/>
            </w:tcBorders>
            <w:vAlign w:val="center"/>
            <w:hideMark/>
          </w:tcPr>
          <w:p w:rsidR="006C7862" w:rsidRPr="002E70D5" w:rsidRDefault="006C7862" w:rsidP="005A4BCB">
            <w:pPr>
              <w:jc w:val="center"/>
              <w:rPr>
                <w:sz w:val="18"/>
                <w:szCs w:val="18"/>
                <w:lang w:eastAsia="ru-RU"/>
              </w:rPr>
            </w:pPr>
            <w:r w:rsidRPr="002E70D5">
              <w:rPr>
                <w:sz w:val="18"/>
                <w:szCs w:val="18"/>
                <w:lang w:eastAsia="ru-RU"/>
              </w:rPr>
              <w:t>230</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6C7862" w:rsidRPr="002E70D5" w:rsidRDefault="006C7862" w:rsidP="005A4BCB">
            <w:pPr>
              <w:jc w:val="center"/>
              <w:rPr>
                <w:sz w:val="18"/>
                <w:szCs w:val="18"/>
                <w:lang w:eastAsia="ru-RU"/>
              </w:rPr>
            </w:pPr>
            <w:bookmarkStart w:id="2" w:name="RANGE!C34"/>
            <w:bookmarkEnd w:id="2"/>
            <w:r w:rsidRPr="002E70D5">
              <w:rPr>
                <w:sz w:val="18"/>
                <w:szCs w:val="18"/>
                <w:lang w:eastAsia="ru-RU"/>
              </w:rPr>
              <w:t> </w:t>
            </w:r>
          </w:p>
        </w:tc>
        <w:tc>
          <w:tcPr>
            <w:tcW w:w="1276" w:type="dxa"/>
            <w:tcBorders>
              <w:top w:val="single" w:sz="4" w:space="0" w:color="auto"/>
              <w:left w:val="single" w:sz="4" w:space="0" w:color="auto"/>
              <w:bottom w:val="single" w:sz="4" w:space="0" w:color="auto"/>
              <w:right w:val="single" w:sz="8" w:space="0" w:color="auto"/>
            </w:tcBorders>
            <w:noWrap/>
            <w:vAlign w:val="center"/>
            <w:hideMark/>
          </w:tcPr>
          <w:p w:rsidR="006C7862" w:rsidRPr="002E70D5" w:rsidRDefault="006C7862" w:rsidP="005A4BCB">
            <w:pPr>
              <w:jc w:val="center"/>
              <w:rPr>
                <w:sz w:val="18"/>
                <w:szCs w:val="18"/>
                <w:lang w:eastAsia="ru-RU"/>
              </w:rPr>
            </w:pPr>
            <w:bookmarkStart w:id="3" w:name="RANGE!D34"/>
            <w:bookmarkEnd w:id="3"/>
            <w:r w:rsidRPr="002E70D5">
              <w:rPr>
                <w:sz w:val="18"/>
                <w:szCs w:val="18"/>
                <w:lang w:eastAsia="ru-RU"/>
              </w:rPr>
              <w:t> </w:t>
            </w:r>
          </w:p>
        </w:tc>
      </w:tr>
      <w:tr w:rsidR="006C7862" w:rsidRPr="002E70D5" w:rsidTr="005A4BCB">
        <w:trPr>
          <w:gridAfter w:val="2"/>
          <w:wAfter w:w="1017" w:type="dxa"/>
          <w:trHeight w:val="315"/>
        </w:trPr>
        <w:tc>
          <w:tcPr>
            <w:tcW w:w="5529" w:type="dxa"/>
            <w:tcBorders>
              <w:top w:val="single" w:sz="4" w:space="0" w:color="auto"/>
              <w:left w:val="single" w:sz="4" w:space="0" w:color="auto"/>
              <w:bottom w:val="single" w:sz="4" w:space="0" w:color="auto"/>
              <w:right w:val="single" w:sz="4" w:space="0" w:color="auto"/>
            </w:tcBorders>
            <w:vAlign w:val="bottom"/>
            <w:hideMark/>
          </w:tcPr>
          <w:p w:rsidR="006C7862" w:rsidRPr="002E70D5" w:rsidRDefault="006C7862" w:rsidP="005A4BCB">
            <w:pPr>
              <w:rPr>
                <w:sz w:val="18"/>
                <w:szCs w:val="18"/>
                <w:lang w:eastAsia="ru-RU"/>
              </w:rPr>
            </w:pPr>
            <w:proofErr w:type="spellStart"/>
            <w:r w:rsidRPr="002E70D5">
              <w:rPr>
                <w:sz w:val="18"/>
                <w:szCs w:val="18"/>
                <w:lang w:eastAsia="ru-RU"/>
              </w:rPr>
              <w:t>Alte</w:t>
            </w:r>
            <w:proofErr w:type="spellEnd"/>
            <w:r w:rsidRPr="002E70D5">
              <w:rPr>
                <w:sz w:val="18"/>
                <w:szCs w:val="18"/>
                <w:lang w:eastAsia="ru-RU"/>
              </w:rPr>
              <w:t xml:space="preserve"> </w:t>
            </w:r>
            <w:proofErr w:type="spellStart"/>
            <w:r w:rsidRPr="002E70D5">
              <w:rPr>
                <w:sz w:val="18"/>
                <w:szCs w:val="18"/>
                <w:lang w:eastAsia="ru-RU"/>
              </w:rPr>
              <w:t>încasări</w:t>
            </w:r>
            <w:proofErr w:type="spellEnd"/>
            <w:r w:rsidRPr="002E70D5">
              <w:rPr>
                <w:sz w:val="18"/>
                <w:szCs w:val="18"/>
                <w:lang w:eastAsia="ru-RU"/>
              </w:rPr>
              <w:t xml:space="preserve"> (</w:t>
            </w:r>
            <w:proofErr w:type="spellStart"/>
            <w:r w:rsidRPr="002E70D5">
              <w:rPr>
                <w:sz w:val="18"/>
                <w:szCs w:val="18"/>
                <w:lang w:eastAsia="ru-RU"/>
              </w:rPr>
              <w:t>plăţi</w:t>
            </w:r>
            <w:proofErr w:type="spellEnd"/>
            <w:r w:rsidRPr="002E70D5">
              <w:rPr>
                <w:sz w:val="18"/>
                <w:szCs w:val="18"/>
                <w:lang w:eastAsia="ru-RU"/>
              </w:rPr>
              <w:t xml:space="preserve">) din </w:t>
            </w:r>
            <w:proofErr w:type="spellStart"/>
            <w:r w:rsidRPr="002E70D5">
              <w:rPr>
                <w:sz w:val="18"/>
                <w:szCs w:val="18"/>
                <w:lang w:eastAsia="ru-RU"/>
              </w:rPr>
              <w:t>activitatea</w:t>
            </w:r>
            <w:proofErr w:type="spellEnd"/>
            <w:r w:rsidRPr="002E70D5">
              <w:rPr>
                <w:sz w:val="18"/>
                <w:szCs w:val="18"/>
                <w:lang w:eastAsia="ru-RU"/>
              </w:rPr>
              <w:t xml:space="preserve"> de </w:t>
            </w:r>
            <w:proofErr w:type="spellStart"/>
            <w:r w:rsidRPr="002E70D5">
              <w:rPr>
                <w:sz w:val="18"/>
                <w:szCs w:val="18"/>
                <w:lang w:eastAsia="ru-RU"/>
              </w:rPr>
              <w:t>investiții</w:t>
            </w:r>
            <w:proofErr w:type="spellEnd"/>
            <w:r w:rsidRPr="002E70D5">
              <w:rPr>
                <w:sz w:val="18"/>
                <w:szCs w:val="18"/>
                <w:lang w:eastAsia="ru-RU"/>
              </w:rPr>
              <w:t xml:space="preserve"> </w:t>
            </w:r>
            <w:proofErr w:type="spellStart"/>
            <w:r w:rsidRPr="002E70D5">
              <w:rPr>
                <w:sz w:val="18"/>
                <w:szCs w:val="18"/>
                <w:lang w:eastAsia="ru-RU"/>
              </w:rPr>
              <w:t>și</w:t>
            </w:r>
            <w:proofErr w:type="spellEnd"/>
            <w:r w:rsidRPr="002E70D5">
              <w:rPr>
                <w:sz w:val="18"/>
                <w:szCs w:val="18"/>
                <w:lang w:eastAsia="ru-RU"/>
              </w:rPr>
              <w:t xml:space="preserve"> </w:t>
            </w:r>
            <w:proofErr w:type="spellStart"/>
            <w:r w:rsidRPr="002E70D5">
              <w:rPr>
                <w:sz w:val="18"/>
                <w:szCs w:val="18"/>
                <w:lang w:eastAsia="ru-RU"/>
              </w:rPr>
              <w:t>financiară</w:t>
            </w:r>
            <w:proofErr w:type="spellEnd"/>
          </w:p>
        </w:tc>
        <w:tc>
          <w:tcPr>
            <w:tcW w:w="850" w:type="dxa"/>
            <w:gridSpan w:val="2"/>
            <w:tcBorders>
              <w:top w:val="single" w:sz="4" w:space="0" w:color="auto"/>
              <w:left w:val="nil"/>
              <w:bottom w:val="single" w:sz="4" w:space="0" w:color="auto"/>
              <w:right w:val="single" w:sz="4" w:space="0" w:color="auto"/>
            </w:tcBorders>
            <w:vAlign w:val="center"/>
            <w:hideMark/>
          </w:tcPr>
          <w:p w:rsidR="006C7862" w:rsidRPr="002E70D5" w:rsidRDefault="006C7862" w:rsidP="005A4BCB">
            <w:pPr>
              <w:jc w:val="center"/>
              <w:rPr>
                <w:sz w:val="18"/>
                <w:szCs w:val="18"/>
                <w:lang w:eastAsia="ru-RU"/>
              </w:rPr>
            </w:pPr>
            <w:r w:rsidRPr="002E70D5">
              <w:rPr>
                <w:sz w:val="18"/>
                <w:szCs w:val="18"/>
                <w:lang w:eastAsia="ru-RU"/>
              </w:rPr>
              <w:t>240</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6C7862" w:rsidRPr="002E70D5" w:rsidRDefault="006C7862" w:rsidP="005A4BCB">
            <w:pPr>
              <w:jc w:val="center"/>
              <w:rPr>
                <w:sz w:val="18"/>
                <w:szCs w:val="18"/>
                <w:lang w:eastAsia="ru-RU"/>
              </w:rPr>
            </w:pPr>
            <w:bookmarkStart w:id="4" w:name="RANGE!C35"/>
            <w:bookmarkEnd w:id="4"/>
            <w:r w:rsidRPr="002E70D5">
              <w:rPr>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C7862" w:rsidRPr="002E70D5" w:rsidRDefault="006C7862" w:rsidP="005A4BCB">
            <w:pPr>
              <w:jc w:val="center"/>
              <w:rPr>
                <w:sz w:val="18"/>
                <w:szCs w:val="18"/>
                <w:lang w:eastAsia="ru-RU"/>
              </w:rPr>
            </w:pPr>
            <w:bookmarkStart w:id="5" w:name="RANGE!D35"/>
            <w:bookmarkEnd w:id="5"/>
            <w:r w:rsidRPr="002E70D5">
              <w:rPr>
                <w:sz w:val="18"/>
                <w:szCs w:val="18"/>
                <w:lang w:eastAsia="ru-RU"/>
              </w:rPr>
              <w:t> </w:t>
            </w:r>
          </w:p>
        </w:tc>
      </w:tr>
      <w:tr w:rsidR="006C7862" w:rsidRPr="002E70D5" w:rsidTr="005A4BCB">
        <w:trPr>
          <w:gridAfter w:val="2"/>
          <w:wAfter w:w="1017" w:type="dxa"/>
          <w:trHeight w:val="345"/>
        </w:trPr>
        <w:tc>
          <w:tcPr>
            <w:tcW w:w="5529" w:type="dxa"/>
            <w:tcBorders>
              <w:top w:val="single" w:sz="4" w:space="0" w:color="auto"/>
              <w:left w:val="single" w:sz="8" w:space="0" w:color="auto"/>
              <w:bottom w:val="single" w:sz="8" w:space="0" w:color="auto"/>
              <w:right w:val="single" w:sz="4" w:space="0" w:color="auto"/>
            </w:tcBorders>
            <w:vAlign w:val="bottom"/>
            <w:hideMark/>
          </w:tcPr>
          <w:p w:rsidR="006C7862" w:rsidRPr="002E70D5" w:rsidRDefault="006C7862" w:rsidP="005A4BCB">
            <w:pPr>
              <w:rPr>
                <w:b/>
                <w:bCs/>
                <w:sz w:val="18"/>
                <w:szCs w:val="18"/>
                <w:lang w:eastAsia="ru-RU"/>
              </w:rPr>
            </w:pPr>
            <w:proofErr w:type="spellStart"/>
            <w:r w:rsidRPr="002E70D5">
              <w:rPr>
                <w:b/>
                <w:bCs/>
                <w:sz w:val="18"/>
                <w:szCs w:val="18"/>
                <w:lang w:eastAsia="ru-RU"/>
              </w:rPr>
              <w:t>Fluxul</w:t>
            </w:r>
            <w:proofErr w:type="spellEnd"/>
            <w:r w:rsidRPr="002E70D5">
              <w:rPr>
                <w:b/>
                <w:bCs/>
                <w:sz w:val="18"/>
                <w:szCs w:val="18"/>
                <w:lang w:eastAsia="ru-RU"/>
              </w:rPr>
              <w:t xml:space="preserve"> net de </w:t>
            </w:r>
            <w:proofErr w:type="spellStart"/>
            <w:r w:rsidRPr="002E70D5">
              <w:rPr>
                <w:b/>
                <w:bCs/>
                <w:sz w:val="18"/>
                <w:szCs w:val="18"/>
                <w:lang w:eastAsia="ru-RU"/>
              </w:rPr>
              <w:t>numerar</w:t>
            </w:r>
            <w:proofErr w:type="spellEnd"/>
            <w:r w:rsidRPr="002E70D5">
              <w:rPr>
                <w:b/>
                <w:bCs/>
                <w:sz w:val="18"/>
                <w:szCs w:val="18"/>
                <w:lang w:eastAsia="ru-RU"/>
              </w:rPr>
              <w:t xml:space="preserve"> din </w:t>
            </w:r>
            <w:proofErr w:type="spellStart"/>
            <w:r w:rsidRPr="002E70D5">
              <w:rPr>
                <w:b/>
                <w:bCs/>
                <w:sz w:val="18"/>
                <w:szCs w:val="18"/>
                <w:lang w:eastAsia="ru-RU"/>
              </w:rPr>
              <w:t>activitatea</w:t>
            </w:r>
            <w:proofErr w:type="spellEnd"/>
            <w:r w:rsidRPr="002E70D5">
              <w:rPr>
                <w:b/>
                <w:bCs/>
                <w:sz w:val="18"/>
                <w:szCs w:val="18"/>
                <w:lang w:eastAsia="ru-RU"/>
              </w:rPr>
              <w:t xml:space="preserve"> de </w:t>
            </w:r>
            <w:proofErr w:type="spellStart"/>
            <w:r w:rsidRPr="002E70D5">
              <w:rPr>
                <w:b/>
                <w:bCs/>
                <w:sz w:val="18"/>
                <w:szCs w:val="18"/>
                <w:lang w:eastAsia="ru-RU"/>
              </w:rPr>
              <w:t>investiții</w:t>
            </w:r>
            <w:proofErr w:type="spellEnd"/>
            <w:r w:rsidRPr="002E70D5">
              <w:rPr>
                <w:b/>
                <w:bCs/>
                <w:sz w:val="18"/>
                <w:szCs w:val="18"/>
                <w:lang w:eastAsia="ru-RU"/>
              </w:rPr>
              <w:t xml:space="preserve"> </w:t>
            </w:r>
            <w:proofErr w:type="spellStart"/>
            <w:r w:rsidRPr="002E70D5">
              <w:rPr>
                <w:b/>
                <w:bCs/>
                <w:sz w:val="18"/>
                <w:szCs w:val="18"/>
                <w:lang w:eastAsia="ru-RU"/>
              </w:rPr>
              <w:t>și</w:t>
            </w:r>
            <w:proofErr w:type="spellEnd"/>
            <w:r w:rsidRPr="002E70D5">
              <w:rPr>
                <w:b/>
                <w:bCs/>
                <w:sz w:val="18"/>
                <w:szCs w:val="18"/>
                <w:lang w:eastAsia="ru-RU"/>
              </w:rPr>
              <w:t xml:space="preserve"> </w:t>
            </w:r>
            <w:proofErr w:type="spellStart"/>
            <w:r w:rsidRPr="002E70D5">
              <w:rPr>
                <w:b/>
                <w:bCs/>
                <w:sz w:val="18"/>
                <w:szCs w:val="18"/>
                <w:lang w:eastAsia="ru-RU"/>
              </w:rPr>
              <w:t>financiară</w:t>
            </w:r>
            <w:proofErr w:type="spellEnd"/>
            <w:r w:rsidRPr="002E70D5">
              <w:rPr>
                <w:b/>
                <w:bCs/>
                <w:sz w:val="18"/>
                <w:szCs w:val="18"/>
                <w:lang w:eastAsia="ru-RU"/>
              </w:rPr>
              <w:t xml:space="preserve"> (rd.200+rd.210-rd.220</w:t>
            </w:r>
            <w:r w:rsidRPr="002E70D5">
              <w:rPr>
                <w:b/>
                <w:bCs/>
                <w:sz w:val="18"/>
                <w:szCs w:val="18"/>
                <w:u w:val="single"/>
                <w:lang w:eastAsia="ru-RU"/>
              </w:rPr>
              <w:t>+</w:t>
            </w:r>
            <w:r w:rsidRPr="002E70D5">
              <w:rPr>
                <w:b/>
                <w:bCs/>
                <w:sz w:val="18"/>
                <w:szCs w:val="18"/>
                <w:lang w:eastAsia="ru-RU"/>
              </w:rPr>
              <w:t>rd.230</w:t>
            </w:r>
            <w:r w:rsidRPr="002E70D5">
              <w:rPr>
                <w:b/>
                <w:bCs/>
                <w:sz w:val="18"/>
                <w:szCs w:val="18"/>
                <w:u w:val="single"/>
                <w:lang w:eastAsia="ru-RU"/>
              </w:rPr>
              <w:t>+</w:t>
            </w:r>
            <w:r w:rsidRPr="002E70D5">
              <w:rPr>
                <w:b/>
                <w:bCs/>
                <w:sz w:val="18"/>
                <w:szCs w:val="18"/>
                <w:lang w:eastAsia="ru-RU"/>
              </w:rPr>
              <w:t>rd.240)</w:t>
            </w:r>
          </w:p>
        </w:tc>
        <w:tc>
          <w:tcPr>
            <w:tcW w:w="850" w:type="dxa"/>
            <w:gridSpan w:val="2"/>
            <w:tcBorders>
              <w:top w:val="single" w:sz="4" w:space="0" w:color="auto"/>
              <w:left w:val="nil"/>
              <w:bottom w:val="single" w:sz="8" w:space="0" w:color="auto"/>
              <w:right w:val="single" w:sz="4" w:space="0" w:color="auto"/>
            </w:tcBorders>
            <w:vAlign w:val="center"/>
            <w:hideMark/>
          </w:tcPr>
          <w:p w:rsidR="006C7862" w:rsidRPr="002E70D5" w:rsidRDefault="006C7862" w:rsidP="005A4BCB">
            <w:pPr>
              <w:jc w:val="center"/>
              <w:rPr>
                <w:b/>
                <w:bCs/>
                <w:sz w:val="18"/>
                <w:szCs w:val="18"/>
                <w:lang w:eastAsia="ru-RU"/>
              </w:rPr>
            </w:pPr>
            <w:r w:rsidRPr="002E70D5">
              <w:rPr>
                <w:b/>
                <w:bCs/>
                <w:sz w:val="18"/>
                <w:szCs w:val="18"/>
                <w:lang w:eastAsia="ru-RU"/>
              </w:rPr>
              <w:t>250</w:t>
            </w:r>
          </w:p>
        </w:tc>
        <w:tc>
          <w:tcPr>
            <w:tcW w:w="1276" w:type="dxa"/>
            <w:gridSpan w:val="2"/>
            <w:tcBorders>
              <w:top w:val="single" w:sz="4" w:space="0" w:color="auto"/>
              <w:left w:val="nil"/>
              <w:bottom w:val="single" w:sz="8" w:space="0" w:color="auto"/>
              <w:right w:val="single" w:sz="4" w:space="0" w:color="auto"/>
            </w:tcBorders>
            <w:noWrap/>
            <w:vAlign w:val="center"/>
            <w:hideMark/>
          </w:tcPr>
          <w:p w:rsidR="006C7862" w:rsidRPr="002E70D5" w:rsidRDefault="006C7862" w:rsidP="005A4BCB">
            <w:pPr>
              <w:jc w:val="center"/>
              <w:rPr>
                <w:b/>
                <w:bCs/>
                <w:sz w:val="18"/>
                <w:szCs w:val="18"/>
                <w:lang w:eastAsia="ru-RU"/>
              </w:rPr>
            </w:pPr>
            <w:bookmarkStart w:id="6" w:name="RANGE!C36"/>
            <w:bookmarkEnd w:id="6"/>
            <w:r w:rsidRPr="002E70D5">
              <w:rPr>
                <w:b/>
                <w:bCs/>
                <w:sz w:val="18"/>
                <w:szCs w:val="18"/>
                <w:lang w:eastAsia="ru-RU"/>
              </w:rPr>
              <w:t xml:space="preserve"> </w:t>
            </w:r>
          </w:p>
        </w:tc>
        <w:tc>
          <w:tcPr>
            <w:tcW w:w="1276" w:type="dxa"/>
            <w:tcBorders>
              <w:top w:val="single" w:sz="4" w:space="0" w:color="auto"/>
              <w:left w:val="nil"/>
              <w:bottom w:val="single" w:sz="8" w:space="0" w:color="auto"/>
              <w:right w:val="single" w:sz="8" w:space="0" w:color="auto"/>
            </w:tcBorders>
            <w:noWrap/>
            <w:vAlign w:val="center"/>
            <w:hideMark/>
          </w:tcPr>
          <w:p w:rsidR="006C7862" w:rsidRPr="002E70D5" w:rsidRDefault="006C7862" w:rsidP="005A4BCB">
            <w:pPr>
              <w:jc w:val="center"/>
              <w:rPr>
                <w:b/>
                <w:bCs/>
                <w:sz w:val="18"/>
                <w:szCs w:val="18"/>
                <w:lang w:eastAsia="ru-RU"/>
              </w:rPr>
            </w:pPr>
            <w:bookmarkStart w:id="7" w:name="RANGE!D36"/>
            <w:bookmarkEnd w:id="7"/>
            <w:r w:rsidRPr="002E70D5">
              <w:rPr>
                <w:b/>
                <w:bCs/>
                <w:sz w:val="18"/>
                <w:szCs w:val="18"/>
                <w:lang w:eastAsia="ru-RU"/>
              </w:rPr>
              <w:t xml:space="preserve"> </w:t>
            </w:r>
          </w:p>
        </w:tc>
      </w:tr>
      <w:tr w:rsidR="006C7862" w:rsidRPr="002E70D5" w:rsidTr="005A4BCB">
        <w:trPr>
          <w:gridAfter w:val="2"/>
          <w:wAfter w:w="1017" w:type="dxa"/>
          <w:trHeight w:val="246"/>
        </w:trPr>
        <w:tc>
          <w:tcPr>
            <w:tcW w:w="5529" w:type="dxa"/>
            <w:tcBorders>
              <w:top w:val="nil"/>
              <w:left w:val="single" w:sz="8" w:space="0" w:color="auto"/>
              <w:bottom w:val="single" w:sz="8" w:space="0" w:color="auto"/>
              <w:right w:val="single" w:sz="4" w:space="0" w:color="auto"/>
            </w:tcBorders>
            <w:vAlign w:val="bottom"/>
            <w:hideMark/>
          </w:tcPr>
          <w:p w:rsidR="006C7862" w:rsidRPr="002E70D5" w:rsidRDefault="006C7862" w:rsidP="005A4BCB">
            <w:pPr>
              <w:rPr>
                <w:b/>
                <w:bCs/>
                <w:sz w:val="18"/>
                <w:szCs w:val="18"/>
                <w:lang w:eastAsia="ru-RU"/>
              </w:rPr>
            </w:pPr>
            <w:proofErr w:type="spellStart"/>
            <w:r w:rsidRPr="002E70D5">
              <w:rPr>
                <w:b/>
                <w:bCs/>
                <w:sz w:val="18"/>
                <w:szCs w:val="18"/>
                <w:lang w:eastAsia="ru-RU"/>
              </w:rPr>
              <w:t>Fluxul</w:t>
            </w:r>
            <w:proofErr w:type="spellEnd"/>
            <w:r w:rsidRPr="002E70D5">
              <w:rPr>
                <w:b/>
                <w:bCs/>
                <w:sz w:val="18"/>
                <w:szCs w:val="18"/>
                <w:lang w:eastAsia="ru-RU"/>
              </w:rPr>
              <w:t xml:space="preserve"> net de </w:t>
            </w:r>
            <w:proofErr w:type="spellStart"/>
            <w:r w:rsidRPr="002E70D5">
              <w:rPr>
                <w:b/>
                <w:bCs/>
                <w:sz w:val="18"/>
                <w:szCs w:val="18"/>
                <w:lang w:eastAsia="ru-RU"/>
              </w:rPr>
              <w:t>numerar</w:t>
            </w:r>
            <w:proofErr w:type="spellEnd"/>
            <w:r w:rsidRPr="002E70D5">
              <w:rPr>
                <w:b/>
                <w:bCs/>
                <w:sz w:val="18"/>
                <w:szCs w:val="18"/>
                <w:lang w:eastAsia="ru-RU"/>
              </w:rPr>
              <w:t xml:space="preserve"> total (</w:t>
            </w:r>
            <w:r w:rsidRPr="002E70D5">
              <w:rPr>
                <w:b/>
                <w:bCs/>
                <w:sz w:val="18"/>
                <w:szCs w:val="18"/>
                <w:u w:val="single"/>
                <w:lang w:eastAsia="ru-RU"/>
              </w:rPr>
              <w:t>+</w:t>
            </w:r>
            <w:r w:rsidRPr="002E70D5">
              <w:rPr>
                <w:b/>
                <w:bCs/>
                <w:sz w:val="18"/>
                <w:szCs w:val="18"/>
                <w:lang w:eastAsia="ru-RU"/>
              </w:rPr>
              <w:t>rd.190</w:t>
            </w:r>
            <w:r w:rsidRPr="002E70D5">
              <w:rPr>
                <w:b/>
                <w:bCs/>
                <w:sz w:val="18"/>
                <w:szCs w:val="18"/>
                <w:u w:val="single"/>
                <w:lang w:eastAsia="ru-RU"/>
              </w:rPr>
              <w:t>+</w:t>
            </w:r>
            <w:r w:rsidRPr="002E70D5">
              <w:rPr>
                <w:b/>
                <w:bCs/>
                <w:sz w:val="18"/>
                <w:szCs w:val="18"/>
                <w:lang w:eastAsia="ru-RU"/>
              </w:rPr>
              <w:t>rd.250)</w:t>
            </w:r>
          </w:p>
        </w:tc>
        <w:tc>
          <w:tcPr>
            <w:tcW w:w="850" w:type="dxa"/>
            <w:gridSpan w:val="2"/>
            <w:tcBorders>
              <w:top w:val="nil"/>
              <w:left w:val="nil"/>
              <w:bottom w:val="single" w:sz="8" w:space="0" w:color="auto"/>
              <w:right w:val="single" w:sz="4" w:space="0" w:color="auto"/>
            </w:tcBorders>
            <w:vAlign w:val="center"/>
            <w:hideMark/>
          </w:tcPr>
          <w:p w:rsidR="006C7862" w:rsidRPr="002E70D5" w:rsidRDefault="006C7862" w:rsidP="005A4BCB">
            <w:pPr>
              <w:jc w:val="center"/>
              <w:rPr>
                <w:b/>
                <w:bCs/>
                <w:sz w:val="18"/>
                <w:szCs w:val="18"/>
                <w:lang w:eastAsia="ru-RU"/>
              </w:rPr>
            </w:pPr>
            <w:r w:rsidRPr="002E70D5">
              <w:rPr>
                <w:b/>
                <w:bCs/>
                <w:sz w:val="18"/>
                <w:szCs w:val="18"/>
                <w:lang w:eastAsia="ru-RU"/>
              </w:rPr>
              <w:t>260</w:t>
            </w:r>
          </w:p>
        </w:tc>
        <w:tc>
          <w:tcPr>
            <w:tcW w:w="1276" w:type="dxa"/>
            <w:gridSpan w:val="2"/>
            <w:tcBorders>
              <w:top w:val="nil"/>
              <w:left w:val="nil"/>
              <w:bottom w:val="single" w:sz="8" w:space="0" w:color="auto"/>
              <w:right w:val="single" w:sz="4" w:space="0" w:color="auto"/>
            </w:tcBorders>
            <w:noWrap/>
            <w:vAlign w:val="center"/>
            <w:hideMark/>
          </w:tcPr>
          <w:p w:rsidR="006C7862" w:rsidRPr="002E70D5" w:rsidRDefault="006C7862" w:rsidP="005A4BCB">
            <w:pPr>
              <w:jc w:val="center"/>
              <w:rPr>
                <w:b/>
                <w:bCs/>
                <w:sz w:val="18"/>
                <w:szCs w:val="18"/>
                <w:lang w:eastAsia="ru-RU"/>
              </w:rPr>
            </w:pPr>
            <w:bookmarkStart w:id="8" w:name="RANGE!C37"/>
            <w:bookmarkEnd w:id="8"/>
            <w:r w:rsidRPr="002E70D5">
              <w:rPr>
                <w:b/>
                <w:bCs/>
                <w:sz w:val="18"/>
                <w:szCs w:val="18"/>
                <w:lang w:eastAsia="ru-RU"/>
              </w:rPr>
              <w:t xml:space="preserve"> </w:t>
            </w:r>
          </w:p>
        </w:tc>
        <w:tc>
          <w:tcPr>
            <w:tcW w:w="1276" w:type="dxa"/>
            <w:tcBorders>
              <w:top w:val="nil"/>
              <w:left w:val="nil"/>
              <w:bottom w:val="single" w:sz="8" w:space="0" w:color="auto"/>
              <w:right w:val="single" w:sz="8" w:space="0" w:color="auto"/>
            </w:tcBorders>
            <w:noWrap/>
            <w:vAlign w:val="center"/>
            <w:hideMark/>
          </w:tcPr>
          <w:p w:rsidR="006C7862" w:rsidRPr="002E70D5" w:rsidRDefault="006C7862" w:rsidP="005A4BCB">
            <w:pPr>
              <w:jc w:val="center"/>
              <w:rPr>
                <w:b/>
                <w:bCs/>
                <w:sz w:val="18"/>
                <w:szCs w:val="18"/>
                <w:lang w:eastAsia="ru-RU"/>
              </w:rPr>
            </w:pPr>
            <w:bookmarkStart w:id="9" w:name="RANGE!D37"/>
            <w:bookmarkEnd w:id="9"/>
            <w:r w:rsidRPr="002E70D5">
              <w:rPr>
                <w:b/>
                <w:bCs/>
                <w:sz w:val="18"/>
                <w:szCs w:val="18"/>
                <w:lang w:eastAsia="ru-RU"/>
              </w:rPr>
              <w:t xml:space="preserve"> </w:t>
            </w:r>
          </w:p>
        </w:tc>
      </w:tr>
      <w:tr w:rsidR="006C7862" w:rsidRPr="002E70D5" w:rsidTr="005A4BCB">
        <w:trPr>
          <w:gridAfter w:val="2"/>
          <w:wAfter w:w="1017" w:type="dxa"/>
          <w:trHeight w:val="263"/>
        </w:trPr>
        <w:tc>
          <w:tcPr>
            <w:tcW w:w="5529" w:type="dxa"/>
            <w:tcBorders>
              <w:top w:val="nil"/>
              <w:left w:val="single" w:sz="8" w:space="0" w:color="auto"/>
              <w:bottom w:val="nil"/>
              <w:right w:val="single" w:sz="4" w:space="0" w:color="auto"/>
            </w:tcBorders>
            <w:vAlign w:val="bottom"/>
            <w:hideMark/>
          </w:tcPr>
          <w:p w:rsidR="006C7862" w:rsidRPr="002E70D5" w:rsidRDefault="006C7862" w:rsidP="005A4BCB">
            <w:pPr>
              <w:rPr>
                <w:sz w:val="18"/>
                <w:szCs w:val="18"/>
                <w:lang w:eastAsia="ru-RU"/>
              </w:rPr>
            </w:pPr>
            <w:proofErr w:type="spellStart"/>
            <w:r w:rsidRPr="002E70D5">
              <w:rPr>
                <w:sz w:val="18"/>
                <w:szCs w:val="18"/>
                <w:lang w:eastAsia="ru-RU"/>
              </w:rPr>
              <w:t>Diferenţe</w:t>
            </w:r>
            <w:proofErr w:type="spellEnd"/>
            <w:r w:rsidRPr="002E70D5">
              <w:rPr>
                <w:sz w:val="18"/>
                <w:szCs w:val="18"/>
                <w:lang w:eastAsia="ru-RU"/>
              </w:rPr>
              <w:t xml:space="preserve"> de curs </w:t>
            </w:r>
            <w:proofErr w:type="spellStart"/>
            <w:r w:rsidRPr="002E70D5">
              <w:rPr>
                <w:sz w:val="18"/>
                <w:szCs w:val="18"/>
                <w:lang w:eastAsia="ru-RU"/>
              </w:rPr>
              <w:t>valutar</w:t>
            </w:r>
            <w:proofErr w:type="spellEnd"/>
            <w:r w:rsidRPr="002E70D5">
              <w:rPr>
                <w:sz w:val="18"/>
                <w:szCs w:val="18"/>
                <w:lang w:eastAsia="ru-RU"/>
              </w:rPr>
              <w:t xml:space="preserve"> </w:t>
            </w:r>
            <w:proofErr w:type="spellStart"/>
            <w:r w:rsidRPr="002E70D5">
              <w:rPr>
                <w:sz w:val="18"/>
                <w:szCs w:val="18"/>
                <w:lang w:eastAsia="ru-RU"/>
              </w:rPr>
              <w:t>favorabile</w:t>
            </w:r>
            <w:proofErr w:type="spellEnd"/>
            <w:r w:rsidRPr="002E70D5">
              <w:rPr>
                <w:sz w:val="18"/>
                <w:szCs w:val="18"/>
                <w:lang w:eastAsia="ru-RU"/>
              </w:rPr>
              <w:t xml:space="preserve"> (</w:t>
            </w:r>
            <w:proofErr w:type="spellStart"/>
            <w:r w:rsidRPr="002E70D5">
              <w:rPr>
                <w:sz w:val="18"/>
                <w:szCs w:val="18"/>
                <w:lang w:eastAsia="ru-RU"/>
              </w:rPr>
              <w:t>nefavorabile</w:t>
            </w:r>
            <w:proofErr w:type="spellEnd"/>
            <w:r w:rsidRPr="002E70D5">
              <w:rPr>
                <w:sz w:val="18"/>
                <w:szCs w:val="18"/>
                <w:lang w:eastAsia="ru-RU"/>
              </w:rPr>
              <w:t xml:space="preserve">) </w:t>
            </w:r>
            <w:proofErr w:type="spellStart"/>
            <w:r w:rsidRPr="002E70D5">
              <w:rPr>
                <w:sz w:val="18"/>
                <w:szCs w:val="18"/>
                <w:lang w:eastAsia="ru-RU"/>
              </w:rPr>
              <w:t>și</w:t>
            </w:r>
            <w:proofErr w:type="spellEnd"/>
            <w:r w:rsidRPr="002E70D5">
              <w:rPr>
                <w:sz w:val="18"/>
                <w:szCs w:val="18"/>
                <w:lang w:eastAsia="ru-RU"/>
              </w:rPr>
              <w:t xml:space="preserve"> de </w:t>
            </w:r>
            <w:proofErr w:type="spellStart"/>
            <w:r w:rsidRPr="002E70D5">
              <w:rPr>
                <w:sz w:val="18"/>
                <w:szCs w:val="18"/>
                <w:lang w:eastAsia="ru-RU"/>
              </w:rPr>
              <w:t>sumă</w:t>
            </w:r>
            <w:proofErr w:type="spellEnd"/>
          </w:p>
        </w:tc>
        <w:tc>
          <w:tcPr>
            <w:tcW w:w="850" w:type="dxa"/>
            <w:gridSpan w:val="2"/>
            <w:tcBorders>
              <w:top w:val="nil"/>
              <w:left w:val="nil"/>
              <w:bottom w:val="nil"/>
              <w:right w:val="single" w:sz="4" w:space="0" w:color="auto"/>
            </w:tcBorders>
            <w:vAlign w:val="center"/>
            <w:hideMark/>
          </w:tcPr>
          <w:p w:rsidR="006C7862" w:rsidRPr="002E70D5" w:rsidRDefault="006C7862" w:rsidP="005A4BCB">
            <w:pPr>
              <w:jc w:val="center"/>
              <w:rPr>
                <w:sz w:val="18"/>
                <w:szCs w:val="18"/>
                <w:lang w:eastAsia="ru-RU"/>
              </w:rPr>
            </w:pPr>
            <w:r w:rsidRPr="002E70D5">
              <w:rPr>
                <w:sz w:val="18"/>
                <w:szCs w:val="18"/>
                <w:lang w:eastAsia="ru-RU"/>
              </w:rPr>
              <w:t>270</w:t>
            </w:r>
          </w:p>
        </w:tc>
        <w:tc>
          <w:tcPr>
            <w:tcW w:w="1276" w:type="dxa"/>
            <w:gridSpan w:val="2"/>
            <w:tcBorders>
              <w:top w:val="nil"/>
              <w:left w:val="single" w:sz="4" w:space="0" w:color="auto"/>
              <w:bottom w:val="nil"/>
              <w:right w:val="single" w:sz="4" w:space="0" w:color="auto"/>
            </w:tcBorders>
            <w:noWrap/>
            <w:vAlign w:val="center"/>
            <w:hideMark/>
          </w:tcPr>
          <w:p w:rsidR="006C7862" w:rsidRPr="002E70D5" w:rsidRDefault="006C7862" w:rsidP="005A4BCB">
            <w:pPr>
              <w:jc w:val="center"/>
              <w:rPr>
                <w:sz w:val="18"/>
                <w:szCs w:val="18"/>
                <w:lang w:eastAsia="ru-RU"/>
              </w:rPr>
            </w:pPr>
            <w:bookmarkStart w:id="10" w:name="RANGE!C38"/>
            <w:bookmarkEnd w:id="10"/>
            <w:r w:rsidRPr="002E70D5">
              <w:rPr>
                <w:sz w:val="18"/>
                <w:szCs w:val="18"/>
                <w:lang w:eastAsia="ru-RU"/>
              </w:rPr>
              <w:t> </w:t>
            </w:r>
          </w:p>
        </w:tc>
        <w:tc>
          <w:tcPr>
            <w:tcW w:w="1276" w:type="dxa"/>
            <w:tcBorders>
              <w:top w:val="nil"/>
              <w:left w:val="single" w:sz="4" w:space="0" w:color="auto"/>
              <w:bottom w:val="nil"/>
              <w:right w:val="single" w:sz="8" w:space="0" w:color="auto"/>
            </w:tcBorders>
            <w:noWrap/>
            <w:vAlign w:val="center"/>
            <w:hideMark/>
          </w:tcPr>
          <w:p w:rsidR="006C7862" w:rsidRPr="002E70D5" w:rsidRDefault="006C7862" w:rsidP="005A4BCB">
            <w:pPr>
              <w:jc w:val="center"/>
              <w:rPr>
                <w:sz w:val="18"/>
                <w:szCs w:val="18"/>
                <w:lang w:eastAsia="ru-RU"/>
              </w:rPr>
            </w:pPr>
            <w:bookmarkStart w:id="11" w:name="RANGE!D38"/>
            <w:bookmarkEnd w:id="11"/>
            <w:r w:rsidRPr="002E70D5">
              <w:rPr>
                <w:sz w:val="18"/>
                <w:szCs w:val="18"/>
                <w:lang w:eastAsia="ru-RU"/>
              </w:rPr>
              <w:t> </w:t>
            </w:r>
          </w:p>
        </w:tc>
      </w:tr>
      <w:tr w:rsidR="006C7862" w:rsidRPr="002E70D5" w:rsidTr="005A4BCB">
        <w:trPr>
          <w:gridAfter w:val="2"/>
          <w:wAfter w:w="1017" w:type="dxa"/>
          <w:trHeight w:val="330"/>
        </w:trPr>
        <w:tc>
          <w:tcPr>
            <w:tcW w:w="5529" w:type="dxa"/>
            <w:tcBorders>
              <w:top w:val="single" w:sz="8" w:space="0" w:color="auto"/>
              <w:left w:val="single" w:sz="8" w:space="0" w:color="auto"/>
              <w:bottom w:val="single" w:sz="8" w:space="0" w:color="auto"/>
              <w:right w:val="single" w:sz="4" w:space="0" w:color="auto"/>
            </w:tcBorders>
            <w:vAlign w:val="bottom"/>
            <w:hideMark/>
          </w:tcPr>
          <w:p w:rsidR="006C7862" w:rsidRPr="002E70D5" w:rsidRDefault="006C7862" w:rsidP="005A4BCB">
            <w:pPr>
              <w:rPr>
                <w:b/>
                <w:bCs/>
                <w:sz w:val="18"/>
                <w:szCs w:val="18"/>
                <w:lang w:eastAsia="ru-RU"/>
              </w:rPr>
            </w:pPr>
            <w:r w:rsidRPr="002E70D5">
              <w:rPr>
                <w:b/>
                <w:bCs/>
                <w:sz w:val="18"/>
                <w:szCs w:val="18"/>
                <w:lang w:eastAsia="ru-RU"/>
              </w:rPr>
              <w:lastRenderedPageBreak/>
              <w:t xml:space="preserve">Sold de </w:t>
            </w:r>
            <w:proofErr w:type="spellStart"/>
            <w:r w:rsidRPr="002E70D5">
              <w:rPr>
                <w:b/>
                <w:bCs/>
                <w:sz w:val="18"/>
                <w:szCs w:val="18"/>
                <w:lang w:eastAsia="ru-RU"/>
              </w:rPr>
              <w:t>numerar</w:t>
            </w:r>
            <w:proofErr w:type="spellEnd"/>
            <w:r w:rsidRPr="002E70D5">
              <w:rPr>
                <w:b/>
                <w:bCs/>
                <w:sz w:val="18"/>
                <w:szCs w:val="18"/>
                <w:lang w:eastAsia="ru-RU"/>
              </w:rPr>
              <w:t xml:space="preserve"> la </w:t>
            </w:r>
            <w:proofErr w:type="spellStart"/>
            <w:r w:rsidRPr="002E70D5">
              <w:rPr>
                <w:b/>
                <w:bCs/>
                <w:sz w:val="18"/>
                <w:szCs w:val="18"/>
                <w:lang w:eastAsia="ru-RU"/>
              </w:rPr>
              <w:t>începutul</w:t>
            </w:r>
            <w:proofErr w:type="spellEnd"/>
            <w:r w:rsidRPr="002E70D5">
              <w:rPr>
                <w:b/>
                <w:bCs/>
                <w:sz w:val="18"/>
                <w:szCs w:val="18"/>
                <w:lang w:eastAsia="ru-RU"/>
              </w:rPr>
              <w:t xml:space="preserve"> </w:t>
            </w:r>
            <w:proofErr w:type="spellStart"/>
            <w:r w:rsidRPr="002E70D5">
              <w:rPr>
                <w:b/>
                <w:bCs/>
                <w:sz w:val="18"/>
                <w:szCs w:val="18"/>
                <w:lang w:eastAsia="ru-RU"/>
              </w:rPr>
              <w:t>perioadei</w:t>
            </w:r>
            <w:proofErr w:type="spellEnd"/>
            <w:r w:rsidRPr="002E70D5">
              <w:rPr>
                <w:b/>
                <w:bCs/>
                <w:sz w:val="18"/>
                <w:szCs w:val="18"/>
                <w:lang w:eastAsia="ru-RU"/>
              </w:rPr>
              <w:t xml:space="preserve"> de </w:t>
            </w:r>
            <w:proofErr w:type="spellStart"/>
            <w:r w:rsidRPr="002E70D5">
              <w:rPr>
                <w:b/>
                <w:bCs/>
                <w:sz w:val="18"/>
                <w:szCs w:val="18"/>
                <w:lang w:eastAsia="ru-RU"/>
              </w:rPr>
              <w:t>gestiune</w:t>
            </w:r>
            <w:proofErr w:type="spellEnd"/>
          </w:p>
        </w:tc>
        <w:tc>
          <w:tcPr>
            <w:tcW w:w="850" w:type="dxa"/>
            <w:gridSpan w:val="2"/>
            <w:tcBorders>
              <w:top w:val="single" w:sz="8" w:space="0" w:color="auto"/>
              <w:left w:val="nil"/>
              <w:bottom w:val="single" w:sz="8" w:space="0" w:color="auto"/>
              <w:right w:val="single" w:sz="4" w:space="0" w:color="auto"/>
            </w:tcBorders>
            <w:vAlign w:val="center"/>
            <w:hideMark/>
          </w:tcPr>
          <w:p w:rsidR="006C7862" w:rsidRPr="002E70D5" w:rsidRDefault="006C7862" w:rsidP="005A4BCB">
            <w:pPr>
              <w:jc w:val="center"/>
              <w:rPr>
                <w:b/>
                <w:bCs/>
                <w:sz w:val="18"/>
                <w:szCs w:val="18"/>
                <w:lang w:eastAsia="ru-RU"/>
              </w:rPr>
            </w:pPr>
            <w:r w:rsidRPr="002E70D5">
              <w:rPr>
                <w:b/>
                <w:bCs/>
                <w:sz w:val="18"/>
                <w:szCs w:val="18"/>
                <w:lang w:eastAsia="ru-RU"/>
              </w:rPr>
              <w:t>280</w:t>
            </w:r>
          </w:p>
        </w:tc>
        <w:tc>
          <w:tcPr>
            <w:tcW w:w="1276" w:type="dxa"/>
            <w:gridSpan w:val="2"/>
            <w:tcBorders>
              <w:top w:val="single" w:sz="8" w:space="0" w:color="auto"/>
              <w:left w:val="single" w:sz="4" w:space="0" w:color="auto"/>
              <w:bottom w:val="single" w:sz="8" w:space="0" w:color="auto"/>
              <w:right w:val="single" w:sz="4" w:space="0" w:color="auto"/>
            </w:tcBorders>
            <w:noWrap/>
            <w:vAlign w:val="center"/>
            <w:hideMark/>
          </w:tcPr>
          <w:p w:rsidR="006C7862" w:rsidRPr="002E70D5" w:rsidRDefault="006C7862" w:rsidP="005A4BCB">
            <w:pPr>
              <w:jc w:val="center"/>
              <w:rPr>
                <w:b/>
                <w:bCs/>
                <w:sz w:val="18"/>
                <w:szCs w:val="18"/>
                <w:lang w:eastAsia="ru-RU"/>
              </w:rPr>
            </w:pPr>
            <w:bookmarkStart w:id="12" w:name="RANGE!C39"/>
            <w:bookmarkEnd w:id="12"/>
            <w:r w:rsidRPr="002E70D5">
              <w:rPr>
                <w:b/>
                <w:bCs/>
                <w:sz w:val="18"/>
                <w:szCs w:val="18"/>
                <w:lang w:eastAsia="ru-RU"/>
              </w:rPr>
              <w:t> </w:t>
            </w:r>
          </w:p>
        </w:tc>
        <w:tc>
          <w:tcPr>
            <w:tcW w:w="1276" w:type="dxa"/>
            <w:tcBorders>
              <w:top w:val="single" w:sz="8" w:space="0" w:color="auto"/>
              <w:left w:val="single" w:sz="4" w:space="0" w:color="auto"/>
              <w:bottom w:val="single" w:sz="8" w:space="0" w:color="auto"/>
              <w:right w:val="single" w:sz="8" w:space="0" w:color="auto"/>
            </w:tcBorders>
            <w:noWrap/>
            <w:vAlign w:val="center"/>
            <w:hideMark/>
          </w:tcPr>
          <w:p w:rsidR="006C7862" w:rsidRPr="002E70D5" w:rsidRDefault="006C7862" w:rsidP="005A4BCB">
            <w:pPr>
              <w:jc w:val="center"/>
              <w:rPr>
                <w:b/>
                <w:bCs/>
                <w:sz w:val="18"/>
                <w:szCs w:val="18"/>
                <w:lang w:eastAsia="ru-RU"/>
              </w:rPr>
            </w:pPr>
            <w:bookmarkStart w:id="13" w:name="RANGE!D39"/>
            <w:bookmarkEnd w:id="13"/>
            <w:r w:rsidRPr="002E70D5">
              <w:rPr>
                <w:b/>
                <w:bCs/>
                <w:sz w:val="18"/>
                <w:szCs w:val="18"/>
                <w:lang w:eastAsia="ru-RU"/>
              </w:rPr>
              <w:t> </w:t>
            </w:r>
          </w:p>
        </w:tc>
      </w:tr>
      <w:tr w:rsidR="006C7862" w:rsidRPr="002E70D5" w:rsidTr="005A4BCB">
        <w:trPr>
          <w:gridAfter w:val="2"/>
          <w:wAfter w:w="1017" w:type="dxa"/>
          <w:trHeight w:val="465"/>
        </w:trPr>
        <w:tc>
          <w:tcPr>
            <w:tcW w:w="5529" w:type="dxa"/>
            <w:tcBorders>
              <w:top w:val="nil"/>
              <w:left w:val="single" w:sz="8" w:space="0" w:color="auto"/>
              <w:bottom w:val="single" w:sz="8" w:space="0" w:color="auto"/>
              <w:right w:val="single" w:sz="4" w:space="0" w:color="auto"/>
            </w:tcBorders>
            <w:vAlign w:val="bottom"/>
            <w:hideMark/>
          </w:tcPr>
          <w:p w:rsidR="006C7862" w:rsidRPr="002E70D5" w:rsidRDefault="006C7862" w:rsidP="005A4BCB">
            <w:pPr>
              <w:rPr>
                <w:b/>
                <w:bCs/>
                <w:sz w:val="18"/>
                <w:szCs w:val="18"/>
                <w:lang w:eastAsia="ru-RU"/>
              </w:rPr>
            </w:pPr>
            <w:r w:rsidRPr="002E70D5">
              <w:rPr>
                <w:b/>
                <w:bCs/>
                <w:sz w:val="18"/>
                <w:szCs w:val="18"/>
                <w:lang w:eastAsia="ru-RU"/>
              </w:rPr>
              <w:t xml:space="preserve">Sold de </w:t>
            </w:r>
            <w:proofErr w:type="spellStart"/>
            <w:r w:rsidRPr="002E70D5">
              <w:rPr>
                <w:b/>
                <w:bCs/>
                <w:sz w:val="18"/>
                <w:szCs w:val="18"/>
                <w:lang w:eastAsia="ru-RU"/>
              </w:rPr>
              <w:t>numerar</w:t>
            </w:r>
            <w:proofErr w:type="spellEnd"/>
            <w:r w:rsidRPr="002E70D5">
              <w:rPr>
                <w:b/>
                <w:bCs/>
                <w:sz w:val="18"/>
                <w:szCs w:val="18"/>
                <w:lang w:eastAsia="ru-RU"/>
              </w:rPr>
              <w:t xml:space="preserve"> la </w:t>
            </w:r>
            <w:proofErr w:type="spellStart"/>
            <w:r w:rsidRPr="002E70D5">
              <w:rPr>
                <w:b/>
                <w:bCs/>
                <w:sz w:val="18"/>
                <w:szCs w:val="18"/>
                <w:lang w:eastAsia="ru-RU"/>
              </w:rPr>
              <w:t>sf</w:t>
            </w:r>
            <w:r>
              <w:rPr>
                <w:b/>
                <w:bCs/>
                <w:sz w:val="18"/>
                <w:szCs w:val="18"/>
                <w:lang w:eastAsia="ru-RU"/>
              </w:rPr>
              <w:t>â</w:t>
            </w:r>
            <w:r w:rsidRPr="002E70D5">
              <w:rPr>
                <w:b/>
                <w:bCs/>
                <w:sz w:val="18"/>
                <w:szCs w:val="18"/>
                <w:lang w:eastAsia="ru-RU"/>
              </w:rPr>
              <w:t>rşitul</w:t>
            </w:r>
            <w:proofErr w:type="spellEnd"/>
            <w:r w:rsidRPr="002E70D5">
              <w:rPr>
                <w:b/>
                <w:bCs/>
                <w:sz w:val="18"/>
                <w:szCs w:val="18"/>
                <w:lang w:eastAsia="ru-RU"/>
              </w:rPr>
              <w:t xml:space="preserve"> </w:t>
            </w:r>
            <w:proofErr w:type="spellStart"/>
            <w:r w:rsidRPr="002E70D5">
              <w:rPr>
                <w:b/>
                <w:bCs/>
                <w:sz w:val="18"/>
                <w:szCs w:val="18"/>
                <w:lang w:eastAsia="ru-RU"/>
              </w:rPr>
              <w:t>perioadei</w:t>
            </w:r>
            <w:proofErr w:type="spellEnd"/>
            <w:r w:rsidRPr="002E70D5">
              <w:rPr>
                <w:b/>
                <w:bCs/>
                <w:sz w:val="18"/>
                <w:szCs w:val="18"/>
                <w:lang w:eastAsia="ru-RU"/>
              </w:rPr>
              <w:t xml:space="preserve"> de </w:t>
            </w:r>
            <w:proofErr w:type="spellStart"/>
            <w:r w:rsidRPr="002E70D5">
              <w:rPr>
                <w:b/>
                <w:bCs/>
                <w:sz w:val="18"/>
                <w:szCs w:val="18"/>
                <w:lang w:eastAsia="ru-RU"/>
              </w:rPr>
              <w:t>gestiune</w:t>
            </w:r>
            <w:proofErr w:type="spellEnd"/>
            <w:r w:rsidRPr="002E70D5">
              <w:rPr>
                <w:b/>
                <w:bCs/>
                <w:sz w:val="18"/>
                <w:szCs w:val="18"/>
                <w:lang w:eastAsia="ru-RU"/>
              </w:rPr>
              <w:t xml:space="preserve"> (</w:t>
            </w:r>
            <w:r w:rsidRPr="002E70D5">
              <w:rPr>
                <w:b/>
                <w:bCs/>
                <w:sz w:val="18"/>
                <w:szCs w:val="18"/>
                <w:u w:val="single"/>
                <w:lang w:eastAsia="ru-RU"/>
              </w:rPr>
              <w:t>+</w:t>
            </w:r>
            <w:r w:rsidRPr="002E70D5">
              <w:rPr>
                <w:b/>
                <w:bCs/>
                <w:sz w:val="18"/>
                <w:szCs w:val="18"/>
                <w:lang w:eastAsia="ru-RU"/>
              </w:rPr>
              <w:t>rd.260</w:t>
            </w:r>
            <w:r w:rsidRPr="002E70D5">
              <w:rPr>
                <w:b/>
                <w:bCs/>
                <w:sz w:val="18"/>
                <w:szCs w:val="18"/>
                <w:u w:val="single"/>
                <w:lang w:eastAsia="ru-RU"/>
              </w:rPr>
              <w:t>+</w:t>
            </w:r>
            <w:r w:rsidRPr="002E70D5">
              <w:rPr>
                <w:b/>
                <w:bCs/>
                <w:sz w:val="18"/>
                <w:szCs w:val="18"/>
                <w:lang w:eastAsia="ru-RU"/>
              </w:rPr>
              <w:t>rd.270+rd.280)</w:t>
            </w:r>
          </w:p>
        </w:tc>
        <w:tc>
          <w:tcPr>
            <w:tcW w:w="850" w:type="dxa"/>
            <w:gridSpan w:val="2"/>
            <w:tcBorders>
              <w:top w:val="nil"/>
              <w:left w:val="nil"/>
              <w:bottom w:val="single" w:sz="8" w:space="0" w:color="auto"/>
              <w:right w:val="single" w:sz="4" w:space="0" w:color="auto"/>
            </w:tcBorders>
            <w:vAlign w:val="center"/>
            <w:hideMark/>
          </w:tcPr>
          <w:p w:rsidR="006C7862" w:rsidRPr="002E70D5" w:rsidRDefault="006C7862" w:rsidP="005A4BCB">
            <w:pPr>
              <w:jc w:val="center"/>
              <w:rPr>
                <w:b/>
                <w:bCs/>
                <w:sz w:val="18"/>
                <w:szCs w:val="18"/>
                <w:lang w:eastAsia="ru-RU"/>
              </w:rPr>
            </w:pPr>
            <w:r w:rsidRPr="002E70D5">
              <w:rPr>
                <w:b/>
                <w:bCs/>
                <w:sz w:val="18"/>
                <w:szCs w:val="18"/>
                <w:lang w:eastAsia="ru-RU"/>
              </w:rPr>
              <w:t>290</w:t>
            </w:r>
          </w:p>
        </w:tc>
        <w:tc>
          <w:tcPr>
            <w:tcW w:w="1276" w:type="dxa"/>
            <w:gridSpan w:val="2"/>
            <w:tcBorders>
              <w:top w:val="nil"/>
              <w:left w:val="nil"/>
              <w:bottom w:val="single" w:sz="8" w:space="0" w:color="auto"/>
              <w:right w:val="single" w:sz="4" w:space="0" w:color="auto"/>
            </w:tcBorders>
            <w:noWrap/>
            <w:vAlign w:val="center"/>
            <w:hideMark/>
          </w:tcPr>
          <w:p w:rsidR="006C7862" w:rsidRPr="002E70D5" w:rsidRDefault="006C7862" w:rsidP="005A4BCB">
            <w:pPr>
              <w:jc w:val="center"/>
              <w:rPr>
                <w:b/>
                <w:bCs/>
                <w:sz w:val="18"/>
                <w:szCs w:val="18"/>
                <w:lang w:eastAsia="ru-RU"/>
              </w:rPr>
            </w:pPr>
            <w:bookmarkStart w:id="14" w:name="RANGE!C40"/>
            <w:bookmarkEnd w:id="14"/>
            <w:r w:rsidRPr="002E70D5">
              <w:rPr>
                <w:b/>
                <w:bCs/>
                <w:sz w:val="18"/>
                <w:szCs w:val="18"/>
                <w:lang w:eastAsia="ru-RU"/>
              </w:rPr>
              <w:t xml:space="preserve"> </w:t>
            </w:r>
          </w:p>
        </w:tc>
        <w:tc>
          <w:tcPr>
            <w:tcW w:w="1276" w:type="dxa"/>
            <w:tcBorders>
              <w:top w:val="nil"/>
              <w:left w:val="nil"/>
              <w:bottom w:val="single" w:sz="8" w:space="0" w:color="auto"/>
              <w:right w:val="single" w:sz="8" w:space="0" w:color="auto"/>
            </w:tcBorders>
            <w:noWrap/>
            <w:vAlign w:val="center"/>
            <w:hideMark/>
          </w:tcPr>
          <w:p w:rsidR="006C7862" w:rsidRPr="002E70D5" w:rsidRDefault="006C7862" w:rsidP="005A4BCB">
            <w:pPr>
              <w:jc w:val="center"/>
              <w:rPr>
                <w:b/>
                <w:bCs/>
                <w:sz w:val="18"/>
                <w:szCs w:val="18"/>
                <w:lang w:eastAsia="ru-RU"/>
              </w:rPr>
            </w:pPr>
            <w:bookmarkStart w:id="15" w:name="RANGE!D40"/>
            <w:bookmarkEnd w:id="15"/>
            <w:r w:rsidRPr="002E70D5">
              <w:rPr>
                <w:b/>
                <w:bCs/>
                <w:sz w:val="18"/>
                <w:szCs w:val="18"/>
                <w:lang w:eastAsia="ru-RU"/>
              </w:rPr>
              <w:t xml:space="preserve"> </w:t>
            </w:r>
          </w:p>
        </w:tc>
      </w:tr>
    </w:tbl>
    <w:p w:rsidR="006C7862" w:rsidRDefault="006C7862" w:rsidP="006C7862">
      <w:pPr>
        <w:ind w:left="426"/>
        <w:jc w:val="center"/>
        <w:rPr>
          <w:b/>
          <w:sz w:val="28"/>
          <w:szCs w:val="28"/>
          <w:lang w:val="ro-MO"/>
        </w:rPr>
      </w:pPr>
    </w:p>
    <w:p w:rsidR="005A4BCB" w:rsidRDefault="005A4BCB">
      <w:pPr>
        <w:spacing w:after="200" w:line="276" w:lineRule="auto"/>
        <w:rPr>
          <w:b/>
          <w:sz w:val="28"/>
          <w:szCs w:val="28"/>
          <w:lang w:val="ro-MO"/>
        </w:rPr>
      </w:pPr>
      <w:r>
        <w:rPr>
          <w:b/>
          <w:sz w:val="28"/>
          <w:szCs w:val="28"/>
          <w:lang w:val="ro-MO"/>
        </w:rPr>
        <w:br w:type="page"/>
      </w:r>
    </w:p>
    <w:p w:rsidR="006C7862" w:rsidRPr="00933534" w:rsidRDefault="006C7862" w:rsidP="006C7862">
      <w:pPr>
        <w:jc w:val="center"/>
        <w:rPr>
          <w:b/>
          <w:sz w:val="28"/>
          <w:szCs w:val="28"/>
          <w:lang w:val="ro-MO"/>
        </w:rPr>
      </w:pPr>
      <w:r w:rsidRPr="00933534">
        <w:rPr>
          <w:b/>
          <w:sz w:val="28"/>
          <w:szCs w:val="28"/>
          <w:lang w:val="ro-MO"/>
        </w:rPr>
        <w:lastRenderedPageBreak/>
        <w:t xml:space="preserve">Structura și modul de întocmire </w:t>
      </w:r>
    </w:p>
    <w:p w:rsidR="006C7862" w:rsidRPr="00933534" w:rsidRDefault="006C7862" w:rsidP="006C7862">
      <w:pPr>
        <w:jc w:val="center"/>
        <w:rPr>
          <w:b/>
          <w:bCs/>
          <w:sz w:val="28"/>
          <w:szCs w:val="28"/>
          <w:lang w:val="ro-RO" w:eastAsia="ru-RU"/>
        </w:rPr>
      </w:pPr>
      <w:r w:rsidRPr="00933534">
        <w:rPr>
          <w:b/>
          <w:sz w:val="28"/>
          <w:szCs w:val="28"/>
          <w:lang w:val="ro-MO"/>
        </w:rPr>
        <w:t xml:space="preserve">a Raportului </w:t>
      </w:r>
      <w:proofErr w:type="spellStart"/>
      <w:r w:rsidRPr="00933534">
        <w:rPr>
          <w:b/>
          <w:bCs/>
          <w:color w:val="000000"/>
          <w:sz w:val="28"/>
          <w:szCs w:val="28"/>
          <w:lang w:eastAsia="ru-RU"/>
        </w:rPr>
        <w:t>privind</w:t>
      </w:r>
      <w:proofErr w:type="spellEnd"/>
      <w:r w:rsidRPr="00933534">
        <w:rPr>
          <w:b/>
          <w:bCs/>
          <w:color w:val="000000"/>
          <w:sz w:val="28"/>
          <w:szCs w:val="28"/>
        </w:rPr>
        <w:t xml:space="preserve"> </w:t>
      </w:r>
      <w:r w:rsidRPr="00933534">
        <w:rPr>
          <w:b/>
          <w:bCs/>
          <w:sz w:val="28"/>
          <w:szCs w:val="28"/>
          <w:lang w:val="ro-RO" w:eastAsia="ru-RU"/>
        </w:rPr>
        <w:t>fluxul numerarului</w:t>
      </w:r>
    </w:p>
    <w:p w:rsidR="006C7862" w:rsidRPr="00933534" w:rsidRDefault="006C7862" w:rsidP="006C7862">
      <w:pPr>
        <w:pStyle w:val="ListParagraph"/>
        <w:numPr>
          <w:ilvl w:val="0"/>
          <w:numId w:val="2"/>
        </w:numPr>
        <w:tabs>
          <w:tab w:val="left" w:pos="284"/>
          <w:tab w:val="left" w:pos="426"/>
        </w:tabs>
        <w:spacing w:after="0" w:line="240" w:lineRule="auto"/>
        <w:ind w:left="0" w:firstLine="0"/>
        <w:contextualSpacing w:val="0"/>
        <w:jc w:val="both"/>
        <w:rPr>
          <w:rFonts w:ascii="Times New Roman" w:hAnsi="Times New Roman"/>
          <w:color w:val="000000"/>
          <w:sz w:val="28"/>
          <w:szCs w:val="28"/>
          <w:lang w:val="ro-RO"/>
        </w:rPr>
      </w:pPr>
      <w:r w:rsidRPr="00933534">
        <w:rPr>
          <w:rFonts w:ascii="Times New Roman" w:hAnsi="Times New Roman"/>
          <w:color w:val="000000"/>
          <w:sz w:val="28"/>
          <w:szCs w:val="28"/>
          <w:lang w:val="ro-RO"/>
        </w:rPr>
        <w:t>Raportul privind fluxul numerarului se întocmeşte pentru perioada de gestiune în baza contabilităţii de casă</w:t>
      </w:r>
      <w:r w:rsidRPr="00933534">
        <w:rPr>
          <w:rFonts w:ascii="Times New Roman" w:hAnsi="Times New Roman"/>
          <w:sz w:val="28"/>
          <w:szCs w:val="28"/>
          <w:lang w:val="ro-RO"/>
        </w:rPr>
        <w:t xml:space="preserve"> cu total cumulativ de la începutul perioadei de gestiune</w:t>
      </w:r>
      <w:r w:rsidRPr="00933534">
        <w:rPr>
          <w:rFonts w:ascii="Times New Roman" w:hAnsi="Times New Roman"/>
          <w:color w:val="000000"/>
          <w:sz w:val="28"/>
          <w:szCs w:val="28"/>
          <w:lang w:val="ro-RO"/>
        </w:rPr>
        <w:t>, conform căreia intrările şi ieşirile de numerar în această perioadă se determină în baza datelor din conturile de evidentă a numerarului.</w:t>
      </w:r>
    </w:p>
    <w:p w:rsidR="006C7862" w:rsidRPr="00933534" w:rsidRDefault="006C7862" w:rsidP="006C7862">
      <w:pPr>
        <w:pStyle w:val="ListParagraph"/>
        <w:numPr>
          <w:ilvl w:val="0"/>
          <w:numId w:val="2"/>
        </w:numPr>
        <w:tabs>
          <w:tab w:val="left" w:pos="284"/>
          <w:tab w:val="left" w:pos="426"/>
        </w:tabs>
        <w:spacing w:after="0" w:line="240" w:lineRule="auto"/>
        <w:ind w:left="0" w:firstLine="0"/>
        <w:contextualSpacing w:val="0"/>
        <w:jc w:val="both"/>
        <w:rPr>
          <w:rFonts w:ascii="Times New Roman" w:hAnsi="Times New Roman"/>
          <w:color w:val="000000"/>
          <w:sz w:val="28"/>
          <w:szCs w:val="28"/>
          <w:lang w:val="ro-RO"/>
        </w:rPr>
      </w:pPr>
      <w:r w:rsidRPr="00933534">
        <w:rPr>
          <w:rFonts w:ascii="Times New Roman" w:hAnsi="Times New Roman"/>
          <w:color w:val="000000"/>
          <w:sz w:val="28"/>
          <w:szCs w:val="28"/>
          <w:lang w:val="ro-RO"/>
        </w:rPr>
        <w:t>Raportul privind fluxul numerarului</w:t>
      </w:r>
      <w:r w:rsidRPr="00933534">
        <w:rPr>
          <w:rFonts w:ascii="Times New Roman" w:hAnsi="Times New Roman"/>
          <w:sz w:val="28"/>
          <w:szCs w:val="28"/>
          <w:lang w:val="ro-RO"/>
        </w:rPr>
        <w:t xml:space="preserve"> reflectă încasările şi plăţile de numerar </w:t>
      </w:r>
      <w:r w:rsidRPr="00933534">
        <w:rPr>
          <w:rFonts w:ascii="Times New Roman" w:hAnsi="Times New Roman"/>
          <w:color w:val="000000"/>
          <w:sz w:val="28"/>
          <w:szCs w:val="28"/>
          <w:lang w:val="ro-RO"/>
        </w:rPr>
        <w:t>separat pe activităţile operaţională, de investiţii şi financiară, cu prezentarea distinctă a diferenţelor de curs valutar şi de sumă.</w:t>
      </w:r>
    </w:p>
    <w:p w:rsidR="006C7862" w:rsidRPr="00933534" w:rsidRDefault="006C7862" w:rsidP="006C7862">
      <w:pPr>
        <w:pStyle w:val="ListParagraph"/>
        <w:numPr>
          <w:ilvl w:val="0"/>
          <w:numId w:val="2"/>
        </w:numPr>
        <w:tabs>
          <w:tab w:val="left" w:pos="284"/>
          <w:tab w:val="left" w:pos="426"/>
        </w:tabs>
        <w:spacing w:after="0" w:line="240" w:lineRule="auto"/>
        <w:ind w:left="0" w:firstLine="0"/>
        <w:contextualSpacing w:val="0"/>
        <w:jc w:val="both"/>
        <w:rPr>
          <w:rFonts w:ascii="Times New Roman" w:hAnsi="Times New Roman"/>
          <w:color w:val="000000"/>
          <w:sz w:val="28"/>
          <w:szCs w:val="28"/>
          <w:lang w:val="ro-RO"/>
        </w:rPr>
      </w:pPr>
      <w:r w:rsidRPr="00933534">
        <w:rPr>
          <w:rFonts w:ascii="Times New Roman" w:hAnsi="Times New Roman"/>
          <w:color w:val="000000"/>
          <w:sz w:val="28"/>
          <w:szCs w:val="28"/>
          <w:lang w:val="ro-RO"/>
        </w:rPr>
        <w:t>În Raportul privind fluxul numerarului nu se reflectă:</w:t>
      </w:r>
    </w:p>
    <w:p w:rsidR="006C7862" w:rsidRPr="00933534" w:rsidRDefault="006C7862" w:rsidP="006C7862">
      <w:pPr>
        <w:pStyle w:val="NormalWeb"/>
        <w:ind w:firstLine="0"/>
        <w:rPr>
          <w:color w:val="000000"/>
          <w:sz w:val="28"/>
          <w:szCs w:val="28"/>
          <w:lang w:val="ro-RO"/>
        </w:rPr>
      </w:pPr>
      <w:r w:rsidRPr="00933534">
        <w:rPr>
          <w:color w:val="000000"/>
          <w:sz w:val="28"/>
          <w:szCs w:val="28"/>
          <w:lang w:val="ro-RO"/>
        </w:rPr>
        <w:t xml:space="preserve">- </w:t>
      </w:r>
      <w:r w:rsidRPr="00933534">
        <w:rPr>
          <w:i/>
          <w:color w:val="000000"/>
          <w:sz w:val="28"/>
          <w:szCs w:val="28"/>
          <w:lang w:val="ro-RO"/>
        </w:rPr>
        <w:t>mişcarea internă a numerarului</w:t>
      </w:r>
      <w:r w:rsidRPr="00933534">
        <w:rPr>
          <w:color w:val="000000"/>
          <w:sz w:val="28"/>
          <w:szCs w:val="28"/>
          <w:lang w:val="ro-RO"/>
        </w:rPr>
        <w:t xml:space="preserve"> (de exemplu, ridicările în numerar de la conturile curente, alimentarea cardurilor bancare ale organizației de microfinanțare, transferarea numerarului de la un cont curent la altul, procurarea/vânzarea valutei străine);</w:t>
      </w:r>
    </w:p>
    <w:p w:rsidR="006C7862" w:rsidRPr="00933534" w:rsidRDefault="006C7862" w:rsidP="006C7862">
      <w:pPr>
        <w:pStyle w:val="NormalWeb"/>
        <w:ind w:firstLine="0"/>
        <w:rPr>
          <w:color w:val="000000"/>
          <w:sz w:val="28"/>
          <w:szCs w:val="28"/>
          <w:lang w:val="ro-RO"/>
        </w:rPr>
      </w:pPr>
      <w:r w:rsidRPr="00933534">
        <w:rPr>
          <w:color w:val="000000"/>
          <w:sz w:val="28"/>
          <w:szCs w:val="28"/>
          <w:lang w:val="ro-RO"/>
        </w:rPr>
        <w:t xml:space="preserve">- </w:t>
      </w:r>
      <w:r w:rsidRPr="00933534">
        <w:rPr>
          <w:i/>
          <w:color w:val="000000"/>
          <w:sz w:val="28"/>
          <w:szCs w:val="28"/>
          <w:lang w:val="ro-RO"/>
        </w:rPr>
        <w:t>tranzacţiile pe bază de barter</w:t>
      </w:r>
      <w:r w:rsidRPr="00933534">
        <w:rPr>
          <w:color w:val="000000"/>
          <w:sz w:val="28"/>
          <w:szCs w:val="28"/>
          <w:lang w:val="ro-RO"/>
        </w:rPr>
        <w:t xml:space="preserve"> (schimb de active/servicii);</w:t>
      </w:r>
    </w:p>
    <w:p w:rsidR="006C7862" w:rsidRPr="00933534" w:rsidRDefault="006C7862" w:rsidP="006C7862">
      <w:pPr>
        <w:pStyle w:val="NormalWeb"/>
        <w:ind w:firstLine="0"/>
        <w:rPr>
          <w:color w:val="000000"/>
          <w:sz w:val="28"/>
          <w:szCs w:val="28"/>
          <w:lang w:val="ro-RO"/>
        </w:rPr>
      </w:pPr>
      <w:r w:rsidRPr="00933534">
        <w:rPr>
          <w:color w:val="000000"/>
          <w:sz w:val="28"/>
          <w:szCs w:val="28"/>
          <w:lang w:val="ro-RO"/>
        </w:rPr>
        <w:t xml:space="preserve">- </w:t>
      </w:r>
      <w:r w:rsidRPr="00933534">
        <w:rPr>
          <w:i/>
          <w:color w:val="000000"/>
          <w:sz w:val="28"/>
          <w:szCs w:val="28"/>
          <w:lang w:val="ro-RO"/>
        </w:rPr>
        <w:t>convertirea datoriilor în elemente de  capital neînregistrat/capital social</w:t>
      </w:r>
      <w:r w:rsidRPr="00933534">
        <w:rPr>
          <w:color w:val="000000"/>
          <w:sz w:val="28"/>
          <w:szCs w:val="28"/>
          <w:lang w:val="ro-RO"/>
        </w:rPr>
        <w:t>.</w:t>
      </w:r>
    </w:p>
    <w:p w:rsidR="006C7862" w:rsidRPr="00933534" w:rsidRDefault="006C7862" w:rsidP="006C7862">
      <w:pPr>
        <w:pStyle w:val="ListParagraph"/>
        <w:numPr>
          <w:ilvl w:val="0"/>
          <w:numId w:val="2"/>
        </w:numPr>
        <w:tabs>
          <w:tab w:val="left" w:pos="284"/>
          <w:tab w:val="left" w:pos="426"/>
        </w:tabs>
        <w:spacing w:after="0" w:line="240" w:lineRule="auto"/>
        <w:ind w:left="0" w:firstLine="0"/>
        <w:contextualSpacing w:val="0"/>
        <w:jc w:val="both"/>
        <w:rPr>
          <w:rFonts w:ascii="Times New Roman" w:hAnsi="Times New Roman"/>
          <w:color w:val="000000"/>
          <w:sz w:val="28"/>
          <w:szCs w:val="28"/>
          <w:lang w:val="ro-RO"/>
        </w:rPr>
      </w:pPr>
      <w:r w:rsidRPr="00933534">
        <w:rPr>
          <w:rFonts w:ascii="Times New Roman" w:hAnsi="Times New Roman"/>
          <w:color w:val="000000"/>
          <w:sz w:val="28"/>
          <w:szCs w:val="28"/>
          <w:lang w:val="ro-RO"/>
        </w:rPr>
        <w:t xml:space="preserve"> Situaţia fluxurilor de numerar </w:t>
      </w:r>
      <w:r w:rsidRPr="00933534">
        <w:rPr>
          <w:rFonts w:ascii="Times New Roman" w:hAnsi="Times New Roman"/>
          <w:bCs/>
          <w:sz w:val="28"/>
          <w:szCs w:val="28"/>
          <w:lang w:val="ro-RO"/>
        </w:rPr>
        <w:t>include următoarea informaţie:</w:t>
      </w:r>
    </w:p>
    <w:p w:rsidR="006C7862" w:rsidRPr="00933534" w:rsidRDefault="006C7862" w:rsidP="006C7862">
      <w:pPr>
        <w:tabs>
          <w:tab w:val="left" w:pos="284"/>
        </w:tabs>
        <w:jc w:val="both"/>
        <w:rPr>
          <w:color w:val="000000"/>
          <w:sz w:val="28"/>
          <w:szCs w:val="28"/>
          <w:lang w:val="ro-RO"/>
        </w:rPr>
      </w:pPr>
      <w:r w:rsidRPr="00933534">
        <w:rPr>
          <w:b/>
          <w:color w:val="000000"/>
          <w:sz w:val="28"/>
          <w:szCs w:val="28"/>
          <w:lang w:val="ro-RO"/>
        </w:rPr>
        <w:t xml:space="preserve">1) Fluxuri de numerar din activitatea </w:t>
      </w:r>
      <w:r w:rsidRPr="00933534">
        <w:rPr>
          <w:b/>
          <w:sz w:val="28"/>
          <w:szCs w:val="28"/>
          <w:lang w:val="ro-RO"/>
        </w:rPr>
        <w:t>operaţională</w:t>
      </w:r>
      <w:r w:rsidRPr="00933534">
        <w:rPr>
          <w:sz w:val="28"/>
          <w:szCs w:val="28"/>
          <w:lang w:val="ro-RO"/>
        </w:rPr>
        <w:t xml:space="preserve"> - fluxul numerarului condiţionat de activitatea organizației de microfinanțare privind atragerea sub formă de credite şi împrumuturi primite, precum şi împrumuturile acordate şi dobânzile aferente şi anume:</w:t>
      </w:r>
    </w:p>
    <w:p w:rsidR="006C7862" w:rsidRPr="00933534" w:rsidRDefault="006C7862" w:rsidP="006C7862">
      <w:pPr>
        <w:pStyle w:val="ListParagraph"/>
        <w:tabs>
          <w:tab w:val="left" w:pos="284"/>
        </w:tabs>
        <w:spacing w:after="0" w:line="240" w:lineRule="auto"/>
        <w:ind w:left="0"/>
        <w:contextualSpacing w:val="0"/>
        <w:jc w:val="both"/>
        <w:rPr>
          <w:rFonts w:ascii="Times New Roman" w:hAnsi="Times New Roman"/>
          <w:b/>
          <w:bCs/>
          <w:iCs/>
          <w:sz w:val="28"/>
          <w:szCs w:val="28"/>
          <w:lang w:val="ro-RO"/>
        </w:rPr>
      </w:pPr>
      <w:r w:rsidRPr="00933534">
        <w:rPr>
          <w:rFonts w:ascii="Times New Roman" w:hAnsi="Times New Roman"/>
          <w:b/>
          <w:color w:val="000000"/>
          <w:sz w:val="28"/>
          <w:szCs w:val="28"/>
          <w:lang w:val="ro-RO"/>
        </w:rPr>
        <w:t>a)F</w:t>
      </w:r>
      <w:r w:rsidRPr="00933534">
        <w:rPr>
          <w:rFonts w:ascii="Times New Roman" w:hAnsi="Times New Roman"/>
          <w:b/>
          <w:bCs/>
          <w:iCs/>
          <w:sz w:val="28"/>
          <w:szCs w:val="28"/>
          <w:lang w:val="ro-RO"/>
        </w:rPr>
        <w:t>luxul de numerar – generator al principalei surse de venituri:</w:t>
      </w:r>
    </w:p>
    <w:p w:rsidR="006C7862" w:rsidRPr="00933534" w:rsidRDefault="006C7862" w:rsidP="006C7862">
      <w:pPr>
        <w:pStyle w:val="BodyTextIndent"/>
        <w:tabs>
          <w:tab w:val="left" w:pos="284"/>
          <w:tab w:val="left" w:pos="567"/>
        </w:tabs>
        <w:spacing w:after="0" w:line="240" w:lineRule="auto"/>
        <w:ind w:left="0"/>
        <w:jc w:val="both"/>
        <w:rPr>
          <w:rFonts w:ascii="Times New Roman" w:hAnsi="Times New Roman"/>
          <w:bCs/>
          <w:iCs/>
          <w:sz w:val="28"/>
          <w:szCs w:val="28"/>
          <w:lang w:val="ro-RO"/>
        </w:rPr>
      </w:pPr>
      <w:r w:rsidRPr="00933534">
        <w:rPr>
          <w:rFonts w:ascii="Times New Roman" w:hAnsi="Times New Roman"/>
          <w:b/>
          <w:color w:val="000000"/>
          <w:sz w:val="28"/>
          <w:szCs w:val="28"/>
          <w:lang w:val="ro-RO"/>
        </w:rPr>
        <w:t>1.</w:t>
      </w:r>
      <w:r w:rsidRPr="00933534">
        <w:rPr>
          <w:rFonts w:ascii="Times New Roman" w:hAnsi="Times New Roman"/>
          <w:color w:val="000000"/>
          <w:sz w:val="28"/>
          <w:szCs w:val="28"/>
          <w:lang w:val="ro-RO"/>
        </w:rPr>
        <w:t xml:space="preserve"> În rândul 010 </w:t>
      </w:r>
      <w:r w:rsidRPr="00933534">
        <w:rPr>
          <w:rFonts w:ascii="Times New Roman" w:hAnsi="Times New Roman"/>
          <w:sz w:val="28"/>
          <w:szCs w:val="28"/>
          <w:lang w:val="ro-RO"/>
        </w:rPr>
        <w:t>„</w:t>
      </w:r>
      <w:r w:rsidRPr="00933534">
        <w:rPr>
          <w:rFonts w:ascii="Times New Roman" w:hAnsi="Times New Roman"/>
          <w:color w:val="000000"/>
          <w:sz w:val="28"/>
          <w:szCs w:val="28"/>
          <w:lang w:val="ro-RO"/>
        </w:rPr>
        <w:t>Dobânzi încasate</w:t>
      </w:r>
      <w:r w:rsidRPr="00933534">
        <w:rPr>
          <w:rFonts w:ascii="Times New Roman" w:hAnsi="Times New Roman"/>
          <w:sz w:val="28"/>
          <w:szCs w:val="28"/>
          <w:lang w:val="ro-RO"/>
        </w:rPr>
        <w:t>”</w:t>
      </w:r>
      <w:r w:rsidRPr="00933534">
        <w:rPr>
          <w:rFonts w:ascii="Times New Roman" w:hAnsi="Times New Roman"/>
          <w:color w:val="000000"/>
          <w:sz w:val="28"/>
          <w:szCs w:val="28"/>
          <w:lang w:val="ro-RO"/>
        </w:rPr>
        <w:t xml:space="preserve"> se reflectă numerarul încasat </w:t>
      </w:r>
      <w:r w:rsidRPr="00933534">
        <w:rPr>
          <w:rFonts w:ascii="Times New Roman" w:hAnsi="Times New Roman"/>
          <w:sz w:val="28"/>
          <w:szCs w:val="28"/>
          <w:lang w:val="ro-RO"/>
        </w:rPr>
        <w:t xml:space="preserve">efectiv din dobânzile aferente împrumuturilor acordate, </w:t>
      </w:r>
      <w:r w:rsidRPr="00933534">
        <w:rPr>
          <w:rFonts w:ascii="Times New Roman" w:hAnsi="Times New Roman"/>
          <w:bCs/>
          <w:iCs/>
          <w:sz w:val="28"/>
          <w:szCs w:val="28"/>
          <w:lang w:val="ro-RO"/>
        </w:rPr>
        <w:t>comisioanele aferente împrumuturilor acordate; dobânzi de întîrziere şi penalităţi privind împrumuturile acordate şi nerambursate la scadenţă.</w:t>
      </w:r>
    </w:p>
    <w:p w:rsidR="006C7862" w:rsidRPr="00933534" w:rsidRDefault="006C7862" w:rsidP="006C7862">
      <w:pPr>
        <w:pStyle w:val="ListParagraph"/>
        <w:tabs>
          <w:tab w:val="left" w:pos="284"/>
          <w:tab w:val="left" w:pos="426"/>
        </w:tabs>
        <w:spacing w:after="0" w:line="240" w:lineRule="auto"/>
        <w:ind w:left="0"/>
        <w:contextualSpacing w:val="0"/>
        <w:jc w:val="both"/>
        <w:rPr>
          <w:rFonts w:ascii="Times New Roman" w:hAnsi="Times New Roman"/>
          <w:bCs/>
          <w:iCs/>
          <w:sz w:val="28"/>
          <w:szCs w:val="28"/>
          <w:lang w:val="ro-RO"/>
        </w:rPr>
      </w:pPr>
      <w:r w:rsidRPr="00933534">
        <w:rPr>
          <w:rFonts w:ascii="Times New Roman" w:hAnsi="Times New Roman"/>
          <w:b/>
          <w:color w:val="000000"/>
          <w:sz w:val="28"/>
          <w:szCs w:val="28"/>
          <w:lang w:val="ro-RO"/>
        </w:rPr>
        <w:t>2.</w:t>
      </w:r>
      <w:r w:rsidRPr="00933534">
        <w:rPr>
          <w:rFonts w:ascii="Times New Roman" w:hAnsi="Times New Roman"/>
          <w:color w:val="000000"/>
          <w:sz w:val="28"/>
          <w:szCs w:val="28"/>
          <w:lang w:val="ro-RO"/>
        </w:rPr>
        <w:t xml:space="preserve"> În rândul 020 </w:t>
      </w:r>
      <w:r w:rsidRPr="00933534">
        <w:rPr>
          <w:rFonts w:ascii="Times New Roman" w:hAnsi="Times New Roman"/>
          <w:sz w:val="28"/>
          <w:szCs w:val="28"/>
          <w:lang w:val="ro-RO"/>
        </w:rPr>
        <w:t>„</w:t>
      </w:r>
      <w:r w:rsidRPr="00933534">
        <w:rPr>
          <w:rFonts w:ascii="Times New Roman" w:hAnsi="Times New Roman"/>
          <w:color w:val="000000"/>
          <w:sz w:val="28"/>
          <w:szCs w:val="28"/>
          <w:lang w:val="ro-RO"/>
        </w:rPr>
        <w:t>Dobânzi plătite</w:t>
      </w:r>
      <w:r w:rsidRPr="00933534">
        <w:rPr>
          <w:rFonts w:ascii="Times New Roman" w:hAnsi="Times New Roman"/>
          <w:sz w:val="28"/>
          <w:szCs w:val="28"/>
          <w:lang w:val="en-US"/>
        </w:rPr>
        <w:t>”</w:t>
      </w:r>
      <w:r w:rsidRPr="00933534">
        <w:rPr>
          <w:rFonts w:ascii="Times New Roman" w:hAnsi="Times New Roman"/>
          <w:color w:val="000000"/>
          <w:sz w:val="28"/>
          <w:szCs w:val="28"/>
          <w:lang w:val="ro-RO"/>
        </w:rPr>
        <w:t xml:space="preserve"> se indică plăţile </w:t>
      </w:r>
      <w:r w:rsidRPr="00933534">
        <w:rPr>
          <w:rFonts w:ascii="Times New Roman" w:hAnsi="Times New Roman"/>
          <w:sz w:val="28"/>
          <w:szCs w:val="28"/>
          <w:lang w:val="ro-RO"/>
        </w:rPr>
        <w:t>dobânzilor</w:t>
      </w:r>
      <w:r w:rsidRPr="00933534">
        <w:rPr>
          <w:rFonts w:ascii="Times New Roman" w:hAnsi="Times New Roman"/>
          <w:color w:val="000000"/>
          <w:sz w:val="28"/>
          <w:szCs w:val="28"/>
          <w:lang w:val="ro-RO"/>
        </w:rPr>
        <w:t xml:space="preserve"> în numerar </w:t>
      </w:r>
      <w:r w:rsidRPr="00933534">
        <w:rPr>
          <w:rFonts w:ascii="Times New Roman" w:hAnsi="Times New Roman"/>
          <w:sz w:val="28"/>
          <w:szCs w:val="28"/>
          <w:lang w:val="ro-RO"/>
        </w:rPr>
        <w:t>ale creditorilor pentru împrumuturile şi creditele primite.</w:t>
      </w:r>
    </w:p>
    <w:p w:rsidR="006C7862" w:rsidRPr="00933534" w:rsidRDefault="006C7862" w:rsidP="006C7862">
      <w:pPr>
        <w:pStyle w:val="ListParagraph"/>
        <w:tabs>
          <w:tab w:val="left" w:pos="284"/>
          <w:tab w:val="left" w:pos="426"/>
        </w:tabs>
        <w:spacing w:after="0" w:line="240" w:lineRule="auto"/>
        <w:ind w:left="0"/>
        <w:contextualSpacing w:val="0"/>
        <w:jc w:val="both"/>
        <w:rPr>
          <w:rFonts w:ascii="Times New Roman" w:hAnsi="Times New Roman"/>
          <w:color w:val="000000"/>
          <w:sz w:val="28"/>
          <w:szCs w:val="28"/>
          <w:lang w:val="ro-RO"/>
        </w:rPr>
      </w:pPr>
      <w:r w:rsidRPr="00933534">
        <w:rPr>
          <w:rFonts w:ascii="Times New Roman" w:hAnsi="Times New Roman"/>
          <w:b/>
          <w:color w:val="000000"/>
          <w:sz w:val="28"/>
          <w:szCs w:val="28"/>
          <w:lang w:val="ro-RO"/>
        </w:rPr>
        <w:t xml:space="preserve">3. </w:t>
      </w:r>
      <w:r w:rsidRPr="00933534">
        <w:rPr>
          <w:rFonts w:ascii="Times New Roman" w:hAnsi="Times New Roman"/>
          <w:color w:val="000000"/>
          <w:sz w:val="28"/>
          <w:szCs w:val="28"/>
          <w:lang w:val="ro-RO"/>
        </w:rPr>
        <w:t xml:space="preserve">În rândul 030 </w:t>
      </w:r>
      <w:r w:rsidRPr="00933534">
        <w:rPr>
          <w:rFonts w:ascii="Times New Roman" w:hAnsi="Times New Roman"/>
          <w:sz w:val="28"/>
          <w:szCs w:val="28"/>
          <w:lang w:val="ro-RO"/>
        </w:rPr>
        <w:t>„</w:t>
      </w:r>
      <w:r w:rsidRPr="00933534">
        <w:rPr>
          <w:rFonts w:ascii="Times New Roman" w:hAnsi="Times New Roman"/>
          <w:color w:val="000000"/>
          <w:sz w:val="28"/>
          <w:szCs w:val="28"/>
          <w:lang w:val="ro-RO"/>
        </w:rPr>
        <w:t>Încasări din recuperarea împrumuturilor şi creanţelor decontate anterior</w:t>
      </w:r>
      <w:r w:rsidRPr="00933534">
        <w:rPr>
          <w:rFonts w:ascii="Times New Roman" w:hAnsi="Times New Roman"/>
          <w:sz w:val="28"/>
          <w:szCs w:val="28"/>
          <w:lang w:val="en-US"/>
        </w:rPr>
        <w:t>”</w:t>
      </w:r>
      <w:r w:rsidRPr="00933534">
        <w:rPr>
          <w:rFonts w:ascii="Times New Roman" w:hAnsi="Times New Roman"/>
          <w:color w:val="000000"/>
          <w:sz w:val="28"/>
          <w:szCs w:val="28"/>
          <w:lang w:val="ro-RO"/>
        </w:rPr>
        <w:t xml:space="preserve"> se reflectă numerarul încasat din recuperarea împrumuturilor şi creanţelor restabilite, care au fost decontate anterior,</w:t>
      </w:r>
      <w:r w:rsidRPr="00933534">
        <w:rPr>
          <w:rFonts w:ascii="Times New Roman" w:hAnsi="Times New Roman"/>
          <w:bCs/>
          <w:iCs/>
          <w:sz w:val="28"/>
          <w:szCs w:val="28"/>
          <w:lang w:val="ro-RO"/>
        </w:rPr>
        <w:t xml:space="preserve"> dobânzile de întârziere şi penalităţi calculate la împrumuturile decontate anterior şi trecute în conturile extrabilanţiere.</w:t>
      </w:r>
    </w:p>
    <w:p w:rsidR="006C7862" w:rsidRPr="00933534" w:rsidRDefault="006C7862" w:rsidP="006C7862">
      <w:pPr>
        <w:pStyle w:val="ListParagraph"/>
        <w:tabs>
          <w:tab w:val="left" w:pos="284"/>
          <w:tab w:val="left" w:pos="426"/>
        </w:tabs>
        <w:spacing w:after="0" w:line="240" w:lineRule="auto"/>
        <w:ind w:left="0"/>
        <w:contextualSpacing w:val="0"/>
        <w:jc w:val="both"/>
        <w:rPr>
          <w:rFonts w:ascii="Times New Roman" w:hAnsi="Times New Roman"/>
          <w:color w:val="000000"/>
          <w:sz w:val="28"/>
          <w:szCs w:val="28"/>
          <w:lang w:val="ro-RO"/>
        </w:rPr>
      </w:pPr>
      <w:r w:rsidRPr="00933534">
        <w:rPr>
          <w:rFonts w:ascii="Times New Roman" w:hAnsi="Times New Roman"/>
          <w:b/>
          <w:color w:val="000000"/>
          <w:sz w:val="28"/>
          <w:szCs w:val="28"/>
          <w:lang w:val="ro-RO"/>
        </w:rPr>
        <w:t>4.</w:t>
      </w:r>
      <w:r w:rsidRPr="00933534">
        <w:rPr>
          <w:rFonts w:ascii="Times New Roman" w:hAnsi="Times New Roman"/>
          <w:color w:val="000000"/>
          <w:sz w:val="28"/>
          <w:szCs w:val="28"/>
          <w:lang w:val="ro-RO"/>
        </w:rPr>
        <w:t xml:space="preserve"> În rândul 040 </w:t>
      </w:r>
      <w:r w:rsidRPr="00933534">
        <w:rPr>
          <w:rFonts w:ascii="Times New Roman" w:hAnsi="Times New Roman"/>
          <w:sz w:val="28"/>
          <w:szCs w:val="28"/>
          <w:lang w:val="ro-RO"/>
        </w:rPr>
        <w:t>„</w:t>
      </w:r>
      <w:r w:rsidRPr="00933534">
        <w:rPr>
          <w:rFonts w:ascii="Times New Roman" w:hAnsi="Times New Roman"/>
          <w:color w:val="000000"/>
          <w:sz w:val="28"/>
          <w:szCs w:val="28"/>
          <w:lang w:val="ro-RO"/>
        </w:rPr>
        <w:t>Plăţi către angajaţi şi organe de asigurare socială şi medicală</w:t>
      </w:r>
      <w:r w:rsidRPr="00933534">
        <w:rPr>
          <w:rFonts w:ascii="Times New Roman" w:hAnsi="Times New Roman"/>
          <w:sz w:val="28"/>
          <w:szCs w:val="28"/>
          <w:lang w:val="en-US"/>
        </w:rPr>
        <w:t>”</w:t>
      </w:r>
      <w:r w:rsidRPr="00933534">
        <w:rPr>
          <w:rFonts w:ascii="Times New Roman" w:hAnsi="Times New Roman"/>
          <w:color w:val="000000"/>
          <w:sz w:val="28"/>
          <w:szCs w:val="28"/>
          <w:lang w:val="ro-RO"/>
        </w:rPr>
        <w:t xml:space="preserve"> se reflectă numerarul plătit salariaţilor în contul retribuirii muncii şi altor operațiuni (cu excepţia împrumuturilor acordate şi dividendelor plătite) şi organelor de asigurare socială şi medicală privind contribuţiile de asigurări sociale de stat obligatorii şi primele de asigurare obligatorie de asistenţă medicală ale angajatorilor şi angajaţilor.</w:t>
      </w:r>
    </w:p>
    <w:p w:rsidR="006C7862" w:rsidRPr="00933534" w:rsidRDefault="006C7862" w:rsidP="006C7862">
      <w:pPr>
        <w:pStyle w:val="ListParagraph"/>
        <w:numPr>
          <w:ilvl w:val="0"/>
          <w:numId w:val="2"/>
        </w:numPr>
        <w:tabs>
          <w:tab w:val="left" w:pos="284"/>
          <w:tab w:val="left" w:pos="426"/>
        </w:tabs>
        <w:spacing w:after="0" w:line="240" w:lineRule="auto"/>
        <w:ind w:left="0" w:firstLine="0"/>
        <w:contextualSpacing w:val="0"/>
        <w:jc w:val="both"/>
        <w:rPr>
          <w:rFonts w:ascii="Times New Roman" w:hAnsi="Times New Roman"/>
          <w:color w:val="000000"/>
          <w:sz w:val="28"/>
          <w:szCs w:val="28"/>
          <w:lang w:val="ro-RO"/>
        </w:rPr>
      </w:pPr>
      <w:r w:rsidRPr="00933534">
        <w:rPr>
          <w:rFonts w:ascii="Times New Roman" w:hAnsi="Times New Roman"/>
          <w:color w:val="000000"/>
          <w:sz w:val="28"/>
          <w:szCs w:val="28"/>
          <w:lang w:val="ro-RO"/>
        </w:rPr>
        <w:t xml:space="preserve">În rândul 050 </w:t>
      </w:r>
      <w:r w:rsidRPr="00933534">
        <w:rPr>
          <w:rFonts w:ascii="Times New Roman" w:hAnsi="Times New Roman"/>
          <w:sz w:val="28"/>
          <w:szCs w:val="28"/>
          <w:lang w:val="ro-RO"/>
        </w:rPr>
        <w:t>„</w:t>
      </w:r>
      <w:r w:rsidRPr="00933534">
        <w:rPr>
          <w:rFonts w:ascii="Times New Roman" w:hAnsi="Times New Roman"/>
          <w:color w:val="000000"/>
          <w:sz w:val="28"/>
          <w:szCs w:val="28"/>
          <w:lang w:val="ro-RO"/>
        </w:rPr>
        <w:t>Plata impozitului pe venit</w:t>
      </w:r>
      <w:r w:rsidRPr="00933534">
        <w:rPr>
          <w:rFonts w:ascii="Times New Roman" w:hAnsi="Times New Roman"/>
          <w:sz w:val="28"/>
          <w:szCs w:val="28"/>
          <w:lang w:val="en-US"/>
        </w:rPr>
        <w:t>”</w:t>
      </w:r>
      <w:r w:rsidRPr="00933534">
        <w:rPr>
          <w:rFonts w:ascii="Times New Roman" w:hAnsi="Times New Roman"/>
          <w:color w:val="000000"/>
          <w:sz w:val="28"/>
          <w:szCs w:val="28"/>
          <w:lang w:val="ro-RO"/>
        </w:rPr>
        <w:t xml:space="preserve"> se reflectă plăţile de numerar achitate la buget aferente impozitului pe venit din activitatea de întreprinzător.</w:t>
      </w:r>
    </w:p>
    <w:p w:rsidR="006C7862" w:rsidRPr="00933534" w:rsidRDefault="006C7862" w:rsidP="006C7862">
      <w:pPr>
        <w:pStyle w:val="ListParagraph"/>
        <w:numPr>
          <w:ilvl w:val="0"/>
          <w:numId w:val="2"/>
        </w:numPr>
        <w:tabs>
          <w:tab w:val="left" w:pos="284"/>
          <w:tab w:val="left" w:pos="426"/>
        </w:tabs>
        <w:spacing w:after="0" w:line="240" w:lineRule="auto"/>
        <w:ind w:left="0" w:firstLine="0"/>
        <w:contextualSpacing w:val="0"/>
        <w:jc w:val="both"/>
        <w:rPr>
          <w:rFonts w:ascii="Times New Roman" w:hAnsi="Times New Roman"/>
          <w:color w:val="000000"/>
          <w:sz w:val="28"/>
          <w:szCs w:val="28"/>
          <w:lang w:val="ro-RO"/>
        </w:rPr>
      </w:pPr>
      <w:r w:rsidRPr="00933534">
        <w:rPr>
          <w:rFonts w:ascii="Times New Roman" w:hAnsi="Times New Roman"/>
          <w:color w:val="000000"/>
          <w:sz w:val="28"/>
          <w:szCs w:val="28"/>
          <w:lang w:val="ro-RO"/>
        </w:rPr>
        <w:lastRenderedPageBreak/>
        <w:t xml:space="preserve">În rândul 060 </w:t>
      </w:r>
      <w:r w:rsidRPr="00933534">
        <w:rPr>
          <w:rFonts w:ascii="Times New Roman" w:hAnsi="Times New Roman"/>
          <w:sz w:val="28"/>
          <w:szCs w:val="28"/>
          <w:lang w:val="ro-RO"/>
        </w:rPr>
        <w:t>„</w:t>
      </w:r>
      <w:r w:rsidRPr="00933534">
        <w:rPr>
          <w:rFonts w:ascii="Times New Roman" w:hAnsi="Times New Roman"/>
          <w:color w:val="000000"/>
          <w:sz w:val="28"/>
          <w:szCs w:val="28"/>
          <w:lang w:val="ro-RO"/>
        </w:rPr>
        <w:t>Alte încasări</w:t>
      </w:r>
      <w:r w:rsidRPr="00933534">
        <w:rPr>
          <w:rFonts w:ascii="Times New Roman" w:hAnsi="Times New Roman"/>
          <w:sz w:val="28"/>
          <w:szCs w:val="28"/>
          <w:lang w:val="en-US"/>
        </w:rPr>
        <w:t>”</w:t>
      </w:r>
      <w:r w:rsidRPr="00933534">
        <w:rPr>
          <w:rFonts w:ascii="Times New Roman" w:hAnsi="Times New Roman"/>
          <w:color w:val="000000"/>
          <w:sz w:val="28"/>
          <w:szCs w:val="28"/>
          <w:lang w:val="ro-RO"/>
        </w:rPr>
        <w:t xml:space="preserve"> se înscrie sumele încasărilor de numerar rezultate din activitatea operaţională, care nu sunt incluse în rândul 010 şi provenite din:</w:t>
      </w:r>
    </w:p>
    <w:p w:rsidR="006C7862" w:rsidRPr="00933534" w:rsidRDefault="006C7862" w:rsidP="006C7862">
      <w:pPr>
        <w:pStyle w:val="BodyTextIndent"/>
        <w:tabs>
          <w:tab w:val="left" w:pos="284"/>
          <w:tab w:val="left" w:pos="567"/>
        </w:tabs>
        <w:spacing w:after="0" w:line="240" w:lineRule="auto"/>
        <w:ind w:left="0"/>
        <w:jc w:val="both"/>
        <w:rPr>
          <w:rFonts w:ascii="Times New Roman" w:hAnsi="Times New Roman"/>
          <w:bCs/>
          <w:iCs/>
          <w:sz w:val="28"/>
          <w:szCs w:val="28"/>
          <w:lang w:val="ro-RO"/>
        </w:rPr>
      </w:pPr>
      <w:r w:rsidRPr="00933534">
        <w:rPr>
          <w:rFonts w:ascii="Times New Roman" w:hAnsi="Times New Roman"/>
          <w:bCs/>
          <w:iCs/>
          <w:sz w:val="28"/>
          <w:szCs w:val="28"/>
          <w:lang w:val="ro-RO"/>
        </w:rPr>
        <w:t>dobânzi aferente depozitelor bancare;</w:t>
      </w:r>
    </w:p>
    <w:p w:rsidR="006C7862" w:rsidRPr="00933534" w:rsidRDefault="006C7862" w:rsidP="006C7862">
      <w:pPr>
        <w:pStyle w:val="BodyTextIndent"/>
        <w:tabs>
          <w:tab w:val="left" w:pos="284"/>
          <w:tab w:val="left" w:pos="567"/>
        </w:tabs>
        <w:spacing w:after="0" w:line="240" w:lineRule="auto"/>
        <w:ind w:left="0"/>
        <w:jc w:val="both"/>
        <w:rPr>
          <w:rFonts w:ascii="Times New Roman" w:hAnsi="Times New Roman"/>
          <w:bCs/>
          <w:iCs/>
          <w:sz w:val="28"/>
          <w:szCs w:val="28"/>
          <w:lang w:val="ro-RO"/>
        </w:rPr>
      </w:pPr>
      <w:r w:rsidRPr="00933534">
        <w:rPr>
          <w:rFonts w:ascii="Times New Roman" w:hAnsi="Times New Roman"/>
          <w:bCs/>
          <w:iCs/>
          <w:sz w:val="28"/>
          <w:szCs w:val="28"/>
          <w:lang w:val="ro-RO"/>
        </w:rPr>
        <w:t>servicii de consultanţă aferente activităţii de bază;</w:t>
      </w:r>
    </w:p>
    <w:p w:rsidR="006C7862" w:rsidRPr="00933534" w:rsidRDefault="006C7862" w:rsidP="006C7862">
      <w:pPr>
        <w:pStyle w:val="BodyTextIndent"/>
        <w:tabs>
          <w:tab w:val="left" w:pos="284"/>
          <w:tab w:val="left" w:pos="567"/>
        </w:tabs>
        <w:spacing w:after="0" w:line="240" w:lineRule="auto"/>
        <w:ind w:left="0"/>
        <w:jc w:val="both"/>
        <w:rPr>
          <w:rFonts w:ascii="Times New Roman" w:hAnsi="Times New Roman"/>
          <w:bCs/>
          <w:iCs/>
          <w:sz w:val="28"/>
          <w:szCs w:val="28"/>
          <w:lang w:val="ro-RO"/>
        </w:rPr>
      </w:pPr>
      <w:r w:rsidRPr="00933534">
        <w:rPr>
          <w:rFonts w:ascii="Times New Roman" w:hAnsi="Times New Roman"/>
          <w:bCs/>
          <w:iCs/>
          <w:sz w:val="28"/>
          <w:szCs w:val="28"/>
          <w:lang w:val="ro-RO"/>
        </w:rPr>
        <w:t>acordarea serviciilor de intermediere în asigurări în calitate de agent bancassurance;</w:t>
      </w:r>
    </w:p>
    <w:p w:rsidR="006C7862" w:rsidRPr="00933534" w:rsidRDefault="006C7862" w:rsidP="006C7862">
      <w:pPr>
        <w:pStyle w:val="BodyTextIndent"/>
        <w:tabs>
          <w:tab w:val="left" w:pos="284"/>
          <w:tab w:val="left" w:pos="567"/>
        </w:tabs>
        <w:spacing w:after="0" w:line="240" w:lineRule="auto"/>
        <w:ind w:left="0"/>
        <w:jc w:val="both"/>
        <w:rPr>
          <w:rFonts w:ascii="Times New Roman" w:hAnsi="Times New Roman"/>
          <w:bCs/>
          <w:iCs/>
          <w:sz w:val="28"/>
          <w:szCs w:val="28"/>
          <w:lang w:val="ro-RO"/>
        </w:rPr>
      </w:pPr>
      <w:r w:rsidRPr="00933534">
        <w:rPr>
          <w:rFonts w:ascii="Times New Roman" w:hAnsi="Times New Roman"/>
          <w:bCs/>
          <w:iCs/>
          <w:sz w:val="28"/>
          <w:szCs w:val="28"/>
          <w:lang w:val="ro-RO"/>
        </w:rPr>
        <w:t>subvenţii, donaţii, prime şi sponsorizări;</w:t>
      </w:r>
    </w:p>
    <w:p w:rsidR="006C7862" w:rsidRPr="00933534" w:rsidRDefault="006C7862" w:rsidP="006C7862">
      <w:pPr>
        <w:pStyle w:val="BodyTextIndent"/>
        <w:tabs>
          <w:tab w:val="left" w:pos="284"/>
          <w:tab w:val="left" w:pos="567"/>
        </w:tabs>
        <w:spacing w:after="0" w:line="240" w:lineRule="auto"/>
        <w:ind w:left="0"/>
        <w:jc w:val="both"/>
        <w:rPr>
          <w:rFonts w:ascii="Times New Roman" w:hAnsi="Times New Roman"/>
          <w:bCs/>
          <w:iCs/>
          <w:sz w:val="28"/>
          <w:szCs w:val="28"/>
          <w:lang w:val="ro-RO"/>
        </w:rPr>
      </w:pPr>
      <w:r w:rsidRPr="00933534">
        <w:rPr>
          <w:rFonts w:ascii="Times New Roman" w:hAnsi="Times New Roman"/>
          <w:bCs/>
          <w:iCs/>
          <w:sz w:val="28"/>
          <w:szCs w:val="28"/>
          <w:lang w:val="ro-RO"/>
        </w:rPr>
        <w:t>alte încasări care nu sunt legate de activitatea de investiţii şi cea financiară.</w:t>
      </w:r>
    </w:p>
    <w:p w:rsidR="006C7862" w:rsidRPr="00933534" w:rsidRDefault="006C7862" w:rsidP="006C7862">
      <w:pPr>
        <w:pStyle w:val="ListParagraph"/>
        <w:numPr>
          <w:ilvl w:val="0"/>
          <w:numId w:val="2"/>
        </w:numPr>
        <w:tabs>
          <w:tab w:val="left" w:pos="284"/>
          <w:tab w:val="left" w:pos="426"/>
        </w:tabs>
        <w:spacing w:after="0" w:line="240" w:lineRule="auto"/>
        <w:ind w:left="0" w:firstLine="0"/>
        <w:contextualSpacing w:val="0"/>
        <w:jc w:val="both"/>
        <w:rPr>
          <w:rFonts w:ascii="Times New Roman" w:hAnsi="Times New Roman"/>
          <w:color w:val="000000"/>
          <w:sz w:val="28"/>
          <w:szCs w:val="28"/>
          <w:lang w:val="ro-RO"/>
        </w:rPr>
      </w:pPr>
      <w:r w:rsidRPr="00933534">
        <w:rPr>
          <w:rFonts w:ascii="Times New Roman" w:hAnsi="Times New Roman"/>
          <w:color w:val="000000"/>
          <w:sz w:val="28"/>
          <w:szCs w:val="28"/>
          <w:lang w:val="ro-RO"/>
        </w:rPr>
        <w:t xml:space="preserve">În rândul 070 </w:t>
      </w:r>
      <w:r w:rsidRPr="00933534">
        <w:rPr>
          <w:rFonts w:ascii="Times New Roman" w:hAnsi="Times New Roman"/>
          <w:sz w:val="28"/>
          <w:szCs w:val="28"/>
          <w:lang w:val="ro-RO"/>
        </w:rPr>
        <w:t>„</w:t>
      </w:r>
      <w:r w:rsidRPr="00933534">
        <w:rPr>
          <w:rFonts w:ascii="Times New Roman" w:hAnsi="Times New Roman"/>
          <w:color w:val="000000"/>
          <w:sz w:val="28"/>
          <w:szCs w:val="28"/>
          <w:lang w:val="ro-RO"/>
        </w:rPr>
        <w:t>Alte plăți</w:t>
      </w:r>
      <w:r w:rsidRPr="00933534">
        <w:rPr>
          <w:rFonts w:ascii="Times New Roman" w:hAnsi="Times New Roman"/>
          <w:sz w:val="28"/>
          <w:szCs w:val="28"/>
          <w:lang w:val="en-US"/>
        </w:rPr>
        <w:t>”</w:t>
      </w:r>
      <w:r w:rsidRPr="00933534">
        <w:rPr>
          <w:rFonts w:ascii="Times New Roman" w:hAnsi="Times New Roman"/>
          <w:color w:val="000000"/>
          <w:sz w:val="28"/>
          <w:szCs w:val="28"/>
          <w:lang w:val="ro-RO"/>
        </w:rPr>
        <w:t xml:space="preserve"> se indică sumele altor plăti de numerar rezultate din activitatea operaţională, care nu sunt incluse în rândurile 020, 040 şi 050 şi includ:</w:t>
      </w:r>
    </w:p>
    <w:p w:rsidR="006C7862" w:rsidRPr="00933534" w:rsidRDefault="006C7862" w:rsidP="006C7862">
      <w:pPr>
        <w:pStyle w:val="BodyTextIndent"/>
        <w:tabs>
          <w:tab w:val="left" w:pos="284"/>
          <w:tab w:val="left" w:pos="567"/>
        </w:tabs>
        <w:spacing w:after="0" w:line="240" w:lineRule="auto"/>
        <w:ind w:left="0"/>
        <w:jc w:val="both"/>
        <w:rPr>
          <w:rFonts w:ascii="Times New Roman" w:hAnsi="Times New Roman"/>
          <w:bCs/>
          <w:iCs/>
          <w:sz w:val="28"/>
          <w:szCs w:val="28"/>
          <w:lang w:val="ro-RO"/>
        </w:rPr>
      </w:pPr>
      <w:r w:rsidRPr="00933534">
        <w:rPr>
          <w:rFonts w:ascii="Times New Roman" w:hAnsi="Times New Roman"/>
          <w:bCs/>
          <w:iCs/>
          <w:sz w:val="28"/>
          <w:szCs w:val="28"/>
          <w:lang w:val="ro-RO"/>
        </w:rPr>
        <w:t>plata amenzilor, penalităţilor şi despăgubirilor;</w:t>
      </w:r>
    </w:p>
    <w:p w:rsidR="006C7862" w:rsidRPr="00933534" w:rsidRDefault="006C7862" w:rsidP="006C7862">
      <w:pPr>
        <w:pStyle w:val="BodyTextIndent"/>
        <w:tabs>
          <w:tab w:val="left" w:pos="284"/>
          <w:tab w:val="left" w:pos="567"/>
        </w:tabs>
        <w:spacing w:after="0" w:line="240" w:lineRule="auto"/>
        <w:ind w:left="0"/>
        <w:jc w:val="both"/>
        <w:rPr>
          <w:rFonts w:ascii="Times New Roman" w:hAnsi="Times New Roman"/>
          <w:bCs/>
          <w:iCs/>
          <w:sz w:val="28"/>
          <w:szCs w:val="28"/>
          <w:lang w:val="ro-RO"/>
        </w:rPr>
      </w:pPr>
      <w:r w:rsidRPr="00933534">
        <w:rPr>
          <w:rFonts w:ascii="Times New Roman" w:hAnsi="Times New Roman"/>
          <w:bCs/>
          <w:iCs/>
          <w:sz w:val="28"/>
          <w:szCs w:val="28"/>
          <w:lang w:val="ro-RO"/>
        </w:rPr>
        <w:t>plata altor impozite şi taxe locale;</w:t>
      </w:r>
    </w:p>
    <w:p w:rsidR="006C7862" w:rsidRPr="00933534" w:rsidRDefault="006C7862" w:rsidP="006C7862">
      <w:pPr>
        <w:pStyle w:val="BodyTextIndent"/>
        <w:tabs>
          <w:tab w:val="left" w:pos="284"/>
          <w:tab w:val="left" w:pos="567"/>
        </w:tabs>
        <w:spacing w:after="0" w:line="240" w:lineRule="auto"/>
        <w:ind w:left="0"/>
        <w:jc w:val="both"/>
        <w:rPr>
          <w:rFonts w:ascii="Times New Roman" w:hAnsi="Times New Roman"/>
          <w:bCs/>
          <w:iCs/>
          <w:sz w:val="28"/>
          <w:szCs w:val="28"/>
          <w:lang w:val="ro-RO"/>
        </w:rPr>
      </w:pPr>
      <w:r w:rsidRPr="00933534">
        <w:rPr>
          <w:rFonts w:ascii="Times New Roman" w:hAnsi="Times New Roman"/>
          <w:bCs/>
          <w:iCs/>
          <w:sz w:val="28"/>
          <w:szCs w:val="28"/>
          <w:lang w:val="ro-RO"/>
        </w:rPr>
        <w:t>alte plăti care nu sunt legate de activitatea de investiţii şi cea financiară.</w:t>
      </w:r>
    </w:p>
    <w:p w:rsidR="006C7862" w:rsidRPr="00933534" w:rsidRDefault="006C7862" w:rsidP="006C7862">
      <w:pPr>
        <w:pStyle w:val="ListParagraph"/>
        <w:numPr>
          <w:ilvl w:val="0"/>
          <w:numId w:val="2"/>
        </w:numPr>
        <w:tabs>
          <w:tab w:val="left" w:pos="284"/>
          <w:tab w:val="left" w:pos="426"/>
        </w:tabs>
        <w:spacing w:after="0" w:line="240" w:lineRule="auto"/>
        <w:ind w:left="0" w:firstLine="0"/>
        <w:contextualSpacing w:val="0"/>
        <w:jc w:val="both"/>
        <w:rPr>
          <w:rFonts w:ascii="Times New Roman" w:hAnsi="Times New Roman"/>
          <w:color w:val="000000"/>
          <w:sz w:val="28"/>
          <w:szCs w:val="28"/>
          <w:lang w:val="ro-RO"/>
        </w:rPr>
      </w:pPr>
      <w:r w:rsidRPr="00933534">
        <w:rPr>
          <w:rFonts w:ascii="Times New Roman" w:hAnsi="Times New Roman"/>
          <w:color w:val="000000"/>
          <w:sz w:val="28"/>
          <w:szCs w:val="28"/>
          <w:lang w:val="ro-RO"/>
        </w:rPr>
        <w:t xml:space="preserve">În rândul 080 </w:t>
      </w:r>
      <w:r w:rsidRPr="00933534">
        <w:rPr>
          <w:rFonts w:ascii="Times New Roman" w:hAnsi="Times New Roman"/>
          <w:sz w:val="28"/>
          <w:szCs w:val="28"/>
          <w:lang w:val="ro-RO"/>
        </w:rPr>
        <w:t>„</w:t>
      </w:r>
      <w:r w:rsidRPr="00933534">
        <w:rPr>
          <w:rFonts w:ascii="Times New Roman" w:hAnsi="Times New Roman"/>
          <w:color w:val="000000"/>
          <w:sz w:val="28"/>
          <w:szCs w:val="28"/>
          <w:lang w:val="ro-RO"/>
        </w:rPr>
        <w:t xml:space="preserve">Total flux net </w:t>
      </w:r>
      <w:r w:rsidRPr="00933534">
        <w:rPr>
          <w:rFonts w:ascii="Times New Roman" w:hAnsi="Times New Roman"/>
          <w:sz w:val="28"/>
          <w:szCs w:val="28"/>
          <w:lang w:val="en-US"/>
        </w:rPr>
        <w:t>”</w:t>
      </w:r>
      <w:r w:rsidRPr="00933534">
        <w:rPr>
          <w:rFonts w:ascii="Times New Roman" w:hAnsi="Times New Roman"/>
          <w:color w:val="000000"/>
          <w:sz w:val="28"/>
          <w:szCs w:val="28"/>
          <w:lang w:val="ro-RO"/>
        </w:rPr>
        <w:t xml:space="preserve"> se reflectă diferenţa dintre numerarul încasat şi achitat în perioada de gestiune din activitatea operaţională, determinată prin relaţia: Total (rd.010 - rd.020 + rd.030 - rd.040 - rd.050 + rd.060 - rd.070).</w:t>
      </w:r>
    </w:p>
    <w:p w:rsidR="006C7862" w:rsidRPr="00933534" w:rsidRDefault="006C7862" w:rsidP="006C7862">
      <w:pPr>
        <w:pStyle w:val="ListParagraph"/>
        <w:tabs>
          <w:tab w:val="left" w:pos="709"/>
        </w:tabs>
        <w:spacing w:after="0" w:line="240" w:lineRule="auto"/>
        <w:ind w:left="0"/>
        <w:contextualSpacing w:val="0"/>
        <w:jc w:val="both"/>
        <w:rPr>
          <w:rFonts w:ascii="Times New Roman" w:hAnsi="Times New Roman"/>
          <w:color w:val="000000"/>
          <w:sz w:val="28"/>
          <w:szCs w:val="28"/>
          <w:lang w:val="ro-RO"/>
        </w:rPr>
      </w:pPr>
      <w:r w:rsidRPr="00933534">
        <w:rPr>
          <w:rFonts w:ascii="Times New Roman" w:hAnsi="Times New Roman"/>
          <w:b/>
          <w:color w:val="000000"/>
          <w:sz w:val="28"/>
          <w:szCs w:val="28"/>
          <w:lang w:val="ro-RO"/>
        </w:rPr>
        <w:t>b) Majorarea (diminuarea) activelor:</w:t>
      </w:r>
    </w:p>
    <w:p w:rsidR="006C7862" w:rsidRPr="00933534" w:rsidRDefault="006C7862" w:rsidP="006C7862">
      <w:pPr>
        <w:tabs>
          <w:tab w:val="left" w:pos="284"/>
          <w:tab w:val="left" w:pos="426"/>
        </w:tabs>
        <w:jc w:val="both"/>
        <w:rPr>
          <w:color w:val="000000"/>
          <w:sz w:val="28"/>
          <w:szCs w:val="28"/>
          <w:lang w:val="ro-RO"/>
        </w:rPr>
      </w:pPr>
      <w:r w:rsidRPr="00933534">
        <w:rPr>
          <w:b/>
          <w:color w:val="000000"/>
          <w:sz w:val="28"/>
          <w:szCs w:val="28"/>
          <w:lang w:val="ro-RO"/>
        </w:rPr>
        <w:t>1.</w:t>
      </w:r>
      <w:r w:rsidRPr="00933534">
        <w:rPr>
          <w:color w:val="000000"/>
          <w:sz w:val="28"/>
          <w:szCs w:val="28"/>
          <w:lang w:val="ro-RO"/>
        </w:rPr>
        <w:t xml:space="preserve"> În rândul 090 </w:t>
      </w:r>
      <w:r w:rsidRPr="00933534">
        <w:rPr>
          <w:sz w:val="28"/>
          <w:szCs w:val="28"/>
          <w:lang w:val="ro-RO"/>
        </w:rPr>
        <w:t>„</w:t>
      </w:r>
      <w:r w:rsidRPr="00933534">
        <w:rPr>
          <w:color w:val="000000"/>
          <w:sz w:val="28"/>
          <w:szCs w:val="28"/>
          <w:lang w:val="ro-RO"/>
        </w:rPr>
        <w:t>Încasări din rambursarea împrumuturilor acordate</w:t>
      </w:r>
      <w:r w:rsidRPr="00933534">
        <w:rPr>
          <w:sz w:val="28"/>
          <w:szCs w:val="28"/>
        </w:rPr>
        <w:t>”</w:t>
      </w:r>
      <w:r w:rsidRPr="00933534">
        <w:rPr>
          <w:color w:val="000000"/>
          <w:sz w:val="28"/>
          <w:szCs w:val="28"/>
          <w:lang w:val="ro-RO"/>
        </w:rPr>
        <w:t xml:space="preserve"> se reflectă numerarul încasat din rambursarea împrumuturilor acordate.</w:t>
      </w:r>
    </w:p>
    <w:p w:rsidR="006C7862" w:rsidRPr="00933534" w:rsidRDefault="006C7862" w:rsidP="006C7862">
      <w:pPr>
        <w:pStyle w:val="ListParagraph"/>
        <w:tabs>
          <w:tab w:val="left" w:pos="284"/>
          <w:tab w:val="left" w:pos="426"/>
        </w:tabs>
        <w:spacing w:after="0" w:line="240" w:lineRule="auto"/>
        <w:ind w:left="0"/>
        <w:contextualSpacing w:val="0"/>
        <w:jc w:val="both"/>
        <w:rPr>
          <w:rFonts w:ascii="Times New Roman" w:hAnsi="Times New Roman"/>
          <w:color w:val="000000"/>
          <w:sz w:val="28"/>
          <w:szCs w:val="28"/>
          <w:lang w:val="ro-RO"/>
        </w:rPr>
      </w:pPr>
      <w:r w:rsidRPr="00933534">
        <w:rPr>
          <w:rFonts w:ascii="Times New Roman" w:hAnsi="Times New Roman"/>
          <w:b/>
          <w:color w:val="000000"/>
          <w:sz w:val="28"/>
          <w:szCs w:val="28"/>
          <w:lang w:val="ro-RO"/>
        </w:rPr>
        <w:t>2.</w:t>
      </w:r>
      <w:r w:rsidRPr="00933534">
        <w:rPr>
          <w:rFonts w:ascii="Times New Roman" w:hAnsi="Times New Roman"/>
          <w:color w:val="000000"/>
          <w:sz w:val="28"/>
          <w:szCs w:val="28"/>
          <w:lang w:val="ro-RO"/>
        </w:rPr>
        <w:t xml:space="preserve"> În rândul 100 </w:t>
      </w:r>
      <w:r w:rsidRPr="00933534">
        <w:rPr>
          <w:rFonts w:ascii="Times New Roman" w:hAnsi="Times New Roman"/>
          <w:sz w:val="28"/>
          <w:szCs w:val="28"/>
          <w:lang w:val="ro-RO"/>
        </w:rPr>
        <w:t>„</w:t>
      </w:r>
      <w:r w:rsidRPr="00933534">
        <w:rPr>
          <w:rFonts w:ascii="Times New Roman" w:hAnsi="Times New Roman"/>
          <w:color w:val="000000"/>
          <w:sz w:val="28"/>
          <w:szCs w:val="28"/>
          <w:lang w:val="ro-RO"/>
        </w:rPr>
        <w:t>Încasări din rambursarea depozitelor bancare</w:t>
      </w:r>
      <w:r w:rsidRPr="00933534">
        <w:rPr>
          <w:rFonts w:ascii="Times New Roman" w:hAnsi="Times New Roman"/>
          <w:sz w:val="28"/>
          <w:szCs w:val="28"/>
          <w:lang w:val="en-US"/>
        </w:rPr>
        <w:t>”</w:t>
      </w:r>
      <w:r w:rsidRPr="00933534">
        <w:rPr>
          <w:rFonts w:ascii="Times New Roman" w:hAnsi="Times New Roman"/>
          <w:color w:val="000000"/>
          <w:sz w:val="28"/>
          <w:szCs w:val="28"/>
          <w:lang w:val="ro-RO"/>
        </w:rPr>
        <w:t xml:space="preserve"> se înscrie numerarul încasat din rambursarea depozitelor bancare.</w:t>
      </w:r>
    </w:p>
    <w:p w:rsidR="006C7862" w:rsidRPr="00933534" w:rsidRDefault="006C7862" w:rsidP="006C7862">
      <w:pPr>
        <w:pStyle w:val="ListParagraph"/>
        <w:tabs>
          <w:tab w:val="left" w:pos="284"/>
          <w:tab w:val="left" w:pos="426"/>
        </w:tabs>
        <w:spacing w:after="0" w:line="240" w:lineRule="auto"/>
        <w:ind w:left="0"/>
        <w:contextualSpacing w:val="0"/>
        <w:jc w:val="both"/>
        <w:rPr>
          <w:rFonts w:ascii="Times New Roman" w:hAnsi="Times New Roman"/>
          <w:color w:val="000000"/>
          <w:sz w:val="28"/>
          <w:szCs w:val="28"/>
          <w:lang w:val="ro-RO"/>
        </w:rPr>
      </w:pPr>
      <w:r w:rsidRPr="00933534">
        <w:rPr>
          <w:rFonts w:ascii="Times New Roman" w:hAnsi="Times New Roman"/>
          <w:b/>
          <w:color w:val="000000"/>
          <w:sz w:val="28"/>
          <w:szCs w:val="28"/>
          <w:lang w:val="ro-RO"/>
        </w:rPr>
        <w:t>3.</w:t>
      </w:r>
      <w:r w:rsidRPr="00933534">
        <w:rPr>
          <w:rFonts w:ascii="Times New Roman" w:hAnsi="Times New Roman"/>
          <w:color w:val="000000"/>
          <w:sz w:val="28"/>
          <w:szCs w:val="28"/>
          <w:lang w:val="ro-RO"/>
        </w:rPr>
        <w:t xml:space="preserve"> În rândul 110 </w:t>
      </w:r>
      <w:r w:rsidRPr="00933534">
        <w:rPr>
          <w:rFonts w:ascii="Times New Roman" w:hAnsi="Times New Roman"/>
          <w:sz w:val="28"/>
          <w:szCs w:val="28"/>
          <w:lang w:val="ro-RO"/>
        </w:rPr>
        <w:t>„</w:t>
      </w:r>
      <w:r w:rsidRPr="00933534">
        <w:rPr>
          <w:rFonts w:ascii="Times New Roman" w:hAnsi="Times New Roman"/>
          <w:color w:val="000000"/>
          <w:sz w:val="28"/>
          <w:szCs w:val="28"/>
          <w:lang w:val="ro-RO"/>
        </w:rPr>
        <w:t>Plăţi privind acordarea împrumuturilor</w:t>
      </w:r>
      <w:r w:rsidRPr="00933534">
        <w:rPr>
          <w:rFonts w:ascii="Times New Roman" w:hAnsi="Times New Roman"/>
          <w:sz w:val="28"/>
          <w:szCs w:val="28"/>
          <w:lang w:val="en-US"/>
        </w:rPr>
        <w:t>”</w:t>
      </w:r>
      <w:r w:rsidRPr="00933534">
        <w:rPr>
          <w:rFonts w:ascii="Times New Roman" w:hAnsi="Times New Roman"/>
          <w:color w:val="000000"/>
          <w:sz w:val="28"/>
          <w:szCs w:val="28"/>
          <w:lang w:val="ro-RO"/>
        </w:rPr>
        <w:t xml:space="preserve"> se reflectă plăţile de numerar sub formă de împrumuturi acordate.</w:t>
      </w:r>
    </w:p>
    <w:p w:rsidR="006C7862" w:rsidRPr="00933534" w:rsidRDefault="006C7862" w:rsidP="006C7862">
      <w:pPr>
        <w:pStyle w:val="ListParagraph"/>
        <w:tabs>
          <w:tab w:val="left" w:pos="284"/>
          <w:tab w:val="left" w:pos="426"/>
        </w:tabs>
        <w:spacing w:after="0" w:line="240" w:lineRule="auto"/>
        <w:ind w:left="0"/>
        <w:contextualSpacing w:val="0"/>
        <w:jc w:val="both"/>
        <w:rPr>
          <w:rFonts w:ascii="Times New Roman" w:hAnsi="Times New Roman"/>
          <w:color w:val="000000"/>
          <w:sz w:val="28"/>
          <w:szCs w:val="28"/>
          <w:lang w:val="ro-RO"/>
        </w:rPr>
      </w:pPr>
      <w:r w:rsidRPr="00933534">
        <w:rPr>
          <w:rFonts w:ascii="Times New Roman" w:hAnsi="Times New Roman"/>
          <w:b/>
          <w:color w:val="000000"/>
          <w:sz w:val="28"/>
          <w:szCs w:val="28"/>
          <w:lang w:val="ro-RO"/>
        </w:rPr>
        <w:t>4.</w:t>
      </w:r>
      <w:r w:rsidRPr="00933534">
        <w:rPr>
          <w:rFonts w:ascii="Times New Roman" w:hAnsi="Times New Roman"/>
          <w:color w:val="000000"/>
          <w:sz w:val="28"/>
          <w:szCs w:val="28"/>
          <w:lang w:val="ro-RO"/>
        </w:rPr>
        <w:t xml:space="preserve"> În rândul 120 </w:t>
      </w:r>
      <w:r w:rsidRPr="00933534">
        <w:rPr>
          <w:rFonts w:ascii="Times New Roman" w:hAnsi="Times New Roman"/>
          <w:sz w:val="28"/>
          <w:szCs w:val="28"/>
          <w:lang w:val="ro-RO"/>
        </w:rPr>
        <w:t>„</w:t>
      </w:r>
      <w:r w:rsidRPr="00933534">
        <w:rPr>
          <w:rFonts w:ascii="Times New Roman" w:hAnsi="Times New Roman"/>
          <w:color w:val="000000"/>
          <w:sz w:val="28"/>
          <w:szCs w:val="28"/>
          <w:lang w:val="ro-RO"/>
        </w:rPr>
        <w:t>Plăţi în depozitele bancare</w:t>
      </w:r>
      <w:r w:rsidRPr="00933534">
        <w:rPr>
          <w:rFonts w:ascii="Times New Roman" w:hAnsi="Times New Roman"/>
          <w:sz w:val="28"/>
          <w:szCs w:val="28"/>
          <w:lang w:val="en-US"/>
        </w:rPr>
        <w:t>”</w:t>
      </w:r>
      <w:r w:rsidRPr="00933534">
        <w:rPr>
          <w:rFonts w:ascii="Times New Roman" w:hAnsi="Times New Roman"/>
          <w:color w:val="000000"/>
          <w:sz w:val="28"/>
          <w:szCs w:val="28"/>
          <w:lang w:val="ro-RO"/>
        </w:rPr>
        <w:t xml:space="preserve"> se reflectă plăţile de numerar depus la conturile de depozit.</w:t>
      </w:r>
    </w:p>
    <w:p w:rsidR="006C7862" w:rsidRPr="00933534" w:rsidRDefault="006C7862" w:rsidP="006C7862">
      <w:pPr>
        <w:pStyle w:val="ListParagraph"/>
        <w:tabs>
          <w:tab w:val="left" w:pos="284"/>
          <w:tab w:val="left" w:pos="426"/>
        </w:tabs>
        <w:spacing w:after="0" w:line="240" w:lineRule="auto"/>
        <w:ind w:left="0"/>
        <w:contextualSpacing w:val="0"/>
        <w:jc w:val="both"/>
        <w:rPr>
          <w:rFonts w:ascii="Times New Roman" w:hAnsi="Times New Roman"/>
          <w:color w:val="000000"/>
          <w:sz w:val="28"/>
          <w:szCs w:val="28"/>
          <w:lang w:val="ro-RO"/>
        </w:rPr>
      </w:pPr>
      <w:r w:rsidRPr="00933534">
        <w:rPr>
          <w:rFonts w:ascii="Times New Roman" w:hAnsi="Times New Roman"/>
          <w:b/>
          <w:color w:val="000000"/>
          <w:sz w:val="28"/>
          <w:szCs w:val="28"/>
          <w:lang w:val="ro-RO"/>
        </w:rPr>
        <w:t>5.</w:t>
      </w:r>
      <w:r w:rsidRPr="00933534">
        <w:rPr>
          <w:rFonts w:ascii="Times New Roman" w:hAnsi="Times New Roman"/>
          <w:color w:val="000000"/>
          <w:sz w:val="28"/>
          <w:szCs w:val="28"/>
          <w:lang w:val="ro-RO"/>
        </w:rPr>
        <w:t xml:space="preserve"> În rândul 130 </w:t>
      </w:r>
      <w:r w:rsidRPr="00933534">
        <w:rPr>
          <w:rFonts w:ascii="Times New Roman" w:hAnsi="Times New Roman"/>
          <w:sz w:val="28"/>
          <w:szCs w:val="28"/>
          <w:lang w:val="ro-RO"/>
        </w:rPr>
        <w:t>„</w:t>
      </w:r>
      <w:r w:rsidRPr="00933534">
        <w:rPr>
          <w:rFonts w:ascii="Times New Roman" w:hAnsi="Times New Roman"/>
          <w:color w:val="000000"/>
          <w:sz w:val="28"/>
          <w:szCs w:val="28"/>
          <w:lang w:val="ro-RO"/>
        </w:rPr>
        <w:t>Încasări (plăţi) aferente altor active circulante</w:t>
      </w:r>
      <w:r w:rsidRPr="00933534">
        <w:rPr>
          <w:rFonts w:ascii="Times New Roman" w:hAnsi="Times New Roman"/>
          <w:sz w:val="28"/>
          <w:szCs w:val="28"/>
          <w:lang w:val="en-US"/>
        </w:rPr>
        <w:t>”</w:t>
      </w:r>
      <w:r w:rsidRPr="00933534">
        <w:rPr>
          <w:rFonts w:ascii="Times New Roman" w:hAnsi="Times New Roman"/>
          <w:color w:val="000000"/>
          <w:sz w:val="28"/>
          <w:szCs w:val="28"/>
          <w:lang w:val="ro-RO"/>
        </w:rPr>
        <w:t xml:space="preserve"> se indică diferenţa dintre încasările şi plăţile de numerar rezultate din operaţiunile, care nu sunt incluse în rândurile 090-120, ce provoacă majorarea (sumele încasate din vânzarea unor active circulante), diminuarea activelor (sumele plătite pentru procurarea unor active circulante: materiale, obiecte de mică valoare şi scurtă durată ş.a.).</w:t>
      </w:r>
    </w:p>
    <w:p w:rsidR="006C7862" w:rsidRPr="00933534" w:rsidRDefault="006C7862" w:rsidP="006C7862">
      <w:pPr>
        <w:pStyle w:val="ListParagraph"/>
        <w:tabs>
          <w:tab w:val="left" w:pos="284"/>
          <w:tab w:val="left" w:pos="426"/>
        </w:tabs>
        <w:spacing w:after="0" w:line="240" w:lineRule="auto"/>
        <w:ind w:left="0"/>
        <w:contextualSpacing w:val="0"/>
        <w:jc w:val="both"/>
        <w:rPr>
          <w:rFonts w:ascii="Times New Roman" w:hAnsi="Times New Roman"/>
          <w:color w:val="000000"/>
          <w:sz w:val="28"/>
          <w:szCs w:val="28"/>
          <w:lang w:val="ro-RO"/>
        </w:rPr>
      </w:pPr>
      <w:r w:rsidRPr="00933534">
        <w:rPr>
          <w:rFonts w:ascii="Times New Roman" w:hAnsi="Times New Roman"/>
          <w:b/>
          <w:color w:val="000000"/>
          <w:sz w:val="28"/>
          <w:szCs w:val="28"/>
          <w:lang w:val="ro-RO"/>
        </w:rPr>
        <w:t>6.</w:t>
      </w:r>
      <w:r w:rsidRPr="00933534">
        <w:rPr>
          <w:rFonts w:ascii="Times New Roman" w:hAnsi="Times New Roman"/>
          <w:color w:val="000000"/>
          <w:sz w:val="28"/>
          <w:szCs w:val="28"/>
          <w:lang w:val="ro-RO"/>
        </w:rPr>
        <w:t xml:space="preserve"> În rândul 140 </w:t>
      </w:r>
      <w:r w:rsidRPr="00933534">
        <w:rPr>
          <w:rFonts w:ascii="Times New Roman" w:hAnsi="Times New Roman"/>
          <w:sz w:val="28"/>
          <w:szCs w:val="28"/>
          <w:lang w:val="ro-RO"/>
        </w:rPr>
        <w:t>„</w:t>
      </w:r>
      <w:r w:rsidRPr="00933534">
        <w:rPr>
          <w:rFonts w:ascii="Times New Roman" w:hAnsi="Times New Roman"/>
          <w:color w:val="000000"/>
          <w:sz w:val="28"/>
          <w:szCs w:val="28"/>
          <w:lang w:val="ro-RO"/>
        </w:rPr>
        <w:t>Total majorarea (diminuarea) activelor</w:t>
      </w:r>
      <w:r w:rsidRPr="00933534">
        <w:rPr>
          <w:rFonts w:ascii="Times New Roman" w:hAnsi="Times New Roman"/>
          <w:sz w:val="28"/>
          <w:szCs w:val="28"/>
          <w:lang w:val="en-US"/>
        </w:rPr>
        <w:t>”</w:t>
      </w:r>
      <w:r w:rsidRPr="00933534">
        <w:rPr>
          <w:rFonts w:ascii="Times New Roman" w:hAnsi="Times New Roman"/>
          <w:color w:val="000000"/>
          <w:sz w:val="28"/>
          <w:szCs w:val="28"/>
          <w:lang w:val="ro-RO"/>
        </w:rPr>
        <w:t xml:space="preserve"> se reflectă diferenţa dintre numerarul încasat şi plătit în perioada de gestiune, care este determinată de modificarea netă (majorarea sau micşorarea) a activelor prin relaţia: Total (rd.090+rd.100-rd.110-rd.120+rd.130).</w:t>
      </w:r>
    </w:p>
    <w:p w:rsidR="006C7862" w:rsidRPr="00933534" w:rsidRDefault="006C7862" w:rsidP="006C7862">
      <w:pPr>
        <w:pStyle w:val="ListParagraph"/>
        <w:tabs>
          <w:tab w:val="left" w:pos="284"/>
          <w:tab w:val="left" w:pos="426"/>
        </w:tabs>
        <w:spacing w:after="0" w:line="240" w:lineRule="auto"/>
        <w:ind w:left="0"/>
        <w:contextualSpacing w:val="0"/>
        <w:jc w:val="both"/>
        <w:rPr>
          <w:rFonts w:ascii="Times New Roman" w:hAnsi="Times New Roman"/>
          <w:b/>
          <w:color w:val="000000"/>
          <w:sz w:val="28"/>
          <w:szCs w:val="28"/>
          <w:lang w:val="ro-RO"/>
        </w:rPr>
      </w:pPr>
      <w:r w:rsidRPr="00933534">
        <w:rPr>
          <w:rFonts w:ascii="Times New Roman" w:hAnsi="Times New Roman"/>
          <w:b/>
          <w:color w:val="000000"/>
          <w:sz w:val="28"/>
          <w:szCs w:val="28"/>
          <w:lang w:val="ro-RO"/>
        </w:rPr>
        <w:t>c) Majorarea (diminuarea) obligaţiilor:</w:t>
      </w:r>
    </w:p>
    <w:p w:rsidR="006C7862" w:rsidRPr="00933534" w:rsidRDefault="006C7862" w:rsidP="006C7862">
      <w:pPr>
        <w:pStyle w:val="ListParagraph"/>
        <w:numPr>
          <w:ilvl w:val="0"/>
          <w:numId w:val="3"/>
        </w:numPr>
        <w:tabs>
          <w:tab w:val="left" w:pos="284"/>
          <w:tab w:val="left" w:pos="426"/>
        </w:tabs>
        <w:spacing w:after="0" w:line="240" w:lineRule="auto"/>
        <w:ind w:left="0" w:firstLine="0"/>
        <w:contextualSpacing w:val="0"/>
        <w:jc w:val="both"/>
        <w:rPr>
          <w:rFonts w:ascii="Times New Roman" w:hAnsi="Times New Roman"/>
          <w:color w:val="000000"/>
          <w:sz w:val="28"/>
          <w:szCs w:val="28"/>
          <w:lang w:val="ro-RO"/>
        </w:rPr>
      </w:pPr>
      <w:r w:rsidRPr="00933534">
        <w:rPr>
          <w:rFonts w:ascii="Times New Roman" w:hAnsi="Times New Roman"/>
          <w:color w:val="000000"/>
          <w:sz w:val="28"/>
          <w:szCs w:val="28"/>
          <w:lang w:val="ro-RO"/>
        </w:rPr>
        <w:t xml:space="preserve">În rândul 150 </w:t>
      </w:r>
      <w:r w:rsidRPr="00933534">
        <w:rPr>
          <w:rFonts w:ascii="Times New Roman" w:hAnsi="Times New Roman"/>
          <w:sz w:val="28"/>
          <w:szCs w:val="28"/>
          <w:lang w:val="ro-RO"/>
        </w:rPr>
        <w:t>„</w:t>
      </w:r>
      <w:r w:rsidRPr="00933534">
        <w:rPr>
          <w:rFonts w:ascii="Times New Roman" w:hAnsi="Times New Roman"/>
          <w:color w:val="000000"/>
          <w:sz w:val="28"/>
          <w:szCs w:val="28"/>
          <w:lang w:val="ro-RO"/>
        </w:rPr>
        <w:t>Încasări sub formă de credite şi împrumuturi primite</w:t>
      </w:r>
      <w:r w:rsidRPr="00933534">
        <w:rPr>
          <w:rFonts w:ascii="Times New Roman" w:hAnsi="Times New Roman"/>
          <w:sz w:val="28"/>
          <w:szCs w:val="28"/>
          <w:lang w:val="en-US"/>
        </w:rPr>
        <w:t>”</w:t>
      </w:r>
      <w:r w:rsidRPr="00933534">
        <w:rPr>
          <w:rFonts w:ascii="Times New Roman" w:hAnsi="Times New Roman"/>
          <w:color w:val="000000"/>
          <w:sz w:val="28"/>
          <w:szCs w:val="28"/>
          <w:lang w:val="ro-RO"/>
        </w:rPr>
        <w:t xml:space="preserve"> se indică încasările de numerar sub formă de credite bancare şi împrumuturi primite, cu excepţia celor care nu sunt utilizate în activitatea operaţională.</w:t>
      </w:r>
    </w:p>
    <w:p w:rsidR="006C7862" w:rsidRPr="00933534" w:rsidRDefault="006C7862" w:rsidP="006C7862">
      <w:pPr>
        <w:pStyle w:val="ListParagraph"/>
        <w:numPr>
          <w:ilvl w:val="0"/>
          <w:numId w:val="3"/>
        </w:numPr>
        <w:tabs>
          <w:tab w:val="left" w:pos="284"/>
          <w:tab w:val="left" w:pos="426"/>
        </w:tabs>
        <w:spacing w:after="0" w:line="240" w:lineRule="auto"/>
        <w:ind w:left="0" w:firstLine="0"/>
        <w:contextualSpacing w:val="0"/>
        <w:jc w:val="both"/>
        <w:rPr>
          <w:rFonts w:ascii="Times New Roman" w:hAnsi="Times New Roman"/>
          <w:color w:val="000000"/>
          <w:sz w:val="28"/>
          <w:szCs w:val="28"/>
          <w:lang w:val="ro-RO"/>
        </w:rPr>
      </w:pPr>
      <w:r w:rsidRPr="00933534">
        <w:rPr>
          <w:rFonts w:ascii="Times New Roman" w:hAnsi="Times New Roman"/>
          <w:color w:val="000000"/>
          <w:sz w:val="28"/>
          <w:szCs w:val="28"/>
          <w:lang w:val="ro-RO"/>
        </w:rPr>
        <w:t xml:space="preserve">În rândul 160 </w:t>
      </w:r>
      <w:r w:rsidRPr="00933534">
        <w:rPr>
          <w:rFonts w:ascii="Times New Roman" w:hAnsi="Times New Roman"/>
          <w:sz w:val="28"/>
          <w:szCs w:val="28"/>
          <w:lang w:val="ro-RO"/>
        </w:rPr>
        <w:t>„</w:t>
      </w:r>
      <w:r w:rsidRPr="00933534">
        <w:rPr>
          <w:rFonts w:ascii="Times New Roman" w:hAnsi="Times New Roman"/>
          <w:color w:val="000000"/>
          <w:sz w:val="28"/>
          <w:szCs w:val="28"/>
          <w:lang w:val="ro-RO"/>
        </w:rPr>
        <w:t>Plăţi privind rambursarea creditelor şi împrumuturilor primite</w:t>
      </w:r>
      <w:r w:rsidRPr="00933534">
        <w:rPr>
          <w:rFonts w:ascii="Times New Roman" w:hAnsi="Times New Roman"/>
          <w:sz w:val="28"/>
          <w:szCs w:val="28"/>
          <w:lang w:val="en-US"/>
        </w:rPr>
        <w:t>”</w:t>
      </w:r>
      <w:r w:rsidRPr="00933534">
        <w:rPr>
          <w:rFonts w:ascii="Times New Roman" w:hAnsi="Times New Roman"/>
          <w:color w:val="000000"/>
          <w:sz w:val="28"/>
          <w:szCs w:val="28"/>
          <w:lang w:val="ro-RO"/>
        </w:rPr>
        <w:t xml:space="preserve"> se indică plăţile de numerar în rambursarea creditelor şi </w:t>
      </w:r>
      <w:r w:rsidRPr="00933534">
        <w:rPr>
          <w:rFonts w:ascii="Times New Roman" w:hAnsi="Times New Roman"/>
          <w:color w:val="000000"/>
          <w:sz w:val="28"/>
          <w:szCs w:val="28"/>
          <w:lang w:val="ro-RO"/>
        </w:rPr>
        <w:lastRenderedPageBreak/>
        <w:t>împrumuturilor, cu excepţia celor care nu sunt utilizate în activitatea operaţională.</w:t>
      </w:r>
    </w:p>
    <w:p w:rsidR="006C7862" w:rsidRPr="00933534" w:rsidRDefault="006C7862" w:rsidP="006C7862">
      <w:pPr>
        <w:pStyle w:val="ListParagraph"/>
        <w:numPr>
          <w:ilvl w:val="0"/>
          <w:numId w:val="3"/>
        </w:numPr>
        <w:tabs>
          <w:tab w:val="left" w:pos="284"/>
          <w:tab w:val="left" w:pos="426"/>
        </w:tabs>
        <w:spacing w:after="0" w:line="240" w:lineRule="auto"/>
        <w:ind w:left="0" w:firstLine="0"/>
        <w:contextualSpacing w:val="0"/>
        <w:jc w:val="both"/>
        <w:rPr>
          <w:rFonts w:ascii="Times New Roman" w:hAnsi="Times New Roman"/>
          <w:color w:val="000000"/>
          <w:sz w:val="28"/>
          <w:szCs w:val="28"/>
          <w:lang w:val="ro-RO"/>
        </w:rPr>
      </w:pPr>
      <w:r w:rsidRPr="00933534">
        <w:rPr>
          <w:rFonts w:ascii="Times New Roman" w:hAnsi="Times New Roman"/>
          <w:color w:val="000000"/>
          <w:sz w:val="28"/>
          <w:szCs w:val="28"/>
          <w:lang w:val="ro-RO"/>
        </w:rPr>
        <w:t xml:space="preserve">În rândul 170 </w:t>
      </w:r>
      <w:r w:rsidRPr="00933534">
        <w:rPr>
          <w:rFonts w:ascii="Times New Roman" w:hAnsi="Times New Roman"/>
          <w:sz w:val="28"/>
          <w:szCs w:val="28"/>
          <w:lang w:val="ro-RO"/>
        </w:rPr>
        <w:t>„</w:t>
      </w:r>
      <w:r w:rsidRPr="00933534">
        <w:rPr>
          <w:rFonts w:ascii="Times New Roman" w:hAnsi="Times New Roman"/>
          <w:color w:val="000000"/>
          <w:sz w:val="28"/>
          <w:szCs w:val="28"/>
          <w:lang w:val="ro-RO"/>
        </w:rPr>
        <w:t>Încasări (plăţi) aferente altor obligaţii</w:t>
      </w:r>
      <w:r w:rsidRPr="00933534">
        <w:rPr>
          <w:rFonts w:ascii="Times New Roman" w:hAnsi="Times New Roman"/>
          <w:sz w:val="28"/>
          <w:szCs w:val="28"/>
          <w:lang w:val="ro-RO"/>
        </w:rPr>
        <w:t>”</w:t>
      </w:r>
      <w:r w:rsidRPr="00933534">
        <w:rPr>
          <w:rFonts w:ascii="Times New Roman" w:hAnsi="Times New Roman"/>
          <w:color w:val="000000"/>
          <w:sz w:val="28"/>
          <w:szCs w:val="28"/>
          <w:lang w:val="ro-RO"/>
        </w:rPr>
        <w:t xml:space="preserve"> se înscrie diferenţa dintre încasările şi plăţile de numerar rezultate din operaţiunile, care nu sunt incluse în rândurile 150-160, ce provoacă majorarea, diminuarea altor obligaţii.</w:t>
      </w:r>
    </w:p>
    <w:p w:rsidR="006C7862" w:rsidRPr="00933534" w:rsidRDefault="006C7862" w:rsidP="006C7862">
      <w:pPr>
        <w:pStyle w:val="ListParagraph"/>
        <w:numPr>
          <w:ilvl w:val="0"/>
          <w:numId w:val="3"/>
        </w:numPr>
        <w:tabs>
          <w:tab w:val="left" w:pos="284"/>
          <w:tab w:val="left" w:pos="426"/>
        </w:tabs>
        <w:spacing w:after="0" w:line="240" w:lineRule="auto"/>
        <w:ind w:left="0" w:firstLine="0"/>
        <w:contextualSpacing w:val="0"/>
        <w:jc w:val="both"/>
        <w:rPr>
          <w:rFonts w:ascii="Times New Roman" w:hAnsi="Times New Roman"/>
          <w:color w:val="000000"/>
          <w:sz w:val="28"/>
          <w:szCs w:val="28"/>
          <w:lang w:val="ro-RO"/>
        </w:rPr>
      </w:pPr>
      <w:r w:rsidRPr="00933534">
        <w:rPr>
          <w:rFonts w:ascii="Times New Roman" w:hAnsi="Times New Roman"/>
          <w:color w:val="000000"/>
          <w:sz w:val="28"/>
          <w:szCs w:val="28"/>
          <w:lang w:val="ro-RO"/>
        </w:rPr>
        <w:t xml:space="preserve">În rândul 180 </w:t>
      </w:r>
      <w:r w:rsidRPr="00933534">
        <w:rPr>
          <w:rFonts w:ascii="Times New Roman" w:hAnsi="Times New Roman"/>
          <w:sz w:val="28"/>
          <w:szCs w:val="28"/>
          <w:lang w:val="ro-RO"/>
        </w:rPr>
        <w:t>„</w:t>
      </w:r>
      <w:r w:rsidRPr="00933534">
        <w:rPr>
          <w:rFonts w:ascii="Times New Roman" w:hAnsi="Times New Roman"/>
          <w:color w:val="000000"/>
          <w:sz w:val="28"/>
          <w:szCs w:val="28"/>
          <w:lang w:val="ro-RO"/>
        </w:rPr>
        <w:t>Total majorare (diminuare) a obligaţiilor</w:t>
      </w:r>
      <w:r w:rsidRPr="00933534">
        <w:rPr>
          <w:rFonts w:ascii="Times New Roman" w:hAnsi="Times New Roman"/>
          <w:sz w:val="28"/>
          <w:szCs w:val="28"/>
          <w:lang w:val="en-US"/>
        </w:rPr>
        <w:t>”</w:t>
      </w:r>
      <w:r w:rsidRPr="00933534">
        <w:rPr>
          <w:rFonts w:ascii="Times New Roman" w:hAnsi="Times New Roman"/>
          <w:color w:val="000000"/>
          <w:sz w:val="28"/>
          <w:szCs w:val="28"/>
          <w:lang w:val="ro-RO"/>
        </w:rPr>
        <w:t xml:space="preserve"> se reflectă diferenţa dintre numerarul încasat şi plătit în perioada de gestiune, care este determinat de modificarea netă (majorarea sau micşorarea) altor obligaţii, determinată prin relaţia: (rd.150-rd.160±rd.170).</w:t>
      </w:r>
    </w:p>
    <w:p w:rsidR="006C7862" w:rsidRPr="00933534" w:rsidRDefault="006C7862" w:rsidP="006C7862">
      <w:pPr>
        <w:pStyle w:val="ListParagraph"/>
        <w:numPr>
          <w:ilvl w:val="0"/>
          <w:numId w:val="3"/>
        </w:numPr>
        <w:tabs>
          <w:tab w:val="left" w:pos="284"/>
          <w:tab w:val="left" w:pos="426"/>
        </w:tabs>
        <w:spacing w:after="0" w:line="240" w:lineRule="auto"/>
        <w:ind w:left="0" w:firstLine="0"/>
        <w:contextualSpacing w:val="0"/>
        <w:jc w:val="both"/>
        <w:rPr>
          <w:rFonts w:ascii="Times New Roman" w:hAnsi="Times New Roman"/>
          <w:color w:val="000000"/>
          <w:sz w:val="28"/>
          <w:szCs w:val="28"/>
          <w:lang w:val="ro-RO"/>
        </w:rPr>
      </w:pPr>
      <w:r w:rsidRPr="00933534">
        <w:rPr>
          <w:rFonts w:ascii="Times New Roman" w:hAnsi="Times New Roman"/>
          <w:color w:val="000000"/>
          <w:sz w:val="28"/>
          <w:szCs w:val="28"/>
          <w:lang w:val="ro-RO"/>
        </w:rPr>
        <w:t xml:space="preserve">În rândul 190 </w:t>
      </w:r>
      <w:r w:rsidRPr="00933534">
        <w:rPr>
          <w:rFonts w:ascii="Times New Roman" w:hAnsi="Times New Roman"/>
          <w:sz w:val="28"/>
          <w:szCs w:val="28"/>
          <w:lang w:val="ro-RO"/>
        </w:rPr>
        <w:t>„</w:t>
      </w:r>
      <w:r w:rsidRPr="00933534">
        <w:rPr>
          <w:rFonts w:ascii="Times New Roman" w:hAnsi="Times New Roman"/>
          <w:color w:val="000000"/>
          <w:sz w:val="28"/>
          <w:szCs w:val="28"/>
          <w:lang w:val="ro-RO"/>
        </w:rPr>
        <w:t>Fluxul net de numerar din activitatea operaţională</w:t>
      </w:r>
      <w:r w:rsidRPr="00933534">
        <w:rPr>
          <w:rFonts w:ascii="Times New Roman" w:hAnsi="Times New Roman"/>
          <w:sz w:val="28"/>
          <w:szCs w:val="28"/>
          <w:lang w:val="en-US"/>
        </w:rPr>
        <w:t>”</w:t>
      </w:r>
      <w:r w:rsidRPr="00933534">
        <w:rPr>
          <w:rFonts w:ascii="Times New Roman" w:hAnsi="Times New Roman"/>
          <w:color w:val="000000"/>
          <w:sz w:val="28"/>
          <w:szCs w:val="28"/>
          <w:lang w:val="ro-RO"/>
        </w:rPr>
        <w:t xml:space="preserve"> se înscrie diferenţa dintre numerarul încasat şi cel plătit în cursul perioadei de gestiune din activitatea operaţională, determinată prin relaţia: (±rd.080±rd.140±rd.180).</w:t>
      </w:r>
    </w:p>
    <w:p w:rsidR="006C7862" w:rsidRPr="00933534" w:rsidRDefault="006C7862" w:rsidP="006C7862">
      <w:pPr>
        <w:pStyle w:val="ListParagraph"/>
        <w:tabs>
          <w:tab w:val="left" w:pos="284"/>
        </w:tabs>
        <w:spacing w:after="0" w:line="240" w:lineRule="auto"/>
        <w:ind w:left="0"/>
        <w:contextualSpacing w:val="0"/>
        <w:jc w:val="both"/>
        <w:rPr>
          <w:rFonts w:ascii="Times New Roman" w:hAnsi="Times New Roman"/>
          <w:bCs/>
          <w:iCs/>
          <w:sz w:val="28"/>
          <w:szCs w:val="28"/>
          <w:lang w:val="ro-RO"/>
        </w:rPr>
      </w:pPr>
      <w:r w:rsidRPr="00933534">
        <w:rPr>
          <w:rFonts w:ascii="Times New Roman" w:hAnsi="Times New Roman"/>
          <w:b/>
          <w:color w:val="000000"/>
          <w:sz w:val="28"/>
          <w:szCs w:val="28"/>
          <w:lang w:val="ro-RO"/>
        </w:rPr>
        <w:t>2) Fluxuri de numerar din activitatea de investiţii</w:t>
      </w:r>
      <w:r w:rsidRPr="00933534">
        <w:rPr>
          <w:rFonts w:ascii="Times New Roman" w:hAnsi="Times New Roman"/>
          <w:color w:val="000000"/>
          <w:sz w:val="28"/>
          <w:szCs w:val="28"/>
          <w:lang w:val="ro-RO"/>
        </w:rPr>
        <w:t xml:space="preserve"> </w:t>
      </w:r>
      <w:r w:rsidRPr="00933534">
        <w:rPr>
          <w:rFonts w:ascii="Times New Roman" w:hAnsi="Times New Roman"/>
          <w:b/>
          <w:color w:val="000000"/>
          <w:sz w:val="28"/>
          <w:szCs w:val="28"/>
          <w:lang w:val="ro-RO"/>
        </w:rPr>
        <w:t xml:space="preserve">şi financiară </w:t>
      </w:r>
      <w:r w:rsidRPr="00933534">
        <w:rPr>
          <w:rFonts w:ascii="Times New Roman" w:hAnsi="Times New Roman"/>
          <w:color w:val="000000"/>
          <w:sz w:val="28"/>
          <w:szCs w:val="28"/>
          <w:lang w:val="ro-RO"/>
        </w:rPr>
        <w:t xml:space="preserve">- </w:t>
      </w:r>
      <w:r w:rsidRPr="00933534">
        <w:rPr>
          <w:rFonts w:ascii="Times New Roman" w:hAnsi="Times New Roman"/>
          <w:sz w:val="28"/>
          <w:szCs w:val="28"/>
          <w:lang w:val="ro-RO"/>
        </w:rPr>
        <w:t>fluxul numerarului condiţionat de activitatea organizației de microfinanțare privind</w:t>
      </w:r>
      <w:r w:rsidRPr="00933534">
        <w:rPr>
          <w:rFonts w:ascii="Times New Roman" w:hAnsi="Times New Roman"/>
          <w:color w:val="000000"/>
          <w:sz w:val="28"/>
          <w:szCs w:val="28"/>
          <w:lang w:val="ro-RO"/>
        </w:rPr>
        <w:t xml:space="preserve"> investiţiile financiare în valori mobiliare şi părţi sociale, procurarea şi vânzarea activelor imobilizate</w:t>
      </w:r>
      <w:r w:rsidRPr="00933534">
        <w:rPr>
          <w:rFonts w:ascii="Times New Roman" w:hAnsi="Times New Roman"/>
          <w:sz w:val="28"/>
          <w:szCs w:val="28"/>
          <w:lang w:val="ro-RO"/>
        </w:rPr>
        <w:t xml:space="preserve">, precum şi fluxul din activitatea </w:t>
      </w:r>
      <w:r w:rsidRPr="00933534">
        <w:rPr>
          <w:rFonts w:ascii="Times New Roman" w:hAnsi="Times New Roman"/>
          <w:bCs/>
          <w:iCs/>
          <w:sz w:val="28"/>
          <w:szCs w:val="28"/>
          <w:lang w:val="ro-RO"/>
        </w:rPr>
        <w:t>care conduce la modificări în componenţa capitalului propriu şi mijloacelor împrumutate.</w:t>
      </w:r>
    </w:p>
    <w:p w:rsidR="006C7862" w:rsidRPr="00933534" w:rsidRDefault="006C7862" w:rsidP="006C7862">
      <w:pPr>
        <w:pStyle w:val="ListParagraph"/>
        <w:tabs>
          <w:tab w:val="left" w:pos="284"/>
          <w:tab w:val="left" w:pos="426"/>
        </w:tabs>
        <w:spacing w:after="0" w:line="240" w:lineRule="auto"/>
        <w:ind w:left="0"/>
        <w:contextualSpacing w:val="0"/>
        <w:jc w:val="both"/>
        <w:rPr>
          <w:rFonts w:ascii="Times New Roman" w:hAnsi="Times New Roman"/>
          <w:color w:val="000000"/>
          <w:sz w:val="28"/>
          <w:szCs w:val="28"/>
          <w:lang w:val="ro-RO"/>
        </w:rPr>
      </w:pPr>
      <w:r w:rsidRPr="00933534">
        <w:rPr>
          <w:rFonts w:ascii="Times New Roman" w:hAnsi="Times New Roman"/>
          <w:b/>
          <w:color w:val="000000"/>
          <w:sz w:val="28"/>
          <w:szCs w:val="28"/>
          <w:lang w:val="ro-RO"/>
        </w:rPr>
        <w:t>1.</w:t>
      </w:r>
      <w:r w:rsidRPr="00933534">
        <w:rPr>
          <w:rFonts w:ascii="Times New Roman" w:hAnsi="Times New Roman"/>
          <w:color w:val="000000"/>
          <w:sz w:val="28"/>
          <w:szCs w:val="28"/>
          <w:lang w:val="ro-RO"/>
        </w:rPr>
        <w:t xml:space="preserve"> În rândul 200 </w:t>
      </w:r>
      <w:r w:rsidRPr="00933534">
        <w:rPr>
          <w:rFonts w:ascii="Times New Roman" w:hAnsi="Times New Roman"/>
          <w:sz w:val="28"/>
          <w:szCs w:val="28"/>
          <w:lang w:val="ro-RO"/>
        </w:rPr>
        <w:t>„</w:t>
      </w:r>
      <w:r w:rsidRPr="00933534">
        <w:rPr>
          <w:rFonts w:ascii="Times New Roman" w:hAnsi="Times New Roman"/>
          <w:color w:val="000000"/>
          <w:sz w:val="28"/>
          <w:szCs w:val="28"/>
          <w:lang w:val="ro-RO"/>
        </w:rPr>
        <w:t>Încasări din vânzarea valorilor mobiliare</w:t>
      </w:r>
      <w:r w:rsidRPr="00933534">
        <w:rPr>
          <w:rFonts w:ascii="Times New Roman" w:hAnsi="Times New Roman"/>
          <w:sz w:val="28"/>
          <w:szCs w:val="28"/>
          <w:lang w:val="en-US"/>
        </w:rPr>
        <w:t>”</w:t>
      </w:r>
      <w:r w:rsidRPr="00933534">
        <w:rPr>
          <w:rFonts w:ascii="Times New Roman" w:hAnsi="Times New Roman"/>
          <w:color w:val="000000"/>
          <w:sz w:val="28"/>
          <w:szCs w:val="28"/>
          <w:lang w:val="ro-RO"/>
        </w:rPr>
        <w:t xml:space="preserve"> se reflectă numerarul încasat din vânzarea valorilor mobiliare.</w:t>
      </w:r>
    </w:p>
    <w:p w:rsidR="006C7862" w:rsidRPr="00933534" w:rsidRDefault="006C7862" w:rsidP="006C7862">
      <w:pPr>
        <w:pStyle w:val="ListParagraph"/>
        <w:tabs>
          <w:tab w:val="left" w:pos="284"/>
          <w:tab w:val="left" w:pos="426"/>
        </w:tabs>
        <w:spacing w:after="0" w:line="240" w:lineRule="auto"/>
        <w:ind w:left="0"/>
        <w:contextualSpacing w:val="0"/>
        <w:jc w:val="both"/>
        <w:rPr>
          <w:rFonts w:ascii="Times New Roman" w:hAnsi="Times New Roman"/>
          <w:color w:val="000000"/>
          <w:sz w:val="28"/>
          <w:szCs w:val="28"/>
          <w:lang w:val="ro-RO"/>
        </w:rPr>
      </w:pPr>
      <w:r w:rsidRPr="00933534">
        <w:rPr>
          <w:rFonts w:ascii="Times New Roman" w:hAnsi="Times New Roman"/>
          <w:b/>
          <w:color w:val="000000"/>
          <w:sz w:val="28"/>
          <w:szCs w:val="28"/>
          <w:lang w:val="ro-RO"/>
        </w:rPr>
        <w:t>2.</w:t>
      </w:r>
      <w:r w:rsidRPr="00933534">
        <w:rPr>
          <w:rFonts w:ascii="Times New Roman" w:hAnsi="Times New Roman"/>
          <w:color w:val="000000"/>
          <w:sz w:val="28"/>
          <w:szCs w:val="28"/>
          <w:lang w:val="ro-RO"/>
        </w:rPr>
        <w:t xml:space="preserve"> În rândul 210 </w:t>
      </w:r>
      <w:r w:rsidRPr="00933534">
        <w:rPr>
          <w:rFonts w:ascii="Times New Roman" w:hAnsi="Times New Roman"/>
          <w:sz w:val="28"/>
          <w:szCs w:val="28"/>
          <w:lang w:val="ro-RO"/>
        </w:rPr>
        <w:t>„</w:t>
      </w:r>
      <w:r w:rsidRPr="00933534">
        <w:rPr>
          <w:rFonts w:ascii="Times New Roman" w:hAnsi="Times New Roman"/>
          <w:color w:val="000000"/>
          <w:sz w:val="28"/>
          <w:szCs w:val="28"/>
          <w:lang w:val="ro-RO"/>
        </w:rPr>
        <w:t>Dividende încasate</w:t>
      </w:r>
      <w:r w:rsidRPr="00933534">
        <w:rPr>
          <w:rFonts w:ascii="Times New Roman" w:hAnsi="Times New Roman"/>
          <w:sz w:val="28"/>
          <w:szCs w:val="28"/>
          <w:lang w:val="en-US"/>
        </w:rPr>
        <w:t>”</w:t>
      </w:r>
      <w:r w:rsidRPr="00933534">
        <w:rPr>
          <w:rFonts w:ascii="Times New Roman" w:hAnsi="Times New Roman"/>
          <w:color w:val="000000"/>
          <w:sz w:val="28"/>
          <w:szCs w:val="28"/>
          <w:lang w:val="ro-RO"/>
        </w:rPr>
        <w:t xml:space="preserve"> se indică sumele dividendelor încasate din cotele de participaţie (acţiuni) în capitalul social a altor entități.</w:t>
      </w:r>
    </w:p>
    <w:p w:rsidR="006C7862" w:rsidRPr="00933534" w:rsidRDefault="006C7862" w:rsidP="006C7862">
      <w:pPr>
        <w:pStyle w:val="ListParagraph"/>
        <w:tabs>
          <w:tab w:val="left" w:pos="284"/>
          <w:tab w:val="left" w:pos="426"/>
        </w:tabs>
        <w:spacing w:after="0" w:line="240" w:lineRule="auto"/>
        <w:ind w:left="0"/>
        <w:contextualSpacing w:val="0"/>
        <w:jc w:val="both"/>
        <w:rPr>
          <w:rFonts w:ascii="Times New Roman" w:hAnsi="Times New Roman"/>
          <w:color w:val="000000"/>
          <w:sz w:val="28"/>
          <w:szCs w:val="28"/>
          <w:lang w:val="ro-RO"/>
        </w:rPr>
      </w:pPr>
      <w:r w:rsidRPr="00933534">
        <w:rPr>
          <w:rFonts w:ascii="Times New Roman" w:hAnsi="Times New Roman"/>
          <w:b/>
          <w:color w:val="000000"/>
          <w:sz w:val="28"/>
          <w:szCs w:val="28"/>
          <w:lang w:val="ro-RO"/>
        </w:rPr>
        <w:t>3.</w:t>
      </w:r>
      <w:r w:rsidRPr="00933534">
        <w:rPr>
          <w:rFonts w:ascii="Times New Roman" w:hAnsi="Times New Roman"/>
          <w:color w:val="000000"/>
          <w:sz w:val="28"/>
          <w:szCs w:val="28"/>
          <w:lang w:val="ro-RO"/>
        </w:rPr>
        <w:t xml:space="preserve"> În rândul 220 </w:t>
      </w:r>
      <w:r w:rsidRPr="00933534">
        <w:rPr>
          <w:rFonts w:ascii="Times New Roman" w:hAnsi="Times New Roman"/>
          <w:sz w:val="28"/>
          <w:szCs w:val="28"/>
          <w:lang w:val="ro-RO"/>
        </w:rPr>
        <w:t>„</w:t>
      </w:r>
      <w:r w:rsidRPr="00933534">
        <w:rPr>
          <w:rFonts w:ascii="Times New Roman" w:hAnsi="Times New Roman"/>
          <w:color w:val="000000"/>
          <w:sz w:val="28"/>
          <w:szCs w:val="28"/>
          <w:lang w:val="ro-RO"/>
        </w:rPr>
        <w:t>Plăţi privind procurarea valorilor mobiliare</w:t>
      </w:r>
      <w:r w:rsidRPr="00933534">
        <w:rPr>
          <w:rFonts w:ascii="Times New Roman" w:hAnsi="Times New Roman"/>
          <w:sz w:val="28"/>
          <w:szCs w:val="28"/>
          <w:lang w:val="en-US"/>
        </w:rPr>
        <w:t>”</w:t>
      </w:r>
      <w:r w:rsidRPr="00933534">
        <w:rPr>
          <w:rFonts w:ascii="Times New Roman" w:hAnsi="Times New Roman"/>
          <w:color w:val="000000"/>
          <w:sz w:val="28"/>
          <w:szCs w:val="28"/>
          <w:lang w:val="ro-RO"/>
        </w:rPr>
        <w:t xml:space="preserve"> se reflectă numerarul plătit pentru procurarea valorilor mobiliare.</w:t>
      </w:r>
    </w:p>
    <w:p w:rsidR="006C7862" w:rsidRPr="00933534" w:rsidRDefault="006C7862" w:rsidP="006C7862">
      <w:pPr>
        <w:pStyle w:val="ListParagraph"/>
        <w:tabs>
          <w:tab w:val="left" w:pos="284"/>
          <w:tab w:val="left" w:pos="426"/>
        </w:tabs>
        <w:spacing w:after="0" w:line="240" w:lineRule="auto"/>
        <w:ind w:left="0"/>
        <w:contextualSpacing w:val="0"/>
        <w:jc w:val="both"/>
        <w:rPr>
          <w:rFonts w:ascii="Times New Roman" w:hAnsi="Times New Roman"/>
          <w:color w:val="000000"/>
          <w:sz w:val="28"/>
          <w:szCs w:val="28"/>
          <w:lang w:val="ro-RO"/>
        </w:rPr>
      </w:pPr>
      <w:r w:rsidRPr="00933534">
        <w:rPr>
          <w:rFonts w:ascii="Times New Roman" w:hAnsi="Times New Roman"/>
          <w:b/>
          <w:color w:val="000000"/>
          <w:sz w:val="28"/>
          <w:szCs w:val="28"/>
          <w:lang w:val="ro-RO"/>
        </w:rPr>
        <w:t>4.</w:t>
      </w:r>
      <w:r w:rsidRPr="00933534">
        <w:rPr>
          <w:rFonts w:ascii="Times New Roman" w:hAnsi="Times New Roman"/>
          <w:color w:val="000000"/>
          <w:sz w:val="28"/>
          <w:szCs w:val="28"/>
          <w:lang w:val="ro-RO"/>
        </w:rPr>
        <w:t xml:space="preserve"> În rândul 230 </w:t>
      </w:r>
      <w:r w:rsidRPr="00933534">
        <w:rPr>
          <w:rFonts w:ascii="Times New Roman" w:hAnsi="Times New Roman"/>
          <w:sz w:val="28"/>
          <w:szCs w:val="28"/>
          <w:lang w:val="ro-RO"/>
        </w:rPr>
        <w:t>„</w:t>
      </w:r>
      <w:r w:rsidRPr="00933534">
        <w:rPr>
          <w:rFonts w:ascii="Times New Roman" w:hAnsi="Times New Roman"/>
          <w:color w:val="000000"/>
          <w:sz w:val="28"/>
          <w:szCs w:val="28"/>
          <w:lang w:val="ro-RO"/>
        </w:rPr>
        <w:t>Încasări (plăţi) aferente operaţiunilor de capital</w:t>
      </w:r>
      <w:r w:rsidRPr="00933534">
        <w:rPr>
          <w:rFonts w:ascii="Times New Roman" w:hAnsi="Times New Roman"/>
          <w:sz w:val="28"/>
          <w:szCs w:val="28"/>
          <w:lang w:val="en-US"/>
        </w:rPr>
        <w:t>”</w:t>
      </w:r>
      <w:r w:rsidRPr="00933534">
        <w:rPr>
          <w:rFonts w:ascii="Times New Roman" w:hAnsi="Times New Roman"/>
          <w:color w:val="000000"/>
          <w:sz w:val="28"/>
          <w:szCs w:val="28"/>
          <w:lang w:val="ro-RO"/>
        </w:rPr>
        <w:t xml:space="preserve"> se reflectă încasările din depunerea părţilor sociale sau valorilor mobiliare, încasările din majorarea acestora, din vânzarea părţilor sociale sau valorilor mobiliare răscumpărate anterior de la proprietari şi plăţile aferente răscumpărării părţilor sociale sau valorilor mobiliare proprii ale organizației de microfinanțare.</w:t>
      </w:r>
    </w:p>
    <w:p w:rsidR="006C7862" w:rsidRPr="00933534" w:rsidRDefault="006C7862" w:rsidP="006C7862">
      <w:pPr>
        <w:pStyle w:val="ListParagraph"/>
        <w:tabs>
          <w:tab w:val="left" w:pos="284"/>
          <w:tab w:val="left" w:pos="426"/>
        </w:tabs>
        <w:spacing w:after="0" w:line="240" w:lineRule="auto"/>
        <w:ind w:left="0"/>
        <w:contextualSpacing w:val="0"/>
        <w:jc w:val="both"/>
        <w:rPr>
          <w:rFonts w:ascii="Times New Roman" w:hAnsi="Times New Roman"/>
          <w:color w:val="000000"/>
          <w:sz w:val="28"/>
          <w:szCs w:val="28"/>
          <w:lang w:val="ro-RO"/>
        </w:rPr>
      </w:pPr>
      <w:r w:rsidRPr="00933534">
        <w:rPr>
          <w:rFonts w:ascii="Times New Roman" w:hAnsi="Times New Roman"/>
          <w:b/>
          <w:color w:val="000000"/>
          <w:sz w:val="28"/>
          <w:szCs w:val="28"/>
          <w:lang w:val="ro-RO"/>
        </w:rPr>
        <w:t>5.</w:t>
      </w:r>
      <w:r w:rsidRPr="00933534">
        <w:rPr>
          <w:rFonts w:ascii="Times New Roman" w:hAnsi="Times New Roman"/>
          <w:color w:val="000000"/>
          <w:sz w:val="28"/>
          <w:szCs w:val="28"/>
          <w:lang w:val="ro-RO"/>
        </w:rPr>
        <w:t xml:space="preserve"> În rândul 240 </w:t>
      </w:r>
      <w:r w:rsidRPr="00933534">
        <w:rPr>
          <w:rFonts w:ascii="Times New Roman" w:hAnsi="Times New Roman"/>
          <w:sz w:val="28"/>
          <w:szCs w:val="28"/>
          <w:lang w:val="ro-RO"/>
        </w:rPr>
        <w:t>„</w:t>
      </w:r>
      <w:r w:rsidRPr="00933534">
        <w:rPr>
          <w:rFonts w:ascii="Times New Roman" w:hAnsi="Times New Roman"/>
          <w:color w:val="000000"/>
          <w:sz w:val="28"/>
          <w:szCs w:val="28"/>
          <w:lang w:val="ro-RO"/>
        </w:rPr>
        <w:t>Alte încasări (plăţi) din activitatea de investiţii şi financiară</w:t>
      </w:r>
      <w:r w:rsidRPr="00933534">
        <w:rPr>
          <w:rFonts w:ascii="Times New Roman" w:hAnsi="Times New Roman"/>
          <w:sz w:val="28"/>
          <w:szCs w:val="28"/>
          <w:lang w:val="en-US"/>
        </w:rPr>
        <w:t>”</w:t>
      </w:r>
      <w:r w:rsidRPr="00933534">
        <w:rPr>
          <w:rFonts w:ascii="Times New Roman" w:hAnsi="Times New Roman"/>
          <w:color w:val="000000"/>
          <w:sz w:val="28"/>
          <w:szCs w:val="28"/>
          <w:lang w:val="ro-RO"/>
        </w:rPr>
        <w:t xml:space="preserve"> se reflectă diferenţa dintre încasările şi plăţile de numerar rezultate din activităţile de investiţii şi financiară, care nu sunt incluse în rândurile 200-240, cum ar fi:</w:t>
      </w:r>
    </w:p>
    <w:p w:rsidR="006C7862" w:rsidRPr="00933534" w:rsidRDefault="006C7862" w:rsidP="006C7862">
      <w:pPr>
        <w:pStyle w:val="ListParagraph"/>
        <w:numPr>
          <w:ilvl w:val="0"/>
          <w:numId w:val="1"/>
        </w:numPr>
        <w:tabs>
          <w:tab w:val="left" w:pos="284"/>
          <w:tab w:val="left" w:pos="426"/>
        </w:tabs>
        <w:spacing w:after="0" w:line="240" w:lineRule="auto"/>
        <w:ind w:left="0" w:firstLine="0"/>
        <w:contextualSpacing w:val="0"/>
        <w:jc w:val="both"/>
        <w:rPr>
          <w:rFonts w:ascii="Times New Roman" w:hAnsi="Times New Roman"/>
          <w:i/>
          <w:color w:val="000000"/>
          <w:sz w:val="28"/>
          <w:szCs w:val="28"/>
          <w:lang w:val="ro-RO"/>
        </w:rPr>
      </w:pPr>
      <w:r w:rsidRPr="00933534">
        <w:rPr>
          <w:rFonts w:ascii="Times New Roman" w:hAnsi="Times New Roman"/>
          <w:i/>
          <w:color w:val="000000"/>
          <w:sz w:val="28"/>
          <w:szCs w:val="28"/>
          <w:lang w:val="ro-RO"/>
        </w:rPr>
        <w:t>încasările şi plăţile de numerar pentru activele imobilizate vândute sau achiziţionate şi/sau crearea activelor imobilizate;</w:t>
      </w:r>
    </w:p>
    <w:p w:rsidR="006C7862" w:rsidRPr="00933534" w:rsidRDefault="006C7862" w:rsidP="006C7862">
      <w:pPr>
        <w:pStyle w:val="ListParagraph"/>
        <w:numPr>
          <w:ilvl w:val="0"/>
          <w:numId w:val="1"/>
        </w:numPr>
        <w:tabs>
          <w:tab w:val="left" w:pos="284"/>
          <w:tab w:val="left" w:pos="426"/>
        </w:tabs>
        <w:spacing w:after="0" w:line="240" w:lineRule="auto"/>
        <w:ind w:left="0" w:firstLine="0"/>
        <w:contextualSpacing w:val="0"/>
        <w:jc w:val="both"/>
        <w:rPr>
          <w:rFonts w:ascii="Times New Roman" w:hAnsi="Times New Roman"/>
          <w:i/>
          <w:sz w:val="28"/>
          <w:szCs w:val="28"/>
          <w:lang w:val="ro-RO"/>
        </w:rPr>
      </w:pPr>
      <w:r w:rsidRPr="00933534">
        <w:rPr>
          <w:rFonts w:ascii="Times New Roman" w:hAnsi="Times New Roman"/>
          <w:i/>
          <w:sz w:val="28"/>
          <w:szCs w:val="28"/>
          <w:lang w:val="ro-RO"/>
        </w:rPr>
        <w:t>dividendele plătite;</w:t>
      </w:r>
    </w:p>
    <w:p w:rsidR="006C7862" w:rsidRPr="00933534" w:rsidRDefault="006C7862" w:rsidP="006C7862">
      <w:pPr>
        <w:pStyle w:val="ListParagraph"/>
        <w:numPr>
          <w:ilvl w:val="0"/>
          <w:numId w:val="1"/>
        </w:numPr>
        <w:tabs>
          <w:tab w:val="left" w:pos="284"/>
          <w:tab w:val="left" w:pos="426"/>
        </w:tabs>
        <w:spacing w:after="0" w:line="240" w:lineRule="auto"/>
        <w:ind w:left="0" w:firstLine="0"/>
        <w:contextualSpacing w:val="0"/>
        <w:jc w:val="both"/>
        <w:rPr>
          <w:rFonts w:ascii="Times New Roman" w:hAnsi="Times New Roman"/>
          <w:i/>
          <w:sz w:val="28"/>
          <w:szCs w:val="28"/>
          <w:lang w:val="ro-RO"/>
        </w:rPr>
      </w:pPr>
      <w:r w:rsidRPr="00933534">
        <w:rPr>
          <w:rFonts w:ascii="Times New Roman" w:hAnsi="Times New Roman"/>
          <w:i/>
          <w:color w:val="000000"/>
          <w:sz w:val="28"/>
          <w:szCs w:val="28"/>
          <w:lang w:val="ro-RO"/>
        </w:rPr>
        <w:t>plăţile de numerar sub formă de credite şi împrumuturi, care nu sunt reflectate în rândul 160;</w:t>
      </w:r>
    </w:p>
    <w:p w:rsidR="006C7862" w:rsidRPr="00933534" w:rsidRDefault="006C7862" w:rsidP="006C7862">
      <w:pPr>
        <w:pStyle w:val="ListParagraph"/>
        <w:numPr>
          <w:ilvl w:val="0"/>
          <w:numId w:val="1"/>
        </w:numPr>
        <w:tabs>
          <w:tab w:val="left" w:pos="284"/>
          <w:tab w:val="left" w:pos="426"/>
        </w:tabs>
        <w:spacing w:after="0" w:line="240" w:lineRule="auto"/>
        <w:ind w:left="0" w:firstLine="0"/>
        <w:contextualSpacing w:val="0"/>
        <w:jc w:val="both"/>
        <w:rPr>
          <w:rFonts w:ascii="Times New Roman" w:hAnsi="Times New Roman"/>
          <w:i/>
          <w:sz w:val="28"/>
          <w:szCs w:val="28"/>
          <w:lang w:val="ro-RO"/>
        </w:rPr>
      </w:pPr>
      <w:r w:rsidRPr="00933534">
        <w:rPr>
          <w:rFonts w:ascii="Times New Roman" w:hAnsi="Times New Roman"/>
          <w:i/>
          <w:color w:val="000000"/>
          <w:sz w:val="28"/>
          <w:szCs w:val="28"/>
          <w:lang w:val="ro-RO"/>
        </w:rPr>
        <w:t>încasările de numerar pentru compensarea pierderilor excepţionale etc.;</w:t>
      </w:r>
    </w:p>
    <w:p w:rsidR="006C7862" w:rsidRPr="00933534" w:rsidRDefault="006C7862" w:rsidP="006C7862">
      <w:pPr>
        <w:pStyle w:val="ListParagraph"/>
        <w:numPr>
          <w:ilvl w:val="0"/>
          <w:numId w:val="1"/>
        </w:numPr>
        <w:tabs>
          <w:tab w:val="left" w:pos="284"/>
          <w:tab w:val="left" w:pos="426"/>
        </w:tabs>
        <w:spacing w:after="0" w:line="240" w:lineRule="auto"/>
        <w:ind w:left="0" w:firstLine="0"/>
        <w:contextualSpacing w:val="0"/>
        <w:jc w:val="both"/>
        <w:rPr>
          <w:rFonts w:ascii="Times New Roman" w:hAnsi="Times New Roman"/>
          <w:i/>
          <w:sz w:val="28"/>
          <w:szCs w:val="28"/>
          <w:lang w:val="ro-RO"/>
        </w:rPr>
      </w:pPr>
      <w:r w:rsidRPr="00933534">
        <w:rPr>
          <w:rFonts w:ascii="Times New Roman" w:hAnsi="Times New Roman"/>
          <w:i/>
          <w:color w:val="000000"/>
          <w:sz w:val="28"/>
          <w:szCs w:val="28"/>
          <w:lang w:val="ro-RO"/>
        </w:rPr>
        <w:t>plăţile de numerar aferente pierderilor din evenimente excepţionale (furturi şi exproprieri de numerar, incendii, inundaţii, perturbaţii politice în rezultatul cărora numerarul a fost nimicit), achitarea cheltuielilor aferente înlăturării consecinţelor calamităţilor naturale etc.;</w:t>
      </w:r>
    </w:p>
    <w:p w:rsidR="006C7862" w:rsidRPr="00933534" w:rsidRDefault="006C7862" w:rsidP="006C7862">
      <w:pPr>
        <w:pStyle w:val="ListParagraph"/>
        <w:numPr>
          <w:ilvl w:val="0"/>
          <w:numId w:val="1"/>
        </w:numPr>
        <w:tabs>
          <w:tab w:val="left" w:pos="284"/>
          <w:tab w:val="left" w:pos="426"/>
        </w:tabs>
        <w:spacing w:after="0" w:line="240" w:lineRule="auto"/>
        <w:ind w:left="0" w:firstLine="0"/>
        <w:contextualSpacing w:val="0"/>
        <w:jc w:val="both"/>
        <w:rPr>
          <w:rFonts w:ascii="Times New Roman" w:hAnsi="Times New Roman"/>
          <w:i/>
          <w:sz w:val="28"/>
          <w:szCs w:val="28"/>
          <w:lang w:val="ro-RO"/>
        </w:rPr>
      </w:pPr>
      <w:r w:rsidRPr="00933534">
        <w:rPr>
          <w:rFonts w:ascii="Times New Roman" w:hAnsi="Times New Roman"/>
          <w:i/>
          <w:color w:val="000000"/>
          <w:sz w:val="28"/>
          <w:szCs w:val="28"/>
          <w:lang w:val="ro-RO"/>
        </w:rPr>
        <w:t>alte încasări şi plăţi.</w:t>
      </w:r>
    </w:p>
    <w:p w:rsidR="006C7862" w:rsidRPr="00933534" w:rsidRDefault="006C7862" w:rsidP="006C7862">
      <w:pPr>
        <w:pStyle w:val="ListParagraph"/>
        <w:numPr>
          <w:ilvl w:val="0"/>
          <w:numId w:val="3"/>
        </w:numPr>
        <w:tabs>
          <w:tab w:val="left" w:pos="284"/>
          <w:tab w:val="left" w:pos="426"/>
        </w:tabs>
        <w:spacing w:after="0" w:line="240" w:lineRule="auto"/>
        <w:ind w:left="0" w:firstLine="0"/>
        <w:contextualSpacing w:val="0"/>
        <w:jc w:val="both"/>
        <w:rPr>
          <w:rFonts w:ascii="Times New Roman" w:hAnsi="Times New Roman"/>
          <w:color w:val="000000"/>
          <w:sz w:val="28"/>
          <w:szCs w:val="28"/>
          <w:lang w:val="ro-RO"/>
        </w:rPr>
      </w:pPr>
      <w:r w:rsidRPr="00933534">
        <w:rPr>
          <w:rFonts w:ascii="Times New Roman" w:hAnsi="Times New Roman"/>
          <w:color w:val="000000"/>
          <w:sz w:val="28"/>
          <w:szCs w:val="28"/>
          <w:lang w:val="ro-RO"/>
        </w:rPr>
        <w:lastRenderedPageBreak/>
        <w:t xml:space="preserve">În rândul 250 </w:t>
      </w:r>
      <w:r w:rsidRPr="00933534">
        <w:rPr>
          <w:rFonts w:ascii="Times New Roman" w:hAnsi="Times New Roman"/>
          <w:sz w:val="28"/>
          <w:szCs w:val="28"/>
          <w:lang w:val="ro-RO"/>
        </w:rPr>
        <w:t>„</w:t>
      </w:r>
      <w:r w:rsidRPr="00933534">
        <w:rPr>
          <w:rFonts w:ascii="Times New Roman" w:hAnsi="Times New Roman"/>
          <w:color w:val="000000"/>
          <w:sz w:val="28"/>
          <w:szCs w:val="28"/>
          <w:lang w:val="ro-RO"/>
        </w:rPr>
        <w:t>Fluxul net de numerar din activitatea de investiţii şi financiară</w:t>
      </w:r>
      <w:r w:rsidRPr="00933534">
        <w:rPr>
          <w:rFonts w:ascii="Times New Roman" w:hAnsi="Times New Roman"/>
          <w:sz w:val="28"/>
          <w:szCs w:val="28"/>
          <w:lang w:val="en-US"/>
        </w:rPr>
        <w:t>”</w:t>
      </w:r>
      <w:r w:rsidRPr="00933534">
        <w:rPr>
          <w:rFonts w:ascii="Times New Roman" w:hAnsi="Times New Roman"/>
          <w:color w:val="000000"/>
          <w:sz w:val="28"/>
          <w:szCs w:val="28"/>
          <w:lang w:val="ro-RO"/>
        </w:rPr>
        <w:t xml:space="preserve"> se înscrie diferenţa dintre numerarul încasat şi cel plătit (ieşit) în perioada de gestiune din activitatea de investiţii şi financiară, determinată prin relaţia: (rd.200+rd.210-rd.220±rd.230±rd.240).</w:t>
      </w:r>
    </w:p>
    <w:p w:rsidR="006C7862" w:rsidRPr="00933534" w:rsidRDefault="006C7862" w:rsidP="006C7862">
      <w:pPr>
        <w:pStyle w:val="ListParagraph"/>
        <w:numPr>
          <w:ilvl w:val="0"/>
          <w:numId w:val="3"/>
        </w:numPr>
        <w:tabs>
          <w:tab w:val="left" w:pos="284"/>
          <w:tab w:val="left" w:pos="426"/>
        </w:tabs>
        <w:spacing w:after="0" w:line="240" w:lineRule="auto"/>
        <w:ind w:left="0" w:firstLine="0"/>
        <w:contextualSpacing w:val="0"/>
        <w:jc w:val="both"/>
        <w:rPr>
          <w:rFonts w:ascii="Times New Roman" w:hAnsi="Times New Roman"/>
          <w:color w:val="000000"/>
          <w:sz w:val="28"/>
          <w:szCs w:val="28"/>
          <w:lang w:val="ro-RO"/>
        </w:rPr>
      </w:pPr>
      <w:r w:rsidRPr="00933534">
        <w:rPr>
          <w:rFonts w:ascii="Times New Roman" w:hAnsi="Times New Roman"/>
          <w:color w:val="000000"/>
          <w:sz w:val="28"/>
          <w:szCs w:val="28"/>
          <w:lang w:val="ro-RO"/>
        </w:rPr>
        <w:t xml:space="preserve">În rândul 260 </w:t>
      </w:r>
      <w:r w:rsidRPr="00933534">
        <w:rPr>
          <w:rFonts w:ascii="Times New Roman" w:hAnsi="Times New Roman"/>
          <w:sz w:val="28"/>
          <w:szCs w:val="28"/>
          <w:lang w:val="ro-RO"/>
        </w:rPr>
        <w:t>„</w:t>
      </w:r>
      <w:r w:rsidRPr="00933534">
        <w:rPr>
          <w:rFonts w:ascii="Times New Roman" w:hAnsi="Times New Roman"/>
          <w:color w:val="000000"/>
          <w:sz w:val="28"/>
          <w:szCs w:val="28"/>
          <w:lang w:val="ro-RO"/>
        </w:rPr>
        <w:t>Fluxul net de numerar total</w:t>
      </w:r>
      <w:r w:rsidRPr="00933534">
        <w:rPr>
          <w:rFonts w:ascii="Times New Roman" w:hAnsi="Times New Roman"/>
          <w:sz w:val="28"/>
          <w:szCs w:val="28"/>
          <w:lang w:val="en-US"/>
        </w:rPr>
        <w:t>”</w:t>
      </w:r>
      <w:r w:rsidRPr="00933534">
        <w:rPr>
          <w:rFonts w:ascii="Times New Roman" w:hAnsi="Times New Roman"/>
          <w:color w:val="000000"/>
          <w:sz w:val="28"/>
          <w:szCs w:val="28"/>
          <w:lang w:val="ro-RO"/>
        </w:rPr>
        <w:t xml:space="preserve"> se reflectă fluxul de numerar a</w:t>
      </w:r>
      <w:r>
        <w:rPr>
          <w:rFonts w:ascii="Times New Roman" w:hAnsi="Times New Roman"/>
          <w:color w:val="000000"/>
          <w:sz w:val="28"/>
          <w:szCs w:val="28"/>
          <w:lang w:val="ro-RO"/>
        </w:rPr>
        <w:t>l</w:t>
      </w:r>
      <w:r w:rsidRPr="00933534">
        <w:rPr>
          <w:rFonts w:ascii="Times New Roman" w:hAnsi="Times New Roman"/>
          <w:color w:val="000000"/>
          <w:sz w:val="28"/>
          <w:szCs w:val="28"/>
          <w:lang w:val="ro-RO"/>
        </w:rPr>
        <w:t xml:space="preserve"> perioadei de gestiune rezultat din activităţile operaţională, de investiţii şi financiară, determinat prin relaţia: (±rd.190±rd.250).</w:t>
      </w:r>
    </w:p>
    <w:p w:rsidR="006C7862" w:rsidRPr="00933534" w:rsidRDefault="006C7862" w:rsidP="006C7862">
      <w:pPr>
        <w:pStyle w:val="ListParagraph"/>
        <w:numPr>
          <w:ilvl w:val="0"/>
          <w:numId w:val="3"/>
        </w:numPr>
        <w:tabs>
          <w:tab w:val="left" w:pos="284"/>
          <w:tab w:val="left" w:pos="426"/>
        </w:tabs>
        <w:spacing w:after="0" w:line="240" w:lineRule="auto"/>
        <w:ind w:left="0" w:firstLine="0"/>
        <w:contextualSpacing w:val="0"/>
        <w:jc w:val="both"/>
        <w:rPr>
          <w:rFonts w:ascii="Times New Roman" w:hAnsi="Times New Roman"/>
          <w:color w:val="000000"/>
          <w:sz w:val="28"/>
          <w:szCs w:val="28"/>
          <w:lang w:val="ro-RO"/>
        </w:rPr>
      </w:pPr>
      <w:r w:rsidRPr="00933534">
        <w:rPr>
          <w:rFonts w:ascii="Times New Roman" w:hAnsi="Times New Roman"/>
          <w:color w:val="000000"/>
          <w:sz w:val="28"/>
          <w:szCs w:val="28"/>
          <w:lang w:val="ro-RO"/>
        </w:rPr>
        <w:t xml:space="preserve">În rândul 270 </w:t>
      </w:r>
      <w:r w:rsidRPr="00933534">
        <w:rPr>
          <w:rFonts w:ascii="Times New Roman" w:hAnsi="Times New Roman"/>
          <w:sz w:val="28"/>
          <w:szCs w:val="28"/>
          <w:lang w:val="ro-RO"/>
        </w:rPr>
        <w:t>„</w:t>
      </w:r>
      <w:r w:rsidRPr="00933534">
        <w:rPr>
          <w:rFonts w:ascii="Times New Roman" w:hAnsi="Times New Roman"/>
          <w:color w:val="000000"/>
          <w:sz w:val="28"/>
          <w:szCs w:val="28"/>
          <w:lang w:val="ro-RO"/>
        </w:rPr>
        <w:t>Diferenţe de curs valutar favorabile (nefavorabile) şi de sumă</w:t>
      </w:r>
      <w:r w:rsidRPr="00933534">
        <w:rPr>
          <w:rFonts w:ascii="Times New Roman" w:hAnsi="Times New Roman"/>
          <w:sz w:val="28"/>
          <w:szCs w:val="28"/>
          <w:lang w:val="en-US"/>
        </w:rPr>
        <w:t>”</w:t>
      </w:r>
      <w:r w:rsidRPr="00933534">
        <w:rPr>
          <w:rFonts w:ascii="Times New Roman" w:hAnsi="Times New Roman"/>
          <w:color w:val="000000"/>
          <w:sz w:val="28"/>
          <w:szCs w:val="28"/>
          <w:lang w:val="ro-RO"/>
        </w:rPr>
        <w:t xml:space="preserve"> se reflectă mărimea netă a diferenţelor de curs valutar favorabile şi nefavorabile şi de sumă la data raportării.</w:t>
      </w:r>
    </w:p>
    <w:p w:rsidR="006C7862" w:rsidRPr="00933534" w:rsidRDefault="006C7862" w:rsidP="006C7862">
      <w:pPr>
        <w:pStyle w:val="ListParagraph"/>
        <w:numPr>
          <w:ilvl w:val="0"/>
          <w:numId w:val="3"/>
        </w:numPr>
        <w:tabs>
          <w:tab w:val="left" w:pos="284"/>
          <w:tab w:val="left" w:pos="426"/>
        </w:tabs>
        <w:spacing w:after="0" w:line="240" w:lineRule="auto"/>
        <w:ind w:left="0" w:firstLine="0"/>
        <w:contextualSpacing w:val="0"/>
        <w:jc w:val="both"/>
        <w:rPr>
          <w:rFonts w:ascii="Times New Roman" w:hAnsi="Times New Roman"/>
          <w:color w:val="000000"/>
          <w:sz w:val="28"/>
          <w:szCs w:val="28"/>
          <w:lang w:val="ro-RO"/>
        </w:rPr>
      </w:pPr>
      <w:r w:rsidRPr="00933534">
        <w:rPr>
          <w:rFonts w:ascii="Times New Roman" w:hAnsi="Times New Roman"/>
          <w:color w:val="000000"/>
          <w:sz w:val="28"/>
          <w:szCs w:val="28"/>
          <w:lang w:val="ro-RO"/>
        </w:rPr>
        <w:t xml:space="preserve">În rândul 280 </w:t>
      </w:r>
      <w:r w:rsidRPr="00933534">
        <w:rPr>
          <w:rFonts w:ascii="Times New Roman" w:hAnsi="Times New Roman"/>
          <w:sz w:val="28"/>
          <w:szCs w:val="28"/>
          <w:lang w:val="ro-RO"/>
        </w:rPr>
        <w:t>„</w:t>
      </w:r>
      <w:r w:rsidRPr="00933534">
        <w:rPr>
          <w:rFonts w:ascii="Times New Roman" w:hAnsi="Times New Roman"/>
          <w:color w:val="000000"/>
          <w:sz w:val="28"/>
          <w:szCs w:val="28"/>
          <w:lang w:val="ro-RO"/>
        </w:rPr>
        <w:t>Sold de numerar la începutul perioadei de gestiune</w:t>
      </w:r>
      <w:r w:rsidRPr="00933534">
        <w:rPr>
          <w:rFonts w:ascii="Times New Roman" w:hAnsi="Times New Roman"/>
          <w:sz w:val="28"/>
          <w:szCs w:val="28"/>
          <w:lang w:val="en-US"/>
        </w:rPr>
        <w:t>”</w:t>
      </w:r>
      <w:r w:rsidRPr="00933534">
        <w:rPr>
          <w:rFonts w:ascii="Times New Roman" w:hAnsi="Times New Roman"/>
          <w:color w:val="000000"/>
          <w:sz w:val="28"/>
          <w:szCs w:val="28"/>
          <w:lang w:val="ro-RO"/>
        </w:rPr>
        <w:t xml:space="preserve"> se înscrie soldul de numerar în conturile de evidentă a  mijloacelor și documentelor bănești la începutul perioadei de gestiune curente. </w:t>
      </w:r>
    </w:p>
    <w:p w:rsidR="006C7862" w:rsidRPr="00933534" w:rsidRDefault="006C7862" w:rsidP="006C7862">
      <w:pPr>
        <w:rPr>
          <w:color w:val="000000"/>
          <w:sz w:val="28"/>
          <w:szCs w:val="28"/>
          <w:lang w:val="ro-RO"/>
        </w:rPr>
      </w:pPr>
      <w:r w:rsidRPr="00933534">
        <w:rPr>
          <w:b/>
          <w:color w:val="000000"/>
          <w:sz w:val="28"/>
          <w:szCs w:val="28"/>
          <w:lang w:val="ro-RO"/>
        </w:rPr>
        <w:t>10.</w:t>
      </w:r>
      <w:r w:rsidRPr="00933534">
        <w:rPr>
          <w:color w:val="000000"/>
          <w:sz w:val="28"/>
          <w:szCs w:val="28"/>
          <w:lang w:val="ro-RO"/>
        </w:rPr>
        <w:t xml:space="preserve"> În rândul 290 </w:t>
      </w:r>
      <w:r w:rsidRPr="00933534">
        <w:rPr>
          <w:sz w:val="28"/>
          <w:szCs w:val="28"/>
          <w:lang w:val="ro-RO"/>
        </w:rPr>
        <w:t>„</w:t>
      </w:r>
      <w:r w:rsidRPr="00933534">
        <w:rPr>
          <w:color w:val="000000"/>
          <w:sz w:val="28"/>
          <w:szCs w:val="28"/>
          <w:lang w:val="ro-RO"/>
        </w:rPr>
        <w:t>Sold de numerar la sfârşitul perioadei de gestiune</w:t>
      </w:r>
      <w:r w:rsidRPr="00933534">
        <w:rPr>
          <w:sz w:val="28"/>
          <w:szCs w:val="28"/>
        </w:rPr>
        <w:t>”</w:t>
      </w:r>
      <w:r w:rsidRPr="00933534">
        <w:rPr>
          <w:color w:val="000000"/>
          <w:sz w:val="28"/>
          <w:szCs w:val="28"/>
          <w:lang w:val="ro-RO"/>
        </w:rPr>
        <w:t xml:space="preserve"> se indică soldul de numerar în conturile de evidentă a  mijloacelor şi a documentelor băneşti la sfârşitul perioadei de gestiune curente, determinat prin relaţia: (±rd.260 ± rd.270 + rd.280). </w:t>
      </w:r>
    </w:p>
    <w:p w:rsidR="00303418" w:rsidRPr="006C7862" w:rsidRDefault="00303418">
      <w:pPr>
        <w:rPr>
          <w:lang w:val="ro-RO"/>
        </w:rPr>
      </w:pPr>
    </w:p>
    <w:sectPr w:rsidR="00303418" w:rsidRPr="006C7862" w:rsidSect="003034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87859"/>
    <w:multiLevelType w:val="hybridMultilevel"/>
    <w:tmpl w:val="0602B6A0"/>
    <w:lvl w:ilvl="0" w:tplc="A646704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A91829"/>
    <w:multiLevelType w:val="hybridMultilevel"/>
    <w:tmpl w:val="B68A4480"/>
    <w:lvl w:ilvl="0" w:tplc="303CC590">
      <w:start w:val="1"/>
      <w:numFmt w:val="decimal"/>
      <w:lvlText w:val="%1."/>
      <w:lvlJc w:val="left"/>
      <w:pPr>
        <w:ind w:left="644" w:hanging="360"/>
      </w:pPr>
      <w:rPr>
        <w:rFonts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8A66B9E"/>
    <w:multiLevelType w:val="hybridMultilevel"/>
    <w:tmpl w:val="985ED110"/>
    <w:lvl w:ilvl="0" w:tplc="E370C1CA">
      <w:start w:val="1"/>
      <w:numFmt w:val="bullet"/>
      <w:lvlText w:val="-"/>
      <w:lvlJc w:val="left"/>
      <w:pPr>
        <w:ind w:left="1148" w:hanging="360"/>
      </w:pPr>
      <w:rPr>
        <w:rFonts w:ascii="Times New Roman" w:hAnsi="Times New Roman" w:hint="default"/>
        <w:sz w:val="20"/>
      </w:rPr>
    </w:lvl>
    <w:lvl w:ilvl="1" w:tplc="04090003" w:tentative="1">
      <w:start w:val="1"/>
      <w:numFmt w:val="bullet"/>
      <w:lvlText w:val="o"/>
      <w:lvlJc w:val="left"/>
      <w:pPr>
        <w:ind w:left="1868" w:hanging="360"/>
      </w:pPr>
      <w:rPr>
        <w:rFonts w:ascii="Courier New" w:hAnsi="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hint="default"/>
      </w:rPr>
    </w:lvl>
    <w:lvl w:ilvl="8" w:tplc="04090005" w:tentative="1">
      <w:start w:val="1"/>
      <w:numFmt w:val="bullet"/>
      <w:lvlText w:val=""/>
      <w:lvlJc w:val="left"/>
      <w:pPr>
        <w:ind w:left="69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C7862"/>
    <w:rsid w:val="00303418"/>
    <w:rsid w:val="005A4BCB"/>
    <w:rsid w:val="006C7862"/>
    <w:rsid w:val="00FB53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C7862"/>
    <w:pPr>
      <w:ind w:firstLine="567"/>
      <w:jc w:val="both"/>
    </w:pPr>
    <w:rPr>
      <w:lang w:val="ru-RU" w:eastAsia="ru-RU"/>
    </w:rPr>
  </w:style>
  <w:style w:type="paragraph" w:styleId="ListParagraph">
    <w:name w:val="List Paragraph"/>
    <w:basedOn w:val="Normal"/>
    <w:uiPriority w:val="34"/>
    <w:qFormat/>
    <w:rsid w:val="006C7862"/>
    <w:pPr>
      <w:spacing w:after="200" w:line="276" w:lineRule="auto"/>
      <w:ind w:left="720"/>
      <w:contextualSpacing/>
    </w:pPr>
    <w:rPr>
      <w:rFonts w:ascii="Calibri" w:hAnsi="Calibri"/>
      <w:sz w:val="22"/>
      <w:szCs w:val="22"/>
      <w:lang w:val="ru-RU" w:eastAsia="ru-RU"/>
    </w:rPr>
  </w:style>
  <w:style w:type="paragraph" w:styleId="BodyTextIndent">
    <w:name w:val="Body Text Indent"/>
    <w:basedOn w:val="Normal"/>
    <w:link w:val="BodyTextIndentChar"/>
    <w:uiPriority w:val="99"/>
    <w:semiHidden/>
    <w:rsid w:val="006C7862"/>
    <w:pPr>
      <w:spacing w:after="120" w:line="276" w:lineRule="auto"/>
      <w:ind w:left="283"/>
    </w:pPr>
    <w:rPr>
      <w:rFonts w:ascii="Calibri" w:hAnsi="Calibri"/>
      <w:sz w:val="22"/>
      <w:szCs w:val="22"/>
      <w:lang w:val="ru-RU" w:eastAsia="ru-RU"/>
    </w:rPr>
  </w:style>
  <w:style w:type="character" w:customStyle="1" w:styleId="BodyTextIndentChar">
    <w:name w:val="Body Text Indent Char"/>
    <w:basedOn w:val="DefaultParagraphFont"/>
    <w:link w:val="BodyTextIndent"/>
    <w:uiPriority w:val="99"/>
    <w:semiHidden/>
    <w:rsid w:val="006C7862"/>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1761</Words>
  <Characters>10044</Characters>
  <Application>Microsoft Office Word</Application>
  <DocSecurity>0</DocSecurity>
  <Lines>83</Lines>
  <Paragraphs>23</Paragraphs>
  <ScaleCrop>false</ScaleCrop>
  <Company/>
  <LinksUpToDate>false</LinksUpToDate>
  <CharactersWithSpaces>11782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2</cp:revision>
  <dcterms:created xsi:type="dcterms:W3CDTF">2018-01-04T06:29:00Z</dcterms:created>
  <dcterms:modified xsi:type="dcterms:W3CDTF">2018-01-04T06:33:00Z</dcterms:modified>
</cp:coreProperties>
</file>