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4A0"/>
      </w:tblPr>
      <w:tblGrid>
        <w:gridCol w:w="3686"/>
        <w:gridCol w:w="572"/>
        <w:gridCol w:w="1554"/>
        <w:gridCol w:w="1134"/>
        <w:gridCol w:w="1038"/>
        <w:gridCol w:w="1088"/>
      </w:tblGrid>
      <w:tr w:rsidR="004F7A6E" w:rsidRPr="002E70D5" w:rsidTr="004570B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Default="004F7A6E" w:rsidP="004F7A6E">
            <w:pPr>
              <w:tabs>
                <w:tab w:val="left" w:pos="8789"/>
              </w:tabs>
              <w:ind w:right="317"/>
              <w:jc w:val="center"/>
              <w:rPr>
                <w:b/>
                <w:lang w:eastAsia="ru-RU"/>
              </w:rPr>
            </w:pPr>
          </w:p>
          <w:p w:rsidR="004F7A6E" w:rsidRPr="00502495" w:rsidRDefault="004F7A6E" w:rsidP="004570B2">
            <w:pPr>
              <w:tabs>
                <w:tab w:val="left" w:pos="8789"/>
              </w:tabs>
              <w:ind w:right="317"/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Anexa</w:t>
            </w:r>
            <w:proofErr w:type="spellEnd"/>
            <w:r w:rsidRPr="00502495">
              <w:rPr>
                <w:lang w:eastAsia="ru-RU"/>
              </w:rPr>
              <w:t xml:space="preserve"> nr.  9</w:t>
            </w:r>
          </w:p>
          <w:p w:rsidR="004F7A6E" w:rsidRPr="00502495" w:rsidRDefault="004F7A6E" w:rsidP="004570B2">
            <w:pPr>
              <w:tabs>
                <w:tab w:val="left" w:pos="8789"/>
              </w:tabs>
              <w:ind w:right="317"/>
              <w:jc w:val="right"/>
              <w:rPr>
                <w:lang w:eastAsia="ru-RU"/>
              </w:rPr>
            </w:pPr>
            <w:r w:rsidRPr="00502495">
              <w:rPr>
                <w:lang w:eastAsia="ru-RU"/>
              </w:rPr>
              <w:t xml:space="preserve">la </w:t>
            </w:r>
            <w:proofErr w:type="spellStart"/>
            <w:r w:rsidRPr="00502495">
              <w:rPr>
                <w:lang w:eastAsia="ru-RU"/>
              </w:rPr>
              <w:t>Instrucţiunea</w:t>
            </w:r>
            <w:proofErr w:type="spellEnd"/>
            <w:r w:rsidRPr="00502495">
              <w:rPr>
                <w:lang w:eastAsia="ru-RU"/>
              </w:rPr>
              <w:t xml:space="preserve"> cu </w:t>
            </w:r>
            <w:proofErr w:type="spellStart"/>
            <w:r w:rsidRPr="00502495">
              <w:rPr>
                <w:lang w:eastAsia="ru-RU"/>
              </w:rPr>
              <w:t>privire</w:t>
            </w:r>
            <w:proofErr w:type="spellEnd"/>
            <w:r w:rsidRPr="00502495">
              <w:rPr>
                <w:lang w:eastAsia="ru-RU"/>
              </w:rPr>
              <w:t xml:space="preserve"> la </w:t>
            </w:r>
            <w:proofErr w:type="spellStart"/>
            <w:r w:rsidRPr="00502495">
              <w:rPr>
                <w:lang w:eastAsia="ru-RU"/>
              </w:rPr>
              <w:t>raportarea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F7A6E" w:rsidRPr="00606A3C" w:rsidRDefault="004F7A6E" w:rsidP="004570B2">
            <w:pPr>
              <w:tabs>
                <w:tab w:val="left" w:pos="8789"/>
              </w:tabs>
              <w:ind w:right="317"/>
              <w:jc w:val="right"/>
              <w:rPr>
                <w:b/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organizațiilor</w:t>
            </w:r>
            <w:proofErr w:type="spellEnd"/>
            <w:r w:rsidRPr="00502495">
              <w:rPr>
                <w:lang w:eastAsia="ru-RU"/>
              </w:rPr>
              <w:t xml:space="preserve"> de </w:t>
            </w:r>
            <w:proofErr w:type="spellStart"/>
            <w:r w:rsidRPr="00502495">
              <w:rPr>
                <w:lang w:eastAsia="ru-RU"/>
              </w:rPr>
              <w:t>microfinanțare</w:t>
            </w:r>
            <w:proofErr w:type="spellEnd"/>
            <w:r w:rsidRPr="00606A3C">
              <w:rPr>
                <w:b/>
                <w:lang w:eastAsia="ru-RU"/>
              </w:rPr>
              <w:t xml:space="preserve"> </w:t>
            </w:r>
          </w:p>
          <w:p w:rsidR="004F7A6E" w:rsidRPr="00606A3C" w:rsidRDefault="004F7A6E" w:rsidP="004570B2">
            <w:pPr>
              <w:tabs>
                <w:tab w:val="left" w:pos="8789"/>
              </w:tabs>
              <w:ind w:right="317"/>
              <w:jc w:val="both"/>
              <w:rPr>
                <w:b/>
                <w:lang w:eastAsia="ru-RU"/>
              </w:rPr>
            </w:pPr>
            <w:r w:rsidRPr="00606A3C">
              <w:rPr>
                <w:b/>
                <w:lang w:eastAsia="ru-RU"/>
              </w:rPr>
              <w:t xml:space="preserve">  </w:t>
            </w:r>
          </w:p>
          <w:p w:rsidR="004F7A6E" w:rsidRPr="00502495" w:rsidRDefault="004F7A6E" w:rsidP="004570B2">
            <w:pPr>
              <w:tabs>
                <w:tab w:val="left" w:pos="8789"/>
              </w:tabs>
              <w:ind w:right="317"/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Aprobată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F7A6E" w:rsidRPr="00502495" w:rsidRDefault="004F7A6E" w:rsidP="004570B2">
            <w:pPr>
              <w:tabs>
                <w:tab w:val="left" w:pos="8789"/>
              </w:tabs>
              <w:ind w:right="317"/>
              <w:jc w:val="right"/>
              <w:rPr>
                <w:lang w:eastAsia="ru-RU"/>
              </w:rPr>
            </w:pPr>
            <w:proofErr w:type="spellStart"/>
            <w:proofErr w:type="gramStart"/>
            <w:r w:rsidRPr="00502495">
              <w:rPr>
                <w:lang w:eastAsia="ru-RU"/>
              </w:rPr>
              <w:t>prin</w:t>
            </w:r>
            <w:proofErr w:type="spellEnd"/>
            <w:proofErr w:type="gramEnd"/>
            <w:r w:rsidRPr="00502495">
              <w:rPr>
                <w:lang w:eastAsia="ru-RU"/>
              </w:rPr>
              <w:t xml:space="preserve"> </w:t>
            </w:r>
            <w:proofErr w:type="spellStart"/>
            <w:r w:rsidRPr="00502495">
              <w:rPr>
                <w:lang w:eastAsia="ru-RU"/>
              </w:rPr>
              <w:t>Hotărârea</w:t>
            </w:r>
            <w:proofErr w:type="spellEnd"/>
            <w:r w:rsidRPr="00502495">
              <w:rPr>
                <w:lang w:eastAsia="ru-RU"/>
              </w:rPr>
              <w:t xml:space="preserve"> C.N.P.F. </w:t>
            </w:r>
          </w:p>
          <w:p w:rsidR="004F7A6E" w:rsidRPr="00606A3C" w:rsidRDefault="004F7A6E" w:rsidP="004570B2">
            <w:pPr>
              <w:tabs>
                <w:tab w:val="left" w:pos="8789"/>
              </w:tabs>
              <w:ind w:right="317"/>
              <w:jc w:val="right"/>
              <w:rPr>
                <w:b/>
                <w:lang w:eastAsia="ru-RU"/>
              </w:rPr>
            </w:pPr>
            <w:r w:rsidRPr="00502495">
              <w:rPr>
                <w:lang w:eastAsia="ru-RU"/>
              </w:rPr>
              <w:t>nr.54/4 din 11.12.2017</w:t>
            </w:r>
          </w:p>
          <w:p w:rsidR="004F7A6E" w:rsidRPr="00606A3C" w:rsidRDefault="004F7A6E" w:rsidP="004570B2">
            <w:pPr>
              <w:tabs>
                <w:tab w:val="left" w:pos="8789"/>
              </w:tabs>
              <w:jc w:val="both"/>
              <w:rPr>
                <w:b/>
                <w:lang w:eastAsia="ru-RU"/>
              </w:rPr>
            </w:pPr>
            <w:r w:rsidRPr="00606A3C">
              <w:rPr>
                <w:b/>
                <w:lang w:eastAsia="ru-RU"/>
              </w:rPr>
              <w:t xml:space="preserve">  </w:t>
            </w:r>
          </w:p>
          <w:p w:rsidR="004F7A6E" w:rsidRPr="00606A3C" w:rsidRDefault="004F7A6E" w:rsidP="004570B2">
            <w:pPr>
              <w:tabs>
                <w:tab w:val="left" w:pos="8789"/>
              </w:tabs>
              <w:jc w:val="center"/>
              <w:rPr>
                <w:b/>
                <w:bCs/>
                <w:lang w:eastAsia="ru-RU"/>
              </w:rPr>
            </w:pPr>
            <w:r w:rsidRPr="00606A3C">
              <w:rPr>
                <w:b/>
                <w:bCs/>
                <w:lang w:eastAsia="ru-RU"/>
              </w:rPr>
              <w:t>RAPORTUL</w:t>
            </w:r>
          </w:p>
          <w:p w:rsidR="004F7A6E" w:rsidRPr="00606A3C" w:rsidRDefault="004F7A6E" w:rsidP="004570B2">
            <w:pPr>
              <w:tabs>
                <w:tab w:val="left" w:pos="8789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r w:rsidRPr="00606A3C">
              <w:rPr>
                <w:b/>
                <w:bCs/>
                <w:lang w:eastAsia="ru-RU"/>
              </w:rPr>
              <w:t>privind</w:t>
            </w:r>
            <w:proofErr w:type="spellEnd"/>
            <w:r w:rsidRPr="00606A3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606A3C">
              <w:rPr>
                <w:b/>
                <w:bCs/>
                <w:lang w:eastAsia="ru-RU"/>
              </w:rPr>
              <w:t>elementele</w:t>
            </w:r>
            <w:proofErr w:type="spellEnd"/>
            <w:r w:rsidRPr="00606A3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606A3C">
              <w:rPr>
                <w:b/>
                <w:bCs/>
                <w:lang w:eastAsia="ru-RU"/>
              </w:rPr>
              <w:t>contabile</w:t>
            </w:r>
            <w:proofErr w:type="spellEnd"/>
            <w:r w:rsidRPr="00606A3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606A3C">
              <w:rPr>
                <w:b/>
                <w:bCs/>
                <w:lang w:eastAsia="ru-RU"/>
              </w:rPr>
              <w:t>exrabilanţiere</w:t>
            </w:r>
            <w:proofErr w:type="spellEnd"/>
          </w:p>
        </w:tc>
      </w:tr>
      <w:tr w:rsidR="004F7A6E" w:rsidRPr="002E70D5" w:rsidTr="004570B2">
        <w:trPr>
          <w:trHeight w:val="23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jc w:val="center"/>
              <w:rPr>
                <w:b/>
                <w:lang w:val="ro-RO" w:eastAsia="ru-RU"/>
              </w:rPr>
            </w:pPr>
            <w:r w:rsidRPr="00606A3C">
              <w:rPr>
                <w:b/>
              </w:rPr>
              <w:t>la _______________ 20___</w:t>
            </w:r>
          </w:p>
        </w:tc>
      </w:tr>
      <w:tr w:rsidR="004F7A6E" w:rsidRPr="002E70D5" w:rsidTr="004570B2">
        <w:trPr>
          <w:trHeight w:val="1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rPr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7A6E" w:rsidRPr="00606A3C" w:rsidRDefault="004F7A6E" w:rsidP="004570B2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INDICATORI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Cod rd.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Sold la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începutul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perioadei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gestiune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Intrări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>/</w:t>
            </w:r>
            <w:r w:rsidRPr="002E70D5">
              <w:rPr>
                <w:b/>
                <w:bCs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majorări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Ieşiri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2E70D5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micşorări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Sold la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sfîrşitul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perioadei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gestiune</w:t>
            </w:r>
            <w:proofErr w:type="spellEnd"/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6=3+4-5</w:t>
            </w:r>
          </w:p>
        </w:tc>
      </w:tr>
      <w:tr w:rsidR="004F7A6E" w:rsidRPr="002E70D5" w:rsidTr="004570B2">
        <w:trPr>
          <w:trHeight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Imobilizări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corporale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primite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în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leasing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operaţional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</w:p>
        </w:tc>
      </w:tr>
      <w:tr w:rsidR="004F7A6E" w:rsidRPr="002E70D5" w:rsidTr="004570B2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Imobilizări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corporale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transmise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în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leasing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financiar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Creanțe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și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investiții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financiare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compromise, 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decontate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sistate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, total (rd.031+…+rd.035),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inclusiv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împrumuturi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decontate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sistate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d</w:t>
            </w:r>
            <w:r w:rsidRPr="002E70D5">
              <w:rPr>
                <w:sz w:val="18"/>
                <w:szCs w:val="18"/>
                <w:lang w:eastAsia="ru-RU"/>
              </w:rPr>
              <w:t>obânzi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calculate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decontate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sistate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21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alte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creanțe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alte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investiții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financiare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decontate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Creanțe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și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datorii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contingente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, total (rd.041+…+rd.044),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inclusiv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contingențe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primire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împrumuturilor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contingențe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acordare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împrumuturilor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angajamentele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irevocabile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privind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prelungirea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termenului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rambursare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împrumutului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2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alte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contingențe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ce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poartă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caracter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condițional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0" w:name="RANGE!E20"/>
            <w:bookmarkEnd w:id="0"/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1" w:name="RANGE!F20"/>
            <w:bookmarkEnd w:id="1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4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Garanții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acordate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și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primite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, total (rd.051+…+rd.053),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inclusiv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2" w:name="RANGE!E22"/>
            <w:bookmarkEnd w:id="2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3" w:name="RANGE!F22"/>
            <w:bookmarkEnd w:id="3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garantarea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datoriilor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plăţilor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primite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4" w:name="RANGE!E23"/>
            <w:bookmarkEnd w:id="4"/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5" w:name="RANGE!F23"/>
            <w:bookmarkEnd w:id="5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garantarea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datoriilor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plăţilor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acordate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6" w:name="RANGE!E24"/>
            <w:bookmarkEnd w:id="6"/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7" w:name="RANGE!F24"/>
            <w:bookmarkEnd w:id="7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garanţii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cauţiuni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emise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8" w:name="RANGE!E25"/>
            <w:bookmarkEnd w:id="8"/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9" w:name="RANGE!F25"/>
            <w:bookmarkEnd w:id="9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6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Alte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mijloace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şi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datorii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reflectate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în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contabilitatea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extrabilanţieră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, total (rd.061+rd.062), </w:t>
            </w:r>
            <w:proofErr w:type="spellStart"/>
            <w:r w:rsidRPr="002E70D5">
              <w:rPr>
                <w:b/>
                <w:bCs/>
                <w:sz w:val="18"/>
                <w:szCs w:val="18"/>
                <w:lang w:eastAsia="ru-RU"/>
              </w:rPr>
              <w:t>inclusiv</w:t>
            </w:r>
            <w:proofErr w:type="spellEnd"/>
            <w:r w:rsidRPr="002E70D5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0" w:name="RANGE!E26"/>
            <w:bookmarkEnd w:id="10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1" w:name="RANGE!F26"/>
            <w:bookmarkEnd w:id="11"/>
            <w:r w:rsidRPr="002E70D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bunuri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primite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în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posesiune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12" w:name="RANGE!E27"/>
            <w:bookmarkEnd w:id="12"/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13" w:name="RANGE!F27"/>
            <w:bookmarkEnd w:id="13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A6E" w:rsidRPr="002E70D5" w:rsidTr="004570B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E70D5">
              <w:rPr>
                <w:sz w:val="18"/>
                <w:szCs w:val="18"/>
                <w:lang w:eastAsia="ru-RU"/>
              </w:rPr>
              <w:t>alte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mijloace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2E70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70D5">
              <w:rPr>
                <w:sz w:val="18"/>
                <w:szCs w:val="18"/>
                <w:lang w:eastAsia="ru-RU"/>
              </w:rPr>
              <w:t>datorii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eastAsia="ru-RU"/>
              </w:rPr>
            </w:pPr>
            <w:bookmarkStart w:id="14" w:name="RANGE!E28"/>
            <w:bookmarkEnd w:id="14"/>
            <w:r w:rsidRPr="002E70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7A6E" w:rsidRPr="002E70D5" w:rsidRDefault="004F7A6E" w:rsidP="004570B2">
            <w:pPr>
              <w:jc w:val="center"/>
              <w:rPr>
                <w:sz w:val="18"/>
                <w:szCs w:val="18"/>
                <w:lang w:val="ro-RO" w:eastAsia="ru-RU"/>
              </w:rPr>
            </w:pPr>
          </w:p>
        </w:tc>
      </w:tr>
    </w:tbl>
    <w:p w:rsidR="004F7A6E" w:rsidRPr="002E70D5" w:rsidRDefault="004F7A6E" w:rsidP="004F7A6E">
      <w:pPr>
        <w:ind w:left="426"/>
        <w:jc w:val="center"/>
        <w:rPr>
          <w:b/>
          <w:sz w:val="28"/>
          <w:szCs w:val="28"/>
          <w:lang w:val="ro-MO"/>
        </w:rPr>
      </w:pPr>
    </w:p>
    <w:p w:rsidR="00B44FFB" w:rsidRDefault="00B44FFB">
      <w:pPr>
        <w:spacing w:after="200" w:line="276" w:lineRule="auto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br w:type="page"/>
      </w:r>
    </w:p>
    <w:p w:rsidR="004F7A6E" w:rsidRPr="003E249A" w:rsidRDefault="004F7A6E" w:rsidP="004F7A6E">
      <w:pPr>
        <w:jc w:val="center"/>
        <w:rPr>
          <w:b/>
          <w:sz w:val="28"/>
          <w:szCs w:val="28"/>
          <w:lang w:val="ro-MO"/>
        </w:rPr>
      </w:pPr>
      <w:r w:rsidRPr="003E249A">
        <w:rPr>
          <w:b/>
          <w:sz w:val="28"/>
          <w:szCs w:val="28"/>
          <w:lang w:val="ro-MO"/>
        </w:rPr>
        <w:lastRenderedPageBreak/>
        <w:t xml:space="preserve">Structura și modul de întocmire </w:t>
      </w:r>
    </w:p>
    <w:p w:rsidR="004F7A6E" w:rsidRPr="003E249A" w:rsidRDefault="004F7A6E" w:rsidP="004F7A6E">
      <w:pPr>
        <w:jc w:val="center"/>
        <w:rPr>
          <w:b/>
          <w:bCs/>
          <w:sz w:val="28"/>
          <w:szCs w:val="28"/>
          <w:lang w:eastAsia="ru-RU"/>
        </w:rPr>
      </w:pPr>
      <w:r w:rsidRPr="003E249A">
        <w:rPr>
          <w:b/>
          <w:sz w:val="28"/>
          <w:szCs w:val="28"/>
          <w:lang w:val="ro-MO"/>
        </w:rPr>
        <w:t xml:space="preserve">a Raportului </w:t>
      </w:r>
      <w:proofErr w:type="spellStart"/>
      <w:r w:rsidRPr="003E249A">
        <w:rPr>
          <w:b/>
          <w:bCs/>
          <w:color w:val="000000"/>
          <w:sz w:val="28"/>
          <w:szCs w:val="28"/>
          <w:lang w:eastAsia="ru-RU"/>
        </w:rPr>
        <w:t>privind</w:t>
      </w:r>
      <w:proofErr w:type="spellEnd"/>
      <w:r w:rsidRPr="003E249A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249A">
        <w:rPr>
          <w:b/>
          <w:bCs/>
          <w:sz w:val="28"/>
          <w:szCs w:val="28"/>
          <w:lang w:eastAsia="ru-RU"/>
        </w:rPr>
        <w:t>elementele</w:t>
      </w:r>
      <w:proofErr w:type="spellEnd"/>
      <w:r w:rsidRPr="003E249A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/>
          <w:bCs/>
          <w:sz w:val="28"/>
          <w:szCs w:val="28"/>
          <w:lang w:eastAsia="ru-RU"/>
        </w:rPr>
        <w:t>contabile</w:t>
      </w:r>
      <w:proofErr w:type="spellEnd"/>
      <w:r w:rsidRPr="003E249A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/>
          <w:bCs/>
          <w:sz w:val="28"/>
          <w:szCs w:val="28"/>
          <w:lang w:eastAsia="ru-RU"/>
        </w:rPr>
        <w:t>exrabilanţiere</w:t>
      </w:r>
      <w:proofErr w:type="spellEnd"/>
    </w:p>
    <w:p w:rsidR="004F7A6E" w:rsidRPr="003E249A" w:rsidRDefault="004F7A6E" w:rsidP="004F7A6E">
      <w:pPr>
        <w:jc w:val="both"/>
        <w:rPr>
          <w:sz w:val="28"/>
          <w:szCs w:val="28"/>
        </w:rPr>
      </w:pPr>
      <w:r w:rsidRPr="003E249A">
        <w:rPr>
          <w:b/>
          <w:sz w:val="28"/>
          <w:szCs w:val="28"/>
          <w:lang w:val="ro-RO"/>
        </w:rPr>
        <w:t>1.</w:t>
      </w:r>
      <w:r w:rsidRPr="003E249A">
        <w:rPr>
          <w:sz w:val="28"/>
          <w:szCs w:val="28"/>
          <w:lang w:val="ro-RO"/>
        </w:rPr>
        <w:t xml:space="preserve"> Raportul </w:t>
      </w:r>
      <w:proofErr w:type="spellStart"/>
      <w:r w:rsidRPr="003E249A">
        <w:rPr>
          <w:bCs/>
          <w:color w:val="000000"/>
          <w:sz w:val="28"/>
          <w:szCs w:val="28"/>
          <w:lang w:eastAsia="ru-RU"/>
        </w:rPr>
        <w:t>privind</w:t>
      </w:r>
      <w:proofErr w:type="spellEnd"/>
      <w:r w:rsidRPr="003E249A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elementele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contabile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exrabilanţiere</w:t>
      </w:r>
      <w:proofErr w:type="spellEnd"/>
      <w:r w:rsidRPr="003E249A">
        <w:rPr>
          <w:bCs/>
          <w:sz w:val="28"/>
          <w:szCs w:val="28"/>
        </w:rPr>
        <w:t xml:space="preserve"> </w:t>
      </w:r>
      <w:r w:rsidRPr="003E249A">
        <w:rPr>
          <w:color w:val="000000"/>
          <w:sz w:val="28"/>
          <w:szCs w:val="28"/>
          <w:lang w:val="ro-RO"/>
        </w:rPr>
        <w:t>caracterizează existenţa şi modificarea elementelor extrabilanțiere, inclusiv creanțe și investiții financiare compromise decontate, precum și creanțe și datorii contingente. Pentru fiecare element al r</w:t>
      </w:r>
      <w:r w:rsidRPr="003E249A">
        <w:rPr>
          <w:sz w:val="28"/>
          <w:szCs w:val="28"/>
          <w:lang w:val="ro-RO"/>
        </w:rPr>
        <w:t xml:space="preserve">aportului </w:t>
      </w:r>
      <w:proofErr w:type="spellStart"/>
      <w:r w:rsidRPr="003E249A">
        <w:rPr>
          <w:bCs/>
          <w:color w:val="000000"/>
          <w:sz w:val="28"/>
          <w:szCs w:val="28"/>
          <w:lang w:eastAsia="ru-RU"/>
        </w:rPr>
        <w:t>privind</w:t>
      </w:r>
      <w:proofErr w:type="spellEnd"/>
      <w:r w:rsidRPr="003E249A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elementele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contabile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exrabilanţiere</w:t>
      </w:r>
      <w:proofErr w:type="spellEnd"/>
      <w:r w:rsidRPr="003E249A">
        <w:rPr>
          <w:color w:val="000000"/>
          <w:sz w:val="28"/>
          <w:szCs w:val="28"/>
          <w:lang w:val="ro-RO"/>
        </w:rPr>
        <w:t xml:space="preserve"> se indică soldul la începutul perioadei de gestiune şi majorările şi diminuările pe parcursul acestei perioade şi soldul la finele ei.</w:t>
      </w:r>
    </w:p>
    <w:p w:rsidR="004F7A6E" w:rsidRPr="003E249A" w:rsidRDefault="004F7A6E" w:rsidP="004F7A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E249A">
        <w:rPr>
          <w:rFonts w:ascii="Times New Roman" w:hAnsi="Times New Roman"/>
          <w:b/>
          <w:sz w:val="28"/>
          <w:szCs w:val="28"/>
          <w:lang w:val="en-US"/>
        </w:rPr>
        <w:t>2</w:t>
      </w:r>
      <w:r w:rsidRPr="003E249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rd.030 se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reflectă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249A">
        <w:rPr>
          <w:rFonts w:ascii="Times New Roman" w:hAnsi="Times New Roman"/>
          <w:color w:val="000000"/>
          <w:sz w:val="28"/>
          <w:szCs w:val="28"/>
          <w:lang w:val="ro-RO"/>
        </w:rPr>
        <w:t>creanțele și investițiile financiare compromise decontate/sistate inclusiv, împrumuturile decontate/sistate, dobânzile calculate decontate/sistate,</w:t>
      </w:r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alte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creanțe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inclusiv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dobânzile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întârziere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calculate la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împrumuturile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decontate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penalităţile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calculate la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dobânzile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calculate la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împrumuturile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sz w:val="28"/>
          <w:szCs w:val="28"/>
          <w:lang w:val="en-US"/>
        </w:rPr>
        <w:t>decontate</w:t>
      </w:r>
      <w:proofErr w:type="spellEnd"/>
      <w:r w:rsidRPr="003E249A">
        <w:rPr>
          <w:rFonts w:ascii="Times New Roman" w:hAnsi="Times New Roman"/>
          <w:sz w:val="28"/>
          <w:szCs w:val="28"/>
          <w:lang w:val="en-US"/>
        </w:rPr>
        <w:t xml:space="preserve"> etc).</w:t>
      </w:r>
    </w:p>
    <w:p w:rsidR="004F7A6E" w:rsidRPr="003E249A" w:rsidRDefault="004F7A6E" w:rsidP="004F7A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3E249A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3E2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249A">
        <w:rPr>
          <w:rFonts w:ascii="Times New Roman" w:hAnsi="Times New Roman"/>
          <w:sz w:val="28"/>
          <w:szCs w:val="28"/>
          <w:lang w:val="ro-RO"/>
        </w:rPr>
        <w:t xml:space="preserve">Organizația de microfinanțare stabileşte modul de decontare/sistare </w:t>
      </w:r>
      <w:proofErr w:type="gramStart"/>
      <w:r w:rsidRPr="003E249A"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 w:rsidRPr="003E249A">
        <w:rPr>
          <w:rFonts w:ascii="Times New Roman" w:hAnsi="Times New Roman"/>
          <w:sz w:val="28"/>
          <w:szCs w:val="28"/>
          <w:lang w:val="ro-RO"/>
        </w:rPr>
        <w:t xml:space="preserve"> împrumuturilor compromise nerambursate şi a creanţelor aferente dobânzilor calculate compromise în regulamentele interne și politicile sale contabile. În urma analizării fiecărui caz individual privind posibilităţile de plată a beneficiarului şi certitudinii ferme că împrumutul acordat beneficiarului respectiv nu va fi rambursat şi dobânda aferentă nu va fi achitată, acestea se decontează pe seama provizioanelor anterior constituite.</w:t>
      </w:r>
    </w:p>
    <w:p w:rsidR="004F7A6E" w:rsidRPr="003E249A" w:rsidRDefault="004F7A6E" w:rsidP="004F7A6E">
      <w:pPr>
        <w:jc w:val="both"/>
        <w:rPr>
          <w:sz w:val="28"/>
          <w:szCs w:val="28"/>
          <w:lang w:val="ro-RO" w:eastAsia="zh-TW"/>
        </w:rPr>
      </w:pPr>
      <w:r w:rsidRPr="003E249A">
        <w:rPr>
          <w:b/>
          <w:sz w:val="28"/>
          <w:szCs w:val="28"/>
          <w:lang w:val="ro-RO"/>
        </w:rPr>
        <w:t>4.</w:t>
      </w:r>
      <w:r w:rsidRPr="003E249A">
        <w:rPr>
          <w:sz w:val="28"/>
          <w:szCs w:val="28"/>
          <w:lang w:val="ro-RO"/>
        </w:rPr>
        <w:t xml:space="preserve"> Decontarea împrumuturilor şi dobânzilor compromise din cauza lipsei certitudinii ferme că acestea</w:t>
      </w:r>
      <w:r w:rsidRPr="003E249A">
        <w:rPr>
          <w:sz w:val="28"/>
          <w:szCs w:val="28"/>
          <w:lang w:val="ro-RO" w:eastAsia="zh-TW"/>
        </w:rPr>
        <w:t xml:space="preserve"> vor fi rambursate se contabilizează ca diminuare concomitentă a provizioanelor curente şi a împrumuturilor acordate şi/sau a creanţelor aferente dobânzilor calculate. Concomitent, se reflectă ca majorare a elementelor contabile înregistrate în conturile extrabilanţiere la valoarea împrumuturilor și a creanţelor aferente dobânzilor calculate compromise, decontate.</w:t>
      </w:r>
    </w:p>
    <w:p w:rsidR="004F7A6E" w:rsidRPr="003E249A" w:rsidRDefault="004F7A6E" w:rsidP="004F7A6E">
      <w:pPr>
        <w:jc w:val="both"/>
        <w:rPr>
          <w:sz w:val="28"/>
          <w:szCs w:val="28"/>
          <w:lang w:val="ro-RO" w:eastAsia="zh-TW"/>
        </w:rPr>
      </w:pPr>
      <w:r w:rsidRPr="003E249A">
        <w:rPr>
          <w:b/>
          <w:sz w:val="28"/>
          <w:szCs w:val="28"/>
          <w:lang w:val="ro-RO" w:eastAsia="zh-TW"/>
        </w:rPr>
        <w:t>5.</w:t>
      </w:r>
      <w:r w:rsidRPr="003E249A">
        <w:rPr>
          <w:sz w:val="28"/>
          <w:szCs w:val="28"/>
          <w:lang w:val="ro-RO" w:eastAsia="zh-TW"/>
        </w:rPr>
        <w:t xml:space="preserve"> În rd. 040, se reflectă c</w:t>
      </w:r>
      <w:proofErr w:type="spellStart"/>
      <w:r w:rsidRPr="003E249A">
        <w:rPr>
          <w:bCs/>
          <w:sz w:val="28"/>
          <w:szCs w:val="28"/>
          <w:lang w:eastAsia="ru-RU"/>
        </w:rPr>
        <w:t>reanțele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și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datoriile</w:t>
      </w:r>
      <w:proofErr w:type="spellEnd"/>
      <w:r w:rsidRPr="003E249A">
        <w:rPr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Cs/>
          <w:sz w:val="28"/>
          <w:szCs w:val="28"/>
          <w:lang w:eastAsia="ru-RU"/>
        </w:rPr>
        <w:t>contingente</w:t>
      </w:r>
      <w:proofErr w:type="spellEnd"/>
      <w:r w:rsidRPr="003E249A">
        <w:rPr>
          <w:bCs/>
          <w:sz w:val="28"/>
          <w:szCs w:val="28"/>
          <w:lang w:eastAsia="ru-RU"/>
        </w:rPr>
        <w:t xml:space="preserve">, </w:t>
      </w:r>
      <w:proofErr w:type="spellStart"/>
      <w:r w:rsidRPr="003E249A">
        <w:rPr>
          <w:bCs/>
          <w:sz w:val="28"/>
          <w:szCs w:val="28"/>
          <w:lang w:eastAsia="ru-RU"/>
        </w:rPr>
        <w:t>inclusiv</w:t>
      </w:r>
      <w:proofErr w:type="spellEnd"/>
      <w:r w:rsidRPr="003E249A">
        <w:rPr>
          <w:bCs/>
          <w:sz w:val="28"/>
          <w:szCs w:val="28"/>
          <w:lang w:eastAsia="ru-RU"/>
        </w:rPr>
        <w:t xml:space="preserve">: </w:t>
      </w:r>
      <w:proofErr w:type="spellStart"/>
      <w:r w:rsidRPr="003E249A">
        <w:rPr>
          <w:sz w:val="28"/>
          <w:szCs w:val="28"/>
          <w:lang w:eastAsia="ru-RU"/>
        </w:rPr>
        <w:t>contingențe</w:t>
      </w:r>
      <w:proofErr w:type="spellEnd"/>
      <w:r w:rsidRPr="003E249A">
        <w:rPr>
          <w:sz w:val="28"/>
          <w:szCs w:val="28"/>
          <w:lang w:eastAsia="ru-RU"/>
        </w:rPr>
        <w:t xml:space="preserve"> de </w:t>
      </w:r>
      <w:proofErr w:type="spellStart"/>
      <w:r w:rsidRPr="003E249A">
        <w:rPr>
          <w:sz w:val="28"/>
          <w:szCs w:val="28"/>
          <w:lang w:eastAsia="ru-RU"/>
        </w:rPr>
        <w:t>primire</w:t>
      </w:r>
      <w:proofErr w:type="spellEnd"/>
      <w:r w:rsidRPr="003E249A">
        <w:rPr>
          <w:sz w:val="28"/>
          <w:szCs w:val="28"/>
          <w:lang w:eastAsia="ru-RU"/>
        </w:rPr>
        <w:t xml:space="preserve"> a </w:t>
      </w:r>
      <w:proofErr w:type="spellStart"/>
      <w:r w:rsidRPr="003E249A">
        <w:rPr>
          <w:sz w:val="28"/>
          <w:szCs w:val="28"/>
          <w:lang w:eastAsia="ru-RU"/>
        </w:rPr>
        <w:t>împrumuturilor</w:t>
      </w:r>
      <w:proofErr w:type="spellEnd"/>
      <w:r w:rsidRPr="003E249A">
        <w:rPr>
          <w:sz w:val="28"/>
          <w:szCs w:val="28"/>
          <w:lang w:eastAsia="ru-RU"/>
        </w:rPr>
        <w:t xml:space="preserve">, </w:t>
      </w:r>
      <w:proofErr w:type="spellStart"/>
      <w:r w:rsidRPr="003E249A">
        <w:rPr>
          <w:sz w:val="28"/>
          <w:szCs w:val="28"/>
          <w:lang w:eastAsia="ru-RU"/>
        </w:rPr>
        <w:t>contingențe</w:t>
      </w:r>
      <w:proofErr w:type="spellEnd"/>
      <w:r w:rsidRPr="003E249A">
        <w:rPr>
          <w:sz w:val="28"/>
          <w:szCs w:val="28"/>
          <w:lang w:eastAsia="ru-RU"/>
        </w:rPr>
        <w:t xml:space="preserve"> de </w:t>
      </w:r>
      <w:proofErr w:type="spellStart"/>
      <w:r w:rsidRPr="003E249A">
        <w:rPr>
          <w:sz w:val="28"/>
          <w:szCs w:val="28"/>
          <w:lang w:eastAsia="ru-RU"/>
        </w:rPr>
        <w:t>acordare</w:t>
      </w:r>
      <w:proofErr w:type="spellEnd"/>
      <w:r w:rsidRPr="003E249A">
        <w:rPr>
          <w:sz w:val="28"/>
          <w:szCs w:val="28"/>
          <w:lang w:eastAsia="ru-RU"/>
        </w:rPr>
        <w:t xml:space="preserve"> a </w:t>
      </w:r>
      <w:proofErr w:type="spellStart"/>
      <w:r w:rsidRPr="003E249A">
        <w:rPr>
          <w:sz w:val="28"/>
          <w:szCs w:val="28"/>
          <w:lang w:eastAsia="ru-RU"/>
        </w:rPr>
        <w:t>împrumuturilor</w:t>
      </w:r>
      <w:proofErr w:type="spellEnd"/>
      <w:r w:rsidRPr="003E249A">
        <w:rPr>
          <w:sz w:val="28"/>
          <w:szCs w:val="28"/>
          <w:lang w:eastAsia="ru-RU"/>
        </w:rPr>
        <w:t xml:space="preserve">, </w:t>
      </w:r>
      <w:proofErr w:type="spellStart"/>
      <w:r w:rsidRPr="003E249A">
        <w:rPr>
          <w:sz w:val="28"/>
          <w:szCs w:val="28"/>
          <w:lang w:eastAsia="ru-RU"/>
        </w:rPr>
        <w:t>angajamentele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irevocabile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privind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prelungirea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termenului</w:t>
      </w:r>
      <w:proofErr w:type="spellEnd"/>
      <w:r w:rsidRPr="003E249A">
        <w:rPr>
          <w:sz w:val="28"/>
          <w:szCs w:val="28"/>
          <w:lang w:eastAsia="ru-RU"/>
        </w:rPr>
        <w:t xml:space="preserve"> de </w:t>
      </w:r>
      <w:proofErr w:type="spellStart"/>
      <w:r w:rsidRPr="003E249A">
        <w:rPr>
          <w:sz w:val="28"/>
          <w:szCs w:val="28"/>
          <w:lang w:eastAsia="ru-RU"/>
        </w:rPr>
        <w:t>rambursare</w:t>
      </w:r>
      <w:proofErr w:type="spellEnd"/>
      <w:r w:rsidRPr="003E249A">
        <w:rPr>
          <w:sz w:val="28"/>
          <w:szCs w:val="28"/>
          <w:lang w:eastAsia="ru-RU"/>
        </w:rPr>
        <w:t xml:space="preserve"> a </w:t>
      </w:r>
      <w:proofErr w:type="spellStart"/>
      <w:r w:rsidRPr="003E249A">
        <w:rPr>
          <w:sz w:val="28"/>
          <w:szCs w:val="28"/>
          <w:lang w:eastAsia="ru-RU"/>
        </w:rPr>
        <w:t>împrumutului</w:t>
      </w:r>
      <w:proofErr w:type="spellEnd"/>
      <w:r w:rsidRPr="003E249A">
        <w:rPr>
          <w:sz w:val="28"/>
          <w:szCs w:val="28"/>
          <w:lang w:eastAsia="ru-RU"/>
        </w:rPr>
        <w:t xml:space="preserve">, </w:t>
      </w:r>
      <w:proofErr w:type="spellStart"/>
      <w:r w:rsidRPr="003E249A">
        <w:rPr>
          <w:sz w:val="28"/>
          <w:szCs w:val="28"/>
          <w:lang w:eastAsia="ru-RU"/>
        </w:rPr>
        <w:t>alte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contingențe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ce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poartă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caracter</w:t>
      </w:r>
      <w:proofErr w:type="spellEnd"/>
      <w:r w:rsidRPr="003E249A">
        <w:rPr>
          <w:sz w:val="28"/>
          <w:szCs w:val="28"/>
          <w:lang w:eastAsia="ru-RU"/>
        </w:rPr>
        <w:t xml:space="preserve"> </w:t>
      </w:r>
      <w:proofErr w:type="spellStart"/>
      <w:r w:rsidRPr="003E249A">
        <w:rPr>
          <w:sz w:val="28"/>
          <w:szCs w:val="28"/>
          <w:lang w:eastAsia="ru-RU"/>
        </w:rPr>
        <w:t>condițional</w:t>
      </w:r>
      <w:proofErr w:type="spellEnd"/>
      <w:r w:rsidRPr="003E249A">
        <w:rPr>
          <w:sz w:val="28"/>
          <w:szCs w:val="28"/>
          <w:lang w:eastAsia="ru-RU"/>
        </w:rPr>
        <w:t>.</w:t>
      </w:r>
    </w:p>
    <w:p w:rsidR="004F7A6E" w:rsidRPr="003E249A" w:rsidRDefault="004F7A6E" w:rsidP="004F7A6E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3E249A">
        <w:rPr>
          <w:rFonts w:ascii="Times New Roman" w:hAnsi="Times New Roman"/>
          <w:sz w:val="28"/>
          <w:szCs w:val="28"/>
          <w:lang w:val="ro-RO"/>
        </w:rPr>
        <w:t>Semnarea contractului privind atragerea mijloacelor financiare sub formă de credite bancare/împrumuturi se consideră fapt economic trecut care necesită înregistrare în conturile extrabilanţiere a activului (creanţei) contingent.</w:t>
      </w:r>
    </w:p>
    <w:p w:rsidR="004F7A6E" w:rsidRPr="003E249A" w:rsidRDefault="004F7A6E" w:rsidP="004F7A6E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3E249A">
        <w:rPr>
          <w:rFonts w:ascii="Times New Roman" w:hAnsi="Times New Roman"/>
          <w:sz w:val="28"/>
          <w:szCs w:val="28"/>
          <w:lang w:val="ro-RO"/>
        </w:rPr>
        <w:t>În componenţa activelor contingente se includ:</w:t>
      </w:r>
    </w:p>
    <w:p w:rsidR="004F7A6E" w:rsidRPr="003E249A" w:rsidRDefault="004F7A6E" w:rsidP="004F7A6E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E249A">
        <w:rPr>
          <w:rFonts w:ascii="Times New Roman" w:hAnsi="Times New Roman"/>
          <w:i/>
          <w:sz w:val="28"/>
          <w:szCs w:val="28"/>
          <w:lang w:val="ro-RO"/>
        </w:rPr>
        <w:t>creanţele asociaţiei aferente împrumuturilor (creditelor) contractuale perfectate care vor fi încasate în cazul producerii faptului economic viitor (transferarea de către creditori a sumelor negociate asociaţiei);</w:t>
      </w:r>
    </w:p>
    <w:p w:rsidR="004F7A6E" w:rsidRPr="003E249A" w:rsidRDefault="004F7A6E" w:rsidP="004F7A6E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E249A">
        <w:rPr>
          <w:rFonts w:ascii="Times New Roman" w:hAnsi="Times New Roman"/>
          <w:i/>
          <w:sz w:val="28"/>
          <w:szCs w:val="28"/>
          <w:lang w:val="ro-RO"/>
        </w:rPr>
        <w:t>drepturile privind procurarea valorilor mobiliare (obigaţiunilor, acţiunilor, bonurilor de trezorerie, certificatelor bancare etc.).</w:t>
      </w:r>
    </w:p>
    <w:p w:rsidR="004F7A6E" w:rsidRPr="003E249A" w:rsidRDefault="004F7A6E" w:rsidP="004F7A6E">
      <w:pPr>
        <w:jc w:val="both"/>
        <w:rPr>
          <w:sz w:val="28"/>
          <w:szCs w:val="28"/>
          <w:lang w:val="ro-RO"/>
        </w:rPr>
      </w:pPr>
      <w:r w:rsidRPr="003E249A">
        <w:rPr>
          <w:sz w:val="28"/>
          <w:szCs w:val="28"/>
          <w:lang w:val="ro-RO"/>
        </w:rPr>
        <w:t xml:space="preserve">Cu producerea faptului economic viitor (încasarea împrumuturilor, creditelor, procurarea valorilor mobiliare), asociaţia decontează activul contingent anterior </w:t>
      </w:r>
      <w:r w:rsidRPr="003E249A">
        <w:rPr>
          <w:sz w:val="28"/>
          <w:szCs w:val="28"/>
          <w:lang w:val="ro-RO"/>
        </w:rPr>
        <w:lastRenderedPageBreak/>
        <w:t>recunoscut în conturile extrabilanţiere, concomitent înregistrează majorarea numerarului valorilor mobiliare şi a datoriilor curente sau pe termen lung.</w:t>
      </w:r>
    </w:p>
    <w:p w:rsidR="004F7A6E" w:rsidRPr="003E249A" w:rsidRDefault="004F7A6E" w:rsidP="004F7A6E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3E249A">
        <w:rPr>
          <w:rFonts w:ascii="Times New Roman" w:hAnsi="Times New Roman"/>
          <w:sz w:val="28"/>
          <w:szCs w:val="28"/>
          <w:lang w:val="ro-RO"/>
        </w:rPr>
        <w:t>Încheierea şi semnarea de către asociaţie a contractului de acordare a împrumuturilor membrilor săi reprezintă un fapt economic trecut care condiţionează recunoaşterea obligaţiei contingente în componenţa elementelor contabile și înregistrarea ei în conturile extrabilanţiere. Acest fapt obligă asociaţia de a acorda la data negociată împrumutul respectiv (fapt economic viitor) care urmează a fi contabilizat ca majorare a investiţiilor financiare pe termen lung şi/sau curente şi diminuare a numerarului.</w:t>
      </w:r>
    </w:p>
    <w:p w:rsidR="00303418" w:rsidRPr="004F7A6E" w:rsidRDefault="00303418">
      <w:pPr>
        <w:rPr>
          <w:lang w:val="ro-RO"/>
        </w:rPr>
      </w:pPr>
    </w:p>
    <w:sectPr w:rsidR="00303418" w:rsidRPr="004F7A6E" w:rsidSect="0030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ABD"/>
    <w:multiLevelType w:val="hybridMultilevel"/>
    <w:tmpl w:val="2030132E"/>
    <w:lvl w:ilvl="0" w:tplc="4E64A7A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A35644"/>
    <w:multiLevelType w:val="hybridMultilevel"/>
    <w:tmpl w:val="831C57D2"/>
    <w:lvl w:ilvl="0" w:tplc="E370C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7A6E"/>
    <w:rsid w:val="00182D82"/>
    <w:rsid w:val="00303418"/>
    <w:rsid w:val="004F7A6E"/>
    <w:rsid w:val="00B4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2018-01-04T06:30:00Z</dcterms:created>
  <dcterms:modified xsi:type="dcterms:W3CDTF">2018-01-04T06:33:00Z</dcterms:modified>
</cp:coreProperties>
</file>