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9C" w:rsidRPr="0023567F" w:rsidRDefault="0024289C" w:rsidP="0024289C">
      <w:pPr>
        <w:pStyle w:val="rg"/>
        <w:spacing w:before="0" w:beforeAutospacing="0" w:after="0" w:afterAutospacing="0"/>
        <w:jc w:val="right"/>
        <w:rPr>
          <w:rFonts w:ascii="Times New Roman" w:hAnsi="Times New Roman"/>
          <w:lang w:val="ru-RU"/>
        </w:rPr>
      </w:pPr>
      <w:r w:rsidRPr="0023567F">
        <w:rPr>
          <w:rFonts w:ascii="Times New Roman" w:hAnsi="Times New Roman"/>
          <w:lang w:val="ru-RU"/>
        </w:rPr>
        <w:t xml:space="preserve">Приложение № 6 </w:t>
      </w:r>
    </w:p>
    <w:p w:rsidR="0024289C" w:rsidRPr="0023567F" w:rsidRDefault="0024289C" w:rsidP="0024289C">
      <w:pPr>
        <w:pStyle w:val="rg"/>
        <w:spacing w:before="0" w:beforeAutospacing="0" w:after="0" w:afterAutospacing="0"/>
        <w:jc w:val="right"/>
        <w:rPr>
          <w:rFonts w:ascii="Times New Roman" w:hAnsi="Times New Roman"/>
          <w:lang w:val="ru-RU"/>
        </w:rPr>
      </w:pPr>
      <w:r w:rsidRPr="0023567F">
        <w:rPr>
          <w:rFonts w:ascii="Times New Roman" w:hAnsi="Times New Roman"/>
          <w:lang w:val="ru-RU"/>
        </w:rPr>
        <w:t xml:space="preserve">к Инструкции о порядке составления </w:t>
      </w:r>
    </w:p>
    <w:p w:rsidR="0024289C" w:rsidRPr="0023567F" w:rsidRDefault="0024289C" w:rsidP="0024289C">
      <w:pPr>
        <w:pStyle w:val="rg"/>
        <w:spacing w:before="0" w:beforeAutospacing="0" w:after="0" w:afterAutospacing="0"/>
        <w:jc w:val="right"/>
        <w:rPr>
          <w:rFonts w:ascii="Times New Roman" w:hAnsi="Times New Roman"/>
          <w:lang w:val="ru-RU"/>
        </w:rPr>
      </w:pPr>
      <w:r w:rsidRPr="0023567F">
        <w:rPr>
          <w:rFonts w:ascii="Times New Roman" w:hAnsi="Times New Roman"/>
          <w:lang w:val="ru-RU"/>
        </w:rPr>
        <w:t xml:space="preserve">и представления банками финансовых </w:t>
      </w:r>
    </w:p>
    <w:p w:rsidR="0024289C" w:rsidRPr="0023567F" w:rsidRDefault="0024289C" w:rsidP="0024289C">
      <w:pPr>
        <w:pStyle w:val="rg"/>
        <w:spacing w:before="0" w:beforeAutospacing="0" w:after="0" w:afterAutospacing="0"/>
        <w:jc w:val="right"/>
        <w:rPr>
          <w:rFonts w:ascii="Times New Roman" w:hAnsi="Times New Roman"/>
          <w:lang w:val="ru-RU"/>
        </w:rPr>
      </w:pPr>
      <w:r w:rsidRPr="0023567F">
        <w:rPr>
          <w:rFonts w:ascii="Times New Roman" w:hAnsi="Times New Roman"/>
          <w:lang w:val="ru-RU"/>
        </w:rPr>
        <w:t>отчетов в пруденциальных целях</w:t>
      </w:r>
    </w:p>
    <w:p w:rsidR="0024289C" w:rsidRDefault="0024289C" w:rsidP="0024289C">
      <w:pPr>
        <w:pStyle w:val="rg"/>
        <w:spacing w:before="0" w:beforeAutospacing="0" w:after="0" w:afterAutospacing="0"/>
        <w:rPr>
          <w:rFonts w:ascii="Times New Roman" w:hAnsi="Times New Roman"/>
          <w:lang w:val="ru-RU"/>
        </w:rPr>
      </w:pPr>
    </w:p>
    <w:p w:rsidR="000F149B" w:rsidRPr="0023567F" w:rsidRDefault="000F149B" w:rsidP="0024289C">
      <w:pPr>
        <w:pStyle w:val="rg"/>
        <w:spacing w:before="0" w:beforeAutospacing="0" w:after="0" w:afterAutospacing="0"/>
        <w:rPr>
          <w:rFonts w:ascii="Times New Roman" w:hAnsi="Times New Roman"/>
          <w:lang w:val="ru-RU"/>
        </w:rPr>
      </w:pPr>
    </w:p>
    <w:tbl>
      <w:tblPr>
        <w:tblW w:w="0" w:type="auto"/>
        <w:jc w:val="center"/>
        <w:tblCellMar>
          <w:left w:w="28" w:type="dxa"/>
          <w:right w:w="28" w:type="dxa"/>
        </w:tblCellMar>
        <w:tblLook w:val="04A0"/>
      </w:tblPr>
      <w:tblGrid>
        <w:gridCol w:w="1413"/>
        <w:gridCol w:w="5953"/>
        <w:gridCol w:w="1980"/>
      </w:tblGrid>
      <w:tr w:rsidR="0024289C" w:rsidRPr="0023567F" w:rsidTr="00FC2F33">
        <w:trPr>
          <w:jc w:val="center"/>
        </w:trPr>
        <w:tc>
          <w:tcPr>
            <w:tcW w:w="1413" w:type="dxa"/>
            <w:tcBorders>
              <w:top w:val="single" w:sz="4" w:space="0" w:color="auto"/>
              <w:left w:val="single" w:sz="4" w:space="0" w:color="auto"/>
              <w:bottom w:val="single" w:sz="4" w:space="0" w:color="auto"/>
              <w:right w:val="single" w:sz="4" w:space="0" w:color="auto"/>
            </w:tcBorders>
          </w:tcPr>
          <w:p w:rsidR="0024289C" w:rsidRPr="009F1674" w:rsidRDefault="0024289C" w:rsidP="00FC2F33">
            <w:pPr>
              <w:pStyle w:val="cn"/>
              <w:spacing w:before="0" w:beforeAutospacing="0" w:after="0" w:afterAutospacing="0"/>
              <w:rPr>
                <w:lang w:val="ru-RU"/>
              </w:rPr>
            </w:pPr>
          </w:p>
        </w:tc>
        <w:tc>
          <w:tcPr>
            <w:tcW w:w="5953" w:type="dxa"/>
            <w:tcBorders>
              <w:left w:val="single" w:sz="4" w:space="0" w:color="auto"/>
            </w:tcBorders>
          </w:tcPr>
          <w:p w:rsidR="0024289C" w:rsidRPr="009F1674" w:rsidRDefault="0024289C" w:rsidP="00FC2F33">
            <w:pPr>
              <w:pStyle w:val="cn"/>
              <w:spacing w:before="0" w:beforeAutospacing="0" w:after="0" w:afterAutospacing="0"/>
              <w:jc w:val="center"/>
              <w:rPr>
                <w:lang w:val="ru-RU"/>
              </w:rPr>
            </w:pPr>
          </w:p>
        </w:tc>
        <w:tc>
          <w:tcPr>
            <w:tcW w:w="1980" w:type="dxa"/>
          </w:tcPr>
          <w:p w:rsidR="0024289C" w:rsidRPr="009F1674" w:rsidRDefault="0024289C" w:rsidP="00FC2F33">
            <w:pPr>
              <w:pStyle w:val="cn"/>
              <w:spacing w:before="0" w:beforeAutospacing="0" w:after="0" w:afterAutospacing="0"/>
              <w:jc w:val="right"/>
              <w:rPr>
                <w:lang w:val="ru-RU"/>
              </w:rPr>
            </w:pPr>
            <w:r w:rsidRPr="009F1674">
              <w:rPr>
                <w:b/>
                <w:bCs/>
                <w:sz w:val="22"/>
                <w:szCs w:val="22"/>
                <w:lang w:val="ru-RU"/>
              </w:rPr>
              <w:t>ORD 0312</w:t>
            </w:r>
          </w:p>
        </w:tc>
      </w:tr>
      <w:tr w:rsidR="0024289C" w:rsidRPr="0023567F" w:rsidTr="00FC2F33">
        <w:trPr>
          <w:jc w:val="center"/>
        </w:trPr>
        <w:tc>
          <w:tcPr>
            <w:tcW w:w="1413" w:type="dxa"/>
            <w:tcBorders>
              <w:top w:val="single" w:sz="4" w:space="0" w:color="auto"/>
            </w:tcBorders>
          </w:tcPr>
          <w:p w:rsidR="0024289C" w:rsidRPr="009F1674" w:rsidRDefault="0024289C" w:rsidP="00FC2F33">
            <w:pPr>
              <w:pStyle w:val="cn"/>
              <w:spacing w:before="0" w:beforeAutospacing="0" w:after="0" w:afterAutospacing="0"/>
              <w:rPr>
                <w:sz w:val="20"/>
                <w:szCs w:val="20"/>
                <w:lang w:val="ru-RU"/>
              </w:rPr>
            </w:pPr>
            <w:r w:rsidRPr="009F1674">
              <w:rPr>
                <w:sz w:val="20"/>
                <w:szCs w:val="20"/>
                <w:lang w:val="ru-RU"/>
              </w:rPr>
              <w:t>код банка</w:t>
            </w:r>
          </w:p>
        </w:tc>
        <w:tc>
          <w:tcPr>
            <w:tcW w:w="5953" w:type="dxa"/>
          </w:tcPr>
          <w:p w:rsidR="0024289C" w:rsidRPr="009F1674" w:rsidRDefault="0024289C" w:rsidP="00FC2F33">
            <w:pPr>
              <w:pStyle w:val="cn"/>
              <w:spacing w:before="0" w:beforeAutospacing="0" w:after="0" w:afterAutospacing="0"/>
              <w:jc w:val="center"/>
              <w:rPr>
                <w:lang w:val="ru-RU"/>
              </w:rPr>
            </w:pPr>
          </w:p>
        </w:tc>
        <w:tc>
          <w:tcPr>
            <w:tcW w:w="1980" w:type="dxa"/>
          </w:tcPr>
          <w:p w:rsidR="0024289C" w:rsidRPr="009F1674" w:rsidRDefault="0024289C" w:rsidP="00FC2F33">
            <w:pPr>
              <w:pStyle w:val="cn"/>
              <w:spacing w:before="0" w:beforeAutospacing="0" w:after="0" w:afterAutospacing="0"/>
              <w:jc w:val="right"/>
              <w:rPr>
                <w:sz w:val="20"/>
                <w:szCs w:val="20"/>
                <w:lang w:val="ru-RU"/>
              </w:rPr>
            </w:pPr>
            <w:r w:rsidRPr="009F1674">
              <w:rPr>
                <w:bCs/>
                <w:sz w:val="20"/>
                <w:szCs w:val="20"/>
                <w:lang w:val="ru-RU"/>
              </w:rPr>
              <w:t>код формуляра</w:t>
            </w:r>
          </w:p>
        </w:tc>
      </w:tr>
    </w:tbl>
    <w:p w:rsidR="0024289C" w:rsidRPr="0023567F" w:rsidRDefault="0024289C" w:rsidP="0024289C">
      <w:pPr>
        <w:pStyle w:val="cn"/>
        <w:spacing w:before="0" w:beforeAutospacing="0" w:after="0" w:afterAutospacing="0"/>
        <w:jc w:val="center"/>
        <w:rPr>
          <w:lang w:val="ru-RU"/>
        </w:rPr>
      </w:pPr>
    </w:p>
    <w:p w:rsidR="0024289C" w:rsidRPr="0023567F" w:rsidRDefault="0024289C" w:rsidP="0024289C">
      <w:pPr>
        <w:pStyle w:val="cn"/>
        <w:spacing w:before="0" w:beforeAutospacing="0" w:after="0" w:afterAutospacing="0"/>
        <w:jc w:val="center"/>
        <w:rPr>
          <w:b/>
          <w:bCs/>
          <w:lang w:val="ru-RU"/>
        </w:rPr>
      </w:pPr>
      <w:r w:rsidRPr="0023567F">
        <w:rPr>
          <w:b/>
          <w:bCs/>
          <w:lang w:val="ru-RU"/>
        </w:rPr>
        <w:t>ORD 3.12 Оценка достаточности капитала с учетом риска</w:t>
      </w:r>
    </w:p>
    <w:p w:rsidR="0024289C" w:rsidRPr="0023567F" w:rsidRDefault="0024289C" w:rsidP="0024289C">
      <w:pPr>
        <w:pStyle w:val="cn"/>
        <w:spacing w:before="0" w:beforeAutospacing="0" w:after="0" w:afterAutospacing="0"/>
        <w:jc w:val="center"/>
        <w:rPr>
          <w:lang w:val="ru-RU"/>
        </w:rPr>
      </w:pPr>
      <w:r w:rsidRPr="0023567F">
        <w:rPr>
          <w:bCs/>
          <w:lang w:val="ru-RU"/>
        </w:rPr>
        <w:t xml:space="preserve">по состоянию на </w:t>
      </w:r>
      <w:r w:rsidRPr="0023567F">
        <w:rPr>
          <w:lang w:val="ru-RU"/>
        </w:rPr>
        <w:t xml:space="preserve"> ______________ 20_</w:t>
      </w:r>
    </w:p>
    <w:p w:rsidR="0024289C" w:rsidRPr="0023567F" w:rsidRDefault="0024289C" w:rsidP="0024289C">
      <w:pPr>
        <w:pStyle w:val="rg"/>
        <w:spacing w:before="0" w:beforeAutospacing="0" w:after="0" w:afterAutospacing="0"/>
        <w:ind w:right="616"/>
        <w:jc w:val="right"/>
        <w:rPr>
          <w:rFonts w:ascii="Times New Roman" w:hAnsi="Times New Roman"/>
          <w:sz w:val="20"/>
          <w:szCs w:val="20"/>
          <w:lang w:val="ru-RU"/>
        </w:rPr>
      </w:pPr>
      <w:r w:rsidRPr="0023567F">
        <w:rPr>
          <w:rFonts w:ascii="Times New Roman" w:hAnsi="Times New Roman"/>
          <w:sz w:val="20"/>
          <w:szCs w:val="20"/>
          <w:lang w:val="ru-RU"/>
        </w:rPr>
        <w:t>(001-леев)</w:t>
      </w:r>
    </w:p>
    <w:tbl>
      <w:tblPr>
        <w:tblW w:w="4554" w:type="pct"/>
        <w:jc w:val="center"/>
        <w:tblCellMar>
          <w:left w:w="28" w:type="dxa"/>
          <w:right w:w="28" w:type="dxa"/>
        </w:tblCellMar>
        <w:tblLook w:val="04A0"/>
      </w:tblPr>
      <w:tblGrid>
        <w:gridCol w:w="1926"/>
        <w:gridCol w:w="924"/>
        <w:gridCol w:w="7218"/>
        <w:gridCol w:w="2696"/>
      </w:tblGrid>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 раздела</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 п/п</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Наименование показателей</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Сальдо активов с учетом риска</w:t>
            </w: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A</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B</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C</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b/>
                <w:bCs/>
                <w:sz w:val="20"/>
                <w:szCs w:val="20"/>
                <w:lang w:val="ru-RU"/>
              </w:rPr>
            </w:pPr>
            <w:r w:rsidRPr="0023567F">
              <w:rPr>
                <w:rFonts w:ascii="Times New Roman" w:hAnsi="Times New Roman"/>
                <w:b/>
                <w:bCs/>
                <w:sz w:val="20"/>
                <w:szCs w:val="20"/>
                <w:lang w:val="ru-RU"/>
              </w:rPr>
              <w:t>1</w:t>
            </w: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1</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b/>
                <w:bCs/>
                <w:sz w:val="20"/>
                <w:szCs w:val="20"/>
                <w:lang w:val="ru-RU"/>
              </w:rPr>
              <w:t>Категория ноль процентов (0%)</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1</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D174FC" w:rsidRDefault="00D174FC" w:rsidP="00FC2F33">
            <w:pPr>
              <w:rPr>
                <w:rFonts w:ascii="Times New Roman" w:hAnsi="Times New Roman"/>
                <w:sz w:val="20"/>
                <w:szCs w:val="20"/>
                <w:lang w:val="ru-RU"/>
              </w:rPr>
            </w:pPr>
            <w:r w:rsidRPr="00D174FC">
              <w:rPr>
                <w:sz w:val="20"/>
                <w:lang w:val="ru-RU"/>
              </w:rPr>
              <w:t>Наличность в кассе и прочие монетарные ценности</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2</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sz w:val="20"/>
                <w:szCs w:val="20"/>
                <w:lang w:val="ru-RU"/>
              </w:rPr>
              <w:t>Государственные ценные бумаги</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3</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sz w:val="20"/>
                <w:szCs w:val="20"/>
                <w:lang w:val="ru-RU"/>
              </w:rPr>
              <w:t xml:space="preserve">Прочие </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2</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b/>
                <w:bCs/>
                <w:sz w:val="20"/>
                <w:szCs w:val="20"/>
                <w:lang w:val="ru-RU"/>
              </w:rPr>
              <w:t>Категория двадцать процентов (20%)</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1</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Наличность – инструменты в процессе поступления</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2</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Сальдо корреспондентских счетов и средств, размещенных в банках Республики Молдова и стран ОЭСР</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3</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Сальдо корреспондентских счетов и средств, размещенных сроком до одного года в банках других стран (за исключением стран ОЭСР и Республики Молдова)</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3</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b/>
                <w:bCs/>
                <w:sz w:val="20"/>
                <w:szCs w:val="20"/>
                <w:lang w:val="ru-RU"/>
              </w:rPr>
              <w:t>Категория пятьдесят процентов (50%)</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1</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 xml:space="preserve">Кредиты, </w:t>
            </w:r>
            <w:r w:rsidRPr="002C724C">
              <w:rPr>
                <w:rFonts w:ascii="Times New Roman" w:hAnsi="Times New Roman"/>
                <w:sz w:val="18"/>
                <w:szCs w:val="18"/>
                <w:lang w:val="ru-RU"/>
              </w:rPr>
              <w:t>обеспеченные первой ипотекой жилой недвижимостью дебитора</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2</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Кредиты, выданные публичному</w:t>
            </w:r>
            <w:r>
              <w:rPr>
                <w:rFonts w:ascii="Times New Roman" w:hAnsi="Times New Roman"/>
                <w:sz w:val="18"/>
                <w:szCs w:val="18"/>
                <w:lang w:val="ru-RU"/>
              </w:rPr>
              <w:t xml:space="preserve"> </w:t>
            </w:r>
            <w:r w:rsidRPr="0023567F">
              <w:rPr>
                <w:rFonts w:ascii="Times New Roman" w:hAnsi="Times New Roman"/>
                <w:sz w:val="18"/>
                <w:szCs w:val="18"/>
                <w:lang w:val="ru-RU"/>
              </w:rPr>
              <w:t>сектору, за исключением правительства и кредитов</w:t>
            </w:r>
            <w:r>
              <w:rPr>
                <w:rFonts w:ascii="Times New Roman" w:hAnsi="Times New Roman"/>
                <w:sz w:val="18"/>
                <w:szCs w:val="18"/>
                <w:lang w:val="ru-RU"/>
              </w:rPr>
              <w:t>,</w:t>
            </w:r>
            <w:r w:rsidRPr="0023567F">
              <w:rPr>
                <w:rFonts w:ascii="Times New Roman" w:hAnsi="Times New Roman"/>
                <w:sz w:val="18"/>
                <w:szCs w:val="18"/>
                <w:lang w:val="ru-RU"/>
              </w:rPr>
              <w:t xml:space="preserve"> гарантированных или обеспеченных выпущенными им ценными бумагами</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4</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b/>
                <w:bCs/>
                <w:sz w:val="20"/>
                <w:szCs w:val="20"/>
                <w:lang w:val="ru-RU"/>
              </w:rPr>
              <w:t>Категория сто процентов (100%)</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1</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sz w:val="20"/>
                <w:szCs w:val="20"/>
                <w:lang w:val="ru-RU"/>
              </w:rPr>
              <w:t>Земля, здания, оборудование</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2</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sz w:val="20"/>
                <w:szCs w:val="20"/>
                <w:lang w:val="ru-RU"/>
              </w:rPr>
              <w:t>Прочие кредиты</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3</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Сальдо корреспондентских счетов и средств, размещенных сроком свыше одного года в банках других стран (за исключением стран ОЭСР и Республики Молдова)</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sz w:val="20"/>
                <w:szCs w:val="20"/>
                <w:lang w:val="ru-RU"/>
              </w:rPr>
              <w:t>4</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r w:rsidRPr="0023567F">
              <w:rPr>
                <w:rFonts w:ascii="Times New Roman" w:hAnsi="Times New Roman"/>
                <w:sz w:val="20"/>
                <w:szCs w:val="20"/>
                <w:lang w:val="ru-RU"/>
              </w:rPr>
              <w:t xml:space="preserve">Прочие </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837837"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5</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Всего активы с учетом риска (АУР)</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6</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Совокупный нормативный капитал (СНК)</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r w:rsidR="0024289C" w:rsidRPr="0023567F" w:rsidTr="00FC2F33">
        <w:trPr>
          <w:jc w:val="center"/>
        </w:trPr>
        <w:tc>
          <w:tcPr>
            <w:tcW w:w="1417"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7</w:t>
            </w:r>
          </w:p>
        </w:tc>
        <w:tc>
          <w:tcPr>
            <w:tcW w:w="680"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jc w:val="center"/>
              <w:rPr>
                <w:rFonts w:ascii="Times New Roman" w:hAnsi="Times New Roman"/>
                <w:sz w:val="20"/>
                <w:szCs w:val="20"/>
                <w:lang w:val="ru-RU"/>
              </w:rPr>
            </w:pPr>
            <w:r w:rsidRPr="0023567F">
              <w:rPr>
                <w:rFonts w:ascii="Times New Roman" w:hAnsi="Times New Roman"/>
                <w:b/>
                <w:bCs/>
                <w:sz w:val="20"/>
                <w:szCs w:val="20"/>
                <w:lang w:val="ru-RU"/>
              </w:rPr>
              <w:t>0</w:t>
            </w:r>
          </w:p>
        </w:tc>
        <w:tc>
          <w:tcPr>
            <w:tcW w:w="5311"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18"/>
                <w:szCs w:val="18"/>
                <w:lang w:val="ru-RU"/>
              </w:rPr>
            </w:pPr>
            <w:r w:rsidRPr="0023567F">
              <w:rPr>
                <w:rFonts w:ascii="Times New Roman" w:hAnsi="Times New Roman"/>
                <w:sz w:val="18"/>
                <w:szCs w:val="18"/>
                <w:lang w:val="ru-RU"/>
              </w:rPr>
              <w:t>Достаточность капитала ((СНК / АУР) × 100)</w:t>
            </w:r>
          </w:p>
        </w:tc>
        <w:tc>
          <w:tcPr>
            <w:tcW w:w="1984" w:type="dxa"/>
            <w:tcBorders>
              <w:top w:val="single" w:sz="6" w:space="0" w:color="000000"/>
              <w:left w:val="single" w:sz="6" w:space="0" w:color="000000"/>
              <w:bottom w:val="single" w:sz="6" w:space="0" w:color="000000"/>
              <w:right w:val="single" w:sz="6" w:space="0" w:color="000000"/>
            </w:tcBorders>
            <w:hideMark/>
          </w:tcPr>
          <w:p w:rsidR="0024289C" w:rsidRPr="0023567F" w:rsidRDefault="0024289C" w:rsidP="00FC2F33">
            <w:pPr>
              <w:rPr>
                <w:rFonts w:ascii="Times New Roman" w:hAnsi="Times New Roman"/>
                <w:sz w:val="20"/>
                <w:szCs w:val="20"/>
                <w:lang w:val="ru-RU"/>
              </w:rPr>
            </w:pPr>
          </w:p>
        </w:tc>
      </w:tr>
    </w:tbl>
    <w:p w:rsidR="0024289C" w:rsidRPr="0023567F" w:rsidRDefault="0024289C" w:rsidP="0024289C">
      <w:pPr>
        <w:rPr>
          <w:rFonts w:ascii="Times New Roman" w:hAnsi="Times New Roman"/>
          <w:lang w:val="ru-RU"/>
        </w:rPr>
      </w:pPr>
    </w:p>
    <w:p w:rsidR="0024289C" w:rsidRPr="0023567F" w:rsidRDefault="0024289C" w:rsidP="0024289C">
      <w:pPr>
        <w:pStyle w:val="NormalWeb"/>
        <w:spacing w:before="0" w:beforeAutospacing="0" w:after="0" w:afterAutospacing="0"/>
        <w:rPr>
          <w:sz w:val="20"/>
          <w:szCs w:val="20"/>
          <w:lang w:val="ru-RU"/>
        </w:rPr>
      </w:pPr>
      <w:r w:rsidRPr="0023567F">
        <w:rPr>
          <w:lang w:val="ru-RU"/>
        </w:rPr>
        <w:t>Исполнитель и номер телефона</w:t>
      </w:r>
      <w:r w:rsidRPr="0023567F">
        <w:rPr>
          <w:sz w:val="20"/>
          <w:szCs w:val="20"/>
          <w:lang w:val="ru-RU"/>
        </w:rPr>
        <w:t>_______________</w:t>
      </w:r>
    </w:p>
    <w:p w:rsidR="000F149B" w:rsidRDefault="000F149B">
      <w:pPr>
        <w:spacing w:after="200" w:line="276" w:lineRule="auto"/>
      </w:pPr>
      <w:r>
        <w:br w:type="page"/>
      </w:r>
    </w:p>
    <w:p w:rsidR="000F149B" w:rsidRDefault="000F149B">
      <w:pPr>
        <w:sectPr w:rsidR="000F149B" w:rsidSect="000F149B">
          <w:pgSz w:w="16838" w:h="11906" w:orient="landscape"/>
          <w:pgMar w:top="567" w:right="1440" w:bottom="993" w:left="1440" w:header="708" w:footer="708" w:gutter="0"/>
          <w:cols w:space="708"/>
          <w:docGrid w:linePitch="360"/>
        </w:sectPr>
      </w:pPr>
    </w:p>
    <w:p w:rsidR="00EF49BB" w:rsidRPr="00EF49BB" w:rsidRDefault="00EF49BB" w:rsidP="00EF49BB">
      <w:pPr>
        <w:jc w:val="center"/>
        <w:rPr>
          <w:rFonts w:ascii="Times New Roman" w:hAnsi="Times New Roman"/>
          <w:lang w:val="ru-RU" w:eastAsia="en-GB"/>
        </w:rPr>
      </w:pPr>
      <w:r w:rsidRPr="00EF49BB">
        <w:rPr>
          <w:rFonts w:ascii="Times New Roman" w:hAnsi="Times New Roman"/>
          <w:lang w:val="en-GB" w:eastAsia="en-GB"/>
        </w:rPr>
        <w:lastRenderedPageBreak/>
        <w:t> </w:t>
      </w:r>
      <w:r w:rsidRPr="00EF49BB">
        <w:rPr>
          <w:rFonts w:ascii="Times New Roman" w:hAnsi="Times New Roman"/>
          <w:b/>
          <w:bCs/>
          <w:lang w:val="en-GB" w:eastAsia="en-GB"/>
        </w:rPr>
        <w:t>  </w:t>
      </w:r>
      <w:r w:rsidRPr="00EF49BB">
        <w:rPr>
          <w:rFonts w:ascii="Times New Roman" w:hAnsi="Times New Roman"/>
          <w:b/>
          <w:bCs/>
          <w:lang w:val="ru-RU" w:eastAsia="en-GB"/>
        </w:rPr>
        <w:t xml:space="preserve"> Порядок составления</w:t>
      </w:r>
      <w:r w:rsidRPr="00EF49BB">
        <w:rPr>
          <w:rFonts w:ascii="Times New Roman" w:hAnsi="Times New Roman"/>
          <w:b/>
          <w:bCs/>
          <w:lang w:val="ru-RU" w:eastAsia="en-GB"/>
        </w:rPr>
        <w:br/>
        <w:t>Отчета об оценке достаточности капитала с учетом риска</w:t>
      </w:r>
    </w:p>
    <w:p w:rsidR="00D8055C" w:rsidRDefault="00EF49BB" w:rsidP="00EF49BB">
      <w:pPr>
        <w:rPr>
          <w:rFonts w:ascii="Times New Roman" w:hAnsi="Times New Roman"/>
          <w:lang w:val="ru-RU" w:eastAsia="en-GB"/>
        </w:rPr>
      </w:pP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1.</w:t>
      </w:r>
      <w:r w:rsidRPr="00EF49BB">
        <w:rPr>
          <w:rFonts w:ascii="Times New Roman" w:hAnsi="Times New Roman"/>
          <w:lang w:val="ru-RU" w:eastAsia="en-GB"/>
        </w:rPr>
        <w:t xml:space="preserve"> В данном отчете отражается информация о коэффициенте достаточности капитала с учетом риска в соответствии с Регламентом о достаточности капитала с учетом риска, с разделением активов, а также условные счета (далее активы) в зависимости от учета риска каждого актива. Активы, взвешенные с учетом риска, определяются присоединением актива банка к одной из нижеперечисленных категорий риска. Каждая категория риска имеет специфическую степень риска. Степень риска, присвоенная конкретному активу, определяет процент данного актива, который является числителем в формуле расчета коэффициента капитала с учетом риска. В зависимости от залога кредиты отражаются частично в разных категориях риска.</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2.</w:t>
      </w:r>
      <w:r w:rsidRPr="00EF49BB">
        <w:rPr>
          <w:rFonts w:ascii="Times New Roman" w:hAnsi="Times New Roman"/>
          <w:lang w:val="ru-RU" w:eastAsia="en-GB"/>
        </w:rPr>
        <w:t xml:space="preserve"> Условные счета до присвоения им категории риска выражаются эквивалентами, отражающими кредитный риск путем умножения остатков по условным счетам на коэффициент кредитной конверсии согласно пункту 27 данного Отчета. После этого каждая измененная категория присваивается определенной категории риска в зависимости от вида актива или категории партнера аналогично базовой структуре Отчета.</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3.</w:t>
      </w:r>
      <w:r w:rsidRPr="00EF49BB">
        <w:rPr>
          <w:rFonts w:ascii="Times New Roman" w:hAnsi="Times New Roman"/>
          <w:lang w:val="ru-RU" w:eastAsia="en-GB"/>
        </w:rPr>
        <w:t xml:space="preserve"> Условные счета после кредитной конверсии согласно пункту 27 распределяются по нижеприведенным строкам в зависимости от степени риска, который можно присвоить согласно сущности каждой подкатегории (к примеру, в случае появления обязательств предоставления кредитов, гарантированных государством; после кредитной конверсии обязательство отражается в строке 1.3 отчета и учитывается в “категория 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4.</w:t>
      </w:r>
      <w:r w:rsidRPr="00EF49BB">
        <w:rPr>
          <w:rFonts w:ascii="Times New Roman" w:hAnsi="Times New Roman"/>
          <w:lang w:val="ru-RU" w:eastAsia="en-GB"/>
        </w:rPr>
        <w:t xml:space="preserve"> Просроченные активы, определенные в Регламенте о классификации активов и условных обязательств, а также дебиторы банка, находящиеся в процессе несостоятельности, будут отражены в “категория 100%”.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5.</w:t>
      </w:r>
      <w:r w:rsidRPr="00EF49BB">
        <w:rPr>
          <w:rFonts w:ascii="Times New Roman" w:hAnsi="Times New Roman"/>
          <w:lang w:val="ru-RU" w:eastAsia="en-GB"/>
        </w:rPr>
        <w:t xml:space="preserve"> Суммы этого отчета будут отражены без сокращения на стоимости скидок, на </w:t>
      </w:r>
      <w:r w:rsidR="002B4697">
        <w:rPr>
          <w:rFonts w:ascii="Times New Roman" w:hAnsi="Times New Roman"/>
          <w:lang w:val="ru-RU" w:eastAsia="en-GB"/>
        </w:rPr>
        <w:t xml:space="preserve">ожидаемые </w:t>
      </w:r>
      <w:r w:rsidRPr="00EF49BB">
        <w:rPr>
          <w:rFonts w:ascii="Times New Roman" w:hAnsi="Times New Roman"/>
          <w:lang w:val="ru-RU" w:eastAsia="en-GB"/>
        </w:rPr>
        <w:t>потери от обесценивания активов /условных обязательств, которые подлежат классификации в соответствии с Регламентом о классификации активов и условных обязательств.</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 xml:space="preserve">6. </w:t>
      </w:r>
      <w:r w:rsidRPr="00EF49BB">
        <w:rPr>
          <w:rFonts w:ascii="Times New Roman" w:hAnsi="Times New Roman"/>
          <w:lang w:val="ru-RU" w:eastAsia="en-GB"/>
        </w:rPr>
        <w:t>Не включаются доли участия в капиталах других банков, в том числе доли участия в капиталах банков, переданных во владение /приобретенных взамен возврата выданных кредитов, а также нематериальные активы.</w:t>
      </w:r>
      <w:r w:rsidRPr="00EF49BB">
        <w:rPr>
          <w:rFonts w:ascii="Times New Roman" w:hAnsi="Times New Roman"/>
          <w:lang w:val="ru-RU" w:eastAsia="en-GB"/>
        </w:rPr>
        <w:br/>
      </w:r>
      <w:r w:rsidRPr="00D8055C">
        <w:rPr>
          <w:rFonts w:ascii="Times New Roman" w:hAnsi="Times New Roman"/>
          <w:lang w:val="en-GB" w:eastAsia="en-GB"/>
        </w:rPr>
        <w:t>  </w:t>
      </w:r>
      <w:r w:rsidRPr="00D8055C">
        <w:rPr>
          <w:rFonts w:ascii="Times New Roman" w:hAnsi="Times New Roman"/>
          <w:lang w:val="ru-RU" w:eastAsia="en-GB"/>
        </w:rPr>
        <w:t xml:space="preserve"> </w:t>
      </w:r>
      <w:r w:rsidRPr="00D8055C">
        <w:rPr>
          <w:rFonts w:ascii="Times New Roman" w:hAnsi="Times New Roman"/>
          <w:b/>
          <w:bCs/>
          <w:lang w:val="ru-RU" w:eastAsia="en-GB"/>
        </w:rPr>
        <w:t>7.</w:t>
      </w:r>
      <w:r w:rsidRPr="00D8055C">
        <w:rPr>
          <w:rFonts w:ascii="Times New Roman" w:hAnsi="Times New Roman"/>
          <w:lang w:val="ru-RU" w:eastAsia="en-GB"/>
        </w:rPr>
        <w:t xml:space="preserve"> До применения учета риска суммы данного отчета отражаются со снижением, по необходимости, согласно постановлению Исполнительного комитета Национального банка Молдовы, сумм, превышающих пределы, </w:t>
      </w:r>
      <w:r w:rsidR="00D8055C" w:rsidRPr="00D8055C">
        <w:rPr>
          <w:rFonts w:ascii="Times New Roman" w:hAnsi="Times New Roman"/>
          <w:lang w:val="ru-RU"/>
        </w:rPr>
        <w:t xml:space="preserve">пределы, установленные частью </w:t>
      </w:r>
      <w:r w:rsidR="00D8055C" w:rsidRPr="00837837">
        <w:rPr>
          <w:rFonts w:ascii="Times New Roman" w:hAnsi="Times New Roman"/>
          <w:lang w:val="ru-RU"/>
        </w:rPr>
        <w:t>(3) ст.80 Закона о деятельности банков</w:t>
      </w:r>
      <w:r w:rsidRPr="00D8055C">
        <w:rPr>
          <w:rFonts w:ascii="Times New Roman" w:hAnsi="Times New Roman"/>
          <w:lang w:val="ru-RU" w:eastAsia="en-GB"/>
        </w:rPr>
        <w:t>. Суммы снижаются на ту часть суммы, которая привела к превышению соответствующих пределов.</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en-GB" w:eastAsia="en-GB"/>
        </w:rPr>
        <w:t>   </w:t>
      </w:r>
      <w:r w:rsidRPr="00EF49BB">
        <w:rPr>
          <w:rFonts w:ascii="Times New Roman" w:hAnsi="Times New Roman"/>
          <w:b/>
          <w:bCs/>
          <w:lang w:val="ru-RU" w:eastAsia="en-GB"/>
        </w:rPr>
        <w:t xml:space="preserve"> </w:t>
      </w:r>
      <w:r w:rsidRPr="00EF49BB">
        <w:rPr>
          <w:rFonts w:ascii="Times New Roman" w:hAnsi="Times New Roman"/>
          <w:lang w:val="ru-RU" w:eastAsia="en-GB"/>
        </w:rPr>
        <w:t>В строке</w:t>
      </w:r>
      <w:r w:rsidRPr="00EF49BB">
        <w:rPr>
          <w:rFonts w:ascii="Times New Roman" w:hAnsi="Times New Roman"/>
          <w:b/>
          <w:bCs/>
          <w:lang w:val="ru-RU" w:eastAsia="en-GB"/>
        </w:rPr>
        <w:t xml:space="preserve"> 1.0 Категория ноль процентов (0%)</w:t>
      </w:r>
      <w:r w:rsidRPr="00EF49BB">
        <w:rPr>
          <w:rFonts w:ascii="Times New Roman" w:hAnsi="Times New Roman"/>
          <w:lang w:val="ru-RU" w:eastAsia="en-GB"/>
        </w:rPr>
        <w:t xml:space="preserve"> отражаются активы с учетом риска с коэффициентом 0%. Общая сумма данной категории определяется суммой строк 1.1–1.3 и умножением на 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9.</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 xml:space="preserve">1.1 Наличность </w:t>
      </w:r>
      <w:r w:rsidR="00D8055C" w:rsidRPr="00D8055C">
        <w:rPr>
          <w:rFonts w:ascii="Times New Roman" w:hAnsi="Times New Roman"/>
          <w:b/>
          <w:bCs/>
          <w:lang w:val="ru-RU"/>
        </w:rPr>
        <w:t>в кассе и другие монетарные ценности</w:t>
      </w:r>
      <w:r w:rsidR="00D8055C">
        <w:rPr>
          <w:rFonts w:ascii="Times New Roman" w:hAnsi="Times New Roman"/>
          <w:b/>
          <w:bCs/>
          <w:lang w:val="ru-RU" w:eastAsia="en-GB"/>
        </w:rPr>
        <w:t xml:space="preserve"> </w:t>
      </w:r>
      <w:r w:rsidRPr="00EF49BB">
        <w:rPr>
          <w:rFonts w:ascii="Times New Roman" w:hAnsi="Times New Roman"/>
          <w:lang w:val="ru-RU" w:eastAsia="en-GB"/>
        </w:rPr>
        <w:t>отражается общая сумма остатка наличности, в том числе в иностранной валюте, дорожные чеки, памятные и юбилейные банкноты и монеты, отраженные в леях.</w:t>
      </w:r>
    </w:p>
    <w:p w:rsidR="00EF49BB" w:rsidRPr="00EF49BB" w:rsidRDefault="00EF49BB" w:rsidP="00EF49BB">
      <w:pPr>
        <w:rPr>
          <w:rFonts w:ascii="Times New Roman" w:hAnsi="Times New Roman"/>
          <w:lang w:val="ru-RU" w:eastAsia="en-GB"/>
        </w:rPr>
      </w:pPr>
      <w:r w:rsidRPr="00EF49BB">
        <w:rPr>
          <w:rFonts w:ascii="Times New Roman" w:hAnsi="Times New Roman"/>
          <w:lang w:val="en-GB" w:eastAsia="en-GB"/>
        </w:rPr>
        <w:t>    </w:t>
      </w:r>
      <w:r w:rsidRPr="00EF49BB">
        <w:rPr>
          <w:rFonts w:ascii="Times New Roman" w:hAnsi="Times New Roman"/>
          <w:lang w:val="ru-RU" w:eastAsia="en-GB"/>
        </w:rPr>
        <w:t xml:space="preserve"> Счета 1001, 1002, 1003, 1004, 1005, 1007, 1008.</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10.</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1.2 Государственные ценные бумаги </w:t>
      </w:r>
      <w:r w:rsidRPr="00EF49BB">
        <w:rPr>
          <w:rFonts w:ascii="Times New Roman" w:hAnsi="Times New Roman"/>
          <w:lang w:val="ru-RU" w:eastAsia="en-GB"/>
        </w:rPr>
        <w:t>отражается общая сумма остатка государственных и гарантированных правительственными органами Республики Молдова ценных бумаг, в том числе государственных ценных бумаг, конфискованных судебными органами для расчета получателя кредита с банком, а также общая сумма остатка всех типов казначейских векселей (казначейских бонов), в том числе казначейских векселей, конфискованных судебными органами для расчета получателя кредита с банком.</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Счета 1151, 1161, 1182, 1183, 1184, частично 1811, 1818, счета, относящиеся к соответствующей строке группы счетов 1700, частично контрсчета 1156, 1166, , 1192 и 1193 (в объеме дисконтов и обесценивания по государственным ценным бумагам данных счетов).</w:t>
      </w:r>
      <w:r w:rsidRPr="00EF49BB">
        <w:rPr>
          <w:rFonts w:ascii="Times New Roman" w:hAnsi="Times New Roman"/>
          <w:lang w:val="ru-RU" w:eastAsia="en-GB"/>
        </w:rPr>
        <w:br/>
      </w:r>
      <w:r w:rsidRPr="00EF49BB">
        <w:rPr>
          <w:rFonts w:ascii="Times New Roman" w:hAnsi="Times New Roman"/>
          <w:lang w:val="en-GB" w:eastAsia="en-GB"/>
        </w:rPr>
        <w:lastRenderedPageBreak/>
        <w:t>  </w:t>
      </w:r>
      <w:r w:rsidRPr="00EF49BB">
        <w:rPr>
          <w:rFonts w:ascii="Times New Roman" w:hAnsi="Times New Roman"/>
          <w:b/>
          <w:bCs/>
          <w:lang w:val="en-GB" w:eastAsia="en-GB"/>
        </w:rPr>
        <w:t> </w:t>
      </w:r>
      <w:r w:rsidRPr="00EF49BB">
        <w:rPr>
          <w:rFonts w:ascii="Times New Roman" w:hAnsi="Times New Roman"/>
          <w:b/>
          <w:bCs/>
          <w:lang w:val="ru-RU" w:eastAsia="en-GB"/>
        </w:rPr>
        <w:t xml:space="preserve"> 11. </w:t>
      </w:r>
      <w:r w:rsidRPr="00EF49BB">
        <w:rPr>
          <w:rFonts w:ascii="Times New Roman" w:hAnsi="Times New Roman"/>
          <w:lang w:val="ru-RU" w:eastAsia="en-GB"/>
        </w:rPr>
        <w:t>В строке</w:t>
      </w:r>
      <w:r w:rsidRPr="00EF49BB">
        <w:rPr>
          <w:rFonts w:ascii="Times New Roman" w:hAnsi="Times New Roman"/>
          <w:b/>
          <w:bCs/>
          <w:lang w:val="ru-RU" w:eastAsia="en-GB"/>
        </w:rPr>
        <w:t xml:space="preserve"> 1.3 Прочие </w:t>
      </w:r>
      <w:r w:rsidRPr="00EF49BB">
        <w:rPr>
          <w:rFonts w:ascii="Times New Roman" w:hAnsi="Times New Roman"/>
          <w:lang w:val="ru-RU" w:eastAsia="en-GB"/>
        </w:rPr>
        <w:t xml:space="preserve">отражается общая сумма остатка прочих активов с нулевым процентом риска, которая не отражается в строках 1.1 и 1.2, а именно, остатки по расчетным счетам НБМ, включая обязательные резервы, облигации НБМ, размещения/депозиты, кредиты/займы между центральным офисом банка и </w:t>
      </w:r>
      <w:r w:rsidR="00837837">
        <w:rPr>
          <w:rFonts w:ascii="Times New Roman" w:hAnsi="Times New Roman"/>
          <w:lang w:val="ru-RU" w:eastAsia="en-GB"/>
        </w:rPr>
        <w:t>отделениями</w:t>
      </w:r>
      <w:r w:rsidRPr="00EF49BB">
        <w:rPr>
          <w:rFonts w:ascii="Times New Roman" w:hAnsi="Times New Roman"/>
          <w:lang w:val="ru-RU" w:eastAsia="en-GB"/>
        </w:rPr>
        <w:t xml:space="preserve">, расчеты между </w:t>
      </w:r>
      <w:r w:rsidR="00837837">
        <w:rPr>
          <w:rFonts w:ascii="Times New Roman" w:hAnsi="Times New Roman"/>
          <w:lang w:val="ru-RU" w:eastAsia="en-GB"/>
        </w:rPr>
        <w:t>отделениями</w:t>
      </w:r>
      <w:r w:rsidRPr="00EF49BB">
        <w:rPr>
          <w:rFonts w:ascii="Times New Roman" w:hAnsi="Times New Roman"/>
          <w:lang w:val="ru-RU" w:eastAsia="en-GB"/>
        </w:rPr>
        <w:t xml:space="preserve"> и центральным офисом банка. Отражается также общая сумма кредитов, выданных Правительству Республики Молдова, часть кредитов/размещений, гарантированных обеспечениями, перечисленными в Регламенте о “крупных” подверженностях.</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Счета 1031, 1036, 1061, частично счета групп счетов 1090, 1060, счета 1181, 1815 (счета групп счетов 1840, 1850, 1860, минус счета групп счетов 2840, 2850 и 2860 (в случае если свернутое сальдо по данным счетам является дебетовым), частично счета групп счетов1220–1530, частично счета 1153, 1157, 1163, 1168, 1186, 1191, </w:t>
      </w:r>
      <w:r w:rsidR="002B4697">
        <w:rPr>
          <w:rFonts w:ascii="Times New Roman" w:hAnsi="Times New Roman"/>
          <w:lang w:val="ru-RU" w:eastAsia="en-GB"/>
        </w:rPr>
        <w:t>частично контрсчета 1156, 1166</w:t>
      </w:r>
      <w:r w:rsidRPr="00EF49BB">
        <w:rPr>
          <w:rFonts w:ascii="Times New Roman" w:hAnsi="Times New Roman"/>
          <w:lang w:val="ru-RU" w:eastAsia="en-GB"/>
        </w:rPr>
        <w:t>, 1192 и 1193, счета, относящиеся к соответствующей строке группы счетов 1700</w:t>
      </w:r>
      <w:r w:rsidR="00D8055C" w:rsidRPr="00D8055C">
        <w:rPr>
          <w:lang w:val="ru-RU"/>
        </w:rPr>
        <w:t xml:space="preserve"> или счет 2708</w:t>
      </w:r>
      <w:r w:rsidRPr="00EF49BB">
        <w:rPr>
          <w:rFonts w:ascii="Times New Roman" w:hAnsi="Times New Roman"/>
          <w:lang w:val="ru-RU" w:eastAsia="en-GB"/>
        </w:rPr>
        <w:t xml:space="preserve">, частично контрсчета для регулирования стоимости актива по амортизированной стоимости (1236, 1246, 1268, 1296, 1314, 1326, 1343, 1358, 1366, 1378, 1386, 1398, 1416, 1426, 1436, 1446, 1456, 1466, 1476, 1497, 1516, 1535), а также другие счета, которые по существу соответствуют описанию данной подкатегории, и минус скидки на </w:t>
      </w:r>
      <w:r w:rsidR="002B4697">
        <w:rPr>
          <w:rFonts w:ascii="Times New Roman" w:hAnsi="Times New Roman"/>
          <w:lang w:val="ru-RU" w:eastAsia="en-GB"/>
        </w:rPr>
        <w:t xml:space="preserve">ожидаемые </w:t>
      </w:r>
      <w:r w:rsidRPr="00EF49BB">
        <w:rPr>
          <w:rFonts w:ascii="Times New Roman" w:hAnsi="Times New Roman"/>
          <w:lang w:val="ru-RU" w:eastAsia="en-GB"/>
        </w:rPr>
        <w:t>потери по активам,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12.</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2.0 Категория 20 процентов (20%) </w:t>
      </w:r>
      <w:r w:rsidRPr="00EF49BB">
        <w:rPr>
          <w:rFonts w:ascii="Times New Roman" w:hAnsi="Times New Roman"/>
          <w:lang w:val="ru-RU" w:eastAsia="en-GB"/>
        </w:rPr>
        <w:t>отражаются все активы с учетом риска 20%. Общая сумма данной категории определяется суммой строк 2.1–2.3 и умножением на 20%.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13.</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2.1 Наличность – инструменты в процессе поступления</w:t>
      </w:r>
      <w:r w:rsidRPr="00EF49BB">
        <w:rPr>
          <w:rFonts w:ascii="Times New Roman" w:hAnsi="Times New Roman"/>
          <w:lang w:val="ru-RU" w:eastAsia="en-GB"/>
        </w:rPr>
        <w:t xml:space="preserve"> отражается общая сумма остатка всех наличных инструментов в процессе инкассирования, в том числе транзитные и клиринговые суммы и контрсчета обесценивания этих активов. </w:t>
      </w:r>
      <w:r w:rsidRPr="00EF49BB">
        <w:rPr>
          <w:rFonts w:ascii="Times New Roman" w:hAnsi="Times New Roman"/>
          <w:lang w:val="en-GB" w:eastAsia="en-GB"/>
        </w:rPr>
        <w:t>   </w:t>
      </w:r>
      <w:r w:rsidRPr="00EF49BB">
        <w:rPr>
          <w:rFonts w:ascii="Times New Roman" w:hAnsi="Times New Roman"/>
          <w:lang w:val="ru-RU" w:eastAsia="en-GB"/>
        </w:rPr>
        <w:t xml:space="preserve"> Счет 1791, частично контрсчета 1821, 1822.</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14.</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2.2 Сальдо корреспондентских счетов и средств, размещенных в банках Республики Молдова и стран ОЭСР,</w:t>
      </w:r>
      <w:r w:rsidRPr="00EF49BB">
        <w:rPr>
          <w:rFonts w:ascii="Times New Roman" w:hAnsi="Times New Roman"/>
          <w:lang w:val="ru-RU" w:eastAsia="en-GB"/>
        </w:rPr>
        <w:t xml:space="preserve"> отражается общая сумма остатков по корреспондентским счетам, размещений до востребования, а также срочных размещений в банках Республики Молдова и стран-членов Организации экономического сотрудничества и развития (далее – ОЭСР), а также кредиты, выданные банкам Молдовы и стран ОЭСР, или кредиты, гарантированные ими.</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счета 1032, 1034, 1062, 1063, 1093–1096, 1099, 1102, 1103, 1105, 1106, счета групп счетов 1230–1530, счета, относящиеся к соответствующей строке группы счетов 1700</w:t>
      </w:r>
      <w:r w:rsidR="00D8055C" w:rsidRPr="00D8055C">
        <w:rPr>
          <w:lang w:val="ru-RU"/>
        </w:rPr>
        <w:t xml:space="preserve"> или счет 2708</w:t>
      </w:r>
      <w:r w:rsidRPr="00EF49BB">
        <w:rPr>
          <w:rFonts w:ascii="Times New Roman" w:hAnsi="Times New Roman"/>
          <w:lang w:val="ru-RU" w:eastAsia="en-GB"/>
        </w:rPr>
        <w:t>,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(1236, 1246, 1268, 1296, 1314, 1326, 1343, 1358, 1366, 1378, 1386, 1398, 1416, 1426, 1436, 1446, 1456, 1466, 1476, 1497, 1516, 1535, 1881) и минус скидки на</w:t>
      </w:r>
      <w:r w:rsidR="002B4697">
        <w:rPr>
          <w:rFonts w:ascii="Times New Roman" w:hAnsi="Times New Roman"/>
          <w:lang w:val="ru-RU" w:eastAsia="en-GB"/>
        </w:rPr>
        <w:t xml:space="preserve"> ожидаемые</w:t>
      </w:r>
      <w:r w:rsidRPr="00EF49BB">
        <w:rPr>
          <w:rFonts w:ascii="Times New Roman" w:hAnsi="Times New Roman"/>
          <w:lang w:val="ru-RU" w:eastAsia="en-GB"/>
        </w:rPr>
        <w:t xml:space="preserve"> потери по данным активам,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 xml:space="preserve">15. </w:t>
      </w:r>
      <w:r w:rsidRPr="00EF49BB">
        <w:rPr>
          <w:rFonts w:ascii="Times New Roman" w:hAnsi="Times New Roman"/>
          <w:lang w:val="ru-RU" w:eastAsia="en-GB"/>
        </w:rPr>
        <w:t xml:space="preserve">В строке </w:t>
      </w:r>
      <w:r w:rsidRPr="00EF49BB">
        <w:rPr>
          <w:rFonts w:ascii="Times New Roman" w:hAnsi="Times New Roman"/>
          <w:b/>
          <w:bCs/>
          <w:lang w:val="ru-RU" w:eastAsia="en-GB"/>
        </w:rPr>
        <w:t xml:space="preserve">2.3 Сальдо корреспондентских счетов и средств, размещенных сроком до одного года в банках других стран (за исключением стран ОЭСР и Республики Молдова), </w:t>
      </w:r>
      <w:r w:rsidRPr="00EF49BB">
        <w:rPr>
          <w:rFonts w:ascii="Times New Roman" w:hAnsi="Times New Roman"/>
          <w:lang w:val="ru-RU" w:eastAsia="en-GB"/>
        </w:rPr>
        <w:t>отражается общая сумма остатков по корреспондентским счетам и краткосрочным размещениям в банках других стран (за исключением стран ОЭСР и Республики Молдова), а также кредиты, выданные им сроком до одного года.</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счета 1032, 1034, 1062, 1063, 1093–1096, 1331, 1332, 1341, 1351, 1352, 1354, 1355, 1531, счета, относящиеся к соответствующей строке группы счетов 1700</w:t>
      </w:r>
      <w:r w:rsidR="00D8055C" w:rsidRPr="00874C22">
        <w:rPr>
          <w:lang w:val="ru-RU"/>
        </w:rPr>
        <w:t xml:space="preserve"> или счет 2708</w:t>
      </w:r>
      <w:r w:rsidRPr="00EF49BB">
        <w:rPr>
          <w:rFonts w:ascii="Times New Roman" w:hAnsi="Times New Roman"/>
          <w:lang w:val="ru-RU" w:eastAsia="en-GB"/>
        </w:rPr>
        <w:t>,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(1343, 1358), минус скидки на</w:t>
      </w:r>
      <w:r w:rsidR="002B4697">
        <w:rPr>
          <w:rFonts w:ascii="Times New Roman" w:hAnsi="Times New Roman"/>
          <w:lang w:val="ru-RU" w:eastAsia="en-GB"/>
        </w:rPr>
        <w:t xml:space="preserve"> ожидаемые </w:t>
      </w:r>
      <w:r w:rsidRPr="00EF49BB">
        <w:rPr>
          <w:rFonts w:ascii="Times New Roman" w:hAnsi="Times New Roman"/>
          <w:lang w:val="ru-RU" w:eastAsia="en-GB"/>
        </w:rPr>
        <w:t xml:space="preserve"> потери по данным активам, рассчитанные в соответствии с Регламентом о классификации активов и условных обязательств (частично группа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16. </w:t>
      </w:r>
      <w:r w:rsidRPr="00EF49BB">
        <w:rPr>
          <w:rFonts w:ascii="Times New Roman" w:hAnsi="Times New Roman"/>
          <w:lang w:val="ru-RU" w:eastAsia="en-GB"/>
        </w:rPr>
        <w:t xml:space="preserve">В строке </w:t>
      </w:r>
      <w:r w:rsidRPr="00EF49BB">
        <w:rPr>
          <w:rFonts w:ascii="Times New Roman" w:hAnsi="Times New Roman"/>
          <w:b/>
          <w:bCs/>
          <w:lang w:val="ru-RU" w:eastAsia="en-GB"/>
        </w:rPr>
        <w:t xml:space="preserve">3.0 Категория 50 процентов (50%) </w:t>
      </w:r>
      <w:r w:rsidRPr="00EF49BB">
        <w:rPr>
          <w:rFonts w:ascii="Times New Roman" w:hAnsi="Times New Roman"/>
          <w:lang w:val="ru-RU" w:eastAsia="en-GB"/>
        </w:rPr>
        <w:t>отражаются все активы с учетом риска 50%. Общая сумма категории определяется суммой строк 3.1–3.2 и умножением на 50%.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en-GB" w:eastAsia="en-GB"/>
        </w:rPr>
        <w:t> </w:t>
      </w:r>
      <w:r w:rsidRPr="00EF49BB">
        <w:rPr>
          <w:rFonts w:ascii="Times New Roman" w:hAnsi="Times New Roman"/>
          <w:b/>
          <w:bCs/>
          <w:lang w:val="ru-RU" w:eastAsia="en-GB"/>
        </w:rPr>
        <w:t xml:space="preserve"> 17.</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3.1 Кредиты, обеспеченные первой ипотекой жилой недвижимостью дебитора, </w:t>
      </w:r>
      <w:r w:rsidRPr="00EF49BB">
        <w:rPr>
          <w:rFonts w:ascii="Times New Roman" w:hAnsi="Times New Roman"/>
          <w:lang w:val="ru-RU" w:eastAsia="en-GB"/>
        </w:rPr>
        <w:lastRenderedPageBreak/>
        <w:t>отражается общая сумма остатка по кредитам, обеспеченным первой ипотекой жилой недвижимостью дебитора - физического лица. В целях настоящего отчета кредит, обеспеченный первой ипотекой жилой недвижимостью, является кредитом, обеспеченным недвижимым имуществом жилого назначения, и который представляет собой обязательство высшей степени преимущества (удовлетворение которого имеет преимущественное право по отношению к обязательствам других ипотечных кредиторов (если существуют), обеспеченных тем же недвижимым имуществом).</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счета групп счетов 1290, 1440, 1510, 1532, счета, относящиеся к соответствующей строке группы счетов 1700,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(1296, 1446, 1516, 1535), минус скидки на </w:t>
      </w:r>
      <w:r w:rsidR="002B4697">
        <w:rPr>
          <w:rFonts w:ascii="Times New Roman" w:hAnsi="Times New Roman"/>
          <w:lang w:val="ru-RU" w:eastAsia="en-GB"/>
        </w:rPr>
        <w:t xml:space="preserve">ожидаемые </w:t>
      </w:r>
      <w:r w:rsidRPr="00EF49BB">
        <w:rPr>
          <w:rFonts w:ascii="Times New Roman" w:hAnsi="Times New Roman"/>
          <w:lang w:val="ru-RU" w:eastAsia="en-GB"/>
        </w:rPr>
        <w:t>потери по данным активам/условным обязательствам,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 xml:space="preserve">18. </w:t>
      </w:r>
      <w:r w:rsidRPr="00EF49BB">
        <w:rPr>
          <w:rFonts w:ascii="Times New Roman" w:hAnsi="Times New Roman"/>
          <w:lang w:val="ru-RU" w:eastAsia="en-GB"/>
        </w:rPr>
        <w:t>В строке</w:t>
      </w:r>
      <w:r w:rsidRPr="00EF49BB">
        <w:rPr>
          <w:rFonts w:ascii="Times New Roman" w:hAnsi="Times New Roman"/>
          <w:b/>
          <w:bCs/>
          <w:lang w:val="ru-RU" w:eastAsia="en-GB"/>
        </w:rPr>
        <w:t xml:space="preserve"> 3.2 Кредиты, выданные публичному сектору, за исключением Правительства и кредитов, гарантированных или обеспеченных выпущенными им ценными бумагами,</w:t>
      </w:r>
      <w:r w:rsidRPr="00EF49BB">
        <w:rPr>
          <w:rFonts w:ascii="Times New Roman" w:hAnsi="Times New Roman"/>
          <w:lang w:val="ru-RU" w:eastAsia="en-GB"/>
        </w:rPr>
        <w:t xml:space="preserve"> отражается общая сумма остатков по кредитам, выданным органам местного управления и другим публичным органам, а также кредиты, гарантированные или обеспеченные ценными бумагами, выпущенными исполнительными органами местного управления или другими публичными органами. </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кредитные счета групп счетов 1230–1530, счета, относящиеся к соответствующей строке группы 1700,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(1236, 1246, 1268, 1296, 1314, 1326, 1343, 1358, 1366, 1378, 1386, 1398, 1416, 1426, 1436, 1446, 1456, 1466, 1476, 1497, 1516, 1535), минус скидки на </w:t>
      </w:r>
      <w:r w:rsidR="002B4697">
        <w:rPr>
          <w:rFonts w:ascii="Times New Roman" w:hAnsi="Times New Roman"/>
          <w:lang w:val="ru-RU" w:eastAsia="en-GB"/>
        </w:rPr>
        <w:t xml:space="preserve">ожидаемые </w:t>
      </w:r>
      <w:r w:rsidRPr="00EF49BB">
        <w:rPr>
          <w:rFonts w:ascii="Times New Roman" w:hAnsi="Times New Roman"/>
          <w:lang w:val="ru-RU" w:eastAsia="en-GB"/>
        </w:rPr>
        <w:t>потери по данным активам,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19.</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4.0 Категория 100 процентов (100%)</w:t>
      </w:r>
      <w:r w:rsidRPr="00EF49BB">
        <w:rPr>
          <w:rFonts w:ascii="Times New Roman" w:hAnsi="Times New Roman"/>
          <w:lang w:val="ru-RU" w:eastAsia="en-GB"/>
        </w:rPr>
        <w:t xml:space="preserve"> отражаются все активы с учетом риска 100 %. Общая сумма категории определяется суммой строк 4.1–4.4.</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20.</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4.1 Земля, здания, оборудование </w:t>
      </w:r>
      <w:r w:rsidRPr="00EF49BB">
        <w:rPr>
          <w:rFonts w:ascii="Times New Roman" w:hAnsi="Times New Roman"/>
          <w:lang w:val="ru-RU" w:eastAsia="en-GB"/>
        </w:rPr>
        <w:t>отражается остаток по долгосрочным материальным активам (основные средства) минус их обесценивание и амортизация.</w:t>
      </w:r>
      <w:r w:rsidRPr="00EF49BB">
        <w:rPr>
          <w:rFonts w:ascii="Times New Roman" w:hAnsi="Times New Roman"/>
          <w:lang w:val="en-GB" w:eastAsia="en-GB"/>
        </w:rPr>
        <w:t>   </w:t>
      </w:r>
      <w:r w:rsidRPr="00EF49BB">
        <w:rPr>
          <w:rFonts w:ascii="Times New Roman" w:hAnsi="Times New Roman"/>
          <w:lang w:val="ru-RU" w:eastAsia="en-GB"/>
        </w:rPr>
        <w:t xml:space="preserve"> Счета группы счетов 1600, контрсчета 1611, 1683-1689.</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21.</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4.2 Другие кредиты</w:t>
      </w:r>
      <w:r w:rsidRPr="00EF49BB">
        <w:rPr>
          <w:rFonts w:ascii="Times New Roman" w:hAnsi="Times New Roman"/>
          <w:lang w:val="ru-RU" w:eastAsia="en-GB"/>
        </w:rPr>
        <w:t xml:space="preserve"> отражается общая сумма остатка по текущим кредитам, выданным частному сектору и коммерческим организациям публичного сектора, которые не были отражены выше, общая сумма остатка по кредитам и размещениям, классифицированным как просроченные, как это определено в Регламенте о классификации активов и условных обязательств, и которые не являются предметом обеспечений, указанных в Регламенте о «крупных» подверженностях, а также размещения (овернайт и срочные) с просроченным сроком погашения, указанном в истекшем юридическом документе, заключенном между сторонами. В данной строке также отражаются такие виды кредитов, как гарантийные размещения.</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счета 1062, 1063, 1070, 1090, частично счета групп счетов 1220 - 1530, счета, относящиеся к соответствующей строке группы счетов 1700</w:t>
      </w:r>
      <w:r w:rsidR="00874C22" w:rsidRPr="00874C22">
        <w:rPr>
          <w:lang w:val="ru-RU"/>
        </w:rPr>
        <w:t xml:space="preserve"> или счет 2708</w:t>
      </w:r>
      <w:r w:rsidRPr="00EF49BB">
        <w:rPr>
          <w:rFonts w:ascii="Times New Roman" w:hAnsi="Times New Roman"/>
          <w:lang w:val="ru-RU" w:eastAsia="en-GB"/>
        </w:rPr>
        <w:t>,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(1236, 1246, 1268, 1296, 1314, 1326, 1343, 1358, 1366, 1378, 1386, 1398, 1416, 1426, 1436, 1446, 1456, 1466, 1476, 1497, 1516, 1535, 1881), а также другие счета, по которым отражаются средства, которые по существу соответствуют определению кредита в соответствии со ст.3 Закона о финансовых учреждениях, минус скидки на</w:t>
      </w:r>
      <w:r w:rsidR="002B4697">
        <w:rPr>
          <w:rFonts w:ascii="Times New Roman" w:hAnsi="Times New Roman"/>
          <w:lang w:val="ru-RU" w:eastAsia="en-GB"/>
        </w:rPr>
        <w:t xml:space="preserve"> ожидаемые</w:t>
      </w:r>
      <w:r w:rsidRPr="00EF49BB">
        <w:rPr>
          <w:rFonts w:ascii="Times New Roman" w:hAnsi="Times New Roman"/>
          <w:lang w:val="ru-RU" w:eastAsia="en-GB"/>
        </w:rPr>
        <w:t xml:space="preserve"> потери по данным активам/условным обязательствам,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22.</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 xml:space="preserve">4.3 Сальдо корреспондентских счетов и средств, размещенных сроком свыше </w:t>
      </w:r>
      <w:r w:rsidRPr="00EF49BB">
        <w:rPr>
          <w:rFonts w:ascii="Times New Roman" w:hAnsi="Times New Roman"/>
          <w:b/>
          <w:bCs/>
          <w:lang w:val="ru-RU" w:eastAsia="en-GB"/>
        </w:rPr>
        <w:lastRenderedPageBreak/>
        <w:t xml:space="preserve">одного года в банках других стран (за исключением стран ОЭСР и Республики Молдова) </w:t>
      </w:r>
      <w:r w:rsidRPr="00EF49BB">
        <w:rPr>
          <w:rFonts w:ascii="Times New Roman" w:hAnsi="Times New Roman"/>
          <w:lang w:val="ru-RU" w:eastAsia="en-GB"/>
        </w:rPr>
        <w:t xml:space="preserve">отражаются размещения в банках, не входящих в ОЭСР, и кредиты, выданные им сроком свыше одного года, а также банки, находящихся в процессе несостоятельности. </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Частично счета 1032, 1034, 1102–1106, 1352, 1353, 1355, 1356, 1531, счета, относящиеся к соответствующей строке группы счетов 1700</w:t>
      </w:r>
      <w:r w:rsidR="00874C22" w:rsidRPr="00874C22">
        <w:rPr>
          <w:lang w:val="ru-RU"/>
        </w:rPr>
        <w:t xml:space="preserve"> или счет 2708</w:t>
      </w:r>
      <w:r w:rsidRPr="00EF49BB">
        <w:rPr>
          <w:rFonts w:ascii="Times New Roman" w:hAnsi="Times New Roman"/>
          <w:lang w:val="ru-RU" w:eastAsia="en-GB"/>
        </w:rPr>
        <w:t xml:space="preserve">, а также другие счета, которые по существу соответствуют описанию данной подкатегории, частично контрсчета для регулирования стоимости актива по амортизированной стоимости данных активов (1358, 1535), минус скидки на </w:t>
      </w:r>
      <w:r w:rsidR="002B4697">
        <w:rPr>
          <w:rFonts w:ascii="Times New Roman" w:hAnsi="Times New Roman"/>
          <w:lang w:val="ru-RU" w:eastAsia="en-GB"/>
        </w:rPr>
        <w:t>ожидаемые</w:t>
      </w:r>
      <w:r w:rsidR="002B4697" w:rsidRPr="00EF49BB">
        <w:rPr>
          <w:rFonts w:ascii="Times New Roman" w:hAnsi="Times New Roman"/>
          <w:lang w:val="ru-RU" w:eastAsia="en-GB"/>
        </w:rPr>
        <w:t xml:space="preserve"> </w:t>
      </w:r>
      <w:r w:rsidR="002B4697">
        <w:rPr>
          <w:rFonts w:ascii="Times New Roman" w:hAnsi="Times New Roman"/>
          <w:lang w:val="ru-RU" w:eastAsia="en-GB"/>
        </w:rPr>
        <w:t xml:space="preserve"> </w:t>
      </w:r>
      <w:r w:rsidRPr="00EF49BB">
        <w:rPr>
          <w:rFonts w:ascii="Times New Roman" w:hAnsi="Times New Roman"/>
          <w:lang w:val="ru-RU" w:eastAsia="en-GB"/>
        </w:rPr>
        <w:t>потери по данным активам /условным обязательствам, рассчитанным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23.</w:t>
      </w:r>
      <w:r w:rsidRPr="00EF49BB">
        <w:rPr>
          <w:rFonts w:ascii="Times New Roman" w:hAnsi="Times New Roman"/>
          <w:lang w:val="ru-RU" w:eastAsia="en-GB"/>
        </w:rPr>
        <w:t xml:space="preserve"> В строке </w:t>
      </w:r>
      <w:r w:rsidRPr="00EF49BB">
        <w:rPr>
          <w:rFonts w:ascii="Times New Roman" w:hAnsi="Times New Roman"/>
          <w:b/>
          <w:bCs/>
          <w:lang w:val="ru-RU" w:eastAsia="en-GB"/>
        </w:rPr>
        <w:t>4.4 Прочие</w:t>
      </w:r>
      <w:r w:rsidRPr="00EF49BB">
        <w:rPr>
          <w:rFonts w:ascii="Times New Roman" w:hAnsi="Times New Roman"/>
          <w:lang w:val="ru-RU" w:eastAsia="en-GB"/>
        </w:rPr>
        <w:t xml:space="preserve"> отражается общая сумма остатка по остальным активам с риском 100 процентов, не отраженным в предыдущих строках, которая включает вложения в коммерческие организации частного сектора, активы, переданные во владение/приобретенные взамен возврата кредита и задолженности, материальные инвестиции, запасы товаров и материалов, предоплаты расходов и др. </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Счета 1154, 1155, 1164, 1165, 1185, 1551, 1552, счета группы счетов 1660 (минус 1692), 1670, 1760, 1792, 1793, 1797, частично счета 1152, 1153, 1157, 1162, 1163, 1168, 1186, 1191, 1561, 1562, 1563, контрсчет 1553, </w:t>
      </w:r>
      <w:r w:rsidR="002B4697">
        <w:rPr>
          <w:rFonts w:ascii="Times New Roman" w:hAnsi="Times New Roman"/>
          <w:lang w:val="ru-RU" w:eastAsia="en-GB"/>
        </w:rPr>
        <w:t>частично контрсчета 1156, 1166</w:t>
      </w:r>
      <w:r w:rsidRPr="00EF49BB">
        <w:rPr>
          <w:rFonts w:ascii="Times New Roman" w:hAnsi="Times New Roman"/>
          <w:lang w:val="ru-RU" w:eastAsia="en-GB"/>
        </w:rPr>
        <w:t xml:space="preserve">, 1192, 1193, 1821, 1822, 1881, счета группы счетов 1800 (счет 1811 и 1818 частично, счет 1815 не включается), а также и другие счета, которые по существу соответствуют описанию данной подкатегории, счета, относящиеся к соответствующей строке группы счетов 1700, минус скидки на </w:t>
      </w:r>
      <w:r w:rsidR="002B4697">
        <w:rPr>
          <w:rFonts w:ascii="Times New Roman" w:hAnsi="Times New Roman"/>
          <w:lang w:val="ru-RU" w:eastAsia="en-GB"/>
        </w:rPr>
        <w:t>ожидаемые</w:t>
      </w:r>
      <w:r w:rsidR="002B4697" w:rsidRPr="00EF49BB">
        <w:rPr>
          <w:rFonts w:ascii="Times New Roman" w:hAnsi="Times New Roman"/>
          <w:lang w:val="ru-RU" w:eastAsia="en-GB"/>
        </w:rPr>
        <w:t xml:space="preserve"> </w:t>
      </w:r>
      <w:r w:rsidRPr="00EF49BB">
        <w:rPr>
          <w:rFonts w:ascii="Times New Roman" w:hAnsi="Times New Roman"/>
          <w:lang w:val="ru-RU" w:eastAsia="en-GB"/>
        </w:rPr>
        <w:t>потери по данным активам/условным обязательствам, рассчитанные в соответствии с Регламентом о классификации активов и условных обязательств (частично счета группы счетов 7210).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 xml:space="preserve">24. </w:t>
      </w:r>
      <w:r w:rsidRPr="00EF49BB">
        <w:rPr>
          <w:rFonts w:ascii="Times New Roman" w:hAnsi="Times New Roman"/>
          <w:lang w:val="ru-RU" w:eastAsia="en-GB"/>
        </w:rPr>
        <w:t xml:space="preserve">Итог строки </w:t>
      </w:r>
      <w:r w:rsidRPr="00EF49BB">
        <w:rPr>
          <w:rFonts w:ascii="Times New Roman" w:hAnsi="Times New Roman"/>
          <w:b/>
          <w:bCs/>
          <w:lang w:val="ru-RU" w:eastAsia="en-GB"/>
        </w:rPr>
        <w:t xml:space="preserve">5.0 Всего активов с учетом риска (АУР) </w:t>
      </w:r>
      <w:r w:rsidRPr="00EF49BB">
        <w:rPr>
          <w:rFonts w:ascii="Times New Roman" w:hAnsi="Times New Roman"/>
          <w:lang w:val="ru-RU" w:eastAsia="en-GB"/>
        </w:rPr>
        <w:t>получается путем суммирования строк 1.0, 2.0, 3.0 и 4.0 данного отчета.</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25.</w:t>
      </w:r>
      <w:r w:rsidRPr="00EF49BB">
        <w:rPr>
          <w:rFonts w:ascii="Times New Roman" w:hAnsi="Times New Roman"/>
          <w:lang w:val="ru-RU" w:eastAsia="en-GB"/>
        </w:rPr>
        <w:t xml:space="preserve"> В строке</w:t>
      </w:r>
      <w:r w:rsidRPr="00EF49BB">
        <w:rPr>
          <w:rFonts w:ascii="Times New Roman" w:hAnsi="Times New Roman"/>
          <w:b/>
          <w:bCs/>
          <w:lang w:val="ru-RU" w:eastAsia="en-GB"/>
        </w:rPr>
        <w:t xml:space="preserve"> 6.0 Совокупный нормативный капитал (СНК)</w:t>
      </w:r>
      <w:r w:rsidRPr="00EF49BB">
        <w:rPr>
          <w:rFonts w:ascii="Times New Roman" w:hAnsi="Times New Roman"/>
          <w:lang w:val="ru-RU" w:eastAsia="en-GB"/>
        </w:rPr>
        <w:t xml:space="preserve"> отражается сумма совокупного нормативного капитала, полученная из Отчета о расчете совокупного нормативного капитала (строка 5.0).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lang w:val="ru-RU" w:eastAsia="en-GB"/>
        </w:rPr>
        <w:t xml:space="preserve"> </w:t>
      </w:r>
      <w:r w:rsidRPr="00EF49BB">
        <w:rPr>
          <w:rFonts w:ascii="Times New Roman" w:hAnsi="Times New Roman"/>
          <w:b/>
          <w:bCs/>
          <w:lang w:val="ru-RU" w:eastAsia="en-GB"/>
        </w:rPr>
        <w:t xml:space="preserve">26. </w:t>
      </w:r>
      <w:r w:rsidRPr="00EF49BB">
        <w:rPr>
          <w:rFonts w:ascii="Times New Roman" w:hAnsi="Times New Roman"/>
          <w:lang w:val="ru-RU" w:eastAsia="en-GB"/>
        </w:rPr>
        <w:t xml:space="preserve">В строке </w:t>
      </w:r>
      <w:r w:rsidRPr="00EF49BB">
        <w:rPr>
          <w:rFonts w:ascii="Times New Roman" w:hAnsi="Times New Roman"/>
          <w:b/>
          <w:bCs/>
          <w:lang w:val="ru-RU" w:eastAsia="en-GB"/>
        </w:rPr>
        <w:t>7.0 Достаточность капитала (СНК/АУР)×100)</w:t>
      </w:r>
      <w:r w:rsidRPr="00EF49BB">
        <w:rPr>
          <w:rFonts w:ascii="Times New Roman" w:hAnsi="Times New Roman"/>
          <w:lang w:val="ru-RU" w:eastAsia="en-GB"/>
        </w:rPr>
        <w:t xml:space="preserve"> отражается цифра, полученная в результате деления суммы строки 6.0 на сумму строки 5.0 и умножения на 100.</w:t>
      </w:r>
      <w:r w:rsidRPr="00EF49BB">
        <w:rPr>
          <w:rFonts w:ascii="Times New Roman" w:hAnsi="Times New Roman"/>
          <w:lang w:val="ru-RU" w:eastAsia="en-GB"/>
        </w:rPr>
        <w:br/>
      </w:r>
      <w:r w:rsidRPr="00EF49BB">
        <w:rPr>
          <w:rFonts w:ascii="Times New Roman" w:hAnsi="Times New Roman"/>
          <w:lang w:val="en-GB" w:eastAsia="en-GB"/>
        </w:rPr>
        <w:t>   </w:t>
      </w:r>
      <w:r w:rsidRPr="00EF49BB">
        <w:rPr>
          <w:rFonts w:ascii="Times New Roman" w:hAnsi="Times New Roman"/>
          <w:b/>
          <w:bCs/>
          <w:lang w:val="ru-RU" w:eastAsia="en-GB"/>
        </w:rPr>
        <w:t xml:space="preserve"> 27.</w:t>
      </w:r>
      <w:r w:rsidRPr="00EF49BB">
        <w:rPr>
          <w:rFonts w:ascii="Times New Roman" w:hAnsi="Times New Roman"/>
          <w:lang w:val="ru-RU" w:eastAsia="en-GB"/>
        </w:rPr>
        <w:t xml:space="preserve"> Условным счетам, представляющим собой риск для банка, также, как и балансовым, присваиваются определенные категории риска. До присвоения категории риска условные счета уменьшаются на величину эффективно сформированных скидок на </w:t>
      </w:r>
      <w:r w:rsidR="002B4697">
        <w:rPr>
          <w:rFonts w:ascii="Times New Roman" w:hAnsi="Times New Roman"/>
          <w:lang w:val="ru-RU" w:eastAsia="en-GB"/>
        </w:rPr>
        <w:t>ожидаемые</w:t>
      </w:r>
      <w:r w:rsidR="002B4697" w:rsidRPr="00EF49BB">
        <w:rPr>
          <w:rFonts w:ascii="Times New Roman" w:hAnsi="Times New Roman"/>
          <w:lang w:val="ru-RU" w:eastAsia="en-GB"/>
        </w:rPr>
        <w:t xml:space="preserve"> </w:t>
      </w:r>
      <w:r w:rsidR="002B4697">
        <w:rPr>
          <w:rFonts w:ascii="Times New Roman" w:hAnsi="Times New Roman"/>
          <w:lang w:val="ru-RU" w:eastAsia="en-GB"/>
        </w:rPr>
        <w:t xml:space="preserve"> </w:t>
      </w:r>
      <w:r w:rsidRPr="00EF49BB">
        <w:rPr>
          <w:rFonts w:ascii="Times New Roman" w:hAnsi="Times New Roman"/>
          <w:lang w:val="ru-RU" w:eastAsia="en-GB"/>
        </w:rPr>
        <w:t>потери по ним, применяется фактор кредитной конверсии, после чего каждому счету присваивается определенная категория риска, в зависимости от вида активов или в зависимости от риска, который может быть присвоен партнеру. Обязательствам по продаже и обратной покупке, продаже ценных бумаг с правом регресса, кредитный риск которых остается у банка, должен присваиваться риск в зависимости от вида ценных бумаг, а не от типа клиента, с которым была осуществлена сделка.</w:t>
      </w:r>
    </w:p>
    <w:p w:rsidR="00EF49BB" w:rsidRPr="00D174FC" w:rsidRDefault="00EF49BB">
      <w:pPr>
        <w:spacing w:after="200" w:line="276" w:lineRule="auto"/>
        <w:rPr>
          <w:rFonts w:ascii="Times New Roman" w:hAnsi="Times New Roman"/>
          <w:b/>
          <w:bCs/>
          <w:lang w:val="ru-RU" w:eastAsia="en-GB"/>
        </w:rPr>
      </w:pPr>
      <w:r w:rsidRPr="00D174FC">
        <w:rPr>
          <w:rFonts w:ascii="Times New Roman" w:hAnsi="Times New Roman"/>
          <w:b/>
          <w:bCs/>
          <w:lang w:val="ru-RU" w:eastAsia="en-GB"/>
        </w:rPr>
        <w:br w:type="page"/>
      </w:r>
    </w:p>
    <w:p w:rsidR="00EF49BB" w:rsidRPr="00D174FC" w:rsidRDefault="00EF49BB" w:rsidP="00EF49BB">
      <w:pPr>
        <w:jc w:val="center"/>
        <w:rPr>
          <w:rFonts w:ascii="Times New Roman" w:hAnsi="Times New Roman"/>
          <w:b/>
          <w:bCs/>
          <w:lang w:val="ru-RU" w:eastAsia="en-GB"/>
        </w:rPr>
        <w:sectPr w:rsidR="00EF49BB" w:rsidRPr="00D174FC" w:rsidSect="000F149B">
          <w:pgSz w:w="11906" w:h="16838"/>
          <w:pgMar w:top="1440" w:right="992" w:bottom="1440" w:left="567" w:header="709" w:footer="709" w:gutter="0"/>
          <w:cols w:space="708"/>
          <w:docGrid w:linePitch="360"/>
        </w:sectPr>
      </w:pPr>
    </w:p>
    <w:p w:rsidR="00EF49BB" w:rsidRPr="00EF49BB" w:rsidRDefault="00EF49BB" w:rsidP="00EF49BB">
      <w:pPr>
        <w:jc w:val="center"/>
        <w:rPr>
          <w:rFonts w:ascii="Times New Roman" w:hAnsi="Times New Roman"/>
          <w:lang w:val="en-GB" w:eastAsia="en-GB"/>
        </w:rPr>
      </w:pPr>
      <w:proofErr w:type="spellStart"/>
      <w:r w:rsidRPr="00EF49BB">
        <w:rPr>
          <w:rFonts w:ascii="Times New Roman" w:hAnsi="Times New Roman"/>
          <w:b/>
          <w:bCs/>
          <w:lang w:val="en-GB" w:eastAsia="en-GB"/>
        </w:rPr>
        <w:lastRenderedPageBreak/>
        <w:t>Коэффициенты</w:t>
      </w:r>
      <w:proofErr w:type="spellEnd"/>
      <w:r w:rsidRPr="00EF49BB">
        <w:rPr>
          <w:rFonts w:ascii="Times New Roman" w:hAnsi="Times New Roman"/>
          <w:b/>
          <w:bCs/>
          <w:lang w:val="en-GB" w:eastAsia="en-GB"/>
        </w:rPr>
        <w:t xml:space="preserve"> </w:t>
      </w:r>
      <w:proofErr w:type="spellStart"/>
      <w:r w:rsidRPr="00EF49BB">
        <w:rPr>
          <w:rFonts w:ascii="Times New Roman" w:hAnsi="Times New Roman"/>
          <w:b/>
          <w:bCs/>
          <w:lang w:val="en-GB" w:eastAsia="en-GB"/>
        </w:rPr>
        <w:t>кредитной</w:t>
      </w:r>
      <w:proofErr w:type="spellEnd"/>
      <w:r w:rsidRPr="00EF49BB">
        <w:rPr>
          <w:rFonts w:ascii="Times New Roman" w:hAnsi="Times New Roman"/>
          <w:b/>
          <w:bCs/>
          <w:lang w:val="en-GB" w:eastAsia="en-GB"/>
        </w:rPr>
        <w:t xml:space="preserve"> </w:t>
      </w:r>
      <w:proofErr w:type="spellStart"/>
      <w:r w:rsidRPr="00EF49BB">
        <w:rPr>
          <w:rFonts w:ascii="Times New Roman" w:hAnsi="Times New Roman"/>
          <w:b/>
          <w:bCs/>
          <w:lang w:val="en-GB" w:eastAsia="en-GB"/>
        </w:rPr>
        <w:t>конверсии</w:t>
      </w:r>
      <w:proofErr w:type="spellEnd"/>
    </w:p>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 </w:t>
      </w:r>
    </w:p>
    <w:tbl>
      <w:tblPr>
        <w:tblW w:w="15057" w:type="dxa"/>
        <w:tblCellSpacing w:w="0" w:type="dxa"/>
        <w:tblInd w:w="-567" w:type="dxa"/>
        <w:tblCellMar>
          <w:left w:w="0" w:type="dxa"/>
          <w:right w:w="0" w:type="dxa"/>
        </w:tblCellMar>
        <w:tblLook w:val="04A0"/>
      </w:tblPr>
      <w:tblGrid>
        <w:gridCol w:w="12949"/>
        <w:gridCol w:w="2108"/>
      </w:tblGrid>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jc w:val="center"/>
              <w:rPr>
                <w:rFonts w:ascii="Times New Roman" w:hAnsi="Times New Roman"/>
                <w:lang w:val="en-GB" w:eastAsia="en-GB"/>
              </w:rPr>
            </w:pPr>
            <w:proofErr w:type="spellStart"/>
            <w:r w:rsidRPr="00EF49BB">
              <w:rPr>
                <w:rFonts w:ascii="Times New Roman" w:hAnsi="Times New Roman"/>
                <w:b/>
                <w:bCs/>
                <w:lang w:val="en-GB" w:eastAsia="en-GB"/>
              </w:rPr>
              <w:t>Инструменты</w:t>
            </w:r>
            <w:proofErr w:type="spellEnd"/>
            <w:r w:rsidRPr="00EF49BB">
              <w:rPr>
                <w:rFonts w:ascii="Times New Roman" w:hAnsi="Times New Roman"/>
                <w:b/>
                <w:bCs/>
                <w:lang w:val="en-GB" w:eastAsia="en-GB"/>
              </w:rPr>
              <w:t xml:space="preserve"> </w:t>
            </w:r>
          </w:p>
        </w:tc>
        <w:tc>
          <w:tcPr>
            <w:tcW w:w="0" w:type="auto"/>
            <w:hideMark/>
          </w:tcPr>
          <w:p w:rsidR="00EF49BB" w:rsidRPr="00EF49BB" w:rsidRDefault="00EF49BB" w:rsidP="00EF49BB">
            <w:pPr>
              <w:spacing w:before="100" w:beforeAutospacing="1" w:after="100" w:afterAutospacing="1"/>
              <w:jc w:val="center"/>
              <w:rPr>
                <w:rFonts w:ascii="Times New Roman" w:hAnsi="Times New Roman"/>
                <w:lang w:val="en-GB" w:eastAsia="en-GB"/>
              </w:rPr>
            </w:pPr>
            <w:proofErr w:type="spellStart"/>
            <w:r w:rsidRPr="00EF49BB">
              <w:rPr>
                <w:rFonts w:ascii="Times New Roman" w:hAnsi="Times New Roman"/>
                <w:b/>
                <w:bCs/>
                <w:lang w:val="en-GB" w:eastAsia="en-GB"/>
              </w:rPr>
              <w:t>Коэффициенты</w:t>
            </w:r>
            <w:proofErr w:type="spellEnd"/>
            <w:r w:rsidRPr="00EF49BB">
              <w:rPr>
                <w:rFonts w:ascii="Times New Roman" w:hAnsi="Times New Roman"/>
                <w:b/>
                <w:bCs/>
                <w:lang w:val="en-GB" w:eastAsia="en-GB"/>
              </w:rPr>
              <w:t xml:space="preserve"> </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Прямые субституенты кредита, например, общие гарантии задолженности, служащие финансовой гарантией для кредитов и ценных бумаг, и акцепты (включая индоссаменты с указанием характера акцептов).</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 xml:space="preserve"> 6501, 6701, 6702, 6802, 6803, 6804.</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100%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 xml:space="preserve">Обязательства по продаже и обратной покупке, продажа ценных бумаг с правом регресса, когда кредитный риск остается у банка (например, </w:t>
            </w:r>
            <w:r w:rsidRPr="00EF49BB">
              <w:rPr>
                <w:rFonts w:ascii="Times New Roman" w:hAnsi="Times New Roman"/>
                <w:lang w:val="en-GB" w:eastAsia="en-GB"/>
              </w:rPr>
              <w:t>REPO</w:t>
            </w:r>
            <w:r w:rsidRPr="00EF49BB">
              <w:rPr>
                <w:rFonts w:ascii="Times New Roman" w:hAnsi="Times New Roman"/>
                <w:lang w:val="ru-RU" w:eastAsia="en-GB"/>
              </w:rPr>
              <w:t xml:space="preserve">).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 xml:space="preserve"> 6202, 6601.</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100%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 xml:space="preserve">Дополнительные обязательства, связанные с определенными операциями (например, контрактные гарантии, гарантии-предложения, варранты и резервные аккредитивы, связанные с конкретной сделкой).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 xml:space="preserve"> 6501, 6701, 6702.</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50%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Инструменты эмиссии векселей и андеррайтинг (</w:t>
            </w:r>
            <w:r w:rsidRPr="00EF49BB">
              <w:rPr>
                <w:rFonts w:ascii="Times New Roman" w:hAnsi="Times New Roman"/>
                <w:lang w:val="en-GB" w:eastAsia="en-GB"/>
              </w:rPr>
              <w:t>underwriting</w:t>
            </w:r>
            <w:r w:rsidRPr="00EF49BB">
              <w:rPr>
                <w:rFonts w:ascii="Times New Roman" w:hAnsi="Times New Roman"/>
                <w:lang w:val="ru-RU" w:eastAsia="en-GB"/>
              </w:rPr>
              <w:t xml:space="preserve">).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 xml:space="preserve"> 6601, 6701, 6702.</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50%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 xml:space="preserve">Прочие обязательства (например, резервные обязательства, обязательства по размещению депозитов, аккредитивы, покрытые за счет кредитных линий, кредитные линии).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 xml:space="preserve"> 6601, 6603, 6501.</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50%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 xml:space="preserve">Краткосрочные самоликвидирующиеся коммерческие обязательства (документарные аккредитивы, покрытые за счет товаров).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w:t>
            </w:r>
            <w:proofErr w:type="spellEnd"/>
            <w:r w:rsidRPr="00EF49BB">
              <w:rPr>
                <w:rFonts w:ascii="Times New Roman" w:hAnsi="Times New Roman"/>
                <w:lang w:val="en-GB" w:eastAsia="en-GB"/>
              </w:rPr>
              <w:t xml:space="preserve"> 6501.</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20%</w:t>
            </w:r>
          </w:p>
        </w:tc>
      </w:tr>
      <w:tr w:rsidR="00EF49BB" w:rsidRPr="00EF49BB" w:rsidTr="00EF49BB">
        <w:trPr>
          <w:tblCellSpacing w:w="0" w:type="dxa"/>
        </w:trPr>
        <w:tc>
          <w:tcPr>
            <w:tcW w:w="4300" w:type="pct"/>
            <w:hideMark/>
          </w:tcPr>
          <w:p w:rsidR="00EF49BB" w:rsidRPr="00EF49BB" w:rsidRDefault="00EF49BB" w:rsidP="00EF49BB">
            <w:pPr>
              <w:spacing w:before="100" w:beforeAutospacing="1" w:after="100" w:afterAutospacing="1"/>
              <w:rPr>
                <w:rFonts w:ascii="Times New Roman" w:hAnsi="Times New Roman"/>
                <w:lang w:val="ru-RU" w:eastAsia="en-GB"/>
              </w:rPr>
            </w:pPr>
            <w:r w:rsidRPr="00EF49BB">
              <w:rPr>
                <w:rFonts w:ascii="Times New Roman" w:hAnsi="Times New Roman"/>
                <w:lang w:val="ru-RU" w:eastAsia="en-GB"/>
              </w:rPr>
              <w:t xml:space="preserve">Обязательства, аналогичные вышеназванным, которые подлежат безоговорочной отмене в любой момент. </w:t>
            </w:r>
          </w:p>
          <w:p w:rsidR="00EF49BB" w:rsidRPr="00EF49BB" w:rsidRDefault="00EF49BB" w:rsidP="00EF49BB">
            <w:pPr>
              <w:rPr>
                <w:rFonts w:ascii="Times New Roman" w:hAnsi="Times New Roman"/>
                <w:lang w:val="en-GB" w:eastAsia="en-GB"/>
              </w:rPr>
            </w:pPr>
            <w:proofErr w:type="spellStart"/>
            <w:r w:rsidRPr="00EF49BB">
              <w:rPr>
                <w:rFonts w:ascii="Times New Roman" w:hAnsi="Times New Roman"/>
                <w:lang w:val="en-GB" w:eastAsia="en-GB"/>
              </w:rPr>
              <w:t>Частично</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вышеназванные</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счета</w:t>
            </w:r>
            <w:proofErr w:type="spellEnd"/>
            <w:r w:rsidRPr="00EF49BB">
              <w:rPr>
                <w:rFonts w:ascii="Times New Roman" w:hAnsi="Times New Roman"/>
                <w:lang w:val="en-GB" w:eastAsia="en-GB"/>
              </w:rPr>
              <w:t>.</w:t>
            </w:r>
          </w:p>
        </w:tc>
        <w:tc>
          <w:tcPr>
            <w:tcW w:w="0" w:type="auto"/>
            <w:hideMark/>
          </w:tcPr>
          <w:p w:rsidR="00EF49BB" w:rsidRPr="00EF49BB" w:rsidRDefault="00EF49BB" w:rsidP="00EF49BB">
            <w:pPr>
              <w:jc w:val="center"/>
              <w:rPr>
                <w:rFonts w:ascii="Times New Roman" w:hAnsi="Times New Roman"/>
                <w:lang w:val="en-GB" w:eastAsia="en-GB"/>
              </w:rPr>
            </w:pPr>
            <w:r w:rsidRPr="00EF49BB">
              <w:rPr>
                <w:rFonts w:ascii="Times New Roman" w:hAnsi="Times New Roman"/>
                <w:b/>
                <w:bCs/>
                <w:lang w:val="en-GB" w:eastAsia="en-GB"/>
              </w:rPr>
              <w:t>0%</w:t>
            </w:r>
          </w:p>
        </w:tc>
      </w:tr>
    </w:tbl>
    <w:p w:rsidR="00EF49BB" w:rsidRDefault="00EF49BB" w:rsidP="00EF49BB">
      <w:pPr>
        <w:rPr>
          <w:rFonts w:ascii="Times New Roman" w:hAnsi="Times New Roman"/>
          <w:b/>
          <w:bCs/>
          <w:lang w:val="ru-RU" w:eastAsia="en-GB"/>
        </w:rPr>
      </w:pPr>
      <w:r w:rsidRPr="00EF49BB">
        <w:rPr>
          <w:rFonts w:ascii="Times New Roman" w:hAnsi="Times New Roman"/>
          <w:b/>
          <w:bCs/>
          <w:lang w:val="en-GB" w:eastAsia="en-GB"/>
        </w:rPr>
        <w:t>   </w:t>
      </w:r>
    </w:p>
    <w:p w:rsidR="00EF49BB" w:rsidRPr="00EF49BB" w:rsidRDefault="00EF49BB" w:rsidP="00EF49BB">
      <w:pPr>
        <w:rPr>
          <w:rFonts w:ascii="Times New Roman" w:hAnsi="Times New Roman"/>
          <w:lang w:val="en-GB" w:eastAsia="en-GB"/>
        </w:rPr>
      </w:pPr>
      <w:r w:rsidRPr="00EF49BB">
        <w:rPr>
          <w:rFonts w:ascii="Times New Roman" w:hAnsi="Times New Roman"/>
          <w:b/>
          <w:bCs/>
          <w:lang w:val="en-GB" w:eastAsia="en-GB"/>
        </w:rPr>
        <w:t xml:space="preserve"> 28.</w:t>
      </w:r>
      <w:r w:rsidRPr="00EF49BB">
        <w:rPr>
          <w:rFonts w:ascii="Times New Roman" w:hAnsi="Times New Roman"/>
          <w:lang w:val="en-GB" w:eastAsia="en-GB"/>
        </w:rPr>
        <w:t xml:space="preserve"> </w:t>
      </w:r>
      <w:proofErr w:type="spellStart"/>
      <w:r w:rsidRPr="00EF49BB">
        <w:rPr>
          <w:rFonts w:ascii="Times New Roman" w:hAnsi="Times New Roman"/>
          <w:lang w:val="en-GB" w:eastAsia="en-GB"/>
        </w:rPr>
        <w:t>Периодичность</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представления</w:t>
      </w:r>
      <w:proofErr w:type="spellEnd"/>
      <w:r w:rsidRPr="00EF49BB">
        <w:rPr>
          <w:rFonts w:ascii="Times New Roman" w:hAnsi="Times New Roman"/>
          <w:lang w:val="en-GB" w:eastAsia="en-GB"/>
        </w:rPr>
        <w:t xml:space="preserve"> </w:t>
      </w:r>
      <w:proofErr w:type="spellStart"/>
      <w:r w:rsidRPr="00EF49BB">
        <w:rPr>
          <w:rFonts w:ascii="Times New Roman" w:hAnsi="Times New Roman"/>
          <w:lang w:val="en-GB" w:eastAsia="en-GB"/>
        </w:rPr>
        <w:t>отчета</w:t>
      </w:r>
      <w:proofErr w:type="spellEnd"/>
      <w:r w:rsidRPr="00EF49BB">
        <w:rPr>
          <w:rFonts w:ascii="Times New Roman" w:hAnsi="Times New Roman"/>
          <w:lang w:val="en-GB" w:eastAsia="en-GB"/>
        </w:rPr>
        <w:t xml:space="preserve"> – </w:t>
      </w:r>
      <w:proofErr w:type="spellStart"/>
      <w:r w:rsidRPr="00EF49BB">
        <w:rPr>
          <w:rFonts w:ascii="Times New Roman" w:hAnsi="Times New Roman"/>
          <w:lang w:val="en-GB" w:eastAsia="en-GB"/>
        </w:rPr>
        <w:t>ежемесячно</w:t>
      </w:r>
      <w:proofErr w:type="spellEnd"/>
      <w:r w:rsidRPr="00EF49BB">
        <w:rPr>
          <w:rFonts w:ascii="Times New Roman" w:hAnsi="Times New Roman"/>
          <w:lang w:val="en-GB" w:eastAsia="en-GB"/>
        </w:rPr>
        <w:t>.</w:t>
      </w:r>
    </w:p>
    <w:p w:rsidR="00790678" w:rsidRDefault="00790678"/>
    <w:sectPr w:rsidR="00790678" w:rsidSect="00EF49BB">
      <w:pgSz w:w="16838" w:h="11906" w:orient="landscape"/>
      <w:pgMar w:top="567" w:right="1440" w:bottom="99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ermianSerifTypeface">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4289C"/>
    <w:rsid w:val="000F149B"/>
    <w:rsid w:val="001335DA"/>
    <w:rsid w:val="0024289C"/>
    <w:rsid w:val="002B4697"/>
    <w:rsid w:val="00790678"/>
    <w:rsid w:val="00837837"/>
    <w:rsid w:val="00874C22"/>
    <w:rsid w:val="00A040F9"/>
    <w:rsid w:val="00B75C1D"/>
    <w:rsid w:val="00D174FC"/>
    <w:rsid w:val="00D8055C"/>
    <w:rsid w:val="00EF4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9C"/>
    <w:pPr>
      <w:spacing w:after="0" w:line="240" w:lineRule="auto"/>
    </w:pPr>
    <w:rPr>
      <w:rFonts w:ascii="PermianSerifTypeface" w:eastAsia="Times New Roman" w:hAnsi="PermianSerifTypefac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24289C"/>
    <w:pPr>
      <w:spacing w:before="100" w:beforeAutospacing="1" w:after="100" w:afterAutospacing="1"/>
    </w:pPr>
  </w:style>
  <w:style w:type="paragraph" w:customStyle="1" w:styleId="cn">
    <w:name w:val="cn"/>
    <w:basedOn w:val="Normal"/>
    <w:rsid w:val="0024289C"/>
    <w:pPr>
      <w:spacing w:before="100" w:beforeAutospacing="1" w:after="100" w:afterAutospacing="1"/>
    </w:pPr>
    <w:rPr>
      <w:rFonts w:ascii="Times New Roman" w:hAnsi="Times New Roman"/>
    </w:rPr>
  </w:style>
  <w:style w:type="paragraph" w:styleId="NormalWeb">
    <w:name w:val="Normal (Web)"/>
    <w:basedOn w:val="Normal"/>
    <w:uiPriority w:val="99"/>
    <w:unhideWhenUsed/>
    <w:rsid w:val="0024289C"/>
    <w:pPr>
      <w:spacing w:before="100" w:beforeAutospacing="1" w:after="100" w:afterAutospacing="1"/>
    </w:pPr>
    <w:rPr>
      <w:rFonts w:ascii="Times New Roman" w:hAnsi="Times New Roman"/>
    </w:rPr>
  </w:style>
  <w:style w:type="character" w:styleId="Strong">
    <w:name w:val="Strong"/>
    <w:basedOn w:val="DefaultParagraphFont"/>
    <w:uiPriority w:val="22"/>
    <w:qFormat/>
    <w:rsid w:val="00EF49BB"/>
    <w:rPr>
      <w:b/>
      <w:bCs/>
    </w:rPr>
  </w:style>
</w:styles>
</file>

<file path=word/webSettings.xml><?xml version="1.0" encoding="utf-8"?>
<w:webSettings xmlns:r="http://schemas.openxmlformats.org/officeDocument/2006/relationships" xmlns:w="http://schemas.openxmlformats.org/wordprocessingml/2006/main">
  <w:divs>
    <w:div w:id="48192321">
      <w:bodyDiv w:val="1"/>
      <w:marLeft w:val="0"/>
      <w:marRight w:val="0"/>
      <w:marTop w:val="0"/>
      <w:marBottom w:val="0"/>
      <w:divBdr>
        <w:top w:val="none" w:sz="0" w:space="0" w:color="auto"/>
        <w:left w:val="none" w:sz="0" w:space="0" w:color="auto"/>
        <w:bottom w:val="none" w:sz="0" w:space="0" w:color="auto"/>
        <w:right w:val="none" w:sz="0" w:space="0" w:color="auto"/>
      </w:divBdr>
      <w:divsChild>
        <w:div w:id="1888292640">
          <w:marLeft w:val="0"/>
          <w:marRight w:val="0"/>
          <w:marTop w:val="0"/>
          <w:marBottom w:val="0"/>
          <w:divBdr>
            <w:top w:val="none" w:sz="0" w:space="0" w:color="auto"/>
            <w:left w:val="none" w:sz="0" w:space="0" w:color="auto"/>
            <w:bottom w:val="none" w:sz="0" w:space="0" w:color="auto"/>
            <w:right w:val="none" w:sz="0" w:space="0" w:color="auto"/>
          </w:divBdr>
        </w:div>
        <w:div w:id="1542522901">
          <w:marLeft w:val="0"/>
          <w:marRight w:val="0"/>
          <w:marTop w:val="0"/>
          <w:marBottom w:val="0"/>
          <w:divBdr>
            <w:top w:val="none" w:sz="0" w:space="0" w:color="auto"/>
            <w:left w:val="none" w:sz="0" w:space="0" w:color="auto"/>
            <w:bottom w:val="none" w:sz="0" w:space="0" w:color="auto"/>
            <w:right w:val="none" w:sz="0" w:space="0" w:color="auto"/>
          </w:divBdr>
        </w:div>
        <w:div w:id="447283606">
          <w:marLeft w:val="0"/>
          <w:marRight w:val="0"/>
          <w:marTop w:val="0"/>
          <w:marBottom w:val="0"/>
          <w:divBdr>
            <w:top w:val="none" w:sz="0" w:space="0" w:color="auto"/>
            <w:left w:val="none" w:sz="0" w:space="0" w:color="auto"/>
            <w:bottom w:val="none" w:sz="0" w:space="0" w:color="auto"/>
            <w:right w:val="none" w:sz="0" w:space="0" w:color="auto"/>
          </w:divBdr>
        </w:div>
        <w:div w:id="1579947233">
          <w:marLeft w:val="0"/>
          <w:marRight w:val="0"/>
          <w:marTop w:val="0"/>
          <w:marBottom w:val="0"/>
          <w:divBdr>
            <w:top w:val="none" w:sz="0" w:space="0" w:color="auto"/>
            <w:left w:val="none" w:sz="0" w:space="0" w:color="auto"/>
            <w:bottom w:val="none" w:sz="0" w:space="0" w:color="auto"/>
            <w:right w:val="none" w:sz="0" w:space="0" w:color="auto"/>
          </w:divBdr>
        </w:div>
        <w:div w:id="51583774">
          <w:marLeft w:val="0"/>
          <w:marRight w:val="0"/>
          <w:marTop w:val="0"/>
          <w:marBottom w:val="0"/>
          <w:divBdr>
            <w:top w:val="none" w:sz="0" w:space="0" w:color="auto"/>
            <w:left w:val="none" w:sz="0" w:space="0" w:color="auto"/>
            <w:bottom w:val="none" w:sz="0" w:space="0" w:color="auto"/>
            <w:right w:val="none" w:sz="0" w:space="0" w:color="auto"/>
          </w:divBdr>
        </w:div>
        <w:div w:id="1830828405">
          <w:marLeft w:val="0"/>
          <w:marRight w:val="0"/>
          <w:marTop w:val="0"/>
          <w:marBottom w:val="0"/>
          <w:divBdr>
            <w:top w:val="none" w:sz="0" w:space="0" w:color="auto"/>
            <w:left w:val="none" w:sz="0" w:space="0" w:color="auto"/>
            <w:bottom w:val="none" w:sz="0" w:space="0" w:color="auto"/>
            <w:right w:val="none" w:sz="0" w:space="0" w:color="auto"/>
          </w:divBdr>
        </w:div>
        <w:div w:id="1414282362">
          <w:marLeft w:val="0"/>
          <w:marRight w:val="0"/>
          <w:marTop w:val="0"/>
          <w:marBottom w:val="0"/>
          <w:divBdr>
            <w:top w:val="none" w:sz="0" w:space="0" w:color="auto"/>
            <w:left w:val="none" w:sz="0" w:space="0" w:color="auto"/>
            <w:bottom w:val="none" w:sz="0" w:space="0" w:color="auto"/>
            <w:right w:val="none" w:sz="0" w:space="0" w:color="auto"/>
          </w:divBdr>
        </w:div>
        <w:div w:id="69600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4</cp:revision>
  <dcterms:created xsi:type="dcterms:W3CDTF">2018-01-19T11:14:00Z</dcterms:created>
  <dcterms:modified xsi:type="dcterms:W3CDTF">2018-05-30T06:15:00Z</dcterms:modified>
</cp:coreProperties>
</file>