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5" w:rsidRPr="00FC7679" w:rsidRDefault="00E51505" w:rsidP="00E51505">
      <w:pPr>
        <w:spacing w:after="40"/>
        <w:ind w:left="6804" w:hanging="141"/>
        <w:jc w:val="both"/>
        <w:rPr>
          <w:rFonts w:eastAsia="Times New Roman"/>
          <w:b/>
          <w:bCs/>
          <w:sz w:val="22"/>
          <w:szCs w:val="22"/>
          <w:lang w:val="ru-RU" w:eastAsia="ru-RU"/>
        </w:rPr>
      </w:pPr>
      <w:r>
        <w:rPr>
          <w:rFonts w:eastAsia="Times New Roman"/>
          <w:b/>
          <w:bCs/>
          <w:sz w:val="22"/>
          <w:szCs w:val="22"/>
          <w:lang w:val="ru-RU" w:eastAsia="ru-RU"/>
        </w:rPr>
        <w:t>Утвержден</w:t>
      </w:r>
      <w:r>
        <w:rPr>
          <w:rFonts w:eastAsia="Times New Roman"/>
          <w:b/>
          <w:bCs/>
          <w:sz w:val="22"/>
          <w:szCs w:val="22"/>
          <w:lang w:eastAsia="ru-RU"/>
        </w:rPr>
        <w:t>o</w:t>
      </w:r>
    </w:p>
    <w:p w:rsidR="00E51505" w:rsidRDefault="00E51505" w:rsidP="00E51505">
      <w:pPr>
        <w:spacing w:after="40"/>
        <w:ind w:left="6804" w:hanging="141"/>
        <w:jc w:val="both"/>
        <w:rPr>
          <w:rFonts w:eastAsia="Times New Roman"/>
          <w:bCs/>
          <w:sz w:val="22"/>
          <w:szCs w:val="22"/>
          <w:lang w:val="ru-RU" w:eastAsia="ru-RU"/>
        </w:rPr>
      </w:pPr>
      <w:r w:rsidRPr="00BE46F9">
        <w:rPr>
          <w:rFonts w:eastAsia="Times New Roman"/>
          <w:bCs/>
          <w:sz w:val="22"/>
          <w:szCs w:val="22"/>
          <w:lang w:val="ru-RU" w:eastAsia="ru-RU"/>
        </w:rPr>
        <w:t xml:space="preserve">Постановлением </w:t>
      </w:r>
    </w:p>
    <w:p w:rsidR="00E51505" w:rsidRPr="00BE46F9" w:rsidRDefault="00E51505" w:rsidP="00E51505">
      <w:pPr>
        <w:spacing w:after="40"/>
        <w:ind w:left="6663"/>
        <w:jc w:val="both"/>
        <w:rPr>
          <w:rFonts w:eastAsia="Times New Roman"/>
          <w:bCs/>
          <w:sz w:val="22"/>
          <w:szCs w:val="22"/>
          <w:lang w:val="ro-RO" w:eastAsia="ru-RU"/>
        </w:rPr>
      </w:pPr>
      <w:r w:rsidRPr="00BE46F9">
        <w:rPr>
          <w:rFonts w:eastAsia="Times New Roman"/>
          <w:bCs/>
          <w:sz w:val="22"/>
          <w:szCs w:val="22"/>
          <w:lang w:val="ru-RU" w:eastAsia="ru-RU"/>
        </w:rPr>
        <w:t>Административного совета НАРЭ</w:t>
      </w:r>
    </w:p>
    <w:p w:rsidR="00E51505" w:rsidRPr="00BE46F9" w:rsidRDefault="00E51505" w:rsidP="00E51505">
      <w:pPr>
        <w:spacing w:after="40"/>
        <w:jc w:val="both"/>
        <w:rPr>
          <w:rFonts w:eastAsia="Times New Roman"/>
          <w:bCs/>
          <w:sz w:val="22"/>
          <w:szCs w:val="22"/>
          <w:lang w:val="ro-RO" w:eastAsia="ru-RU"/>
        </w:rPr>
      </w:pPr>
      <w:r w:rsidRPr="00B07801">
        <w:rPr>
          <w:rFonts w:eastAsia="Times New Roman"/>
          <w:bCs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eastAsia="Times New Roman"/>
          <w:bCs/>
          <w:sz w:val="22"/>
          <w:szCs w:val="22"/>
          <w:lang w:val="ru-RU" w:eastAsia="ru-RU"/>
        </w:rPr>
        <w:t>№ 486/2017   от  13 декабря 2017 г.</w:t>
      </w:r>
    </w:p>
    <w:p w:rsidR="00E51505" w:rsidRPr="00BE46F9" w:rsidRDefault="00E51505" w:rsidP="00E51505">
      <w:pPr>
        <w:pStyle w:val="NormalWeb"/>
        <w:jc w:val="right"/>
        <w:rPr>
          <w:lang w:val="ro-RO"/>
        </w:rPr>
      </w:pPr>
    </w:p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cb"/>
        <w:rPr>
          <w:lang w:val="ro-RO"/>
        </w:rPr>
      </w:pPr>
      <w:r w:rsidRPr="00BE46F9">
        <w:rPr>
          <w:lang w:val="ru-RU"/>
        </w:rPr>
        <w:t>МЕТОДОЛОГИЯ</w:t>
      </w:r>
    </w:p>
    <w:p w:rsidR="00E51505" w:rsidRPr="00BE46F9" w:rsidRDefault="00E51505" w:rsidP="00E51505">
      <w:pPr>
        <w:pStyle w:val="cb"/>
        <w:rPr>
          <w:lang w:val="ro-RO"/>
        </w:rPr>
      </w:pPr>
      <w:r w:rsidRPr="00BE46F9">
        <w:rPr>
          <w:lang w:val="ru-RU"/>
        </w:rPr>
        <w:t>расчета, утверждения и применения регулируемых тарифов</w:t>
      </w:r>
    </w:p>
    <w:p w:rsidR="00E51505" w:rsidRPr="00BE46F9" w:rsidRDefault="00E51505" w:rsidP="00E51505">
      <w:pPr>
        <w:pStyle w:val="cb"/>
        <w:rPr>
          <w:lang w:val="ro-RO"/>
        </w:rPr>
      </w:pPr>
      <w:r w:rsidRPr="00BE46F9">
        <w:rPr>
          <w:lang w:val="ru-RU"/>
        </w:rPr>
        <w:t>на услугу по передаче электр</w:t>
      </w:r>
      <w:r>
        <w:rPr>
          <w:lang w:val="ru-RU"/>
        </w:rPr>
        <w:t>ической энергии</w:t>
      </w:r>
    </w:p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cn"/>
        <w:rPr>
          <w:lang w:val="ro-RO"/>
        </w:rPr>
      </w:pPr>
      <w:r w:rsidRPr="00BE46F9">
        <w:rPr>
          <w:b/>
          <w:bCs/>
          <w:lang w:val="ru-RU"/>
        </w:rPr>
        <w:t>Раздел 1</w:t>
      </w:r>
    </w:p>
    <w:p w:rsidR="00E51505" w:rsidRPr="00BE46F9" w:rsidRDefault="00E51505" w:rsidP="00E51505">
      <w:pPr>
        <w:pStyle w:val="cn"/>
        <w:rPr>
          <w:lang w:val="ro-RO"/>
        </w:rPr>
      </w:pPr>
      <w:r w:rsidRPr="00BE46F9">
        <w:rPr>
          <w:b/>
          <w:bCs/>
          <w:lang w:val="ru-RU"/>
        </w:rPr>
        <w:t>ОБЩИЕ ПОЛОЖЕНИЯ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b/>
          <w:bCs/>
          <w:lang w:val="ru-RU"/>
        </w:rPr>
        <w:t>1.</w:t>
      </w:r>
      <w:r w:rsidRPr="00BE46F9">
        <w:rPr>
          <w:lang w:val="ru-RU"/>
        </w:rPr>
        <w:t xml:space="preserve"> Методология расчета, утверждения и применения регулируемых тарифов на услугу по передаче электроэнергии (далее - Методология) имеет целью</w:t>
      </w:r>
      <w:r w:rsidRPr="00BE46F9" w:rsidDel="000D3D14">
        <w:rPr>
          <w:lang w:val="ru-RU"/>
        </w:rPr>
        <w:t xml:space="preserve"> </w:t>
      </w:r>
      <w:r w:rsidRPr="00BE46F9">
        <w:rPr>
          <w:lang w:val="ru-RU"/>
        </w:rPr>
        <w:t>установление порядка расчета, утверждения, пересмотра и применения тарифов на услуги по передаче электроэнергии.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b/>
          <w:bCs/>
          <w:lang w:val="ru-RU"/>
        </w:rPr>
        <w:t>2.</w:t>
      </w:r>
      <w:r w:rsidRPr="00BE46F9">
        <w:rPr>
          <w:lang w:val="ru-RU"/>
        </w:rPr>
        <w:t xml:space="preserve"> Настоящая Методология устанавливает: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1) структуру и порядок определения регулируемых расходов и доходов;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2) метод расчета рентабельности долгосрочных материальных</w:t>
      </w:r>
      <w:r w:rsidRPr="003A1A2A">
        <w:rPr>
          <w:lang w:val="ru-RU"/>
        </w:rPr>
        <w:t xml:space="preserve"> </w:t>
      </w:r>
      <w:r w:rsidRPr="00BE46F9">
        <w:rPr>
          <w:lang w:val="ru-RU"/>
        </w:rPr>
        <w:t>и</w:t>
      </w:r>
      <w:r w:rsidRPr="003A1A2A">
        <w:rPr>
          <w:lang w:val="ru-RU"/>
        </w:rPr>
        <w:t xml:space="preserve"> </w:t>
      </w:r>
      <w:r w:rsidRPr="00BE46F9">
        <w:rPr>
          <w:lang w:val="ru-RU"/>
        </w:rPr>
        <w:t>нематериальных</w:t>
      </w:r>
      <w:r w:rsidRPr="003A1A2A">
        <w:rPr>
          <w:lang w:val="ru-RU"/>
        </w:rPr>
        <w:t xml:space="preserve"> </w:t>
      </w:r>
      <w:r w:rsidRPr="00BE46F9">
        <w:rPr>
          <w:lang w:val="ru-RU"/>
        </w:rPr>
        <w:t>активов;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3) порядок определения, утверждения и применения регулируемых тарифов на услугу по передаче электроэнергии;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4) порядок пересмотра тарифов на услугу по передаче электроэнергии на период действия Методологии.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b/>
          <w:bCs/>
          <w:lang w:val="ru-RU"/>
        </w:rPr>
        <w:t>3.</w:t>
      </w:r>
      <w:r w:rsidRPr="00BE46F9">
        <w:rPr>
          <w:lang w:val="ru-RU"/>
        </w:rPr>
        <w:t xml:space="preserve"> Механизм, применяемый при определении и регулировании тарифов на услугу по передаче электроэнергии основывается на принципе соответствия тарифов следующим критериям: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1) обеспечение стабильности, надежности, безопасности и эффективности работы передающих электросетей</w:t>
      </w:r>
      <w:r w:rsidRPr="003A1A2A">
        <w:rPr>
          <w:lang w:val="ru-RU"/>
        </w:rPr>
        <w:t xml:space="preserve"> </w:t>
      </w:r>
      <w:r w:rsidRPr="00BE46F9">
        <w:rPr>
          <w:lang w:val="ru-RU"/>
        </w:rPr>
        <w:t>и подачи электрической энергии потребителям;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2) покрытие минимальных расходов, необходимых для нормального осуществления регулируемой деятельности и защиты окружающей среды, при эффективном использовании производственных мощностей;</w:t>
      </w:r>
    </w:p>
    <w:p w:rsidR="00E51505" w:rsidRPr="00BE46F9" w:rsidRDefault="00E51505" w:rsidP="00E51505">
      <w:pPr>
        <w:pStyle w:val="NormalWeb"/>
        <w:rPr>
          <w:lang w:val="ru-RU"/>
        </w:rPr>
      </w:pPr>
      <w:r w:rsidRPr="00BE46F9">
        <w:rPr>
          <w:lang w:val="ru-RU"/>
        </w:rPr>
        <w:t>3) осуществление эффективной и прибыльной деятельности, представляющей возможность оператору передающей системы окупить финансовые средства, вложенные в развитие, модернизацию и реконструкцию передающих электросетей.</w:t>
      </w:r>
    </w:p>
    <w:p w:rsidR="00E51505" w:rsidRPr="00BE46F9" w:rsidRDefault="00E51505" w:rsidP="00E51505">
      <w:pPr>
        <w:pStyle w:val="NormalWeb"/>
        <w:rPr>
          <w:lang w:val="ru-RU"/>
        </w:rPr>
      </w:pPr>
      <w:r w:rsidRPr="00BE46F9">
        <w:rPr>
          <w:lang w:val="ru-RU"/>
        </w:rPr>
        <w:t>4) обеспечение того, что тарифы являются обоснованными, разумными, поддающимися проверке, недискриминационными, прозрачными, основанными на эффективности и объективных критериях.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b/>
          <w:bCs/>
          <w:lang w:val="ru-RU"/>
        </w:rPr>
        <w:t>4.</w:t>
      </w:r>
      <w:r w:rsidRPr="00BE46F9">
        <w:rPr>
          <w:lang w:val="ru-RU"/>
        </w:rPr>
        <w:t xml:space="preserve"> Настоящая Методология предусматривает утверждение тарифа на услугу по передаче электроэнергии (</w:t>
      </w:r>
      <w:r w:rsidRPr="00BE46F9">
        <w:rPr>
          <w:i/>
          <w:iCs/>
          <w:lang w:val="ru-RU"/>
        </w:rPr>
        <w:t>TF</w:t>
      </w:r>
      <w:r w:rsidRPr="00BE46F9">
        <w:rPr>
          <w:lang w:val="ru-RU"/>
        </w:rPr>
        <w:t>) через передающие электросети оператора передающей системы.</w:t>
      </w:r>
    </w:p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cn"/>
        <w:rPr>
          <w:lang w:val="ro-RO"/>
        </w:rPr>
      </w:pPr>
      <w:r w:rsidRPr="00BE46F9">
        <w:rPr>
          <w:b/>
          <w:bCs/>
          <w:lang w:val="ru-RU"/>
        </w:rPr>
        <w:t>Раздел 2</w:t>
      </w:r>
    </w:p>
    <w:p w:rsidR="00E51505" w:rsidRPr="00BE46F9" w:rsidRDefault="00E51505" w:rsidP="00E51505">
      <w:pPr>
        <w:pStyle w:val="cb"/>
        <w:spacing w:after="120"/>
        <w:rPr>
          <w:lang w:val="ro-RO"/>
        </w:rPr>
      </w:pPr>
      <w:r w:rsidRPr="00BE46F9">
        <w:rPr>
          <w:lang w:val="ru-RU"/>
        </w:rPr>
        <w:t xml:space="preserve">РАСЧЕТ РЕГУЛИРУЕМЫХ ТАРИФОВ </w:t>
      </w:r>
    </w:p>
    <w:p w:rsidR="00E51505" w:rsidRDefault="00E51505" w:rsidP="00E51505">
      <w:pPr>
        <w:pStyle w:val="NormalWeb"/>
        <w:rPr>
          <w:bCs/>
          <w:lang w:val="ru-RU"/>
        </w:rPr>
      </w:pPr>
      <w:r w:rsidRPr="00BE46F9">
        <w:rPr>
          <w:b/>
          <w:bCs/>
          <w:lang w:val="ru-RU"/>
        </w:rPr>
        <w:t>5.</w:t>
      </w:r>
      <w:r w:rsidRPr="00BE46F9">
        <w:rPr>
          <w:bCs/>
          <w:lang w:val="ru-RU"/>
        </w:rPr>
        <w:t xml:space="preserve"> Тариф на услугу по передаче электроэнергии по передающим электросетям в году «</w:t>
      </w:r>
      <w:r w:rsidRPr="00BE46F9">
        <w:rPr>
          <w:bCs/>
          <w:i/>
          <w:lang w:val="ru-RU"/>
        </w:rPr>
        <w:t>j</w:t>
      </w:r>
      <w:r w:rsidRPr="00BE46F9">
        <w:rPr>
          <w:bCs/>
          <w:lang w:val="ru-RU"/>
        </w:rPr>
        <w:t xml:space="preserve">» определяется </w:t>
      </w:r>
      <w:r w:rsidRPr="00BE46F9">
        <w:rPr>
          <w:lang w:val="ru-RU"/>
        </w:rPr>
        <w:t>согласно</w:t>
      </w:r>
      <w:r w:rsidRPr="00BE46F9">
        <w:rPr>
          <w:bCs/>
          <w:lang w:val="ru-RU"/>
        </w:rPr>
        <w:t xml:space="preserve"> формуле: </w:t>
      </w:r>
    </w:p>
    <w:p w:rsidR="00E51505" w:rsidRPr="00BE46F9" w:rsidRDefault="00E51505" w:rsidP="00E51505">
      <w:pPr>
        <w:pStyle w:val="NormalWeb"/>
        <w:rPr>
          <w:lang w:val="ro-RO"/>
        </w:rPr>
      </w:pPr>
    </w:p>
    <w:tbl>
      <w:tblPr>
        <w:tblW w:w="4721" w:type="dxa"/>
        <w:jc w:val="center"/>
        <w:tblLook w:val="04A0" w:firstRow="1" w:lastRow="0" w:firstColumn="1" w:lastColumn="0" w:noHBand="0" w:noVBand="1"/>
      </w:tblPr>
      <w:tblGrid>
        <w:gridCol w:w="687"/>
        <w:gridCol w:w="997"/>
        <w:gridCol w:w="284"/>
        <w:gridCol w:w="2024"/>
        <w:gridCol w:w="729"/>
      </w:tblGrid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997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VRTj</w:t>
            </w:r>
            <w:proofErr w:type="spellEnd"/>
          </w:p>
        </w:tc>
        <w:tc>
          <w:tcPr>
            <w:tcW w:w="284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2024" w:type="dxa"/>
          </w:tcPr>
          <w:p w:rsidR="00E51505" w:rsidRPr="00BE46F9" w:rsidRDefault="00E51505" w:rsidP="008D17F6">
            <w:pPr>
              <w:jc w:val="center"/>
              <w:rPr>
                <w:rFonts w:eastAsia="Times New Roman"/>
                <w:i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lang w:val="ru-RU"/>
              </w:rPr>
              <w:t>CRTj+RTj-Vjgc</w:t>
            </w:r>
            <w:proofErr w:type="spellEnd"/>
          </w:p>
        </w:tc>
        <w:tc>
          <w:tcPr>
            <w:tcW w:w="729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</w:tr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TFj</w:t>
            </w:r>
            <w:proofErr w:type="spellEnd"/>
            <w:r w:rsidRPr="00BE46F9">
              <w:rPr>
                <w:rFonts w:eastAsia="Times New Roman"/>
                <w:lang w:val="ru-RU"/>
              </w:rPr>
              <w:t xml:space="preserve"> = </w:t>
            </w:r>
          </w:p>
        </w:tc>
        <w:tc>
          <w:tcPr>
            <w:tcW w:w="997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–––––––</w:t>
            </w:r>
          </w:p>
        </w:tc>
        <w:tc>
          <w:tcPr>
            <w:tcW w:w="284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=</w:t>
            </w:r>
          </w:p>
        </w:tc>
        <w:tc>
          <w:tcPr>
            <w:tcW w:w="2024" w:type="dxa"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––––––––––– ,</w:t>
            </w:r>
          </w:p>
        </w:tc>
        <w:tc>
          <w:tcPr>
            <w:tcW w:w="729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(1)</w:t>
            </w:r>
          </w:p>
        </w:tc>
      </w:tr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997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ETj</w:t>
            </w:r>
            <w:proofErr w:type="spellEnd"/>
          </w:p>
        </w:tc>
        <w:tc>
          <w:tcPr>
            <w:tcW w:w="284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2024" w:type="dxa"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ETj</w:t>
            </w:r>
            <w:proofErr w:type="spellEnd"/>
          </w:p>
        </w:tc>
        <w:tc>
          <w:tcPr>
            <w:tcW w:w="729" w:type="dxa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</w:tr>
    </w:tbl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lastRenderedPageBreak/>
        <w:t xml:space="preserve">где: 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VRTj</w:t>
      </w:r>
      <w:proofErr w:type="spellEnd"/>
      <w:r w:rsidRPr="00BE46F9">
        <w:rPr>
          <w:lang w:val="ru-RU"/>
        </w:rPr>
        <w:t xml:space="preserve"> – регулируемый доход оператора передающей системы, который должен быть получен в году «</w:t>
      </w:r>
      <w:r w:rsidRPr="00BE46F9">
        <w:rPr>
          <w:i/>
          <w:iCs/>
          <w:lang w:val="ru-RU"/>
        </w:rPr>
        <w:t>j</w:t>
      </w:r>
      <w:r w:rsidRPr="00BE46F9">
        <w:rPr>
          <w:lang w:val="ru-RU"/>
        </w:rPr>
        <w:t>» за оказание услуги по передаче электроэнергии через передающие электросети;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ETj</w:t>
      </w:r>
      <w:proofErr w:type="spellEnd"/>
      <w:r w:rsidRPr="00BE46F9">
        <w:rPr>
          <w:lang w:val="ru-RU"/>
        </w:rPr>
        <w:t xml:space="preserve"> - количество электроэнергии, переданной в году «</w:t>
      </w:r>
      <w:r w:rsidRPr="00BE46F9">
        <w:rPr>
          <w:i/>
          <w:iCs/>
          <w:lang w:val="ru-RU"/>
        </w:rPr>
        <w:t>j</w:t>
      </w:r>
      <w:r w:rsidRPr="00BE46F9">
        <w:rPr>
          <w:lang w:val="ru-RU"/>
        </w:rPr>
        <w:t>» через передающие электросети;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CRTj</w:t>
      </w:r>
      <w:proofErr w:type="spellEnd"/>
      <w:r w:rsidRPr="00BE46F9">
        <w:rPr>
          <w:lang w:val="ru-RU"/>
        </w:rPr>
        <w:t xml:space="preserve"> - регулируемые затраты оператора передающей системы, связанные с оказанием услуги по передаче электроэнергии через передающие электросети в году «</w:t>
      </w:r>
      <w:r w:rsidRPr="00BE46F9">
        <w:rPr>
          <w:i/>
          <w:iCs/>
          <w:lang w:val="ru-RU"/>
        </w:rPr>
        <w:t>j</w:t>
      </w:r>
      <w:r w:rsidRPr="00BE46F9">
        <w:rPr>
          <w:lang w:val="ru-RU"/>
        </w:rPr>
        <w:t>»;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RTj</w:t>
      </w:r>
      <w:proofErr w:type="spellEnd"/>
      <w:r w:rsidRPr="00BE46F9">
        <w:rPr>
          <w:lang w:val="ru-RU"/>
        </w:rPr>
        <w:t xml:space="preserve"> – регулируемая рентабельность оператора передающей системы, относящаяся к оказанию услуги по передаче электроэнергии через все передающие электросети в году «</w:t>
      </w:r>
      <w:r w:rsidRPr="00BE46F9">
        <w:rPr>
          <w:i/>
          <w:iCs/>
          <w:lang w:val="ru-RU"/>
        </w:rPr>
        <w:t>j</w:t>
      </w:r>
      <w:r w:rsidRPr="00BE46F9">
        <w:rPr>
          <w:lang w:val="ru-RU"/>
        </w:rPr>
        <w:t>»;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lang w:val="ru-RU"/>
        </w:rPr>
        <w:t>Vjgc</w:t>
      </w:r>
      <w:proofErr w:type="spellEnd"/>
      <w:r w:rsidRPr="00BE46F9">
        <w:rPr>
          <w:lang w:val="ru-RU"/>
        </w:rPr>
        <w:t xml:space="preserve"> – доход, полученный оператором передающей системы в году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 от управления перегрузками в случае, если он не может быть эффективно использован в целях гарантирования реальной доступности выделенных мощностей и поддержания или увеличения мощностей межсистемных соединений посредством инвестиций в сети электропередачи, в частности, в новые межсистемные соединения.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b/>
          <w:bCs/>
          <w:lang w:val="ru-RU"/>
        </w:rPr>
        <w:t>6.</w:t>
      </w:r>
      <w:r w:rsidRPr="00BE46F9">
        <w:rPr>
          <w:lang w:val="ru-RU"/>
        </w:rPr>
        <w:t xml:space="preserve"> Настоящая Методология предусматривает, что при расчете тарифов на услугу по передаче электроэнергии, запланированный объем электроэнергии для передачи в отчетном году по </w:t>
      </w:r>
      <w:r w:rsidRPr="00BE46F9">
        <w:rPr>
          <w:bCs/>
          <w:lang w:val="ru-RU"/>
        </w:rPr>
        <w:t>передающим электросетям</w:t>
      </w:r>
      <w:r w:rsidRPr="00BE46F9">
        <w:rPr>
          <w:lang w:val="ru-RU"/>
        </w:rPr>
        <w:t>, определяется как разница между количеством электроэнергии, поступившей в передающую электросеть, и технологическим расходом электроэнергии в передающей электрической сети (нормативный уровень утвержденный Агентством). Технологический расход электроэнергии определяется в соответствии с Инструкцией расчета технологического расхода электроэнергии в электрических сетях, утвержденной Постановлением Административного совета Агентства № 190 от 30 августа 2005 года (</w:t>
      </w:r>
      <w:r w:rsidRPr="00BE46F9">
        <w:rPr>
          <w:i/>
          <w:iCs/>
          <w:lang w:val="ru-RU"/>
        </w:rPr>
        <w:t>Официальный монитор Республики Молдова, 2005, № 139-141, ст. 457</w:t>
      </w:r>
      <w:r w:rsidRPr="00BE46F9">
        <w:rPr>
          <w:lang w:val="ru-RU"/>
        </w:rPr>
        <w:t>). Фактическое количество электроэнергии, переданное в отчетном году, определяется на основе показаний приборов учета в соответствии с Правилами рынка электроэнергии, утвержденными Агентством.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В случае, если технологический расход электроэнергии, фактически зарегистрированный в отчетном году превысит нормативный, оператор передающей системы представит в адрес Агентства подробную информацию о факторах, которые повлияли на превышение утвержденного нормативного расхода.</w:t>
      </w:r>
    </w:p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cb"/>
        <w:rPr>
          <w:lang w:val="ro-RO"/>
        </w:rPr>
      </w:pPr>
      <w:r w:rsidRPr="00BE46F9">
        <w:rPr>
          <w:lang w:val="ru-RU"/>
        </w:rPr>
        <w:t>Раздел 3</w:t>
      </w:r>
    </w:p>
    <w:p w:rsidR="00E51505" w:rsidRPr="00BE46F9" w:rsidRDefault="00E51505" w:rsidP="00E51505">
      <w:pPr>
        <w:pStyle w:val="cb"/>
        <w:rPr>
          <w:lang w:val="ro-RO"/>
        </w:rPr>
      </w:pPr>
      <w:r w:rsidRPr="00BE46F9">
        <w:rPr>
          <w:lang w:val="ru-RU"/>
        </w:rPr>
        <w:t>ОПРЕДЕЛЕНИЕ РАСХОДОВ,</w:t>
      </w:r>
    </w:p>
    <w:p w:rsidR="00E51505" w:rsidRPr="00BE46F9" w:rsidRDefault="00E51505" w:rsidP="00E51505">
      <w:pPr>
        <w:pStyle w:val="cb"/>
        <w:spacing w:after="120"/>
        <w:rPr>
          <w:lang w:val="ro-RO"/>
        </w:rPr>
      </w:pPr>
      <w:r w:rsidRPr="00BE46F9">
        <w:rPr>
          <w:lang w:val="ru-RU"/>
        </w:rPr>
        <w:t>КОТОРЫЕ ВКЛЮЧАЮТСЯ В РЕГУЛИРУЕМЫЕ РАСХОДЫ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b/>
          <w:bCs/>
          <w:lang w:val="ru-RU"/>
        </w:rPr>
        <w:t>7.</w:t>
      </w:r>
      <w:r w:rsidRPr="00BE46F9">
        <w:rPr>
          <w:lang w:val="ru-RU"/>
        </w:rPr>
        <w:t xml:space="preserve"> Исходя из технологического процесса, специфики и структуры передающей электросети, а также основываясь на положениях Национальных стандартов бухгалтерского учета, настоящая Методология устанавливает, что при определении регулируемых расходов оператора передающей системы (</w:t>
      </w:r>
      <w:r w:rsidRPr="00BE46F9">
        <w:rPr>
          <w:i/>
          <w:lang w:val="ru-RU"/>
        </w:rPr>
        <w:t>CRT</w:t>
      </w:r>
      <w:r w:rsidRPr="00BE46F9">
        <w:rPr>
          <w:lang w:val="ru-RU"/>
        </w:rPr>
        <w:t>) включаются следующие расходы: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a) расходы, связанные с амортизацией долгосрочных материальных и нематериальных активов (</w:t>
      </w:r>
      <w:r w:rsidRPr="00BE46F9">
        <w:rPr>
          <w:bCs/>
          <w:i/>
          <w:lang w:val="ru-RU"/>
        </w:rPr>
        <w:t>CAI</w:t>
      </w:r>
      <w:r w:rsidRPr="00BE46F9">
        <w:rPr>
          <w:lang w:val="ru-RU"/>
        </w:rPr>
        <w:t>);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b) регулируемые операционные расходы (</w:t>
      </w:r>
      <w:r w:rsidRPr="00BE46F9">
        <w:rPr>
          <w:i/>
          <w:lang w:val="ru-RU"/>
        </w:rPr>
        <w:t>COR</w:t>
      </w:r>
      <w:r w:rsidRPr="00BE46F9">
        <w:rPr>
          <w:lang w:val="ru-RU"/>
        </w:rPr>
        <w:t>);</w:t>
      </w:r>
    </w:p>
    <w:p w:rsidR="00E51505" w:rsidRPr="00BE46F9" w:rsidRDefault="00E51505" w:rsidP="00E51505">
      <w:pPr>
        <w:pStyle w:val="NormalWeb"/>
        <w:spacing w:after="120"/>
        <w:rPr>
          <w:rFonts w:eastAsia="Times New Roman"/>
          <w:lang w:val="ru-RU" w:eastAsia="en-GB"/>
        </w:rPr>
      </w:pPr>
      <w:r w:rsidRPr="00BE46F9">
        <w:rPr>
          <w:lang w:val="ru-RU"/>
        </w:rPr>
        <w:t>с) тарифные отклонения (</w:t>
      </w:r>
      <w:r w:rsidRPr="00BE46F9">
        <w:rPr>
          <w:i/>
          <w:lang w:val="ru-RU"/>
        </w:rPr>
        <w:t>DV</w:t>
      </w:r>
      <w:r w:rsidRPr="00BE46F9">
        <w:rPr>
          <w:i/>
          <w:vertAlign w:val="subscript"/>
          <w:lang w:val="ru-RU"/>
        </w:rPr>
        <w:t>j-1</w:t>
      </w:r>
      <w:r w:rsidRPr="00BE46F9">
        <w:rPr>
          <w:lang w:val="ru-RU"/>
        </w:rPr>
        <w:t>). Эти отклонения, положительные или отрицательные, которые учитываются при расчете тарифа года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», являются результатом разницы между параметрами, запланированными при установлении тарифов, и фактически зарегистрированными в предыдущем периоде регулирования «</w:t>
      </w:r>
      <w:r w:rsidRPr="00BE46F9">
        <w:rPr>
          <w:i/>
          <w:lang w:val="ru-RU"/>
        </w:rPr>
        <w:t>j-1</w:t>
      </w:r>
      <w:r w:rsidRPr="00BE46F9">
        <w:rPr>
          <w:lang w:val="ru-RU"/>
        </w:rPr>
        <w:t xml:space="preserve">». Тарифные отклонения определяются на основе разницы, возникшей в предыдущем периоде от фактического изменения следующих параметров по сравнению с теми, которые </w:t>
      </w:r>
      <w:r w:rsidRPr="00BE46F9">
        <w:rPr>
          <w:rFonts w:eastAsia="Times New Roman"/>
          <w:lang w:val="ru-RU" w:eastAsia="en-GB"/>
        </w:rPr>
        <w:t>были приняты</w:t>
      </w:r>
      <w:r w:rsidRPr="00BE46F9">
        <w:rPr>
          <w:lang w:val="ru-RU"/>
        </w:rPr>
        <w:t xml:space="preserve"> при установлении тарифа на услугу по передаче электроэнергии: </w:t>
      </w:r>
      <w:r w:rsidRPr="00BE46F9">
        <w:rPr>
          <w:rFonts w:eastAsia="Times New Roman"/>
          <w:lang w:val="ru-RU" w:eastAsia="en-GB"/>
        </w:rPr>
        <w:t>количество</w:t>
      </w:r>
      <w:r w:rsidRPr="00BE46F9" w:rsidDel="00CE3FEC">
        <w:rPr>
          <w:lang w:val="ru-RU"/>
        </w:rPr>
        <w:t xml:space="preserve"> </w:t>
      </w:r>
      <w:r w:rsidRPr="00BE46F9">
        <w:rPr>
          <w:lang w:val="ru-RU"/>
        </w:rPr>
        <w:t xml:space="preserve">переданной </w:t>
      </w:r>
      <w:r w:rsidRPr="00BE46F9">
        <w:rPr>
          <w:rFonts w:eastAsia="Times New Roman"/>
          <w:lang w:val="ru-RU" w:eastAsia="en-GB"/>
        </w:rPr>
        <w:t>электрической энергии</w:t>
      </w:r>
      <w:r w:rsidRPr="00BE46F9">
        <w:rPr>
          <w:lang w:val="ru-RU"/>
        </w:rPr>
        <w:t xml:space="preserve">, </w:t>
      </w:r>
      <w:r w:rsidRPr="00BE46F9">
        <w:rPr>
          <w:lang w:val="ru-RU"/>
        </w:rPr>
        <w:lastRenderedPageBreak/>
        <w:t>показатели актуализации базовых затрат, рентабельность,</w:t>
      </w:r>
      <w:r w:rsidRPr="00BE46F9">
        <w:rPr>
          <w:rFonts w:eastAsia="Times New Roman"/>
          <w:lang w:val="ru-RU" w:eastAsia="en-GB"/>
        </w:rPr>
        <w:t xml:space="preserve"> определенная</w:t>
      </w:r>
      <w:r w:rsidRPr="00BE46F9">
        <w:rPr>
          <w:lang w:val="ru-RU"/>
        </w:rPr>
        <w:t xml:space="preserve"> на основе реализации годового инвестиционного плана, </w:t>
      </w:r>
      <w:r w:rsidRPr="00BE46F9">
        <w:rPr>
          <w:rFonts w:eastAsia="Times New Roman"/>
          <w:lang w:val="ru-RU" w:eastAsia="en-GB"/>
        </w:rPr>
        <w:t xml:space="preserve">отклонения в затратах по независимым от </w:t>
      </w:r>
      <w:r w:rsidRPr="00BE46F9">
        <w:rPr>
          <w:lang w:val="ru-RU"/>
        </w:rPr>
        <w:t xml:space="preserve">оператора передающей системы </w:t>
      </w:r>
      <w:r w:rsidRPr="00BE46F9">
        <w:rPr>
          <w:rFonts w:eastAsia="Times New Roman"/>
          <w:lang w:val="ru-RU" w:eastAsia="en-GB"/>
        </w:rPr>
        <w:t>причинам.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Таким образом, регулируемые расходы оператора передающей системы в году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 равны:</w:t>
      </w:r>
    </w:p>
    <w:p w:rsidR="00E51505" w:rsidRPr="00BE46F9" w:rsidRDefault="00E51505" w:rsidP="00E51505">
      <w:pPr>
        <w:pStyle w:val="NormalWeb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908"/>
      </w:tblGrid>
      <w:tr w:rsidR="00E51505" w:rsidRPr="00BE46F9" w:rsidTr="008D17F6">
        <w:trPr>
          <w:jc w:val="center"/>
        </w:trPr>
        <w:tc>
          <w:tcPr>
            <w:tcW w:w="3114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CRT</w:t>
            </w:r>
            <w:r w:rsidRPr="00BE46F9">
              <w:rPr>
                <w:rFonts w:eastAsia="Times New Roman"/>
                <w:i/>
                <w:iCs/>
                <w:vertAlign w:val="subscript"/>
                <w:lang w:val="ru-RU"/>
              </w:rPr>
              <w:t>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=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CAI</w:t>
            </w:r>
            <w:r w:rsidRPr="00BE46F9">
              <w:rPr>
                <w:rFonts w:eastAsia="Times New Roman"/>
                <w:i/>
                <w:iCs/>
                <w:vertAlign w:val="subscript"/>
                <w:lang w:val="ru-RU"/>
              </w:rPr>
              <w:t>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+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COR</w:t>
            </w:r>
            <w:r w:rsidRPr="00BE46F9">
              <w:rPr>
                <w:rFonts w:eastAsia="Times New Roman"/>
                <w:i/>
                <w:iCs/>
                <w:vertAlign w:val="subscript"/>
                <w:lang w:val="ru-RU"/>
              </w:rPr>
              <w:t>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± DV</w:t>
            </w:r>
            <w:r w:rsidRPr="00BE46F9">
              <w:rPr>
                <w:rFonts w:eastAsia="Times New Roman"/>
                <w:i/>
                <w:iCs/>
                <w:vertAlign w:val="subscript"/>
                <w:lang w:val="ru-RU"/>
              </w:rPr>
              <w:t>j-1</w:t>
            </w:r>
            <w:r w:rsidRPr="00BE46F9">
              <w:rPr>
                <w:rFonts w:eastAsia="Times New Roman"/>
                <w:lang w:val="ru-RU"/>
              </w:rPr>
              <w:t>,</w:t>
            </w:r>
          </w:p>
        </w:tc>
        <w:tc>
          <w:tcPr>
            <w:tcW w:w="908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(2).</w:t>
            </w:r>
          </w:p>
        </w:tc>
      </w:tr>
    </w:tbl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NormalWeb"/>
        <w:spacing w:before="120"/>
        <w:rPr>
          <w:bCs/>
          <w:lang w:val="ro-RO"/>
        </w:rPr>
      </w:pPr>
      <w:r w:rsidRPr="00BE46F9">
        <w:rPr>
          <w:b/>
          <w:bCs/>
          <w:lang w:val="ru-RU"/>
        </w:rPr>
        <w:t>8.</w:t>
      </w:r>
      <w:r w:rsidRPr="00BE46F9">
        <w:rPr>
          <w:bCs/>
          <w:lang w:val="ru-RU"/>
        </w:rPr>
        <w:t xml:space="preserve"> Расходы на амортизацию долгосрочных материальных и нематериальных активов (</w:t>
      </w:r>
      <w:r w:rsidRPr="00BE46F9">
        <w:rPr>
          <w:bCs/>
          <w:i/>
          <w:lang w:val="ru-RU"/>
        </w:rPr>
        <w:t>CAI</w:t>
      </w:r>
      <w:r w:rsidRPr="00BE46F9">
        <w:rPr>
          <w:bCs/>
          <w:lang w:val="ru-RU"/>
        </w:rPr>
        <w:t>), относящихся к регулируемой деятельности, осуществляемой оператором передающей системы в каждом отчетном году «</w:t>
      </w:r>
      <w:r w:rsidRPr="00BE46F9">
        <w:rPr>
          <w:bCs/>
          <w:i/>
          <w:lang w:val="ru-RU"/>
        </w:rPr>
        <w:t>j</w:t>
      </w:r>
      <w:r w:rsidRPr="00BE46F9">
        <w:rPr>
          <w:bCs/>
          <w:lang w:val="ru-RU"/>
        </w:rPr>
        <w:t xml:space="preserve">», определяются </w:t>
      </w:r>
      <w:r w:rsidRPr="00BE46F9">
        <w:rPr>
          <w:lang w:val="ru-RU"/>
        </w:rPr>
        <w:t>согласно</w:t>
      </w:r>
      <w:r w:rsidRPr="00BE46F9">
        <w:rPr>
          <w:bCs/>
          <w:lang w:val="ru-RU"/>
        </w:rPr>
        <w:t xml:space="preserve"> формуле:</w:t>
      </w:r>
    </w:p>
    <w:p w:rsidR="00E51505" w:rsidRPr="00BE46F9" w:rsidRDefault="00E51505" w:rsidP="00E51505">
      <w:pPr>
        <w:pStyle w:val="NormalWeb"/>
        <w:spacing w:before="120"/>
        <w:ind w:firstLine="0"/>
        <w:jc w:val="center"/>
        <w:rPr>
          <w:bCs/>
          <w:lang w:val="ro-RO"/>
        </w:rPr>
      </w:pPr>
      <w:r w:rsidRPr="00BE46F9">
        <w:rPr>
          <w:bCs/>
          <w:position w:val="-28"/>
          <w:lang w:val="ro-RO"/>
        </w:rPr>
        <w:object w:dxaOrig="1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6pt" o:ole="" o:bordertopcolor="this" o:borderleftcolor="this" o:borderbottomcolor="this" o:borderrightcolor="this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25" DrawAspect="Content" ObjectID="_1579005134" r:id="rId6"/>
        </w:object>
      </w:r>
      <w:r w:rsidRPr="00BE46F9">
        <w:rPr>
          <w:bCs/>
          <w:lang w:val="ru-RU"/>
        </w:rPr>
        <w:t>,</w:t>
      </w:r>
      <w:r w:rsidRPr="00BE46F9">
        <w:rPr>
          <w:bCs/>
          <w:lang w:val="ru-RU"/>
        </w:rPr>
        <w:tab/>
      </w:r>
      <w:r w:rsidRPr="00BE46F9">
        <w:rPr>
          <w:bCs/>
          <w:lang w:val="ru-RU"/>
        </w:rPr>
        <w:tab/>
        <w:t>(3)</w:t>
      </w:r>
    </w:p>
    <w:p w:rsidR="00E51505" w:rsidRPr="00BE46F9" w:rsidRDefault="00E51505" w:rsidP="00E51505">
      <w:pPr>
        <w:pStyle w:val="NormalWeb"/>
        <w:spacing w:after="120"/>
        <w:rPr>
          <w:bCs/>
          <w:lang w:val="ro-RO"/>
        </w:rPr>
      </w:pPr>
      <w:r w:rsidRPr="00BE46F9">
        <w:rPr>
          <w:bCs/>
          <w:lang w:val="ru-RU"/>
        </w:rPr>
        <w:t>где:</w:t>
      </w:r>
    </w:p>
    <w:p w:rsidR="00E51505" w:rsidRPr="00BE46F9" w:rsidRDefault="00E51505" w:rsidP="00E51505">
      <w:pPr>
        <w:pStyle w:val="NormalWeb"/>
        <w:spacing w:after="120"/>
        <w:rPr>
          <w:bCs/>
          <w:lang w:val="ro-RO"/>
        </w:rPr>
      </w:pPr>
      <w:proofErr w:type="spellStart"/>
      <w:r w:rsidRPr="00BE46F9">
        <w:rPr>
          <w:bCs/>
          <w:i/>
          <w:lang w:val="ru-RU"/>
        </w:rPr>
        <w:t>VIij</w:t>
      </w:r>
      <w:proofErr w:type="spellEnd"/>
      <w:r w:rsidRPr="00BE46F9">
        <w:rPr>
          <w:bCs/>
          <w:lang w:val="ru-RU"/>
        </w:rPr>
        <w:t xml:space="preserve"> – первоначальная стоимость долгосрочных материальных и нематериальных активов категории «</w:t>
      </w:r>
      <w:r w:rsidRPr="00BE46F9">
        <w:rPr>
          <w:bCs/>
          <w:i/>
          <w:lang w:val="ru-RU"/>
        </w:rPr>
        <w:t>i</w:t>
      </w:r>
      <w:r w:rsidRPr="00BE46F9">
        <w:rPr>
          <w:bCs/>
          <w:lang w:val="ru-RU"/>
        </w:rPr>
        <w:t>» в году «</w:t>
      </w:r>
      <w:r w:rsidRPr="00BE46F9">
        <w:rPr>
          <w:bCs/>
          <w:i/>
          <w:lang w:val="ru-RU"/>
        </w:rPr>
        <w:t>j</w:t>
      </w:r>
      <w:r w:rsidRPr="00BE46F9">
        <w:rPr>
          <w:bCs/>
          <w:lang w:val="ru-RU"/>
        </w:rPr>
        <w:t xml:space="preserve">». При расчете амортизации долгосрочных материальных и нематериальных активов в первоначальную стоимость активов не включается стоимость законсервированных долгосрочных материальных и нематериальных активов, незавершенных долгосрочных материальных активов, сданных в аренду, финансируемых за счет пожертвований, </w:t>
      </w:r>
      <w:r w:rsidRPr="00BE46F9">
        <w:rPr>
          <w:rFonts w:eastAsia="Times New Roman"/>
          <w:lang w:val="ru-RU" w:eastAsia="en-GB"/>
        </w:rPr>
        <w:t xml:space="preserve">безвозмездно переданных </w:t>
      </w:r>
      <w:r w:rsidRPr="00BE46F9">
        <w:rPr>
          <w:bCs/>
          <w:lang w:val="ru-RU"/>
        </w:rPr>
        <w:t xml:space="preserve">оператору передающей системы </w:t>
      </w:r>
      <w:r w:rsidRPr="00BE46F9">
        <w:rPr>
          <w:rFonts w:eastAsia="Times New Roman"/>
          <w:lang w:val="ru-RU" w:eastAsia="en-GB"/>
        </w:rPr>
        <w:t xml:space="preserve">в управление </w:t>
      </w:r>
      <w:r w:rsidRPr="00BE46F9">
        <w:rPr>
          <w:bCs/>
          <w:lang w:val="ru-RU"/>
        </w:rPr>
        <w:t>или на техническое обслуживание, неиспользованных в регулируемой деятельности, объектов жилищного, социально–культурного назначения и других активов,</w:t>
      </w:r>
      <w:r w:rsidRPr="00BE46F9">
        <w:rPr>
          <w:rFonts w:eastAsia="Times New Roman"/>
          <w:lang w:val="ru-RU" w:eastAsia="en-GB"/>
        </w:rPr>
        <w:t xml:space="preserve"> не предназначенных для оказания услуги по передаче электроэнергии, </w:t>
      </w:r>
      <w:r w:rsidRPr="00BE46F9">
        <w:rPr>
          <w:bCs/>
          <w:lang w:val="ru-RU"/>
        </w:rPr>
        <w:t>долгосрочных активов, финансируемых из государственного и местного бюджетов хозяйствующими субъектами или конечными потребителями. Также не включается в расчет амортизации долгосрочных материальных и нематериальных активов, первоначальная стоимость долгосрочных материальных и нематериальных активов, сданных в эксплуатацию вне инвестиционных планов, утвержденных Агентством;</w:t>
      </w:r>
    </w:p>
    <w:p w:rsidR="00E51505" w:rsidRPr="00BE46F9" w:rsidRDefault="00E51505" w:rsidP="00E51505">
      <w:pPr>
        <w:pStyle w:val="NormalWeb"/>
        <w:spacing w:after="120"/>
        <w:rPr>
          <w:bCs/>
          <w:lang w:val="ro-RO"/>
        </w:rPr>
      </w:pPr>
      <w:proofErr w:type="spellStart"/>
      <w:r w:rsidRPr="00BE46F9">
        <w:rPr>
          <w:bCs/>
          <w:i/>
          <w:lang w:val="ru-RU"/>
        </w:rPr>
        <w:t>DVi</w:t>
      </w:r>
      <w:proofErr w:type="spellEnd"/>
      <w:r w:rsidRPr="00BE46F9">
        <w:rPr>
          <w:bCs/>
          <w:lang w:val="ru-RU"/>
        </w:rPr>
        <w:t xml:space="preserve"> - срок использования амортизируемых долгосрочных материальных и нематериальных активов, категории «</w:t>
      </w:r>
      <w:r w:rsidRPr="00BE46F9">
        <w:rPr>
          <w:bCs/>
          <w:i/>
          <w:lang w:val="ru-RU"/>
        </w:rPr>
        <w:t>i</w:t>
      </w:r>
      <w:r w:rsidRPr="00BE46F9">
        <w:rPr>
          <w:bCs/>
          <w:lang w:val="ru-RU"/>
        </w:rPr>
        <w:t>», который не может быть меньше, чем срок, указанный в Каталоге основных средств и нематериальных активов, утвержденный Постановлением Правительства №338 от 21.03.2003. Группы категорий «</w:t>
      </w:r>
      <w:r w:rsidRPr="00BE46F9">
        <w:rPr>
          <w:bCs/>
          <w:i/>
          <w:lang w:val="ru-RU"/>
        </w:rPr>
        <w:t>i</w:t>
      </w:r>
      <w:r w:rsidRPr="00BE46F9">
        <w:rPr>
          <w:bCs/>
          <w:lang w:val="ru-RU"/>
        </w:rPr>
        <w:t>» формируются группированием долгосрочных материальных и нематериальных активов с одинаковым сроком использования.</w:t>
      </w:r>
    </w:p>
    <w:p w:rsidR="00E51505" w:rsidRPr="00BE46F9" w:rsidRDefault="00E51505" w:rsidP="00E51505">
      <w:pPr>
        <w:pStyle w:val="NormalWeb"/>
        <w:rPr>
          <w:bCs/>
          <w:lang w:val="ro-RO"/>
        </w:rPr>
      </w:pPr>
      <w:r w:rsidRPr="00BE46F9">
        <w:rPr>
          <w:bCs/>
          <w:lang w:val="ru-RU"/>
        </w:rPr>
        <w:t xml:space="preserve">В случае переоценки амортизируемых долгосрочных материальных и нематериальных активов Методология предусматривает, что максимальное значение увеличения амортизации в результате переоценки, принимаемая в тариф, не </w:t>
      </w:r>
      <w:r w:rsidRPr="00BE46F9">
        <w:rPr>
          <w:lang w:val="ru-RU"/>
        </w:rPr>
        <w:t>должна</w:t>
      </w:r>
      <w:r w:rsidRPr="00BE46F9">
        <w:rPr>
          <w:bCs/>
          <w:lang w:val="ru-RU"/>
        </w:rPr>
        <w:t xml:space="preserve"> превышать </w:t>
      </w:r>
      <w:r w:rsidRPr="00BE46F9">
        <w:rPr>
          <w:lang w:val="ru-RU"/>
        </w:rPr>
        <w:t>совокупный</w:t>
      </w:r>
      <w:r w:rsidRPr="00BE46F9">
        <w:rPr>
          <w:bCs/>
          <w:lang w:val="ru-RU"/>
        </w:rPr>
        <w:t xml:space="preserve"> индекс цен в строительной отрасли, зарегистрированный с года последней переоценки и до года текущей переоценки, ежегодно публикуемый Национальным бюро статистики Республики Молдова. Также, в случае переоценки, не допускается включать в расчет тарифа амортизацию активов, стоимость замещения которого уже была включена в тариф.</w:t>
      </w:r>
    </w:p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b/>
          <w:bCs/>
          <w:lang w:val="ru-RU"/>
        </w:rPr>
        <w:t>9.</w:t>
      </w:r>
      <w:r w:rsidRPr="00BE46F9">
        <w:rPr>
          <w:lang w:val="ru-RU"/>
        </w:rPr>
        <w:t xml:space="preserve"> Регулируемые операционные расходы (</w:t>
      </w:r>
      <w:proofErr w:type="spellStart"/>
      <w:r w:rsidRPr="00BE46F9">
        <w:rPr>
          <w:i/>
          <w:iCs/>
          <w:lang w:val="ru-RU"/>
        </w:rPr>
        <w:t>CORj</w:t>
      </w:r>
      <w:proofErr w:type="spellEnd"/>
      <w:r w:rsidRPr="00BE46F9">
        <w:rPr>
          <w:lang w:val="ru-RU"/>
        </w:rPr>
        <w:t>) оператора передающей системы включают: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1) материальные расходы (</w:t>
      </w:r>
      <w:proofErr w:type="spellStart"/>
      <w:r w:rsidRPr="00BE46F9">
        <w:rPr>
          <w:i/>
          <w:iCs/>
          <w:lang w:val="ru-RU"/>
        </w:rPr>
        <w:t>CMj</w:t>
      </w:r>
      <w:proofErr w:type="spellEnd"/>
      <w:r w:rsidRPr="00BE46F9">
        <w:rPr>
          <w:lang w:val="ru-RU"/>
        </w:rPr>
        <w:t>);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2) расходы на содержание и эксплуатацию передающих электросетей и других основных средств, используемых в процессе передачи электроэнергии, но которые не являются составной частью транспортных сетей (</w:t>
      </w:r>
      <w:proofErr w:type="spellStart"/>
      <w:r w:rsidRPr="00BE46F9">
        <w:rPr>
          <w:i/>
          <w:iCs/>
          <w:lang w:val="ru-RU"/>
        </w:rPr>
        <w:t>CIEj</w:t>
      </w:r>
      <w:proofErr w:type="spellEnd"/>
      <w:r w:rsidRPr="00BE46F9">
        <w:rPr>
          <w:lang w:val="ru-RU"/>
        </w:rPr>
        <w:t>);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lastRenderedPageBreak/>
        <w:t xml:space="preserve">3) расходы на персонал, задействованный в деятельности по передаче электроэнергии </w:t>
      </w:r>
      <w:r w:rsidRPr="00BE46F9">
        <w:rPr>
          <w:i/>
          <w:iCs/>
          <w:lang w:val="ru-RU"/>
        </w:rPr>
        <w:t>(</w:t>
      </w:r>
      <w:proofErr w:type="spellStart"/>
      <w:r w:rsidRPr="00BE46F9">
        <w:rPr>
          <w:i/>
          <w:iCs/>
          <w:lang w:val="ru-RU"/>
        </w:rPr>
        <w:t>CRMj</w:t>
      </w:r>
      <w:proofErr w:type="spellEnd"/>
      <w:r w:rsidRPr="00BE46F9">
        <w:rPr>
          <w:i/>
          <w:iCs/>
          <w:lang w:val="ru-RU"/>
        </w:rPr>
        <w:t>)</w:t>
      </w:r>
      <w:r w:rsidRPr="00BE46F9">
        <w:rPr>
          <w:lang w:val="ru-RU"/>
        </w:rPr>
        <w:t>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 xml:space="preserve">4) административные расходы </w:t>
      </w:r>
      <w:r w:rsidRPr="00BE46F9">
        <w:rPr>
          <w:i/>
          <w:iCs/>
          <w:lang w:val="ru-RU"/>
        </w:rPr>
        <w:t>(</w:t>
      </w:r>
      <w:proofErr w:type="spellStart"/>
      <w:r w:rsidRPr="00BE46F9">
        <w:rPr>
          <w:i/>
          <w:iCs/>
          <w:lang w:val="ru-RU"/>
        </w:rPr>
        <w:t>CAj</w:t>
      </w:r>
      <w:proofErr w:type="spellEnd"/>
      <w:r w:rsidRPr="00BE46F9">
        <w:rPr>
          <w:i/>
          <w:iCs/>
          <w:lang w:val="ru-RU"/>
        </w:rPr>
        <w:t>)</w:t>
      </w:r>
      <w:r w:rsidRPr="00BE46F9">
        <w:rPr>
          <w:lang w:val="ru-RU"/>
        </w:rPr>
        <w:t>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 xml:space="preserve">5) затраты на электроэнергию, приобретенную для покрытия технологического расхода электроэнергии в передающих электросетях </w:t>
      </w:r>
      <w:r w:rsidRPr="00BE46F9">
        <w:rPr>
          <w:i/>
          <w:iCs/>
          <w:lang w:val="ru-RU"/>
        </w:rPr>
        <w:t>(</w:t>
      </w:r>
      <w:proofErr w:type="spellStart"/>
      <w:r w:rsidRPr="00BE46F9">
        <w:rPr>
          <w:i/>
          <w:iCs/>
          <w:lang w:val="ru-RU"/>
        </w:rPr>
        <w:t>CEj</w:t>
      </w:r>
      <w:proofErr w:type="spellEnd"/>
      <w:r w:rsidRPr="00BE46F9">
        <w:rPr>
          <w:i/>
          <w:iCs/>
          <w:lang w:val="ru-RU"/>
        </w:rPr>
        <w:t>)</w:t>
      </w:r>
      <w:r w:rsidRPr="00BE46F9">
        <w:rPr>
          <w:lang w:val="ru-RU"/>
        </w:rPr>
        <w:t>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6) другие операционные расходы (</w:t>
      </w:r>
      <w:proofErr w:type="spellStart"/>
      <w:r w:rsidRPr="00BE46F9">
        <w:rPr>
          <w:lang w:val="ru-RU"/>
        </w:rPr>
        <w:t>A</w:t>
      </w:r>
      <w:r w:rsidRPr="00BE46F9">
        <w:rPr>
          <w:i/>
          <w:iCs/>
          <w:lang w:val="ru-RU"/>
        </w:rPr>
        <w:t>Cj</w:t>
      </w:r>
      <w:proofErr w:type="spellEnd"/>
      <w:r w:rsidRPr="00BE46F9">
        <w:rPr>
          <w:lang w:val="ru-RU"/>
        </w:rPr>
        <w:t>).</w:t>
      </w:r>
    </w:p>
    <w:p w:rsidR="00E51505" w:rsidRPr="00BE46F9" w:rsidRDefault="00E51505" w:rsidP="00E51505">
      <w:pPr>
        <w:pStyle w:val="NormalWeb"/>
        <w:spacing w:after="120"/>
        <w:rPr>
          <w:lang w:val="ro-RO"/>
        </w:rPr>
      </w:pPr>
      <w:r w:rsidRPr="00BE46F9">
        <w:rPr>
          <w:lang w:val="ru-RU"/>
        </w:rPr>
        <w:t>Таким образом: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0"/>
        <w:gridCol w:w="1050"/>
      </w:tblGrid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o-RO"/>
              </w:rPr>
              <w:t>CORj = CMj + CIEj + CRMj + CAj +CEj,+ACj</w:t>
            </w:r>
          </w:p>
        </w:tc>
        <w:tc>
          <w:tcPr>
            <w:tcW w:w="1050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(4).</w:t>
            </w:r>
          </w:p>
        </w:tc>
      </w:tr>
    </w:tbl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397CE7" w:rsidRDefault="00E51505" w:rsidP="00E51505">
      <w:pPr>
        <w:pStyle w:val="NormalWeb"/>
        <w:rPr>
          <w:sz w:val="22"/>
          <w:szCs w:val="22"/>
          <w:lang w:val="ru-RU"/>
        </w:rPr>
      </w:pPr>
      <w:r w:rsidRPr="00397CE7">
        <w:rPr>
          <w:b/>
          <w:bCs/>
          <w:sz w:val="22"/>
          <w:szCs w:val="22"/>
          <w:lang w:val="ru-RU"/>
        </w:rPr>
        <w:t>10.</w:t>
      </w:r>
      <w:r w:rsidRPr="00397CE7">
        <w:rPr>
          <w:sz w:val="22"/>
          <w:szCs w:val="22"/>
          <w:lang w:val="ru-RU"/>
        </w:rPr>
        <w:t xml:space="preserve"> Материальные расходы (</w:t>
      </w:r>
      <w:proofErr w:type="spellStart"/>
      <w:r w:rsidRPr="00397CE7">
        <w:rPr>
          <w:i/>
          <w:iCs/>
          <w:sz w:val="22"/>
          <w:szCs w:val="22"/>
          <w:lang w:val="ru-RU"/>
        </w:rPr>
        <w:t>CMj</w:t>
      </w:r>
      <w:proofErr w:type="spellEnd"/>
      <w:r w:rsidRPr="00397CE7">
        <w:rPr>
          <w:sz w:val="22"/>
          <w:szCs w:val="22"/>
          <w:lang w:val="ru-RU"/>
        </w:rPr>
        <w:t>) включают расходы на приобретение материалов, запасных частей, всех видов энергии, топлива, горюче-смазочных материалов и других материальных ресурсов, необходимых для обеспечения технологического процесса, технического обслуживания, эксплуатации и текущего ремонта передающих электрических сетей и других основных средств производственного назначения, расходы на содержание и эксплуатацию основных средств вспомогательных единиц предприятия (по обслуживанию, ремонту, контролю, телекоммуникациям, по соблюдению экологических, санитарно-гигиенических норм, норм безопасности, по поддержанию чистоты и порядка) в соответствии с НСБУ «Расходы». Материальные расходы определяются для первого года действия Методологии – базового года (</w:t>
      </w:r>
      <w:r w:rsidRPr="00397CE7">
        <w:rPr>
          <w:i/>
          <w:sz w:val="22"/>
          <w:szCs w:val="22"/>
          <w:lang w:val="ru-RU"/>
        </w:rPr>
        <w:t>CM</w:t>
      </w:r>
      <w:r w:rsidRPr="00397CE7">
        <w:rPr>
          <w:i/>
          <w:sz w:val="22"/>
          <w:szCs w:val="22"/>
          <w:vertAlign w:val="subscript"/>
          <w:lang w:val="ru-RU"/>
        </w:rPr>
        <w:t>0</w:t>
      </w:r>
      <w:r w:rsidRPr="00397CE7">
        <w:rPr>
          <w:sz w:val="22"/>
          <w:szCs w:val="22"/>
          <w:lang w:val="ru-RU"/>
        </w:rPr>
        <w:t xml:space="preserve">) – </w:t>
      </w:r>
      <w:r w:rsidRPr="00397CE7">
        <w:rPr>
          <w:rFonts w:eastAsia="Times New Roman"/>
          <w:sz w:val="22"/>
          <w:szCs w:val="22"/>
          <w:lang w:val="ru-RU" w:eastAsia="en-GB"/>
        </w:rPr>
        <w:t xml:space="preserve">исходя из </w:t>
      </w:r>
      <w:r w:rsidRPr="00397CE7">
        <w:rPr>
          <w:sz w:val="22"/>
          <w:szCs w:val="22"/>
          <w:lang w:val="ru-RU"/>
        </w:rPr>
        <w:t>необходимого количества каждого вида материалов, определяемого на основании норм расхода и анализа материалов, запасных частей, приборов, инструментов, средств индивидуальной защиты и диспетчерского оборудования, использованных в предыдущем периоде регулирования на содержание и эксплуатацию передающих электросетей в соответствии с нормативно-технической документацией, предусматривающее порядок обустройства и эксплуатации электрических сетей, а также планами технического обслуживания и текущего ремонта основных средств, и применяя принцип минимальных затрат на их приобретение. Эти расходы определяются оператором передающей системы, рассматриваются и утверждаются Агентством как базовые расходы на период действия Методологии. Для каждого года «</w:t>
      </w:r>
      <w:r w:rsidRPr="00397CE7">
        <w:rPr>
          <w:i/>
          <w:sz w:val="22"/>
          <w:szCs w:val="22"/>
          <w:lang w:val="ru-RU"/>
        </w:rPr>
        <w:t>j</w:t>
      </w:r>
      <w:r w:rsidRPr="00397CE7">
        <w:rPr>
          <w:sz w:val="22"/>
          <w:szCs w:val="22"/>
          <w:lang w:val="ru-RU"/>
        </w:rPr>
        <w:t>» материальные расходы актуализируются в соответствии со следующей формулой:</w:t>
      </w:r>
    </w:p>
    <w:p w:rsidR="00E51505" w:rsidRPr="00BE46F9" w:rsidRDefault="00E51505" w:rsidP="00E51505">
      <w:pPr>
        <w:pStyle w:val="NormalWeb"/>
        <w:rPr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CM</m:t>
              </m:r>
            </m:e>
            <m:sub>
              <m:r>
                <w:rPr>
                  <w:rFonts w:ascii="Cambria Math" w:hAnsi="Cambria Math"/>
                  <w:lang w:val="ro-RO"/>
                </w:rPr>
                <m:t xml:space="preserve"> j</m:t>
              </m:r>
            </m:sub>
          </m:sSub>
          <m:r>
            <w:rPr>
              <w:rFonts w:ascii="Cambria Math" w:hAnsi="Cambria Math"/>
              <w:lang w:val="ro-RO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CM</m:t>
              </m:r>
            </m:e>
            <m:sub>
              <m:r>
                <w:rPr>
                  <w:rFonts w:ascii="Cambria Math" w:hAnsi="Cambria Math"/>
                  <w:lang w:val="ro-RO"/>
                </w:rPr>
                <m:t xml:space="preserve"> 0</m:t>
              </m:r>
            </m:sub>
          </m:sSub>
          <m:r>
            <w:rPr>
              <w:rFonts w:ascii="Cambria Math" w:hAnsi="Cambria Math"/>
              <w:lang w:val="ro-RO"/>
            </w:rPr>
            <m:t>×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ro-RO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IPCD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ro-RO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ro-RO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1+∆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LR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j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lang w:val="ro-RO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LeiD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LeiD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j-1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hAnsi="Cambria Math"/>
              <w:lang w:val="ro-RO"/>
            </w:rPr>
            <m:t>,        (5)</m:t>
          </m:r>
        </m:oMath>
      </m:oMathPara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где: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IPCD</w:t>
      </w:r>
      <w:r w:rsidRPr="00BE46F9">
        <w:rPr>
          <w:i/>
          <w:iCs/>
          <w:vertAlign w:val="subscript"/>
          <w:lang w:val="ru-RU"/>
        </w:rPr>
        <w:t>j</w:t>
      </w:r>
      <w:proofErr w:type="spellEnd"/>
      <w:r w:rsidRPr="00BE46F9">
        <w:rPr>
          <w:lang w:val="ru-RU"/>
        </w:rPr>
        <w:t xml:space="preserve"> – индекс розничных цен США в году «</w:t>
      </w:r>
      <w:r w:rsidRPr="00BE46F9">
        <w:rPr>
          <w:i/>
          <w:iCs/>
          <w:lang w:val="ru-RU"/>
        </w:rPr>
        <w:t>j</w:t>
      </w:r>
      <w:r w:rsidRPr="00BE46F9">
        <w:rPr>
          <w:lang w:val="ru-RU"/>
        </w:rPr>
        <w:t>», опубликованный Департаментом труда Соединенных Штатов Америки на своей электронной странице;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i/>
          <w:iCs/>
          <w:lang w:val="ru-RU"/>
        </w:rPr>
        <w:t>X</w:t>
      </w:r>
      <w:r w:rsidRPr="00BE46F9">
        <w:rPr>
          <w:i/>
          <w:iCs/>
          <w:vertAlign w:val="subscript"/>
          <w:lang w:val="ru-RU"/>
        </w:rPr>
        <w:t>1</w:t>
      </w:r>
      <w:r w:rsidRPr="00BE46F9">
        <w:rPr>
          <w:lang w:val="ru-RU"/>
        </w:rPr>
        <w:t xml:space="preserve">– </w:t>
      </w:r>
      <w:r w:rsidRPr="00BE46F9">
        <w:rPr>
          <w:rFonts w:eastAsia="Times New Roman"/>
          <w:lang w:val="ru-RU" w:eastAsia="en-GB"/>
        </w:rPr>
        <w:t xml:space="preserve">индекс повышения эффективности </w:t>
      </w:r>
      <w:r w:rsidRPr="00BE46F9">
        <w:rPr>
          <w:lang w:val="ru-RU"/>
        </w:rPr>
        <w:t xml:space="preserve">для </w:t>
      </w:r>
      <w:r w:rsidRPr="00BE46F9">
        <w:rPr>
          <w:rFonts w:eastAsia="Times New Roman"/>
          <w:lang w:val="ru-RU" w:eastAsia="en-GB"/>
        </w:rPr>
        <w:t>сокращения расходов</w:t>
      </w:r>
      <w:r w:rsidRPr="00BE46F9" w:rsidDel="00635B21">
        <w:rPr>
          <w:lang w:val="ru-RU"/>
        </w:rPr>
        <w:t xml:space="preserve"> </w:t>
      </w:r>
      <w:r w:rsidRPr="00BE46F9">
        <w:rPr>
          <w:lang w:val="ru-RU"/>
        </w:rPr>
        <w:t xml:space="preserve">по передаче электроэнергии. </w:t>
      </w:r>
      <w:r w:rsidRPr="00BE46F9">
        <w:rPr>
          <w:rFonts w:eastAsia="Times New Roman"/>
          <w:lang w:val="ru-RU" w:eastAsia="en-GB"/>
        </w:rPr>
        <w:t>Этот индекс установлен в качестве постоянной величины на весь срок</w:t>
      </w:r>
      <w:r w:rsidRPr="00BE46F9" w:rsidDel="00635B21">
        <w:rPr>
          <w:lang w:val="ru-RU"/>
        </w:rPr>
        <w:t xml:space="preserve"> </w:t>
      </w:r>
      <w:r w:rsidRPr="00BE46F9">
        <w:rPr>
          <w:lang w:val="ru-RU"/>
        </w:rPr>
        <w:t xml:space="preserve">действия Методологии и установлен в размере 20% от индекса потребительских цен в США, то есть </w:t>
      </w:r>
      <w:r w:rsidRPr="00BE46F9">
        <w:rPr>
          <w:i/>
          <w:lang w:val="ru-RU"/>
        </w:rPr>
        <w:t>X</w:t>
      </w:r>
      <w:r w:rsidRPr="00BE46F9">
        <w:rPr>
          <w:i/>
          <w:vertAlign w:val="subscript"/>
          <w:lang w:val="ru-RU"/>
        </w:rPr>
        <w:t>1</w:t>
      </w:r>
      <w:r w:rsidRPr="00BE46F9">
        <w:rPr>
          <w:i/>
          <w:lang w:val="ru-RU"/>
        </w:rPr>
        <w:t>=0,2×IPCD</w:t>
      </w:r>
      <w:r w:rsidRPr="00BE46F9">
        <w:rPr>
          <w:i/>
          <w:vertAlign w:val="subscript"/>
          <w:lang w:val="ru-RU"/>
        </w:rPr>
        <w:t>j</w:t>
      </w:r>
      <w:r w:rsidRPr="00BE46F9">
        <w:rPr>
          <w:lang w:val="ru-RU"/>
        </w:rPr>
        <w:t>;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LeiD</w:t>
      </w:r>
      <w:r w:rsidRPr="00BE46F9">
        <w:rPr>
          <w:i/>
          <w:iCs/>
          <w:vertAlign w:val="subscript"/>
          <w:lang w:val="ru-RU"/>
        </w:rPr>
        <w:t>j</w:t>
      </w:r>
      <w:proofErr w:type="spellEnd"/>
      <w:r w:rsidRPr="00BE46F9">
        <w:rPr>
          <w:lang w:val="ru-RU"/>
        </w:rPr>
        <w:t xml:space="preserve"> – средний обменный курс национальной валюты по отношению к доллару США в году «</w:t>
      </w:r>
      <w:r w:rsidRPr="00BE46F9">
        <w:rPr>
          <w:i/>
          <w:iCs/>
          <w:lang w:val="ru-RU"/>
        </w:rPr>
        <w:t>j</w:t>
      </w:r>
      <w:r w:rsidRPr="00BE46F9">
        <w:rPr>
          <w:lang w:val="ru-RU"/>
        </w:rPr>
        <w:t>», опубликованный Национальным Банком Молдовы;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i/>
          <w:iCs/>
          <w:lang w:val="ru-RU"/>
        </w:rPr>
        <w:t>LeiD</w:t>
      </w:r>
      <w:r w:rsidRPr="00BE46F9">
        <w:rPr>
          <w:i/>
          <w:iCs/>
          <w:vertAlign w:val="subscript"/>
          <w:lang w:val="ru-RU"/>
        </w:rPr>
        <w:t>j-1</w:t>
      </w:r>
      <w:r w:rsidRPr="00BE46F9">
        <w:rPr>
          <w:lang w:val="ru-RU"/>
        </w:rPr>
        <w:t xml:space="preserve"> – средний обменный курс национальной валюты по отношению к доллару США в год «</w:t>
      </w:r>
      <w:r w:rsidRPr="00BE46F9">
        <w:rPr>
          <w:i/>
          <w:iCs/>
          <w:lang w:val="ru-RU"/>
        </w:rPr>
        <w:t>j-1</w:t>
      </w:r>
      <w:r w:rsidRPr="00BE46F9">
        <w:rPr>
          <w:lang w:val="ru-RU"/>
        </w:rPr>
        <w:t>», опубликованный Национальным банком Молдовы;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rFonts w:ascii="Calibri" w:hAnsi="Calibri"/>
          <w:i/>
          <w:iCs/>
          <w:lang w:val="ru-RU"/>
        </w:rPr>
        <w:t>Δ</w:t>
      </w:r>
      <w:r w:rsidRPr="00BE46F9">
        <w:rPr>
          <w:i/>
          <w:iCs/>
          <w:lang w:val="ru-RU"/>
        </w:rPr>
        <w:t>LR</w:t>
      </w:r>
      <w:r w:rsidRPr="00BE46F9">
        <w:rPr>
          <w:i/>
          <w:iCs/>
          <w:vertAlign w:val="subscript"/>
          <w:lang w:val="ru-RU"/>
        </w:rPr>
        <w:t>j</w:t>
      </w:r>
      <w:proofErr w:type="spellEnd"/>
      <w:r w:rsidRPr="00BE46F9">
        <w:rPr>
          <w:lang w:val="ru-RU"/>
        </w:rPr>
        <w:t xml:space="preserve"> – изменение протяженности электрических передающих сетей в году «</w:t>
      </w:r>
      <w:r w:rsidRPr="00BE46F9">
        <w:rPr>
          <w:i/>
          <w:iCs/>
          <w:lang w:val="ru-RU"/>
        </w:rPr>
        <w:t>j</w:t>
      </w:r>
      <w:r w:rsidRPr="00BE46F9">
        <w:rPr>
          <w:lang w:val="ru-RU"/>
        </w:rPr>
        <w:t>» по сравнению с годом «</w:t>
      </w:r>
      <w:r w:rsidRPr="00BE46F9">
        <w:rPr>
          <w:i/>
          <w:iCs/>
          <w:lang w:val="ru-RU"/>
        </w:rPr>
        <w:t>j-1</w:t>
      </w:r>
      <w:r w:rsidRPr="00BE46F9">
        <w:rPr>
          <w:lang w:val="ru-RU"/>
        </w:rPr>
        <w:t>», которое определяется согласно формуле: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8"/>
        <w:gridCol w:w="1218"/>
        <w:gridCol w:w="1050"/>
      </w:tblGrid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LRj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– LR</w:t>
            </w:r>
            <w:r w:rsidRPr="00BE46F9">
              <w:rPr>
                <w:rFonts w:eastAsia="Times New Roman"/>
                <w:i/>
                <w:iCs/>
                <w:vertAlign w:val="subscript"/>
                <w:lang w:val="ru-RU"/>
              </w:rPr>
              <w:t>j-1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</w:tr>
      <w:tr w:rsidR="00E51505" w:rsidRPr="00BE46F9" w:rsidTr="008D17F6">
        <w:trPr>
          <w:jc w:val="center"/>
        </w:trPr>
        <w:tc>
          <w:tcPr>
            <w:tcW w:w="0" w:type="auto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ΔLRj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=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–––––––––,</w:t>
            </w:r>
          </w:p>
        </w:tc>
        <w:tc>
          <w:tcPr>
            <w:tcW w:w="1050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 xml:space="preserve">      (6)</w:t>
            </w:r>
          </w:p>
        </w:tc>
      </w:tr>
      <w:tr w:rsidR="00E51505" w:rsidRPr="00BE46F9" w:rsidTr="008D17F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LR</w:t>
            </w:r>
            <w:r w:rsidRPr="00BE46F9">
              <w:rPr>
                <w:rFonts w:eastAsia="Times New Roman"/>
                <w:i/>
                <w:iCs/>
                <w:vertAlign w:val="subscript"/>
                <w:lang w:val="ru-RU"/>
              </w:rPr>
              <w:t>j-1</w:t>
            </w:r>
          </w:p>
        </w:tc>
        <w:tc>
          <w:tcPr>
            <w:tcW w:w="0" w:type="auto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</w:tr>
    </w:tbl>
    <w:p w:rsidR="00E51505" w:rsidRDefault="00E51505" w:rsidP="00E51505">
      <w:pPr>
        <w:pStyle w:val="NormalWeb"/>
      </w:pPr>
    </w:p>
    <w:p w:rsidR="00E51505" w:rsidRDefault="00E51505" w:rsidP="00E51505">
      <w:pPr>
        <w:pStyle w:val="NormalWeb"/>
      </w:pPr>
    </w:p>
    <w:p w:rsidR="00E51505" w:rsidRDefault="00E51505" w:rsidP="00E51505">
      <w:pPr>
        <w:pStyle w:val="NormalWeb"/>
      </w:pP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lastRenderedPageBreak/>
        <w:t>где: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LR</w:t>
      </w:r>
      <w:r w:rsidRPr="00BE46F9">
        <w:rPr>
          <w:i/>
          <w:iCs/>
          <w:vertAlign w:val="subscript"/>
          <w:lang w:val="ru-RU"/>
        </w:rPr>
        <w:t>j</w:t>
      </w:r>
      <w:proofErr w:type="spellEnd"/>
      <w:r w:rsidRPr="00BE46F9">
        <w:rPr>
          <w:lang w:val="ru-RU"/>
        </w:rPr>
        <w:t>– общая протяженность электрических передающих сетей в конце года регулирования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i/>
          <w:iCs/>
          <w:lang w:val="ru-RU"/>
        </w:rPr>
        <w:t>LR</w:t>
      </w:r>
      <w:r w:rsidRPr="00BE46F9">
        <w:rPr>
          <w:i/>
          <w:iCs/>
          <w:vertAlign w:val="subscript"/>
          <w:lang w:val="ru-RU"/>
        </w:rPr>
        <w:t>j-1</w:t>
      </w:r>
      <w:r w:rsidRPr="00BE46F9">
        <w:rPr>
          <w:lang w:val="ru-RU"/>
        </w:rPr>
        <w:t xml:space="preserve"> – общая протяженность электрических передающих сетей в конце года регулирования</w:t>
      </w:r>
      <w:r w:rsidRPr="00BE46F9" w:rsidDel="00C02760">
        <w:rPr>
          <w:lang w:val="ru-RU"/>
        </w:rPr>
        <w:t xml:space="preserve"> </w:t>
      </w:r>
      <w:r w:rsidRPr="00BE46F9">
        <w:rPr>
          <w:lang w:val="ru-RU"/>
        </w:rPr>
        <w:t>«</w:t>
      </w:r>
      <w:r w:rsidRPr="00BE46F9">
        <w:rPr>
          <w:i/>
          <w:lang w:val="ru-RU"/>
        </w:rPr>
        <w:t>j-1</w:t>
      </w:r>
      <w:r w:rsidRPr="00BE46F9">
        <w:rPr>
          <w:lang w:val="ru-RU"/>
        </w:rPr>
        <w:t>».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b/>
          <w:bCs/>
          <w:lang w:val="ru-RU"/>
        </w:rPr>
        <w:t>11.</w:t>
      </w:r>
      <w:r w:rsidRPr="00BE46F9">
        <w:rPr>
          <w:lang w:val="ru-RU"/>
        </w:rPr>
        <w:t xml:space="preserve"> Расходы на содержание и эксплуатацию передающих электросетей и других производственных основных средств (</w:t>
      </w:r>
      <w:proofErr w:type="spellStart"/>
      <w:r w:rsidRPr="00BE46F9">
        <w:rPr>
          <w:i/>
          <w:iCs/>
          <w:lang w:val="ru-RU"/>
        </w:rPr>
        <w:t>CIEj</w:t>
      </w:r>
      <w:proofErr w:type="spellEnd"/>
      <w:r w:rsidRPr="00BE46F9">
        <w:rPr>
          <w:lang w:val="ru-RU"/>
        </w:rPr>
        <w:t xml:space="preserve">) включают: платежи за услуги, </w:t>
      </w:r>
      <w:r w:rsidRPr="00BE46F9">
        <w:rPr>
          <w:rFonts w:eastAsia="Times New Roman"/>
          <w:lang w:val="ru-RU" w:eastAsia="en-GB"/>
        </w:rPr>
        <w:t xml:space="preserve">предоставленные сторонними организациями по поверке, техническому обслуживанию, содержанию, эксплуатации и ремонту </w:t>
      </w:r>
      <w:r w:rsidRPr="00BE46F9">
        <w:rPr>
          <w:lang w:val="ru-RU"/>
        </w:rPr>
        <w:t xml:space="preserve">электрических передающих сетей, основных средств центральной диспетчерской службы, электрических подстанций, </w:t>
      </w:r>
      <w:r w:rsidRPr="00BE46F9">
        <w:rPr>
          <w:rFonts w:eastAsia="Times New Roman"/>
          <w:lang w:val="ru-RU" w:eastAsia="en-GB"/>
        </w:rPr>
        <w:t xml:space="preserve">электрорегулировочного и электроизмерительного </w:t>
      </w:r>
      <w:r w:rsidRPr="00BE46F9">
        <w:rPr>
          <w:lang w:val="ru-RU"/>
        </w:rPr>
        <w:t xml:space="preserve">оборудования, зданий, сооружений, транспортных средств, </w:t>
      </w:r>
      <w:r w:rsidRPr="00BE46F9">
        <w:rPr>
          <w:rFonts w:eastAsia="Times New Roman"/>
          <w:lang w:val="ru-RU" w:eastAsia="en-GB"/>
        </w:rPr>
        <w:t xml:space="preserve">средств технического </w:t>
      </w:r>
      <w:r w:rsidRPr="00BE46F9">
        <w:rPr>
          <w:lang w:val="ru-RU"/>
        </w:rPr>
        <w:t xml:space="preserve">регулирования, </w:t>
      </w:r>
      <w:r w:rsidRPr="00BE46F9">
        <w:rPr>
          <w:rFonts w:eastAsia="Times New Roman"/>
          <w:lang w:val="ru-RU" w:eastAsia="en-GB"/>
        </w:rPr>
        <w:t>управления</w:t>
      </w:r>
      <w:r w:rsidRPr="00BE46F9">
        <w:rPr>
          <w:lang w:val="ru-RU"/>
        </w:rPr>
        <w:t xml:space="preserve">, связи и сигнализации, </w:t>
      </w:r>
      <w:r w:rsidRPr="00BE46F9">
        <w:rPr>
          <w:rFonts w:eastAsia="Times New Roman"/>
          <w:lang w:val="ru-RU" w:eastAsia="en-GB"/>
        </w:rPr>
        <w:t>контрольно-измерительных приборов,</w:t>
      </w:r>
      <w:r w:rsidRPr="00BE46F9">
        <w:rPr>
          <w:lang w:val="ru-RU"/>
        </w:rPr>
        <w:t xml:space="preserve"> систем охраны и безопасности, систем автоматизации, электрических установок и других производственных основных средств, относящихся к деятельности по передаче </w:t>
      </w:r>
      <w:r w:rsidRPr="00BE46F9">
        <w:rPr>
          <w:rFonts w:eastAsia="Times New Roman"/>
          <w:lang w:val="ru-RU" w:eastAsia="en-GB"/>
        </w:rPr>
        <w:t>электрической энергии</w:t>
      </w:r>
      <w:r w:rsidRPr="00BE46F9">
        <w:rPr>
          <w:lang w:val="ru-RU"/>
        </w:rPr>
        <w:t>. Расходы на содержание и эксплуатацию рассчитываются за первый год действия Методологии – базовый год (</w:t>
      </w:r>
      <w:r w:rsidRPr="00BE46F9">
        <w:rPr>
          <w:i/>
          <w:lang w:val="ru-RU"/>
        </w:rPr>
        <w:t>CIE</w:t>
      </w:r>
      <w:r w:rsidRPr="00BE46F9">
        <w:rPr>
          <w:i/>
          <w:vertAlign w:val="subscript"/>
          <w:lang w:val="ru-RU"/>
        </w:rPr>
        <w:t>0</w:t>
      </w:r>
      <w:r w:rsidRPr="00BE46F9">
        <w:rPr>
          <w:lang w:val="ru-RU"/>
        </w:rPr>
        <w:t xml:space="preserve">) – и определяются на основании утвержденных смет расходов, рыночных цен и </w:t>
      </w:r>
      <w:r w:rsidRPr="00BE46F9">
        <w:rPr>
          <w:rFonts w:eastAsia="Times New Roman"/>
          <w:lang w:val="ru-RU" w:eastAsia="en-GB"/>
        </w:rPr>
        <w:t>заключенных со сторонними организациями договоров на осуществление вышеуказанных работ</w:t>
      </w:r>
      <w:r w:rsidRPr="00BE46F9">
        <w:rPr>
          <w:lang w:val="ru-RU"/>
        </w:rPr>
        <w:t>. Эти расходы определяются оператором передающей системы, рассматриваются и утверждаются Агентством как базовые расходы на весь период действия Методологии. Для каждого последующего года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 данные расходы актуализируются в соответствии со следующей формулой: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CIE</m:t>
              </m:r>
            </m:e>
            <m:sub>
              <m:r>
                <w:rPr>
                  <w:rFonts w:ascii="Cambria Math" w:hAnsi="Cambria Math"/>
                </w:rPr>
                <m:t xml:space="preserve"> j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CIE</m:t>
              </m:r>
            </m:e>
            <m:sub>
              <m:r>
                <w:rPr>
                  <w:rFonts w:ascii="Cambria Math" w:hAnsi="Cambria Math"/>
                </w:rPr>
                <m:t xml:space="preserve"> 0</m:t>
              </m:r>
            </m:sub>
          </m:sSub>
          <m:r>
            <w:rPr>
              <w:rFonts w:ascii="Cambria Math" w:hAnsi="Cambria Math"/>
            </w:rPr>
            <m:t>×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IPCM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>,        (7)</m:t>
          </m:r>
        </m:oMath>
      </m:oMathPara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 xml:space="preserve">где: 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IPCM</w:t>
      </w:r>
      <w:r w:rsidRPr="00BE46F9">
        <w:rPr>
          <w:i/>
          <w:iCs/>
          <w:vertAlign w:val="subscript"/>
          <w:lang w:val="ru-RU"/>
        </w:rPr>
        <w:t>j</w:t>
      </w:r>
      <w:proofErr w:type="spellEnd"/>
      <w:r w:rsidRPr="00BE46F9">
        <w:rPr>
          <w:lang w:val="ru-RU"/>
        </w:rPr>
        <w:t xml:space="preserve"> – индекс потребительских цен в Республике Молдова в году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», опубликованный Национальным бюро статистики Республики Молдова;</w:t>
      </w:r>
    </w:p>
    <w:p w:rsidR="00E51505" w:rsidRPr="00BE46F9" w:rsidRDefault="00E51505" w:rsidP="00E51505">
      <w:pPr>
        <w:pStyle w:val="NormalWeb"/>
        <w:rPr>
          <w:lang w:val="ru-RU"/>
        </w:rPr>
      </w:pPr>
      <w:r w:rsidRPr="00BE46F9">
        <w:rPr>
          <w:i/>
          <w:iCs/>
          <w:lang w:val="ru-RU"/>
        </w:rPr>
        <w:t>X</w:t>
      </w:r>
      <w:r w:rsidRPr="00BE46F9">
        <w:rPr>
          <w:i/>
          <w:iCs/>
          <w:vertAlign w:val="subscript"/>
          <w:lang w:val="ru-RU"/>
        </w:rPr>
        <w:t>2</w:t>
      </w:r>
      <w:r w:rsidRPr="00BE46F9">
        <w:rPr>
          <w:lang w:val="ru-RU"/>
        </w:rPr>
        <w:t xml:space="preserve">– </w:t>
      </w:r>
      <w:r w:rsidRPr="00BE46F9">
        <w:rPr>
          <w:rFonts w:eastAsia="Times New Roman"/>
          <w:lang w:val="ru-RU" w:eastAsia="en-GB"/>
        </w:rPr>
        <w:t xml:space="preserve">индекс повышения эффективности </w:t>
      </w:r>
      <w:r w:rsidRPr="00BE46F9">
        <w:rPr>
          <w:lang w:val="ru-RU"/>
        </w:rPr>
        <w:t xml:space="preserve">для </w:t>
      </w:r>
      <w:r w:rsidRPr="00BE46F9">
        <w:rPr>
          <w:rFonts w:eastAsia="Times New Roman"/>
          <w:lang w:val="ru-RU" w:eastAsia="en-GB"/>
        </w:rPr>
        <w:t>сокращения расходов</w:t>
      </w:r>
      <w:r w:rsidRPr="00BE46F9" w:rsidDel="00635B21">
        <w:rPr>
          <w:lang w:val="ru-RU"/>
        </w:rPr>
        <w:t xml:space="preserve"> </w:t>
      </w:r>
      <w:r w:rsidRPr="00BE46F9">
        <w:rPr>
          <w:lang w:val="ru-RU"/>
        </w:rPr>
        <w:t xml:space="preserve">по передаче электроэнергии. </w:t>
      </w:r>
      <w:r w:rsidRPr="00BE46F9">
        <w:rPr>
          <w:rFonts w:eastAsia="Times New Roman"/>
          <w:lang w:val="ru-RU" w:eastAsia="en-GB"/>
        </w:rPr>
        <w:t xml:space="preserve">Этот индекс установлен в качестве постоянной величины на весь срок </w:t>
      </w:r>
      <w:r w:rsidRPr="00BE46F9">
        <w:rPr>
          <w:lang w:val="ru-RU"/>
        </w:rPr>
        <w:t xml:space="preserve">действия Методологии в размере 20 % от индекса потребительских цен в Республике Молдова, то есть </w:t>
      </w:r>
      <w:r w:rsidRPr="00BE46F9">
        <w:rPr>
          <w:i/>
          <w:lang w:val="ru-RU"/>
        </w:rPr>
        <w:t>X</w:t>
      </w:r>
      <w:r w:rsidRPr="00BE46F9">
        <w:rPr>
          <w:i/>
          <w:vertAlign w:val="subscript"/>
          <w:lang w:val="ru-RU"/>
        </w:rPr>
        <w:t>1</w:t>
      </w:r>
      <w:r w:rsidRPr="00BE46F9">
        <w:rPr>
          <w:i/>
          <w:lang w:val="ru-RU"/>
        </w:rPr>
        <w:t>=0,2×IPCМ</w:t>
      </w:r>
      <w:r w:rsidRPr="00BE46F9">
        <w:rPr>
          <w:i/>
          <w:vertAlign w:val="subscript"/>
          <w:lang w:val="ru-RU"/>
        </w:rPr>
        <w:t>j</w:t>
      </w:r>
      <w:r w:rsidRPr="00BE46F9">
        <w:rPr>
          <w:lang w:val="ru-RU"/>
        </w:rPr>
        <w:t>.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b/>
          <w:bCs/>
          <w:lang w:val="ru-RU"/>
        </w:rPr>
        <w:t xml:space="preserve">12. </w:t>
      </w:r>
      <w:r w:rsidRPr="00BE46F9">
        <w:rPr>
          <w:rFonts w:eastAsia="Calibri"/>
          <w:lang w:val="ru-RU"/>
        </w:rPr>
        <w:t>Расходы на персонал (</w:t>
      </w:r>
      <w:proofErr w:type="spellStart"/>
      <w:r w:rsidRPr="00BE46F9">
        <w:rPr>
          <w:i/>
          <w:iCs/>
          <w:lang w:val="ru-RU"/>
        </w:rPr>
        <w:t>CRMj</w:t>
      </w:r>
      <w:proofErr w:type="spellEnd"/>
      <w:r w:rsidRPr="00BE46F9">
        <w:rPr>
          <w:rFonts w:eastAsia="Calibri"/>
          <w:lang w:val="ru-RU"/>
        </w:rPr>
        <w:t>) включают в себя расходы лицензиата, непосредственно связанные с оплатой труда производственного персонала, расходы на взносы обязательного государственного социального страхования и взносы обязательного медицинского страхования. Расходы на персонал определяются для первого года действия Методологии – базового года (</w:t>
      </w:r>
      <w:r w:rsidRPr="00BE46F9">
        <w:rPr>
          <w:i/>
          <w:lang w:val="ru-RU"/>
        </w:rPr>
        <w:t>CRM</w:t>
      </w:r>
      <w:r w:rsidRPr="00BE46F9">
        <w:rPr>
          <w:i/>
          <w:vertAlign w:val="subscript"/>
          <w:lang w:val="ru-RU"/>
        </w:rPr>
        <w:t>0</w:t>
      </w:r>
      <w:r w:rsidRPr="00BE46F9">
        <w:rPr>
          <w:rFonts w:eastAsia="Calibri"/>
          <w:lang w:val="ru-RU"/>
        </w:rPr>
        <w:t>) – исходя из численности персонала, непосредственно задействованного в процессе содержания, эксплуатации и ремонта передающих сетей, диспетчерского оборудования и других основных средств, предназначенных для оказания услуг по передаче, гарантированного минимального размера заработной платы в реальном секторе, уровня квалификации персонала, режима работы и условий труда, размера премий и других выплат в соответствии с Трудовым кодексом, утвержденным Законом № 154-XV от 28 марта 2003 года (</w:t>
      </w:r>
      <w:r w:rsidRPr="00BE46F9">
        <w:rPr>
          <w:i/>
          <w:iCs/>
          <w:lang w:val="ru-RU"/>
        </w:rPr>
        <w:t>Официальный монитор Республики Молдова, 2003, № 159-162, ст.648</w:t>
      </w:r>
      <w:r w:rsidRPr="00BE46F9">
        <w:rPr>
          <w:rFonts w:eastAsia="Calibri"/>
          <w:lang w:val="ru-RU"/>
        </w:rPr>
        <w:t>), Законом об оплате труда № 847-XV от 14 февраля 2002 года (</w:t>
      </w:r>
      <w:r w:rsidRPr="00BE46F9">
        <w:rPr>
          <w:i/>
          <w:iCs/>
          <w:lang w:val="ru-RU"/>
        </w:rPr>
        <w:t>Официальный монитор Республики Молдова, 2002, №50-52, ст.336</w:t>
      </w:r>
      <w:r w:rsidRPr="00BE46F9">
        <w:rPr>
          <w:rFonts w:eastAsia="Calibri"/>
          <w:lang w:val="ru-RU"/>
        </w:rPr>
        <w:t>) и Постановлением Правительства № 152 от 19 февраля 2004 года «О размере компенсационных доплат за работу в неблагоприятных условиях» (</w:t>
      </w:r>
      <w:r w:rsidRPr="00BE46F9">
        <w:rPr>
          <w:i/>
          <w:iCs/>
          <w:lang w:val="ru-RU"/>
        </w:rPr>
        <w:t>Официальный монитор Республики Молдова, 2004, №39-41, ст.299</w:t>
      </w:r>
      <w:r w:rsidRPr="00BE46F9">
        <w:rPr>
          <w:rFonts w:eastAsia="Calibri"/>
          <w:lang w:val="ru-RU"/>
        </w:rPr>
        <w:t xml:space="preserve">). Расходы на взносы обязательного государственного социального страхования и взносы обязательного медицинского страхования определяются, исходя из тарифов и норм отчислений, установленных законом. Эти расходы определяются оператором </w:t>
      </w:r>
      <w:r w:rsidRPr="00BE46F9">
        <w:rPr>
          <w:rFonts w:eastAsia="Calibri"/>
          <w:lang w:val="ru-RU"/>
        </w:rPr>
        <w:lastRenderedPageBreak/>
        <w:t xml:space="preserve">передающей системы, рассматриваются и утверждаются Агентством как базовые расходы на весь период действия Методологии. </w:t>
      </w:r>
      <w:r w:rsidRPr="00BE46F9">
        <w:rPr>
          <w:lang w:val="ru-RU"/>
        </w:rPr>
        <w:t>Для каждого последующего</w:t>
      </w:r>
      <w:r w:rsidRPr="00BE46F9">
        <w:rPr>
          <w:rFonts w:eastAsia="Calibri"/>
          <w:lang w:val="ru-RU"/>
        </w:rPr>
        <w:t xml:space="preserve"> года «</w:t>
      </w:r>
      <w:r w:rsidRPr="00BE46F9">
        <w:rPr>
          <w:i/>
          <w:lang w:val="ru-RU"/>
        </w:rPr>
        <w:t>j</w:t>
      </w:r>
      <w:r w:rsidRPr="00BE46F9">
        <w:rPr>
          <w:rFonts w:eastAsia="Calibri"/>
          <w:lang w:val="ru-RU"/>
        </w:rPr>
        <w:t xml:space="preserve">» данные расходы </w:t>
      </w:r>
      <w:r w:rsidRPr="00BE46F9">
        <w:rPr>
          <w:lang w:val="ru-RU"/>
        </w:rPr>
        <w:t>актуализируются</w:t>
      </w:r>
      <w:r w:rsidRPr="00BE46F9">
        <w:rPr>
          <w:rFonts w:eastAsia="Calibri"/>
          <w:lang w:val="ru-RU"/>
        </w:rPr>
        <w:t xml:space="preserve"> в соответствии со следующей формулой: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CRM</m:t>
              </m:r>
            </m:e>
            <m:sub>
              <m:r>
                <w:rPr>
                  <w:rFonts w:ascii="Cambria Math" w:hAnsi="Cambria Math"/>
                  <w:lang w:val="ro-RO"/>
                </w:rPr>
                <m:t xml:space="preserve"> j</m:t>
              </m:r>
            </m:sub>
          </m:sSub>
          <m:r>
            <w:rPr>
              <w:rFonts w:ascii="Cambria Math" w:hAnsi="Cambria Math"/>
              <w:lang w:val="ro-RO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CRM</m:t>
              </m:r>
            </m:e>
            <m:sub>
              <m:r>
                <w:rPr>
                  <w:rFonts w:ascii="Cambria Math" w:hAnsi="Cambria Math"/>
                  <w:lang w:val="ro-RO"/>
                </w:rPr>
                <m:t xml:space="preserve"> 0</m:t>
              </m:r>
            </m:sub>
          </m:sSub>
          <m:r>
            <w:rPr>
              <w:rFonts w:ascii="Cambria Math" w:hAnsi="Cambria Math"/>
              <w:lang w:val="ro-RO"/>
            </w:rPr>
            <m:t>×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ro-RO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IPCM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ro-RO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ro-RO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1+∆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LR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j</m:t>
                          </m:r>
                        </m:sub>
                      </m:sSub>
                    </m:e>
                  </m:d>
                </m:e>
              </m:d>
            </m:e>
          </m:nary>
          <m:r>
            <w:rPr>
              <w:rFonts w:ascii="Cambria Math" w:hAnsi="Cambria Math"/>
              <w:lang w:val="ro-RO"/>
            </w:rPr>
            <m:t xml:space="preserve">,        </m:t>
          </m:r>
          <m:d>
            <m:dPr>
              <m:ctrlPr>
                <w:rPr>
                  <w:rFonts w:ascii="Cambria Math" w:hAnsi="Cambria Math"/>
                  <w:i/>
                  <w:lang w:val="ro-RO"/>
                </w:rPr>
              </m:ctrlPr>
            </m:dPr>
            <m:e>
              <m:r>
                <w:rPr>
                  <w:rFonts w:ascii="Cambria Math" w:hAnsi="Cambria Math"/>
                  <w:lang w:val="ro-RO"/>
                </w:rPr>
                <m:t>8</m:t>
              </m:r>
            </m:e>
          </m:d>
          <m:r>
            <w:rPr>
              <w:rFonts w:ascii="Cambria Math" w:hAnsi="Cambria Math"/>
              <w:lang w:val="ro-RO"/>
            </w:rPr>
            <m:t>.</m:t>
          </m:r>
        </m:oMath>
      </m:oMathPara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b/>
          <w:bCs/>
          <w:lang w:val="ru-RU"/>
        </w:rPr>
        <w:t>13.</w:t>
      </w:r>
      <w:r w:rsidRPr="00BE46F9">
        <w:rPr>
          <w:lang w:val="ru-RU"/>
        </w:rPr>
        <w:t xml:space="preserve"> Административные расходы (</w:t>
      </w:r>
      <w:proofErr w:type="spellStart"/>
      <w:r w:rsidRPr="00BE46F9">
        <w:rPr>
          <w:i/>
          <w:iCs/>
          <w:lang w:val="ru-RU"/>
        </w:rPr>
        <w:t>CAj</w:t>
      </w:r>
      <w:proofErr w:type="spellEnd"/>
      <w:r w:rsidRPr="00BE46F9">
        <w:rPr>
          <w:lang w:val="ru-RU"/>
        </w:rPr>
        <w:t>) включают все расходы, связанные с деятельностью аппарата управления, административных подразделений предприятия, расходы предприятия административного характера, а именно: банковские, консультативные, юридические, аудиторские, почтовые, телекоммуникационные услуги, техническое обслуживание и эксплуатация телефонных станций, коммутаторов, факсов, установок диспетчерской, радио и других видов связи, используемых для управления, типографские расходы, приобретение канцелярских принадлежностей, бланков учета и отчетности, подготовка и переподготовка кадров, техника безопасности, охрана, плата за текущую аренду, оплата труда административного персонала, амортизация основных средств общего и административного назначения, а также других категорий расходов, установленных в соответствии с НСБУ «Расходы». Затраты на оплату труда административного персонала определяются в соответствии с принципом, описанным в пункте 12. Эти затраты определяются оператором передающей системы для первого года действия Методологии, базового года (</w:t>
      </w:r>
      <w:r w:rsidRPr="00BE46F9">
        <w:rPr>
          <w:i/>
          <w:lang w:val="ru-RU"/>
        </w:rPr>
        <w:t>CA</w:t>
      </w:r>
      <w:r w:rsidRPr="00BE46F9">
        <w:rPr>
          <w:i/>
          <w:vertAlign w:val="subscript"/>
          <w:lang w:val="ru-RU"/>
        </w:rPr>
        <w:t>0</w:t>
      </w:r>
      <w:r w:rsidRPr="00BE46F9">
        <w:rPr>
          <w:lang w:val="ru-RU"/>
        </w:rPr>
        <w:t>), утверждаются Агентством на весь срок действия Методологии и каждый последующий год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 актуализируются в соответствии с формулой: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CA</m:t>
              </m:r>
            </m:e>
            <m:sub>
              <m:r>
                <w:rPr>
                  <w:rFonts w:ascii="Cambria Math" w:hAnsi="Cambria Math"/>
                  <w:lang w:val="ro-RO"/>
                </w:rPr>
                <m:t xml:space="preserve"> j</m:t>
              </m:r>
            </m:sub>
          </m:sSub>
          <m:r>
            <w:rPr>
              <w:rFonts w:ascii="Cambria Math" w:hAnsi="Cambria Math"/>
              <w:lang w:val="ro-RO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r>
                <w:rPr>
                  <w:rFonts w:ascii="Cambria Math" w:hAnsi="Cambria Math"/>
                  <w:lang w:val="ro-RO"/>
                </w:rPr>
                <m:t>CA</m:t>
              </m:r>
            </m:e>
            <m:sub>
              <m:r>
                <w:rPr>
                  <w:rFonts w:ascii="Cambria Math" w:hAnsi="Cambria Math"/>
                  <w:lang w:val="ro-RO"/>
                </w:rPr>
                <m:t xml:space="preserve"> 0</m:t>
              </m:r>
            </m:sub>
          </m:sSub>
          <m:r>
            <w:rPr>
              <w:rFonts w:ascii="Cambria Math" w:hAnsi="Cambria Math"/>
              <w:lang w:val="ro-RO"/>
            </w:rPr>
            <m:t>×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ro-RO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o-RO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IPCM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lang w:val="ro-RO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ro-RO"/>
                        </w:rPr>
                        <m:t>2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lang w:val="ro-RO"/>
            </w:rPr>
            <m:t xml:space="preserve">,        </m:t>
          </m:r>
          <m:d>
            <m:dPr>
              <m:ctrlPr>
                <w:rPr>
                  <w:rFonts w:ascii="Cambria Math" w:hAnsi="Cambria Math"/>
                  <w:i/>
                  <w:lang w:val="ro-RO"/>
                </w:rPr>
              </m:ctrlPr>
            </m:dPr>
            <m:e>
              <m:r>
                <w:rPr>
                  <w:rFonts w:ascii="Cambria Math" w:hAnsi="Cambria Math"/>
                  <w:lang w:val="ro-RO"/>
                </w:rPr>
                <m:t>9</m:t>
              </m:r>
            </m:e>
          </m:d>
          <m:r>
            <w:rPr>
              <w:rFonts w:ascii="Cambria Math" w:hAnsi="Cambria Math"/>
              <w:lang w:val="ro-RO"/>
            </w:rPr>
            <m:t>.</m:t>
          </m:r>
        </m:oMath>
      </m:oMathPara>
    </w:p>
    <w:p w:rsidR="00E51505" w:rsidRPr="00BE46F9" w:rsidRDefault="00E51505" w:rsidP="00E51505">
      <w:pPr>
        <w:pStyle w:val="NormalWeb"/>
        <w:rPr>
          <w:lang w:val="ru-RU"/>
        </w:rPr>
      </w:pPr>
      <w:r w:rsidRPr="00BE46F9">
        <w:rPr>
          <w:b/>
          <w:bCs/>
          <w:lang w:val="ru-RU"/>
        </w:rPr>
        <w:t xml:space="preserve">14. </w:t>
      </w:r>
      <w:r w:rsidRPr="00BE46F9">
        <w:rPr>
          <w:lang w:val="ru-RU"/>
        </w:rPr>
        <w:t>Затраты</w:t>
      </w:r>
      <w:r w:rsidRPr="00BE46F9" w:rsidDel="00CE0121">
        <w:rPr>
          <w:lang w:val="ru-RU"/>
        </w:rPr>
        <w:t xml:space="preserve"> </w:t>
      </w:r>
      <w:r w:rsidRPr="00BE46F9">
        <w:rPr>
          <w:lang w:val="ru-RU"/>
        </w:rPr>
        <w:t>на электрическую энергию, приобретенную для покрытия технологического расхода электроэнергии в передающих электросетях,</w:t>
      </w:r>
      <w:r w:rsidRPr="00BE46F9" w:rsidDel="00CE0121">
        <w:rPr>
          <w:lang w:val="ru-RU"/>
        </w:rPr>
        <w:t xml:space="preserve"> </w:t>
      </w:r>
      <w:r w:rsidRPr="00BE46F9">
        <w:rPr>
          <w:lang w:val="ru-RU"/>
        </w:rPr>
        <w:t>определяются согласно формуле:</w:t>
      </w:r>
    </w:p>
    <w:p w:rsidR="00E51505" w:rsidRPr="00BE46F9" w:rsidRDefault="00E51505" w:rsidP="00E51505">
      <w:pPr>
        <w:pStyle w:val="NormalWeb"/>
        <w:rPr>
          <w:lang w:val="ro-RO"/>
        </w:rPr>
      </w:pPr>
    </w:p>
    <w:tbl>
      <w:tblPr>
        <w:tblW w:w="3894" w:type="dxa"/>
        <w:tblInd w:w="3091" w:type="dxa"/>
        <w:tblLook w:val="04A0" w:firstRow="1" w:lastRow="0" w:firstColumn="1" w:lastColumn="0" w:noHBand="0" w:noVBand="1"/>
      </w:tblPr>
      <w:tblGrid>
        <w:gridCol w:w="2618"/>
        <w:gridCol w:w="1276"/>
      </w:tblGrid>
      <w:tr w:rsidR="00E51505" w:rsidRPr="00BE46F9" w:rsidTr="008D17F6">
        <w:trPr>
          <w:trHeight w:val="490"/>
        </w:trPr>
        <w:tc>
          <w:tcPr>
            <w:tcW w:w="2618" w:type="dxa"/>
            <w:tcMar>
              <w:top w:w="15" w:type="dxa"/>
              <w:left w:w="39" w:type="dxa"/>
              <w:bottom w:w="15" w:type="dxa"/>
              <w:right w:w="39" w:type="dxa"/>
            </w:tcMar>
            <w:vAlign w:val="center"/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CEj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=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CTEj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×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PEj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>,</w:t>
            </w:r>
          </w:p>
        </w:tc>
        <w:tc>
          <w:tcPr>
            <w:tcW w:w="1276" w:type="dxa"/>
            <w:tcMar>
              <w:top w:w="15" w:type="dxa"/>
              <w:left w:w="39" w:type="dxa"/>
              <w:bottom w:w="15" w:type="dxa"/>
              <w:right w:w="39" w:type="dxa"/>
            </w:tcMar>
            <w:vAlign w:val="center"/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(10)</w:t>
            </w:r>
          </w:p>
        </w:tc>
      </w:tr>
    </w:tbl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lang w:val="ru-RU"/>
        </w:rPr>
        <w:t>где: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CTEj</w:t>
      </w:r>
      <w:proofErr w:type="spellEnd"/>
      <w:r w:rsidRPr="00BE46F9">
        <w:rPr>
          <w:lang w:val="ru-RU"/>
        </w:rPr>
        <w:t xml:space="preserve"> – технологический расход электроэнергии в передающих электросетях, принятый Агентством в тарифных целях на год регулирования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». Технологический расход электроэнергии в каждом году регулирования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 определяется как разница между количеством электроэнергии, измеренной в точках входа в сети электропередачи, и количеством электроэнергии измеренной в точках выхода из сетей электропередачи. Если эта разница выше нормативного уровня, утвержденного Агентством в соответствии с Инструкцией расчета технологического расхода электроэнергии в электрических сетях, указанной в пункте 6 настоящей Методологии, в тарифных целях будет принят только утвержденный нормативный уровень технологического расхода электроэнергии;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PEj</w:t>
      </w:r>
      <w:proofErr w:type="spellEnd"/>
      <w:r w:rsidRPr="00BE46F9">
        <w:rPr>
          <w:lang w:val="ru-RU"/>
        </w:rPr>
        <w:t xml:space="preserve"> – средняя цена приобретения оператором передающей системы электрической энергии для покрытия технологического расхода электроэнергии в передающих электросетях</w:t>
      </w:r>
      <w:r w:rsidRPr="00BE46F9" w:rsidDel="00A14940">
        <w:rPr>
          <w:lang w:val="ru-RU"/>
        </w:rPr>
        <w:t xml:space="preserve"> </w:t>
      </w:r>
      <w:r w:rsidRPr="00BE46F9">
        <w:rPr>
          <w:lang w:val="ru-RU"/>
        </w:rPr>
        <w:t>в году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». Оператор передающей системы приобретает электрическую энергию, необходимую для покрытия технологического расхода электроэнергии в передающих электросетях</w:t>
      </w:r>
      <w:r w:rsidRPr="00BE46F9" w:rsidDel="00A14940">
        <w:rPr>
          <w:lang w:val="ru-RU"/>
        </w:rPr>
        <w:t xml:space="preserve"> </w:t>
      </w:r>
      <w:r w:rsidRPr="00BE46F9">
        <w:rPr>
          <w:lang w:val="ru-RU"/>
        </w:rPr>
        <w:t>у производителей, импортеров или поставщиков с соблюдением принципа максимальной эффективности при минимальных затратах.</w:t>
      </w:r>
    </w:p>
    <w:p w:rsidR="00E51505" w:rsidRPr="00E51505" w:rsidRDefault="00E51505" w:rsidP="00E51505">
      <w:pPr>
        <w:pStyle w:val="NormalWeb"/>
        <w:spacing w:before="120"/>
        <w:rPr>
          <w:b/>
          <w:bCs/>
          <w:lang w:val="ru-RU"/>
        </w:rPr>
      </w:pPr>
    </w:p>
    <w:p w:rsidR="00E51505" w:rsidRPr="00E51505" w:rsidRDefault="00E51505" w:rsidP="00E51505">
      <w:pPr>
        <w:pStyle w:val="NormalWeb"/>
        <w:spacing w:before="120"/>
        <w:rPr>
          <w:b/>
          <w:bCs/>
          <w:lang w:val="ru-RU"/>
        </w:rPr>
      </w:pP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b/>
          <w:bCs/>
          <w:lang w:val="ru-RU"/>
        </w:rPr>
        <w:lastRenderedPageBreak/>
        <w:t>15.</w:t>
      </w:r>
      <w:r w:rsidRPr="00BE46F9">
        <w:rPr>
          <w:lang w:val="ru-RU"/>
        </w:rPr>
        <w:t xml:space="preserve"> Другие операционные расходы (</w:t>
      </w:r>
      <w:proofErr w:type="spellStart"/>
      <w:r w:rsidRPr="00BE46F9">
        <w:rPr>
          <w:lang w:val="ru-RU"/>
        </w:rPr>
        <w:t>A</w:t>
      </w:r>
      <w:r w:rsidRPr="00BE46F9">
        <w:rPr>
          <w:i/>
          <w:iCs/>
          <w:lang w:val="ru-RU"/>
        </w:rPr>
        <w:t>Cj</w:t>
      </w:r>
      <w:proofErr w:type="spellEnd"/>
      <w:r w:rsidRPr="00BE46F9">
        <w:rPr>
          <w:lang w:val="ru-RU"/>
        </w:rPr>
        <w:t>) определяются ежегодно согласно формуле:</w:t>
      </w:r>
    </w:p>
    <w:p w:rsidR="00E51505" w:rsidRPr="00BE46F9" w:rsidRDefault="00E51505" w:rsidP="00E51505">
      <w:pPr>
        <w:pStyle w:val="NormalWeb"/>
        <w:rPr>
          <w:lang w:val="ro-RO"/>
        </w:rPr>
      </w:pPr>
    </w:p>
    <w:tbl>
      <w:tblPr>
        <w:tblW w:w="3134" w:type="dxa"/>
        <w:jc w:val="center"/>
        <w:tblLook w:val="04A0" w:firstRow="1" w:lastRow="0" w:firstColumn="1" w:lastColumn="0" w:noHBand="0" w:noVBand="1"/>
      </w:tblPr>
      <w:tblGrid>
        <w:gridCol w:w="2347"/>
        <w:gridCol w:w="787"/>
      </w:tblGrid>
      <w:tr w:rsidR="00E51505" w:rsidRPr="00BE46F9" w:rsidTr="008D17F6">
        <w:trPr>
          <w:trHeight w:val="357"/>
          <w:jc w:val="center"/>
        </w:trPr>
        <w:tc>
          <w:tcPr>
            <w:tcW w:w="2347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ACj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=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ITPj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+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CFRj</w:t>
            </w:r>
            <w:proofErr w:type="spellEnd"/>
            <w:r w:rsidRPr="00BE46F9">
              <w:rPr>
                <w:rFonts w:eastAsia="Times New Roman"/>
                <w:lang w:val="ru-RU"/>
              </w:rPr>
              <w:t>,</w:t>
            </w:r>
          </w:p>
        </w:tc>
        <w:tc>
          <w:tcPr>
            <w:tcW w:w="787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(11)</w:t>
            </w:r>
          </w:p>
        </w:tc>
      </w:tr>
    </w:tbl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lang w:val="ru-RU"/>
        </w:rPr>
        <w:t>где: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ITPj</w:t>
      </w:r>
      <w:proofErr w:type="spellEnd"/>
      <w:r w:rsidRPr="00BE46F9">
        <w:rPr>
          <w:lang w:val="ru-RU"/>
        </w:rPr>
        <w:t xml:space="preserve"> – налоги, сборы и платежи, рассчитываемые ежегодно. Во избежание двойного учета при расчете тарифов эти расходы не включаются в административные расходы;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lang w:val="ru-RU"/>
        </w:rPr>
        <w:t>CFRj</w:t>
      </w:r>
      <w:proofErr w:type="spellEnd"/>
      <w:r w:rsidRPr="00BE46F9">
        <w:rPr>
          <w:lang w:val="ru-RU"/>
        </w:rPr>
        <w:t>– ассигнование на оборотный фонд</w:t>
      </w:r>
      <w:r w:rsidRPr="00BE46F9" w:rsidDel="00B0368B">
        <w:rPr>
          <w:lang w:val="ru-RU"/>
        </w:rPr>
        <w:t xml:space="preserve"> </w:t>
      </w:r>
      <w:r w:rsidRPr="00BE46F9">
        <w:rPr>
          <w:lang w:val="ru-RU"/>
        </w:rPr>
        <w:t>в году «</w:t>
      </w:r>
      <w:r w:rsidRPr="00BE46F9">
        <w:rPr>
          <w:lang w:val="en-GB"/>
        </w:rPr>
        <w:t>j</w:t>
      </w:r>
      <w:r w:rsidRPr="00BE46F9">
        <w:rPr>
          <w:lang w:val="ru-RU"/>
        </w:rPr>
        <w:t>», которое определяется согласно формуле:</w:t>
      </w:r>
    </w:p>
    <w:p w:rsidR="00E51505" w:rsidRPr="00BE46F9" w:rsidRDefault="00E51505" w:rsidP="00E51505">
      <w:pPr>
        <w:pStyle w:val="NormalWeb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968"/>
        <w:gridCol w:w="284"/>
        <w:gridCol w:w="2931"/>
        <w:gridCol w:w="729"/>
      </w:tblGrid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968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α</w:t>
            </w:r>
          </w:p>
        </w:tc>
        <w:tc>
          <w:tcPr>
            <w:tcW w:w="284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2931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</w:p>
        </w:tc>
        <w:tc>
          <w:tcPr>
            <w:tcW w:w="729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</w:tr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CFRj</w:t>
            </w:r>
            <w:proofErr w:type="spellEnd"/>
            <w:r w:rsidRPr="00BE46F9">
              <w:rPr>
                <w:rFonts w:eastAsia="Times New Roman"/>
                <w:lang w:val="ru-RU"/>
              </w:rPr>
              <w:t xml:space="preserve"> = </w:t>
            </w:r>
          </w:p>
        </w:tc>
        <w:tc>
          <w:tcPr>
            <w:tcW w:w="968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–––––––</w:t>
            </w:r>
          </w:p>
        </w:tc>
        <w:tc>
          <w:tcPr>
            <w:tcW w:w="284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×</w:t>
            </w:r>
          </w:p>
        </w:tc>
        <w:tc>
          <w:tcPr>
            <w:tcW w:w="2931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i/>
                <w:lang w:val="ro-RO"/>
              </w:rPr>
            </w:pPr>
            <w:r w:rsidRPr="00BE46F9">
              <w:rPr>
                <w:rFonts w:eastAsia="Times New Roman"/>
                <w:i/>
                <w:lang w:val="ru-RU"/>
              </w:rPr>
              <w:t>(</w:t>
            </w:r>
            <w:proofErr w:type="spellStart"/>
            <w:r w:rsidRPr="00BE46F9">
              <w:rPr>
                <w:rFonts w:eastAsia="Times New Roman"/>
                <w:i/>
                <w:lang w:val="ru-RU"/>
              </w:rPr>
              <w:t>CORj</w:t>
            </w:r>
            <w:proofErr w:type="spellEnd"/>
            <w:r w:rsidRPr="00BE46F9">
              <w:rPr>
                <w:rFonts w:eastAsia="Times New Roman"/>
                <w:i/>
                <w:lang w:val="ru-RU"/>
              </w:rPr>
              <w:t xml:space="preserve"> – </w:t>
            </w:r>
            <w:proofErr w:type="spellStart"/>
            <w:r w:rsidRPr="00BE46F9">
              <w:rPr>
                <w:rFonts w:eastAsia="Times New Roman"/>
                <w:i/>
                <w:lang w:val="ru-RU"/>
              </w:rPr>
              <w:t>CAj</w:t>
            </w:r>
            <w:proofErr w:type="spellEnd"/>
            <w:r w:rsidRPr="00BE46F9">
              <w:rPr>
                <w:rFonts w:eastAsia="Times New Roman"/>
                <w:i/>
                <w:lang w:val="ru-RU"/>
              </w:rPr>
              <w:t xml:space="preserve"> + </w:t>
            </w:r>
            <w:proofErr w:type="spellStart"/>
            <w:r w:rsidRPr="00BE46F9">
              <w:rPr>
                <w:rFonts w:eastAsia="Times New Roman"/>
                <w:i/>
                <w:lang w:val="ru-RU"/>
              </w:rPr>
              <w:t>ITPj</w:t>
            </w:r>
            <w:proofErr w:type="spellEnd"/>
            <w:r w:rsidRPr="00BE46F9">
              <w:rPr>
                <w:rFonts w:eastAsia="Times New Roman"/>
                <w:i/>
                <w:lang w:val="ru-RU"/>
              </w:rPr>
              <w:t xml:space="preserve">) × </w:t>
            </w:r>
            <w:proofErr w:type="spellStart"/>
            <w:r w:rsidRPr="00BE46F9">
              <w:rPr>
                <w:rFonts w:eastAsia="Times New Roman"/>
                <w:i/>
                <w:lang w:val="ru-RU"/>
              </w:rPr>
              <w:t>Rrj</w:t>
            </w:r>
            <w:proofErr w:type="spellEnd"/>
          </w:p>
        </w:tc>
        <w:tc>
          <w:tcPr>
            <w:tcW w:w="729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(12)</w:t>
            </w:r>
          </w:p>
        </w:tc>
      </w:tr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968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365</w:t>
            </w:r>
          </w:p>
        </w:tc>
        <w:tc>
          <w:tcPr>
            <w:tcW w:w="284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2931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</w:tr>
    </w:tbl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lang w:val="ru-RU"/>
        </w:rPr>
        <w:t>где:</w:t>
      </w:r>
    </w:p>
    <w:p w:rsidR="00E51505" w:rsidRPr="00BE46F9" w:rsidRDefault="00E51505" w:rsidP="00E51505">
      <w:pPr>
        <w:pStyle w:val="NormalWeb"/>
        <w:rPr>
          <w:lang w:val="ru-RU"/>
        </w:rPr>
      </w:pPr>
      <w:r w:rsidRPr="00BE46F9">
        <w:rPr>
          <w:lang w:val="ru-RU"/>
        </w:rPr>
        <w:t xml:space="preserve">α – потребность в оборотном фонде, выраженная в днях фактурирования. Методологией устанавливается α = 10 дней, </w:t>
      </w:r>
      <w:r w:rsidRPr="00BE46F9">
        <w:rPr>
          <w:rFonts w:eastAsia="Times New Roman"/>
          <w:lang w:val="ru-RU" w:eastAsia="en-GB"/>
        </w:rPr>
        <w:t>параметр, определяемый</w:t>
      </w:r>
      <w:r w:rsidRPr="00BE46F9" w:rsidDel="005A58E7">
        <w:rPr>
          <w:lang w:val="ru-RU"/>
        </w:rPr>
        <w:t xml:space="preserve"> </w:t>
      </w:r>
      <w:r w:rsidRPr="00BE46F9">
        <w:rPr>
          <w:lang w:val="ru-RU"/>
        </w:rPr>
        <w:t xml:space="preserve">на основании </w:t>
      </w:r>
      <w:r w:rsidRPr="00BE46F9">
        <w:rPr>
          <w:rFonts w:eastAsia="Times New Roman"/>
          <w:lang w:val="ru-RU" w:eastAsia="en-GB"/>
        </w:rPr>
        <w:t>режима</w:t>
      </w:r>
      <w:r w:rsidRPr="00BE46F9">
        <w:rPr>
          <w:lang w:val="ru-RU"/>
        </w:rPr>
        <w:t xml:space="preserve"> оплаты за услугу по передаче электроэнергии и </w:t>
      </w:r>
      <w:r w:rsidRPr="00BE46F9">
        <w:rPr>
          <w:rFonts w:eastAsia="Times New Roman"/>
          <w:lang w:val="ru-RU" w:eastAsia="en-GB"/>
        </w:rPr>
        <w:t>режима</w:t>
      </w:r>
      <w:r w:rsidRPr="00BE46F9">
        <w:rPr>
          <w:lang w:val="ru-RU"/>
        </w:rPr>
        <w:t xml:space="preserve"> оплаты </w:t>
      </w:r>
      <w:r w:rsidRPr="00BE46F9">
        <w:rPr>
          <w:rFonts w:eastAsia="Times New Roman"/>
          <w:lang w:val="ru-RU" w:eastAsia="en-GB"/>
        </w:rPr>
        <w:t xml:space="preserve">нужд </w:t>
      </w:r>
      <w:r w:rsidRPr="00BE46F9">
        <w:rPr>
          <w:lang w:val="ru-RU"/>
        </w:rPr>
        <w:t>оператора передающей системы (приобретение материалов, оплаты услуг, и др.);</w:t>
      </w:r>
    </w:p>
    <w:p w:rsidR="00E51505" w:rsidRPr="00BE46F9" w:rsidRDefault="00E51505" w:rsidP="00E51505">
      <w:pPr>
        <w:pStyle w:val="NormalWeb"/>
        <w:rPr>
          <w:i/>
          <w:lang w:val="ro-RO"/>
        </w:rPr>
      </w:pPr>
      <w:proofErr w:type="spellStart"/>
      <w:r w:rsidRPr="00BE46F9">
        <w:rPr>
          <w:i/>
          <w:lang w:val="ru-RU"/>
        </w:rPr>
        <w:t>Rrj</w:t>
      </w:r>
      <w:proofErr w:type="spellEnd"/>
      <w:r w:rsidRPr="00BE46F9">
        <w:rPr>
          <w:lang w:val="ru-RU"/>
        </w:rPr>
        <w:t xml:space="preserve"> – уровень рентабельности активов в году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», определяемый в соответствии с положениями Раздела 4 Методологии.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b/>
          <w:bCs/>
          <w:lang w:val="ru-RU"/>
        </w:rPr>
        <w:t>16.</w:t>
      </w:r>
      <w:r w:rsidRPr="00BE46F9">
        <w:rPr>
          <w:lang w:val="ru-RU"/>
        </w:rPr>
        <w:t xml:space="preserve"> В регулируемые расходы не включаются расходы, относящиеся к:</w:t>
      </w:r>
    </w:p>
    <w:p w:rsidR="00E51505" w:rsidRPr="00354BEC" w:rsidRDefault="00E51505" w:rsidP="00E51505">
      <w:pPr>
        <w:pStyle w:val="NormalWeb"/>
        <w:rPr>
          <w:sz w:val="22"/>
          <w:szCs w:val="22"/>
          <w:lang w:val="ro-RO"/>
        </w:rPr>
      </w:pPr>
      <w:r w:rsidRPr="00354BEC">
        <w:rPr>
          <w:sz w:val="22"/>
          <w:szCs w:val="22"/>
          <w:lang w:val="ru-RU"/>
        </w:rPr>
        <w:t>1) строительным работам, реконструкции, приобретению, модернизации, монтажу и тестированию оборудования, по вводу в действие новых предприятий, цехов и агрегатов, по сдаче в эксплуатацию новых предприятий (объектов) и авторскому надзору проектных организаций. Все эти расходы включаются в тариф только после сдачи в эксплуатацию основных средств путем включения их амортизации и рентабельности осуществленных инвестиций, как изложено в пункте 17;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2) устранению недоработок в проектных и строительно-монтажных работах, ревизии (демонтажу), устранению дефектов оборудования и повреждений, полученных по вине изготовителей, поставщиков и транспортных организаций;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3) выполнению работ по проектированию и строительству, приобретению оборудования, ремонту и содержанию объектов жилищного фонда, коммунального и социально-культурного назначения и прочих объектов, не относящихся к производственной деятельности;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4) работам, квалифицированным как оказание помощи другим предприятиям и организациям, как в форме услуг, так и в виде материальной или финансовой поддержки;</w:t>
      </w:r>
    </w:p>
    <w:p w:rsidR="00E51505" w:rsidRPr="00354BEC" w:rsidRDefault="00E51505" w:rsidP="00E51505">
      <w:pPr>
        <w:pStyle w:val="NormalWeb"/>
        <w:rPr>
          <w:sz w:val="22"/>
          <w:szCs w:val="22"/>
          <w:lang w:val="ru-RU"/>
        </w:rPr>
      </w:pPr>
      <w:r w:rsidRPr="00354BEC">
        <w:rPr>
          <w:sz w:val="22"/>
          <w:szCs w:val="22"/>
          <w:lang w:val="ru-RU"/>
        </w:rPr>
        <w:t>5) затратам, связанным с выплатой различных штрафов, пени, покрытием недостач и потерь;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6) безнадежным дебиторским задолженностям;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7) благотворительности и спонсорской деятельности;</w:t>
      </w:r>
    </w:p>
    <w:p w:rsidR="00E51505" w:rsidRPr="00BE46F9" w:rsidRDefault="00E51505" w:rsidP="00E51505">
      <w:pPr>
        <w:pStyle w:val="NormalWeb"/>
        <w:rPr>
          <w:lang w:val="ru-RU"/>
        </w:rPr>
      </w:pPr>
      <w:r w:rsidRPr="00BE46F9">
        <w:rPr>
          <w:lang w:val="ru-RU"/>
        </w:rPr>
        <w:t>8) выполнению или оплате вспомогательных работ (услуг), не связанных с оказанием услуг по передаче электрической энергии, а также к расходам, возмещаемым оператором передающей системы отдельно от тарифов по оказанию услуги по передаче электрической энергии.</w:t>
      </w:r>
    </w:p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cn"/>
        <w:rPr>
          <w:lang w:val="ro-RO"/>
        </w:rPr>
      </w:pPr>
      <w:r w:rsidRPr="00BE46F9">
        <w:rPr>
          <w:b/>
          <w:bCs/>
          <w:lang w:val="ru-RU"/>
        </w:rPr>
        <w:t>Раздел 4</w:t>
      </w:r>
    </w:p>
    <w:p w:rsidR="00E51505" w:rsidRPr="00BE46F9" w:rsidRDefault="00E51505" w:rsidP="00E51505">
      <w:pPr>
        <w:pStyle w:val="cn"/>
        <w:rPr>
          <w:lang w:val="ro-RO"/>
        </w:rPr>
      </w:pPr>
      <w:r w:rsidRPr="00BE46F9">
        <w:rPr>
          <w:b/>
          <w:bCs/>
          <w:lang w:val="ru-RU"/>
        </w:rPr>
        <w:t>ОПРЕДЕЛЕНИЕ РЕГУЛИРУЕМОЙ</w:t>
      </w:r>
    </w:p>
    <w:p w:rsidR="00E51505" w:rsidRPr="00BE46F9" w:rsidRDefault="00E51505" w:rsidP="00E51505">
      <w:pPr>
        <w:pStyle w:val="cn"/>
        <w:rPr>
          <w:lang w:val="ro-RO"/>
        </w:rPr>
      </w:pPr>
      <w:r w:rsidRPr="00BE46F9">
        <w:rPr>
          <w:b/>
          <w:bCs/>
          <w:lang w:val="ru-RU"/>
        </w:rPr>
        <w:t>РЕНТАБЕЛЬНОСТИ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b/>
          <w:bCs/>
          <w:lang w:val="ru-RU"/>
        </w:rPr>
        <w:t>17.</w:t>
      </w:r>
      <w:r w:rsidRPr="00BE46F9">
        <w:rPr>
          <w:lang w:val="ru-RU"/>
        </w:rPr>
        <w:t xml:space="preserve"> Регулируемая рентабельность в году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 определяется согласно формуле:</w:t>
      </w:r>
    </w:p>
    <w:p w:rsidR="00E51505" w:rsidRPr="00BE46F9" w:rsidRDefault="00E51505" w:rsidP="00E51505">
      <w:pPr>
        <w:pStyle w:val="NormalWeb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992"/>
      </w:tblGrid>
      <w:tr w:rsidR="00E51505" w:rsidRPr="00BE46F9" w:rsidTr="008D17F6">
        <w:trPr>
          <w:trHeight w:val="293"/>
          <w:jc w:val="center"/>
        </w:trPr>
        <w:tc>
          <w:tcPr>
            <w:tcW w:w="2600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Rj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=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VNAnj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×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Rrnj</w:t>
            </w:r>
            <w:proofErr w:type="spellEnd"/>
            <w:r w:rsidRPr="00BE46F9">
              <w:rPr>
                <w:rFonts w:eastAsia="Times New Roman"/>
                <w:lang w:val="ru-RU"/>
              </w:rPr>
              <w:t>,</w:t>
            </w:r>
          </w:p>
        </w:tc>
        <w:tc>
          <w:tcPr>
            <w:tcW w:w="992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(13)</w:t>
            </w:r>
          </w:p>
        </w:tc>
      </w:tr>
    </w:tbl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где: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VNAnj</w:t>
      </w:r>
      <w:proofErr w:type="spellEnd"/>
      <w:r w:rsidRPr="00BE46F9">
        <w:rPr>
          <w:lang w:val="ru-RU"/>
        </w:rPr>
        <w:t xml:space="preserve"> – чистая стоимость в году «</w:t>
      </w:r>
      <w:r w:rsidRPr="00BE46F9">
        <w:rPr>
          <w:i/>
          <w:iCs/>
          <w:lang w:val="ru-RU"/>
        </w:rPr>
        <w:t>j</w:t>
      </w:r>
      <w:r w:rsidRPr="00BE46F9">
        <w:rPr>
          <w:lang w:val="ru-RU"/>
        </w:rPr>
        <w:t>» новых долгосрочных материальных и нематериальных активов, сданных в эксплуатацию в результате осуществленных инвестиций, начиная с 2004 года и до начала года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 xml:space="preserve">». Эта стоимость определяется как разница между </w:t>
      </w:r>
      <w:r w:rsidRPr="00BE46F9">
        <w:rPr>
          <w:bCs/>
          <w:lang w:val="ru-RU"/>
        </w:rPr>
        <w:t xml:space="preserve">первоначальной </w:t>
      </w:r>
      <w:r w:rsidRPr="00BE46F9">
        <w:rPr>
          <w:lang w:val="ru-RU"/>
        </w:rPr>
        <w:t>стоимостью и амортизацией этих активов, накопленной до начала года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»:</w:t>
      </w:r>
    </w:p>
    <w:p w:rsidR="00E51505" w:rsidRPr="00BE46F9" w:rsidRDefault="00E51505" w:rsidP="00E51505">
      <w:pPr>
        <w:pStyle w:val="NormalWeb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0"/>
        <w:gridCol w:w="1050"/>
      </w:tblGrid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VNAnj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=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VIAnj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</w:t>
            </w:r>
            <w:r w:rsidRPr="00BE46F9">
              <w:rPr>
                <w:rFonts w:eastAsia="Times New Roman"/>
                <w:lang w:val="ru-RU"/>
              </w:rPr>
              <w:t>–</w:t>
            </w:r>
            <w:r w:rsidRPr="00BE46F9">
              <w:rPr>
                <w:rFonts w:eastAsia="Times New Roman"/>
                <w:i/>
                <w:iCs/>
                <w:lang w:val="ru-RU"/>
              </w:rPr>
              <w:t xml:space="preserve"> UAnj</w:t>
            </w:r>
            <w:r w:rsidRPr="00BE46F9">
              <w:rPr>
                <w:rFonts w:eastAsia="Times New Roman"/>
                <w:i/>
                <w:iCs/>
                <w:vertAlign w:val="subscript"/>
                <w:lang w:val="ru-RU"/>
              </w:rPr>
              <w:t>-1</w:t>
            </w:r>
            <w:r w:rsidRPr="00BE46F9">
              <w:rPr>
                <w:rFonts w:eastAsia="Times New Roman"/>
                <w:lang w:val="ru-RU"/>
              </w:rPr>
              <w:t>,</w:t>
            </w:r>
          </w:p>
        </w:tc>
        <w:tc>
          <w:tcPr>
            <w:tcW w:w="1050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(14)</w:t>
            </w:r>
          </w:p>
        </w:tc>
      </w:tr>
    </w:tbl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где: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VIAnj</w:t>
      </w:r>
      <w:proofErr w:type="spellEnd"/>
      <w:r w:rsidRPr="00BE46F9">
        <w:rPr>
          <w:lang w:val="ru-RU"/>
        </w:rPr>
        <w:t xml:space="preserve"> – </w:t>
      </w:r>
      <w:r w:rsidRPr="00BE46F9">
        <w:rPr>
          <w:bCs/>
          <w:lang w:val="ru-RU"/>
        </w:rPr>
        <w:t>первоначальная</w:t>
      </w:r>
      <w:r w:rsidRPr="00BE46F9">
        <w:rPr>
          <w:lang w:val="ru-RU"/>
        </w:rPr>
        <w:t xml:space="preserve"> стоимость новых долгосрочных материальных и нематериальных активов, сданных в эксплуатацию в результате инвестиций, осуществленных начиная с 2004 года и до начала года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i/>
          <w:iCs/>
          <w:lang w:val="ru-RU"/>
        </w:rPr>
        <w:t>UAnj</w:t>
      </w:r>
      <w:r w:rsidRPr="00BE46F9">
        <w:rPr>
          <w:lang w:val="ru-RU"/>
        </w:rPr>
        <w:t>-</w:t>
      </w:r>
      <w:r w:rsidRPr="00BE46F9">
        <w:rPr>
          <w:i/>
          <w:iCs/>
          <w:vertAlign w:val="subscript"/>
          <w:lang w:val="ru-RU"/>
        </w:rPr>
        <w:t>1</w:t>
      </w:r>
      <w:r w:rsidRPr="00BE46F9">
        <w:rPr>
          <w:lang w:val="ru-RU"/>
        </w:rPr>
        <w:t xml:space="preserve"> - амортизация новых долгосрочных материальных и нематериальных активов, накопленная в период с момента сдачи в эксплуатацию до начала года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».</w:t>
      </w:r>
    </w:p>
    <w:p w:rsidR="00E51505" w:rsidRPr="00BE46F9" w:rsidRDefault="00E51505" w:rsidP="00E51505">
      <w:pPr>
        <w:pStyle w:val="NormalWeb"/>
        <w:spacing w:after="120"/>
        <w:rPr>
          <w:lang w:val="ro-RO"/>
        </w:rPr>
      </w:pPr>
      <w:r w:rsidRPr="00BE46F9">
        <w:rPr>
          <w:lang w:val="ru-RU"/>
        </w:rPr>
        <w:t>В случае переоценки долгосрочных материальных активов их чистая стоимость, учитываемая при расчете рентабельности, определяется согласно формуле: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023"/>
        <w:gridCol w:w="719"/>
      </w:tblGrid>
      <w:tr w:rsidR="00E51505" w:rsidRPr="00BE46F9" w:rsidTr="008D17F6">
        <w:trPr>
          <w:jc w:val="center"/>
        </w:trPr>
        <w:tc>
          <w:tcPr>
            <w:tcW w:w="962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1023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VNArj</w:t>
            </w:r>
            <w:proofErr w:type="spellEnd"/>
          </w:p>
        </w:tc>
        <w:tc>
          <w:tcPr>
            <w:tcW w:w="719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</w:tr>
      <w:tr w:rsidR="00E51505" w:rsidRPr="00BE46F9" w:rsidTr="008D17F6">
        <w:trPr>
          <w:jc w:val="center"/>
        </w:trPr>
        <w:tc>
          <w:tcPr>
            <w:tcW w:w="962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VNAj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>=</w:t>
            </w:r>
          </w:p>
        </w:tc>
        <w:tc>
          <w:tcPr>
            <w:tcW w:w="1023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––––––,</w:t>
            </w:r>
          </w:p>
        </w:tc>
        <w:tc>
          <w:tcPr>
            <w:tcW w:w="719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(15)</w:t>
            </w:r>
          </w:p>
        </w:tc>
      </w:tr>
      <w:tr w:rsidR="00E51505" w:rsidRPr="00BE46F9" w:rsidTr="008D17F6">
        <w:trPr>
          <w:jc w:val="center"/>
        </w:trPr>
        <w:tc>
          <w:tcPr>
            <w:tcW w:w="962" w:type="dxa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  <w:tc>
          <w:tcPr>
            <w:tcW w:w="1023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k</w:t>
            </w:r>
          </w:p>
        </w:tc>
        <w:tc>
          <w:tcPr>
            <w:tcW w:w="719" w:type="dxa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</w:tr>
    </w:tbl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где: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VNArj</w:t>
      </w:r>
      <w:proofErr w:type="spellEnd"/>
      <w:r w:rsidRPr="00BE46F9">
        <w:rPr>
          <w:lang w:val="ru-RU"/>
        </w:rPr>
        <w:t xml:space="preserve"> – чистая стоимость материальных активов после переоценки;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i/>
          <w:iCs/>
          <w:lang w:val="ru-RU"/>
        </w:rPr>
        <w:t>k</w:t>
      </w:r>
      <w:r w:rsidRPr="00BE46F9">
        <w:rPr>
          <w:lang w:val="ru-RU"/>
        </w:rPr>
        <w:t xml:space="preserve"> – коэффициент отражающий изменение балансовой стоимости материальных активов после переоценки.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Rrnj</w:t>
      </w:r>
      <w:proofErr w:type="spellEnd"/>
      <w:r w:rsidRPr="00BE46F9">
        <w:rPr>
          <w:i/>
          <w:iCs/>
          <w:lang w:val="ru-RU"/>
        </w:rPr>
        <w:t xml:space="preserve"> –</w:t>
      </w:r>
      <w:r w:rsidRPr="00BE46F9">
        <w:rPr>
          <w:lang w:val="ru-RU"/>
        </w:rPr>
        <w:t xml:space="preserve"> уровень рентабельности в году «</w:t>
      </w:r>
      <w:r w:rsidRPr="00BE46F9">
        <w:rPr>
          <w:i/>
          <w:lang w:val="ru-RU"/>
        </w:rPr>
        <w:t>j</w:t>
      </w:r>
      <w:r w:rsidRPr="00BE46F9">
        <w:rPr>
          <w:lang w:val="ru-RU"/>
        </w:rPr>
        <w:t>» новых активов, сданных в эксплуатацию в результате осуществленных инвестиций. Данный уровень рентабельности определяется ежегодно согласно</w:t>
      </w:r>
      <w:r w:rsidRPr="00BE46F9" w:rsidDel="00A96025">
        <w:rPr>
          <w:lang w:val="ru-RU"/>
        </w:rPr>
        <w:t xml:space="preserve"> </w:t>
      </w:r>
      <w:r w:rsidRPr="00BE46F9">
        <w:rPr>
          <w:lang w:val="ru-RU"/>
        </w:rPr>
        <w:t>методу средневзвешенной стоимости капитала (</w:t>
      </w:r>
      <w:proofErr w:type="spellStart"/>
      <w:r w:rsidRPr="00BE46F9">
        <w:rPr>
          <w:lang w:val="ru-RU"/>
        </w:rPr>
        <w:t>Weighted</w:t>
      </w:r>
      <w:proofErr w:type="spellEnd"/>
      <w:r w:rsidRPr="00BE46F9">
        <w:rPr>
          <w:lang w:val="ru-RU"/>
        </w:rPr>
        <w:t xml:space="preserve"> </w:t>
      </w:r>
      <w:proofErr w:type="spellStart"/>
      <w:r w:rsidRPr="00BE46F9">
        <w:rPr>
          <w:lang w:val="ru-RU"/>
        </w:rPr>
        <w:t>Average</w:t>
      </w:r>
      <w:proofErr w:type="spellEnd"/>
      <w:r w:rsidRPr="00BE46F9">
        <w:rPr>
          <w:lang w:val="ru-RU"/>
        </w:rPr>
        <w:t xml:space="preserve"> </w:t>
      </w:r>
      <w:proofErr w:type="spellStart"/>
      <w:r w:rsidRPr="00BE46F9">
        <w:rPr>
          <w:lang w:val="ru-RU"/>
        </w:rPr>
        <w:t>Cost</w:t>
      </w:r>
      <w:proofErr w:type="spellEnd"/>
      <w:r w:rsidRPr="00BE46F9">
        <w:rPr>
          <w:lang w:val="ru-RU"/>
        </w:rPr>
        <w:t xml:space="preserve"> </w:t>
      </w:r>
      <w:proofErr w:type="spellStart"/>
      <w:r w:rsidRPr="00BE46F9">
        <w:rPr>
          <w:lang w:val="ru-RU"/>
        </w:rPr>
        <w:t>of</w:t>
      </w:r>
      <w:proofErr w:type="spellEnd"/>
      <w:r w:rsidRPr="00BE46F9">
        <w:rPr>
          <w:lang w:val="ru-RU"/>
        </w:rPr>
        <w:t xml:space="preserve"> </w:t>
      </w:r>
      <w:proofErr w:type="spellStart"/>
      <w:r w:rsidRPr="00BE46F9">
        <w:rPr>
          <w:lang w:val="ru-RU"/>
        </w:rPr>
        <w:t>Capital</w:t>
      </w:r>
      <w:proofErr w:type="spellEnd"/>
      <w:r w:rsidRPr="00BE46F9">
        <w:rPr>
          <w:lang w:val="ru-RU"/>
        </w:rPr>
        <w:t xml:space="preserve"> – WACC).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Таким образом:</w:t>
      </w:r>
    </w:p>
    <w:p w:rsidR="00E51505" w:rsidRPr="00BE46F9" w:rsidRDefault="00E51505" w:rsidP="00E51505">
      <w:pPr>
        <w:pStyle w:val="NormalWeb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665"/>
        <w:gridCol w:w="240"/>
        <w:gridCol w:w="840"/>
        <w:gridCol w:w="240"/>
        <w:gridCol w:w="567"/>
        <w:gridCol w:w="840"/>
        <w:gridCol w:w="1050"/>
      </w:tblGrid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Re</w:t>
            </w:r>
            <w:proofErr w:type="spellEnd"/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E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D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</w:tr>
      <w:tr w:rsidR="00E51505" w:rsidRPr="00BE46F9" w:rsidTr="008D17F6">
        <w:trPr>
          <w:jc w:val="center"/>
        </w:trPr>
        <w:tc>
          <w:tcPr>
            <w:tcW w:w="0" w:type="auto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Rrnj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= WACC =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×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+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Rd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×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–––,</w:t>
            </w:r>
          </w:p>
        </w:tc>
        <w:tc>
          <w:tcPr>
            <w:tcW w:w="1050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(16)</w:t>
            </w:r>
          </w:p>
        </w:tc>
      </w:tr>
      <w:tr w:rsidR="00E51505" w:rsidRPr="00BE46F9" w:rsidTr="008D17F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(1 – t)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(E + D)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(E + D)</w:t>
            </w:r>
          </w:p>
        </w:tc>
        <w:tc>
          <w:tcPr>
            <w:tcW w:w="0" w:type="auto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</w:tr>
    </w:tbl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где: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lang w:val="ru-RU"/>
        </w:rPr>
        <w:t>Rе</w:t>
      </w:r>
      <w:proofErr w:type="spellEnd"/>
      <w:r w:rsidRPr="00BE46F9">
        <w:rPr>
          <w:lang w:val="ru-RU"/>
        </w:rPr>
        <w:t xml:space="preserve"> - стоимость собственного капитала, %, которая определяется на основании модели </w:t>
      </w:r>
      <w:r w:rsidRPr="00BE46F9">
        <w:rPr>
          <w:i/>
          <w:lang w:val="ru-RU"/>
        </w:rPr>
        <w:t>CAMP</w:t>
      </w:r>
      <w:r w:rsidRPr="00BE46F9">
        <w:rPr>
          <w:lang w:val="ru-RU"/>
        </w:rPr>
        <w:t xml:space="preserve"> (</w:t>
      </w:r>
      <w:proofErr w:type="spellStart"/>
      <w:r w:rsidRPr="00BE46F9">
        <w:rPr>
          <w:lang w:val="ru-RU"/>
        </w:rPr>
        <w:t>Capital</w:t>
      </w:r>
      <w:proofErr w:type="spellEnd"/>
      <w:r w:rsidRPr="00BE46F9">
        <w:rPr>
          <w:lang w:val="ru-RU"/>
        </w:rPr>
        <w:t xml:space="preserve"> </w:t>
      </w:r>
      <w:proofErr w:type="spellStart"/>
      <w:r w:rsidRPr="00BE46F9">
        <w:rPr>
          <w:lang w:val="ru-RU"/>
        </w:rPr>
        <w:t>Assets</w:t>
      </w:r>
      <w:proofErr w:type="spellEnd"/>
      <w:r w:rsidRPr="00BE46F9">
        <w:rPr>
          <w:lang w:val="ru-RU"/>
        </w:rPr>
        <w:t xml:space="preserve"> </w:t>
      </w:r>
      <w:proofErr w:type="spellStart"/>
      <w:r w:rsidRPr="00BE46F9">
        <w:rPr>
          <w:lang w:val="ru-RU"/>
        </w:rPr>
        <w:t>Pricing</w:t>
      </w:r>
      <w:proofErr w:type="spellEnd"/>
      <w:r w:rsidRPr="00BE46F9">
        <w:rPr>
          <w:lang w:val="ru-RU"/>
        </w:rPr>
        <w:t xml:space="preserve"> </w:t>
      </w:r>
      <w:proofErr w:type="spellStart"/>
      <w:r w:rsidRPr="00BE46F9">
        <w:rPr>
          <w:lang w:val="ru-RU"/>
        </w:rPr>
        <w:t>Model</w:t>
      </w:r>
      <w:proofErr w:type="spellEnd"/>
      <w:r w:rsidRPr="00BE46F9">
        <w:rPr>
          <w:lang w:val="ru-RU"/>
        </w:rPr>
        <w:t>) согласно формуле:</w:t>
      </w:r>
    </w:p>
    <w:p w:rsidR="00E51505" w:rsidRPr="00BE46F9" w:rsidRDefault="00E51505" w:rsidP="00E51505">
      <w:pPr>
        <w:pStyle w:val="NormalWeb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050"/>
      </w:tblGrid>
      <w:tr w:rsidR="00E51505" w:rsidRPr="00BE46F9" w:rsidTr="008D17F6">
        <w:trPr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Re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=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rf</w:t>
            </w:r>
            <w:proofErr w:type="spellEnd"/>
            <w:r w:rsidRPr="00BE46F9">
              <w:rPr>
                <w:rFonts w:eastAsia="Times New Roman"/>
                <w:i/>
                <w:iCs/>
                <w:lang w:val="ru-RU"/>
              </w:rPr>
              <w:t xml:space="preserve"> + </w:t>
            </w:r>
            <w:proofErr w:type="spellStart"/>
            <w:r w:rsidRPr="00BE46F9">
              <w:rPr>
                <w:rFonts w:eastAsia="Times New Roman"/>
                <w:i/>
                <w:iCs/>
                <w:lang w:val="ru-RU"/>
              </w:rPr>
              <w:t>rt</w:t>
            </w:r>
            <w:proofErr w:type="spellEnd"/>
            <w:r w:rsidRPr="00BE46F9">
              <w:rPr>
                <w:rFonts w:eastAsia="Times New Roman"/>
                <w:lang w:val="ru-RU"/>
              </w:rPr>
              <w:t>,</w:t>
            </w:r>
          </w:p>
        </w:tc>
        <w:tc>
          <w:tcPr>
            <w:tcW w:w="1050" w:type="dxa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right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(17)</w:t>
            </w:r>
          </w:p>
        </w:tc>
      </w:tr>
    </w:tbl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где:</w:t>
      </w:r>
    </w:p>
    <w:p w:rsidR="00E51505" w:rsidRPr="00BE46F9" w:rsidRDefault="00E51505" w:rsidP="00E51505">
      <w:pPr>
        <w:pStyle w:val="NormalWeb"/>
        <w:rPr>
          <w:lang w:val="ro-RO"/>
        </w:rPr>
      </w:pPr>
      <w:proofErr w:type="spellStart"/>
      <w:r w:rsidRPr="00BE46F9">
        <w:rPr>
          <w:i/>
          <w:iCs/>
          <w:lang w:val="ru-RU"/>
        </w:rPr>
        <w:t>rf</w:t>
      </w:r>
      <w:proofErr w:type="spellEnd"/>
      <w:r w:rsidRPr="00BE46F9">
        <w:rPr>
          <w:lang w:val="ru-RU"/>
        </w:rPr>
        <w:t xml:space="preserve"> – ставка рентабельности, свободная от риска, %. Эта ставка определяется ежегодно на основе ставок свободных от риска государственных казначейских ценных бумаг США со сроком погашения более 10 лет, согласно статистическим данным, опубликованным BLOOMBERG на своей электронной странице;</w:t>
      </w:r>
    </w:p>
    <w:p w:rsidR="00E51505" w:rsidRPr="00BE46F9" w:rsidRDefault="00E51505" w:rsidP="00E51505">
      <w:pPr>
        <w:pStyle w:val="NormalWeb"/>
        <w:rPr>
          <w:lang w:val="ru-RU"/>
        </w:rPr>
      </w:pPr>
      <w:proofErr w:type="spellStart"/>
      <w:r w:rsidRPr="00BE46F9">
        <w:rPr>
          <w:i/>
          <w:iCs/>
          <w:lang w:val="ru-RU"/>
        </w:rPr>
        <w:lastRenderedPageBreak/>
        <w:t>rt</w:t>
      </w:r>
      <w:proofErr w:type="spellEnd"/>
      <w:r w:rsidRPr="00BE46F9">
        <w:rPr>
          <w:lang w:val="ru-RU"/>
        </w:rPr>
        <w:t xml:space="preserve"> - ставка риска, характерная для Республики Молдова. Настоящая Методология предусматривает, что ставка</w:t>
      </w:r>
      <w:r w:rsidRPr="00BE46F9" w:rsidDel="004E1DBA">
        <w:rPr>
          <w:lang w:val="ru-RU"/>
        </w:rPr>
        <w:t xml:space="preserve"> </w:t>
      </w:r>
      <w:r w:rsidRPr="00BE46F9">
        <w:rPr>
          <w:lang w:val="ru-RU"/>
        </w:rPr>
        <w:t>риска для Молдовы будет применяться на уровне 6,75 %. В том году, когда согласно статистическим публикациям DAMODARAN, доступных на его электронной странице, ставка риска для Молдовы будет ниже вышеуказанной, будет применяться опубликованная ставка;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i/>
          <w:iCs/>
          <w:lang w:val="ru-RU"/>
        </w:rPr>
        <w:t>t</w:t>
      </w:r>
      <w:r w:rsidRPr="00BE46F9">
        <w:rPr>
          <w:lang w:val="ru-RU"/>
        </w:rPr>
        <w:t xml:space="preserve"> - ставка подоходного налога, применяемая для предприятия;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i/>
          <w:iCs/>
          <w:lang w:val="ru-RU"/>
        </w:rPr>
        <w:t>E</w:t>
      </w:r>
      <w:r w:rsidRPr="00BE46F9">
        <w:rPr>
          <w:lang w:val="ru-RU"/>
        </w:rPr>
        <w:t xml:space="preserve"> – собственный капитал оператора передающей системы;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i/>
          <w:iCs/>
          <w:lang w:val="ru-RU"/>
        </w:rPr>
        <w:t>D</w:t>
      </w:r>
      <w:r w:rsidRPr="00BE46F9">
        <w:rPr>
          <w:lang w:val="ru-RU"/>
        </w:rPr>
        <w:t xml:space="preserve"> – заемный капитал оператора передающей системы.</w:t>
      </w:r>
    </w:p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u-RU"/>
        </w:rPr>
        <w:t>Методология предусматривает, что структура осуществленных инвестиций, используемая при расчете уровня рентабельности, составит 50% из собственных средств и 50% из займов.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518"/>
        <w:gridCol w:w="840"/>
        <w:gridCol w:w="207"/>
        <w:gridCol w:w="840"/>
        <w:gridCol w:w="1128"/>
      </w:tblGrid>
      <w:tr w:rsidR="00E51505" w:rsidRPr="00BE46F9" w:rsidTr="008D17F6"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E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D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</w:tr>
      <w:tr w:rsidR="00E51505" w:rsidRPr="00BE46F9" w:rsidTr="008D17F6">
        <w:tc>
          <w:tcPr>
            <w:tcW w:w="0" w:type="auto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В этом случае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и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–––,</w:t>
            </w:r>
          </w:p>
        </w:tc>
        <w:tc>
          <w:tcPr>
            <w:tcW w:w="0" w:type="auto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lang w:val="ru-RU"/>
              </w:rPr>
              <w:t>равны 0,5.</w:t>
            </w:r>
          </w:p>
        </w:tc>
      </w:tr>
      <w:tr w:rsidR="00E51505" w:rsidRPr="00BE46F9" w:rsidTr="008D17F6">
        <w:tc>
          <w:tcPr>
            <w:tcW w:w="0" w:type="auto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(E + D)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51505" w:rsidRPr="00BE46F9" w:rsidRDefault="00E51505" w:rsidP="008D17F6">
            <w:pPr>
              <w:jc w:val="center"/>
              <w:rPr>
                <w:rFonts w:eastAsia="Times New Roman"/>
                <w:lang w:val="ro-RO"/>
              </w:rPr>
            </w:pPr>
            <w:r w:rsidRPr="00BE46F9">
              <w:rPr>
                <w:rFonts w:eastAsia="Times New Roman"/>
                <w:i/>
                <w:iCs/>
                <w:lang w:val="ru-RU"/>
              </w:rPr>
              <w:t>(E + D)</w:t>
            </w:r>
          </w:p>
        </w:tc>
        <w:tc>
          <w:tcPr>
            <w:tcW w:w="0" w:type="auto"/>
            <w:vMerge/>
            <w:vAlign w:val="center"/>
            <w:hideMark/>
          </w:tcPr>
          <w:p w:rsidR="00E51505" w:rsidRPr="00BE46F9" w:rsidRDefault="00E51505" w:rsidP="008D17F6">
            <w:pPr>
              <w:rPr>
                <w:rFonts w:eastAsia="Times New Roman"/>
                <w:lang w:val="ro-RO"/>
              </w:rPr>
            </w:pPr>
          </w:p>
        </w:tc>
      </w:tr>
    </w:tbl>
    <w:p w:rsidR="00E51505" w:rsidRPr="00BE46F9" w:rsidRDefault="00E51505" w:rsidP="00E51505">
      <w:pPr>
        <w:pStyle w:val="NormalWeb"/>
        <w:rPr>
          <w:lang w:val="ro-RO"/>
        </w:rPr>
      </w:pPr>
      <w:r w:rsidRPr="00BE46F9">
        <w:rPr>
          <w:lang w:val="ro-RO"/>
        </w:rPr>
        <w:t> </w:t>
      </w:r>
    </w:p>
    <w:p w:rsidR="00E51505" w:rsidRPr="00BE46F9" w:rsidRDefault="00E51505" w:rsidP="00E51505">
      <w:pPr>
        <w:pStyle w:val="NormalWeb"/>
        <w:spacing w:after="120"/>
        <w:rPr>
          <w:lang w:val="ro-RO"/>
        </w:rPr>
      </w:pPr>
      <w:proofErr w:type="spellStart"/>
      <w:r w:rsidRPr="00BE46F9">
        <w:rPr>
          <w:i/>
          <w:iCs/>
          <w:lang w:val="ru-RU"/>
        </w:rPr>
        <w:t>Rd</w:t>
      </w:r>
      <w:proofErr w:type="spellEnd"/>
      <w:r w:rsidRPr="00BE46F9">
        <w:rPr>
          <w:lang w:val="ru-RU"/>
        </w:rPr>
        <w:t xml:space="preserve"> – стоимость заемного капитала предприятия. Будет определяться ежегодно как среднее значение, рассчитанное на основе текущей процентной ставки по эффективному и хорошо управляемому кредиту на рынке капитала. Это значение соответствует средневзвешенной процентной ставке по кредитам, предоставленным юридическим лицам в иностранной валюте на срок более 12 месяцев в году, предшествующем году расчета тарифа, опубликованной Национальным банком Молдовы в разделе: «Средневзвешенные процентные ставки </w:t>
      </w:r>
      <w:r w:rsidRPr="00BE46F9">
        <w:rPr>
          <w:rFonts w:ascii="permianseriftypefaceregular" w:hAnsi="permianseriftypefaceregular"/>
          <w:shd w:val="clear" w:color="auto" w:fill="FFFFFF"/>
          <w:lang w:val="ru-RU"/>
        </w:rPr>
        <w:t xml:space="preserve">и объемы </w:t>
      </w:r>
      <w:r w:rsidRPr="00BE46F9">
        <w:rPr>
          <w:lang w:val="ru-RU"/>
        </w:rPr>
        <w:t>по вновь выданным кредитам и привлеченным депозитам».</w:t>
      </w:r>
    </w:p>
    <w:p w:rsidR="00E51505" w:rsidRPr="00BE46F9" w:rsidRDefault="00E51505" w:rsidP="00E51505">
      <w:pPr>
        <w:pStyle w:val="NormalWeb"/>
        <w:spacing w:after="120"/>
        <w:rPr>
          <w:lang w:val="ro-RO"/>
        </w:rPr>
      </w:pPr>
      <w:r w:rsidRPr="00BE46F9">
        <w:rPr>
          <w:b/>
          <w:bCs/>
          <w:lang w:val="ru-RU"/>
        </w:rPr>
        <w:t>18.</w:t>
      </w:r>
      <w:r w:rsidRPr="00BE46F9">
        <w:rPr>
          <w:lang w:val="ru-RU"/>
        </w:rPr>
        <w:t xml:space="preserve"> Планирование, утверждение и сдача в эксплуатацию инвестиций осуществляется в строгом соответствии с требованиями, установленными Положением о планировании, утверждении и осуществлении инвестиций, утвержденном Постановлени</w:t>
      </w:r>
      <w:r>
        <w:rPr>
          <w:lang w:val="ru-RU"/>
        </w:rPr>
        <w:t>ем административного Совета Агентства</w:t>
      </w:r>
      <w:r w:rsidRPr="00BE46F9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BE46F9">
        <w:rPr>
          <w:lang w:val="ru-RU"/>
        </w:rPr>
        <w:t xml:space="preserve">283/2016 от </w:t>
      </w:r>
      <w:r>
        <w:rPr>
          <w:lang w:val="ru-RU"/>
        </w:rPr>
        <w:t xml:space="preserve">15 </w:t>
      </w:r>
      <w:r w:rsidRPr="00BE46F9">
        <w:rPr>
          <w:lang w:val="ru-RU"/>
        </w:rPr>
        <w:t>ноября 2016.</w:t>
      </w:r>
    </w:p>
    <w:p w:rsidR="00E51505" w:rsidRPr="00BE46F9" w:rsidRDefault="00E51505" w:rsidP="00E51505">
      <w:pPr>
        <w:pStyle w:val="NormalWeb"/>
        <w:spacing w:after="120"/>
        <w:rPr>
          <w:lang w:val="ro-RO"/>
        </w:rPr>
      </w:pPr>
      <w:r w:rsidRPr="00BE46F9">
        <w:rPr>
          <w:b/>
          <w:bCs/>
          <w:lang w:val="ru-RU"/>
        </w:rPr>
        <w:t>19.</w:t>
      </w:r>
      <w:r w:rsidRPr="00BE46F9">
        <w:rPr>
          <w:lang w:val="ru-RU"/>
        </w:rPr>
        <w:t xml:space="preserve"> Основные средства и долгосрочные нематериальные активы, сданные в эксплуатацию в результате осуществления инвестиций, утвержденных Агентством, включаются в расчет амортизации и рентабельности в соответствии с положениями настоящей Методологии.</w:t>
      </w:r>
    </w:p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cn"/>
        <w:rPr>
          <w:lang w:val="ro-RO"/>
        </w:rPr>
      </w:pPr>
      <w:r w:rsidRPr="00BE46F9">
        <w:rPr>
          <w:b/>
          <w:bCs/>
          <w:lang w:val="ru-RU"/>
        </w:rPr>
        <w:t>Раздел 5</w:t>
      </w:r>
    </w:p>
    <w:p w:rsidR="00E51505" w:rsidRPr="00BE46F9" w:rsidRDefault="00E51505" w:rsidP="00E51505">
      <w:pPr>
        <w:pStyle w:val="cn"/>
        <w:rPr>
          <w:lang w:val="ro-RO"/>
        </w:rPr>
      </w:pPr>
      <w:r w:rsidRPr="00BE46F9">
        <w:rPr>
          <w:b/>
          <w:bCs/>
          <w:lang w:val="ru-RU"/>
        </w:rPr>
        <w:t>ОПРЕДЕЛЕНИЕ, УТВЕРЖДЕНИЕ И ПЕРЕСМОТР ТАРИФОВ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 w:rsidRPr="00BE46F9">
        <w:rPr>
          <w:b/>
          <w:bCs/>
          <w:lang w:val="ru-RU"/>
        </w:rPr>
        <w:t>20.</w:t>
      </w:r>
      <w:r w:rsidRPr="00BE46F9">
        <w:rPr>
          <w:lang w:val="ru-RU"/>
        </w:rPr>
        <w:t xml:space="preserve"> Оператор передающей системы ежегодно, до конца ноября, представит в Агентство расчет тарифов на следующий год, осуществленный в соответствии с настоящей Методологией. Агентство рассмотрит представленные материалы и, при наличии объективных оснований, утвердит данные тарифы. Тарифы будут утверждены как фиксированные тарифы, и таким образом будет исключена любая дискриминация потребителей и других пользователей системы в процессе их применения.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>
        <w:rPr>
          <w:b/>
          <w:bCs/>
          <w:lang w:val="ru-RU"/>
        </w:rPr>
        <w:t>21</w:t>
      </w:r>
      <w:r w:rsidRPr="00BE46F9">
        <w:rPr>
          <w:b/>
          <w:bCs/>
          <w:lang w:val="ru-RU"/>
        </w:rPr>
        <w:t>.</w:t>
      </w:r>
      <w:r w:rsidRPr="00BE46F9">
        <w:rPr>
          <w:lang w:val="ru-RU"/>
        </w:rPr>
        <w:t xml:space="preserve"> Материальные расходы, расходы на персонал, расходы на содержание и эксплуатацию и административные расходы для первого года действия Методологии, базового года (</w:t>
      </w:r>
      <w:proofErr w:type="spellStart"/>
      <w:r w:rsidRPr="00BE46F9">
        <w:rPr>
          <w:i/>
          <w:iCs/>
          <w:lang w:val="ru-RU"/>
        </w:rPr>
        <w:t>CMo</w:t>
      </w:r>
      <w:proofErr w:type="spellEnd"/>
      <w:r w:rsidRPr="00BE46F9">
        <w:rPr>
          <w:i/>
          <w:iCs/>
          <w:lang w:val="ru-RU"/>
        </w:rPr>
        <w:t xml:space="preserve">, </w:t>
      </w:r>
      <w:proofErr w:type="spellStart"/>
      <w:r w:rsidRPr="00BE46F9">
        <w:rPr>
          <w:i/>
          <w:iCs/>
          <w:lang w:val="ru-RU"/>
        </w:rPr>
        <w:t>CIEo</w:t>
      </w:r>
      <w:proofErr w:type="spellEnd"/>
      <w:r w:rsidRPr="00BE46F9">
        <w:rPr>
          <w:i/>
          <w:iCs/>
          <w:lang w:val="ru-RU"/>
        </w:rPr>
        <w:t xml:space="preserve">, </w:t>
      </w:r>
      <w:proofErr w:type="spellStart"/>
      <w:r w:rsidRPr="00BE46F9">
        <w:rPr>
          <w:i/>
          <w:iCs/>
          <w:lang w:val="ru-RU"/>
        </w:rPr>
        <w:t>CRMo</w:t>
      </w:r>
      <w:proofErr w:type="spellEnd"/>
      <w:r w:rsidRPr="00BE46F9">
        <w:rPr>
          <w:i/>
          <w:iCs/>
          <w:lang w:val="ru-RU"/>
        </w:rPr>
        <w:t xml:space="preserve">, </w:t>
      </w:r>
      <w:proofErr w:type="spellStart"/>
      <w:r w:rsidRPr="00BE46F9">
        <w:rPr>
          <w:i/>
          <w:iCs/>
          <w:lang w:val="ru-RU"/>
        </w:rPr>
        <w:t>CAo</w:t>
      </w:r>
      <w:proofErr w:type="spellEnd"/>
      <w:r w:rsidRPr="00BE46F9">
        <w:rPr>
          <w:lang w:val="ru-RU"/>
        </w:rPr>
        <w:t>), определяются оператором передающей системы, исходя из реальных потребностей, рассматриваются и утверждаются Административным советом Агентства и публикуются в Официальном мониторе Республики Молдова.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>
        <w:rPr>
          <w:b/>
          <w:lang w:val="ru-RU"/>
        </w:rPr>
        <w:t>22</w:t>
      </w:r>
      <w:r w:rsidRPr="00BE46F9">
        <w:rPr>
          <w:b/>
          <w:lang w:val="ru-RU"/>
        </w:rPr>
        <w:t>.</w:t>
      </w:r>
      <w:r w:rsidRPr="00BE46F9">
        <w:rPr>
          <w:lang w:val="ru-RU"/>
        </w:rPr>
        <w:t xml:space="preserve"> В случае, если в конкретном году на национальном уровне изменится минимальная гарантированная заработная плата в реальном секторе, что приведет к большему увеличению расходов на персонал в данном году, чем расходы на персонал, актуализированные в </w:t>
      </w:r>
      <w:r w:rsidRPr="00BE46F9">
        <w:rPr>
          <w:lang w:val="ru-RU"/>
        </w:rPr>
        <w:lastRenderedPageBreak/>
        <w:t xml:space="preserve">соответствии с формулой пересмотра, то эти расходы за соответствующий год будут актуализированы, исходя из нового гарантированного минимального уровня и </w:t>
      </w:r>
      <w:r w:rsidRPr="00BE46F9">
        <w:rPr>
          <w:rFonts w:eastAsia="Times New Roman"/>
          <w:lang w:val="ru-RU" w:eastAsia="en-GB"/>
        </w:rPr>
        <w:t xml:space="preserve">индекса повышения эффективности </w:t>
      </w:r>
      <w:r w:rsidRPr="00BE46F9">
        <w:rPr>
          <w:lang w:val="ru-RU"/>
        </w:rPr>
        <w:t>в размере 10 % от среднегодового темпа роста минимальной гарантированной заработной платы в реальном секторе.</w:t>
      </w:r>
    </w:p>
    <w:p w:rsidR="00E51505" w:rsidRPr="00B07801" w:rsidRDefault="00E51505" w:rsidP="00E51505">
      <w:pPr>
        <w:pStyle w:val="NormalWeb"/>
        <w:spacing w:before="120"/>
        <w:rPr>
          <w:sz w:val="22"/>
          <w:szCs w:val="22"/>
          <w:lang w:val="ru-RU"/>
        </w:rPr>
      </w:pPr>
      <w:r>
        <w:rPr>
          <w:b/>
          <w:bCs/>
          <w:lang w:val="ru-RU"/>
        </w:rPr>
        <w:t>23.</w:t>
      </w:r>
      <w:r w:rsidRPr="00BE46F9">
        <w:rPr>
          <w:lang w:val="ru-RU"/>
        </w:rPr>
        <w:t xml:space="preserve"> Пересмотр тарифов на услугу по передаче электроэнергии в течение года будет </w:t>
      </w:r>
      <w:r w:rsidRPr="00B07801">
        <w:rPr>
          <w:rFonts w:eastAsia="Times New Roman"/>
          <w:sz w:val="22"/>
          <w:szCs w:val="22"/>
          <w:lang w:val="ru-RU" w:eastAsia="en-GB"/>
        </w:rPr>
        <w:t>осуществлено только в случаях наличия объективных факторов, неподконтрольных оператору передающей системы (</w:t>
      </w:r>
      <w:r w:rsidRPr="00B07801">
        <w:rPr>
          <w:sz w:val="22"/>
          <w:szCs w:val="22"/>
          <w:lang w:val="ru-RU"/>
        </w:rPr>
        <w:t xml:space="preserve">изменение количества переданной электроэнергии, изменение цен на приобретение электроэнергии, необходимой для покрытия технологического расхода, колебание обменного курса национальной валюты по отношению к доллару США, принятие законодательных актов, приводящих к изменению расходов и др.), которые обосновывают соответствующий пересмотр и приводят к отклонению от первоначальных общих регулируемых затрат, взятых в расчете при установлении тарифов, более чем на 5 процентов. </w:t>
      </w:r>
      <w:r w:rsidRPr="00B07801">
        <w:rPr>
          <w:rFonts w:eastAsia="Times New Roman"/>
          <w:sz w:val="22"/>
          <w:szCs w:val="22"/>
          <w:lang w:val="ru-RU" w:eastAsia="en-GB"/>
        </w:rPr>
        <w:t>Для этого оператор передающей системы представит в Агентство детальный анализ факторов влияния и расчет отклонений, образовавшиеся в связи с изменением реальных параметров по отношению к тем, которые были включены в расчет утвержденных тарифов.</w:t>
      </w:r>
      <w:r w:rsidRPr="00B07801">
        <w:rPr>
          <w:sz w:val="22"/>
          <w:szCs w:val="22"/>
          <w:lang w:val="ru-RU"/>
        </w:rPr>
        <w:t xml:space="preserve"> В таких случаях Агентство произведёт пересмотр</w:t>
      </w:r>
      <w:r w:rsidRPr="00B07801">
        <w:rPr>
          <w:rFonts w:eastAsia="Times New Roman"/>
          <w:sz w:val="22"/>
          <w:szCs w:val="22"/>
          <w:lang w:val="ru-RU" w:eastAsia="en-GB"/>
        </w:rPr>
        <w:t xml:space="preserve"> тарифов, исходя из</w:t>
      </w:r>
      <w:r w:rsidRPr="00B07801">
        <w:rPr>
          <w:sz w:val="22"/>
          <w:szCs w:val="22"/>
          <w:lang w:val="ru-RU"/>
        </w:rPr>
        <w:t xml:space="preserve"> выявленных</w:t>
      </w:r>
      <w:r w:rsidRPr="00B07801">
        <w:rPr>
          <w:rFonts w:eastAsia="Times New Roman"/>
          <w:sz w:val="22"/>
          <w:szCs w:val="22"/>
          <w:lang w:val="ru-RU" w:eastAsia="en-GB"/>
        </w:rPr>
        <w:t xml:space="preserve"> объективных факторов и уровня их влияния на тарифы.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>
        <w:rPr>
          <w:b/>
          <w:bCs/>
          <w:lang w:val="ru-RU"/>
        </w:rPr>
        <w:t>24</w:t>
      </w:r>
      <w:r w:rsidRPr="00BE46F9">
        <w:rPr>
          <w:b/>
          <w:bCs/>
          <w:lang w:val="ru-RU"/>
        </w:rPr>
        <w:t>.</w:t>
      </w:r>
      <w:r w:rsidRPr="00BE46F9">
        <w:rPr>
          <w:lang w:val="ru-RU"/>
        </w:rPr>
        <w:t xml:space="preserve"> В случае изменения тарифов в течение отчетного года, тарифные отклонения (</w:t>
      </w:r>
      <w:proofErr w:type="spellStart"/>
      <w:r w:rsidRPr="00BE46F9">
        <w:rPr>
          <w:i/>
          <w:iCs/>
          <w:lang w:val="ru-RU"/>
        </w:rPr>
        <w:t>DVj</w:t>
      </w:r>
      <w:proofErr w:type="spellEnd"/>
      <w:r w:rsidRPr="00BE46F9">
        <w:rPr>
          <w:lang w:val="ru-RU"/>
        </w:rPr>
        <w:t>), образованные в предыдущем периоде отчетного года, учитываются в полной мере при расчете новых тарифов. В этом случае тарифные отклонения включаются в тариф таким образом, чтобы они были возмещены до конца отчетного года.</w:t>
      </w:r>
    </w:p>
    <w:p w:rsidR="00E51505" w:rsidRPr="00BE46F9" w:rsidRDefault="00E51505" w:rsidP="00E51505">
      <w:pPr>
        <w:pStyle w:val="NormalWeb"/>
        <w:spacing w:before="120"/>
        <w:rPr>
          <w:lang w:val="ro-RO"/>
        </w:rPr>
      </w:pPr>
      <w:r>
        <w:rPr>
          <w:b/>
          <w:bCs/>
          <w:lang w:val="ru-RU"/>
        </w:rPr>
        <w:t>25</w:t>
      </w:r>
      <w:r w:rsidRPr="00BE46F9">
        <w:rPr>
          <w:b/>
          <w:bCs/>
          <w:lang w:val="ru-RU"/>
        </w:rPr>
        <w:t>.</w:t>
      </w:r>
      <w:r w:rsidRPr="00BE46F9">
        <w:rPr>
          <w:lang w:val="ru-RU"/>
        </w:rPr>
        <w:t xml:space="preserve"> Пересмотр (увеличение/уменьшение) тарифов в течение года осуществляется по официальному запросу оператора передающей системы или по инициативе Агентства.</w:t>
      </w:r>
    </w:p>
    <w:p w:rsidR="00E51505" w:rsidRPr="00BE46F9" w:rsidRDefault="00E51505" w:rsidP="00E51505">
      <w:pPr>
        <w:pStyle w:val="NormalWeb"/>
        <w:rPr>
          <w:lang w:val="ro-RO"/>
        </w:rPr>
      </w:pPr>
    </w:p>
    <w:p w:rsidR="00E51505" w:rsidRPr="00BE46F9" w:rsidRDefault="00E51505" w:rsidP="00E51505">
      <w:pPr>
        <w:pStyle w:val="cb"/>
        <w:rPr>
          <w:lang w:val="ro-RO"/>
        </w:rPr>
      </w:pPr>
      <w:r>
        <w:rPr>
          <w:lang w:val="ru-RU"/>
        </w:rPr>
        <w:t>Раздел 6</w:t>
      </w:r>
    </w:p>
    <w:p w:rsidR="00E51505" w:rsidRPr="00BE46F9" w:rsidRDefault="00E51505" w:rsidP="00E51505">
      <w:pPr>
        <w:pStyle w:val="cb"/>
        <w:rPr>
          <w:lang w:val="ro-RO"/>
        </w:rPr>
      </w:pPr>
      <w:r w:rsidRPr="00BE46F9">
        <w:rPr>
          <w:lang w:val="ru-RU"/>
        </w:rPr>
        <w:t>ЗАКЛЮЧИТЕЛЬНЫЕ ПОЛОЖЕНИЯ</w:t>
      </w:r>
    </w:p>
    <w:p w:rsidR="00E51505" w:rsidRPr="00BE46F9" w:rsidRDefault="00E51505" w:rsidP="00E51505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2</w:t>
      </w:r>
      <w:r w:rsidRPr="003A1A2A">
        <w:rPr>
          <w:b/>
          <w:bCs/>
          <w:lang w:val="ru-RU"/>
        </w:rPr>
        <w:t>6</w:t>
      </w:r>
      <w:r w:rsidRPr="00BE46F9">
        <w:rPr>
          <w:b/>
          <w:bCs/>
          <w:lang w:val="ru-RU"/>
        </w:rPr>
        <w:t>.</w:t>
      </w:r>
      <w:r w:rsidRPr="00BE46F9">
        <w:rPr>
          <w:lang w:val="ru-RU"/>
        </w:rPr>
        <w:t xml:space="preserve"> Настоящая Методология предусматривает, что годовая амортизация долгосрочных материальных и нематериальных активов, включенная в тариф, за исключением тех, которые относятся к инвестициям, осуществленным из заемных средств, будет использоваться оператором передающей системы только в целях осуществления новых инвестиций. В случае использования амортизации активов в других целях Агентство вправе снизить тарифы на услугу по передаче электроэнергии на следующий год, на соответствующее значение этих средств, использованных на иные цели.</w:t>
      </w:r>
    </w:p>
    <w:p w:rsidR="00E51505" w:rsidRPr="00BE46F9" w:rsidRDefault="00E51505" w:rsidP="00E51505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27</w:t>
      </w:r>
      <w:r w:rsidRPr="00BE46F9">
        <w:rPr>
          <w:b/>
          <w:bCs/>
          <w:lang w:val="ru-RU"/>
        </w:rPr>
        <w:t>.</w:t>
      </w:r>
      <w:r w:rsidRPr="00BE46F9">
        <w:rPr>
          <w:lang w:val="ru-RU"/>
        </w:rPr>
        <w:t xml:space="preserve"> Учитывая, что использование материальных расходов и расходов на содержание и эксплуатацию напрямую влияет на состояние производственных основных средств, на качество услуг по передаче, на обеспечение надежности подачи электроэнергии конечным потребителям, и в целях исключения их использования на другие нужды, Агентство вправе уменьшить указанные расходы на следующий год в размере неосуществленных работ.</w:t>
      </w:r>
    </w:p>
    <w:p w:rsidR="00E51505" w:rsidRPr="00BE46F9" w:rsidRDefault="00E51505" w:rsidP="00E51505">
      <w:pPr>
        <w:pStyle w:val="NormalWeb"/>
        <w:spacing w:before="120"/>
        <w:rPr>
          <w:sz w:val="20"/>
          <w:szCs w:val="20"/>
          <w:lang w:val="ro-RO"/>
        </w:rPr>
      </w:pPr>
      <w:r>
        <w:rPr>
          <w:b/>
          <w:lang w:val="ru-RU"/>
        </w:rPr>
        <w:t>28</w:t>
      </w:r>
      <w:r w:rsidRPr="00BE46F9">
        <w:rPr>
          <w:b/>
          <w:lang w:val="ru-RU"/>
        </w:rPr>
        <w:t>.</w:t>
      </w:r>
      <w:r w:rsidRPr="00BE46F9">
        <w:rPr>
          <w:lang w:val="ru-RU"/>
        </w:rPr>
        <w:t xml:space="preserve"> За несоблюдение минимальных установленных значений показателей качества, Агентство вправе снизить тарифы на услугу по передаче электроэнергии в размере и порядке, предусмотренных Положением о качестве услуг по передаче и распределению электроэнергии, утвержденном Постановлением Административного совета Агентства № 282/2016 от 11 ноября 2016 г.</w:t>
      </w:r>
    </w:p>
    <w:p w:rsidR="00E51505" w:rsidRPr="00E51505" w:rsidRDefault="00E51505" w:rsidP="00E51505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29</w:t>
      </w:r>
      <w:r w:rsidRPr="00BE46F9">
        <w:rPr>
          <w:b/>
          <w:bCs/>
          <w:lang w:val="ru-RU"/>
        </w:rPr>
        <w:t>.</w:t>
      </w:r>
      <w:r w:rsidRPr="00BE46F9">
        <w:rPr>
          <w:lang w:val="ru-RU"/>
        </w:rPr>
        <w:t xml:space="preserve"> Настоящая Методология является обязательной для оператора передающей системы, обладающего лицензией на деятельность по передаче электроэнергии, выданной Агентством. В Методологии могут быть внесены изменения в течение срока действия в той мере, в какой это необходимо для обеспечения соответствия законодательной баз</w:t>
      </w:r>
      <w:r>
        <w:rPr>
          <w:lang w:val="ru-RU"/>
        </w:rPr>
        <w:t>е</w:t>
      </w:r>
      <w:r w:rsidRPr="00BE46F9">
        <w:rPr>
          <w:lang w:val="ru-RU"/>
        </w:rPr>
        <w:t xml:space="preserve"> Республики Молдова.</w:t>
      </w:r>
      <w:bookmarkStart w:id="0" w:name="_GoBack"/>
      <w:bookmarkEnd w:id="0"/>
    </w:p>
    <w:sectPr w:rsidR="00E51505" w:rsidRPr="00E51505" w:rsidSect="00B91A8B">
      <w:headerReference w:type="default" r:id="rId7"/>
      <w:pgSz w:w="12240" w:h="15840"/>
      <w:pgMar w:top="1134" w:right="616" w:bottom="1276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mianseriftypefac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78557"/>
    </w:sdtPr>
    <w:sdtEndPr>
      <w:rPr>
        <w:i/>
        <w:noProof/>
        <w:sz w:val="22"/>
      </w:rPr>
    </w:sdtEndPr>
    <w:sdtContent>
      <w:p w:rsidR="009D7344" w:rsidRPr="006A14F2" w:rsidRDefault="00E51505">
        <w:pPr>
          <w:pStyle w:val="Header"/>
          <w:jc w:val="right"/>
          <w:rPr>
            <w:i/>
            <w:sz w:val="22"/>
          </w:rPr>
        </w:pPr>
        <w:r w:rsidRPr="006A14F2">
          <w:rPr>
            <w:i/>
            <w:sz w:val="22"/>
          </w:rPr>
          <w:fldChar w:fldCharType="begin"/>
        </w:r>
        <w:r w:rsidRPr="006A14F2">
          <w:rPr>
            <w:i/>
            <w:sz w:val="22"/>
          </w:rPr>
          <w:instrText xml:space="preserve"> PAGE   \* MERGEFORMAT </w:instrText>
        </w:r>
        <w:r w:rsidRPr="006A14F2">
          <w:rPr>
            <w:i/>
            <w:sz w:val="22"/>
          </w:rPr>
          <w:fldChar w:fldCharType="separate"/>
        </w:r>
        <w:r>
          <w:rPr>
            <w:i/>
            <w:noProof/>
            <w:sz w:val="22"/>
          </w:rPr>
          <w:t>2</w:t>
        </w:r>
        <w:r w:rsidRPr="006A14F2">
          <w:rPr>
            <w:i/>
            <w:noProof/>
            <w:sz w:val="22"/>
          </w:rPr>
          <w:fldChar w:fldCharType="end"/>
        </w:r>
      </w:p>
    </w:sdtContent>
  </w:sdt>
  <w:p w:rsidR="009D7344" w:rsidRDefault="00E51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05"/>
    <w:rsid w:val="00E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505"/>
    <w:pPr>
      <w:ind w:firstLine="567"/>
      <w:jc w:val="both"/>
    </w:pPr>
  </w:style>
  <w:style w:type="paragraph" w:customStyle="1" w:styleId="md">
    <w:name w:val="md"/>
    <w:basedOn w:val="Normal"/>
    <w:uiPriority w:val="99"/>
    <w:rsid w:val="00E51505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uiPriority w:val="99"/>
    <w:rsid w:val="00E51505"/>
    <w:pPr>
      <w:jc w:val="center"/>
    </w:pPr>
  </w:style>
  <w:style w:type="paragraph" w:customStyle="1" w:styleId="cb">
    <w:name w:val="cb"/>
    <w:basedOn w:val="Normal"/>
    <w:rsid w:val="00E51505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rsid w:val="00E5150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E51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05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50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05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150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05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1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05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05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505"/>
    <w:pPr>
      <w:ind w:firstLine="567"/>
      <w:jc w:val="both"/>
    </w:pPr>
  </w:style>
  <w:style w:type="paragraph" w:customStyle="1" w:styleId="md">
    <w:name w:val="md"/>
    <w:basedOn w:val="Normal"/>
    <w:uiPriority w:val="99"/>
    <w:rsid w:val="00E51505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uiPriority w:val="99"/>
    <w:rsid w:val="00E51505"/>
    <w:pPr>
      <w:jc w:val="center"/>
    </w:pPr>
  </w:style>
  <w:style w:type="paragraph" w:customStyle="1" w:styleId="cb">
    <w:name w:val="cb"/>
    <w:basedOn w:val="Normal"/>
    <w:rsid w:val="00E51505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rsid w:val="00E5150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E51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05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50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05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150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05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1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05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05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4287</Words>
  <Characters>24437</Characters>
  <Application>Microsoft Office Word</Application>
  <DocSecurity>0</DocSecurity>
  <Lines>203</Lines>
  <Paragraphs>57</Paragraphs>
  <ScaleCrop>false</ScaleCrop>
  <Company/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2018-02-01T13:45:00Z</dcterms:created>
  <dcterms:modified xsi:type="dcterms:W3CDTF">2018-02-01T13:46:00Z</dcterms:modified>
</cp:coreProperties>
</file>