
<file path=[Content_Types].xml><?xml version="1.0" encoding="utf-8"?>
<Types xmlns="http://schemas.openxmlformats.org/package/2006/content-types">
  <Override PartName="/word/footnotes.xml" ContentType="application/vnd.openxmlformats-officedocument.wordprocessingml.footnotes+xml"/>
  <Override PartName="/word/theme/themeOverride5.xml" ContentType="application/vnd.openxmlformats-officedocument.themeOverride+xml"/>
  <Override PartName="/word/charts/chart10.xml" ContentType="application/vnd.openxmlformats-officedocument.drawingml.chart+xml"/>
  <Override PartName="/word/theme/themeOverride15.xml" ContentType="application/vnd.openxmlformats-officedocument.themeOverride+xml"/>
  <Override PartName="/customXml/itemProps1.xml" ContentType="application/vnd.openxmlformats-officedocument.customXmlProperties+xml"/>
  <Override PartName="/word/theme/themeOverride3.xml" ContentType="application/vnd.openxmlformats-officedocument.themeOverride+xml"/>
  <Override PartName="/word/theme/themeOverride13.xml" ContentType="application/vnd.openxmlformats-officedocument.themeOverride+xml"/>
  <Override PartName="/word/theme/themeOverride1.xml" ContentType="application/vnd.openxmlformats-officedocument.themeOverride+xml"/>
  <Override PartName="/word/theme/themeOverride11.xml" ContentType="application/vnd.openxmlformats-officedocument.themeOverride+xml"/>
  <Override PartName="/word/theme/themeOverride12.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word/theme/themeOverride10.xml" ContentType="application/vnd.openxmlformats-officedocument.themeOverride+xml"/>
  <Override PartName="/word/drawings/drawing4.xml" ContentType="application/vnd.openxmlformats-officedocument.drawingml.chartshapes+xml"/>
  <Override PartName="/word/drawings/drawing5.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drawings/drawing2.xml" ContentType="application/vnd.openxmlformats-officedocument.drawingml.chartshapes+xml"/>
  <Override PartName="/word/charts/chart7.xml" ContentType="application/vnd.openxmlformats-officedocument.drawingml.chart+xml"/>
  <Override PartName="/word/charts/chart1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theme/themeOverride17.xml" ContentType="application/vnd.openxmlformats-officedocument.themeOverride+xml"/>
  <Override PartName="/docProps/core.xml" ContentType="application/vnd.openxmlformats-package.core-properties+xml"/>
  <Override PartName="/word/theme/themeOverride4.xml" ContentType="application/vnd.openxmlformats-officedocument.themeOverride+xml"/>
  <Override PartName="/word/theme/themeOverride16.xml" ContentType="application/vnd.openxmlformats-officedocument.themeOverride+xml"/>
  <Override PartName="/word/theme/themeOverride2.xml" ContentType="application/vnd.openxmlformats-officedocument.themeOverride+xml"/>
  <Override PartName="/word/theme/themeOverride14.xml" ContentType="application/vnd.openxmlformats-officedocument.themeOverrid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39F" w:rsidRPr="001D0846" w:rsidRDefault="00A0239F" w:rsidP="000A329C">
      <w:pPr>
        <w:tabs>
          <w:tab w:val="left" w:pos="450"/>
          <w:tab w:val="left" w:pos="720"/>
        </w:tabs>
        <w:spacing w:after="0" w:line="276" w:lineRule="auto"/>
        <w:ind w:right="9"/>
        <w:jc w:val="right"/>
        <w:rPr>
          <w:rFonts w:ascii="Times New Roman" w:eastAsia="Times New Roman" w:hAnsi="Times New Roman" w:cs="Times New Roman"/>
          <w:bCs/>
          <w:sz w:val="28"/>
          <w:szCs w:val="28"/>
        </w:rPr>
      </w:pPr>
      <w:r w:rsidRPr="001D0846">
        <w:rPr>
          <w:rFonts w:ascii="Times New Roman" w:eastAsia="Times New Roman" w:hAnsi="Times New Roman" w:cs="Times New Roman"/>
          <w:bCs/>
          <w:sz w:val="28"/>
          <w:szCs w:val="28"/>
        </w:rPr>
        <w:t>Anexă</w:t>
      </w:r>
    </w:p>
    <w:p w:rsidR="00A0239F" w:rsidRPr="001D0846" w:rsidRDefault="00A0239F" w:rsidP="000A329C">
      <w:pPr>
        <w:tabs>
          <w:tab w:val="left" w:pos="450"/>
          <w:tab w:val="left" w:pos="720"/>
        </w:tabs>
        <w:spacing w:after="0" w:line="276" w:lineRule="auto"/>
        <w:ind w:right="9"/>
        <w:jc w:val="right"/>
        <w:rPr>
          <w:rFonts w:ascii="Times New Roman" w:eastAsia="Times New Roman" w:hAnsi="Times New Roman" w:cs="Times New Roman"/>
          <w:bCs/>
          <w:sz w:val="28"/>
          <w:szCs w:val="28"/>
        </w:rPr>
      </w:pPr>
      <w:r w:rsidRPr="001D0846">
        <w:rPr>
          <w:rFonts w:ascii="Times New Roman" w:eastAsia="Times New Roman" w:hAnsi="Times New Roman" w:cs="Times New Roman"/>
          <w:bCs/>
          <w:sz w:val="28"/>
          <w:szCs w:val="28"/>
        </w:rPr>
        <w:t xml:space="preserve">la Hotărârea Curții de Conturi </w:t>
      </w:r>
    </w:p>
    <w:p w:rsidR="00A0239F" w:rsidRPr="001D0846" w:rsidRDefault="00A0239F" w:rsidP="000A329C">
      <w:pPr>
        <w:tabs>
          <w:tab w:val="left" w:pos="450"/>
          <w:tab w:val="left" w:pos="720"/>
        </w:tabs>
        <w:spacing w:after="0" w:line="276" w:lineRule="auto"/>
        <w:ind w:right="9"/>
        <w:jc w:val="right"/>
        <w:rPr>
          <w:rFonts w:ascii="Times New Roman" w:eastAsia="Times New Roman" w:hAnsi="Times New Roman" w:cs="Times New Roman"/>
          <w:bCs/>
          <w:color w:val="1F4E79" w:themeColor="accent1" w:themeShade="80"/>
          <w:sz w:val="28"/>
          <w:szCs w:val="28"/>
        </w:rPr>
      </w:pPr>
      <w:r w:rsidRPr="001D0846">
        <w:rPr>
          <w:rFonts w:ascii="Times New Roman" w:eastAsia="Times New Roman" w:hAnsi="Times New Roman" w:cs="Times New Roman"/>
          <w:bCs/>
          <w:sz w:val="28"/>
          <w:szCs w:val="28"/>
        </w:rPr>
        <w:t>nr.</w:t>
      </w:r>
      <w:r w:rsidR="001F7EFE" w:rsidRPr="001D0846">
        <w:rPr>
          <w:rFonts w:ascii="Times New Roman" w:eastAsia="Times New Roman" w:hAnsi="Times New Roman" w:cs="Times New Roman"/>
          <w:bCs/>
          <w:sz w:val="28"/>
          <w:szCs w:val="28"/>
        </w:rPr>
        <w:t xml:space="preserve">18 </w:t>
      </w:r>
      <w:r w:rsidRPr="001D0846">
        <w:rPr>
          <w:rFonts w:ascii="Times New Roman" w:eastAsia="Times New Roman" w:hAnsi="Times New Roman" w:cs="Times New Roman"/>
          <w:bCs/>
          <w:sz w:val="28"/>
          <w:szCs w:val="28"/>
        </w:rPr>
        <w:t xml:space="preserve">din </w:t>
      </w:r>
      <w:r w:rsidR="006C4681" w:rsidRPr="001D0846">
        <w:rPr>
          <w:rFonts w:ascii="Times New Roman" w:eastAsia="Times New Roman" w:hAnsi="Times New Roman" w:cs="Times New Roman"/>
          <w:bCs/>
          <w:sz w:val="28"/>
          <w:szCs w:val="28"/>
        </w:rPr>
        <w:t>14</w:t>
      </w:r>
      <w:r w:rsidRPr="001D0846">
        <w:rPr>
          <w:rFonts w:ascii="Times New Roman" w:eastAsia="Times New Roman" w:hAnsi="Times New Roman" w:cs="Times New Roman"/>
          <w:bCs/>
          <w:sz w:val="28"/>
          <w:szCs w:val="28"/>
        </w:rPr>
        <w:t>.0</w:t>
      </w:r>
      <w:r w:rsidR="006C4681" w:rsidRPr="001D0846">
        <w:rPr>
          <w:rFonts w:ascii="Times New Roman" w:eastAsia="Times New Roman" w:hAnsi="Times New Roman" w:cs="Times New Roman"/>
          <w:bCs/>
          <w:sz w:val="28"/>
          <w:szCs w:val="28"/>
        </w:rPr>
        <w:t>5</w:t>
      </w:r>
      <w:r w:rsidRPr="001D0846">
        <w:rPr>
          <w:rFonts w:ascii="Times New Roman" w:eastAsia="Times New Roman" w:hAnsi="Times New Roman" w:cs="Times New Roman"/>
          <w:bCs/>
          <w:sz w:val="28"/>
          <w:szCs w:val="28"/>
        </w:rPr>
        <w:t>.201</w:t>
      </w:r>
      <w:r w:rsidR="00B60979" w:rsidRPr="001D0846">
        <w:rPr>
          <w:rFonts w:ascii="Times New Roman" w:eastAsia="Times New Roman" w:hAnsi="Times New Roman" w:cs="Times New Roman"/>
          <w:bCs/>
          <w:sz w:val="28"/>
          <w:szCs w:val="28"/>
        </w:rPr>
        <w:t>8</w:t>
      </w:r>
    </w:p>
    <w:p w:rsidR="00A0239F" w:rsidRPr="001D0846" w:rsidRDefault="00A0239F" w:rsidP="000A329C">
      <w:pPr>
        <w:tabs>
          <w:tab w:val="left" w:pos="450"/>
        </w:tabs>
        <w:spacing w:after="0" w:line="276" w:lineRule="auto"/>
        <w:ind w:right="9"/>
        <w:rPr>
          <w:rFonts w:ascii="Times New Roman" w:hAnsi="Times New Roman" w:cs="Times New Roman"/>
        </w:rPr>
      </w:pPr>
    </w:p>
    <w:p w:rsidR="00A0239F" w:rsidRPr="001D0846" w:rsidRDefault="00A0239F" w:rsidP="000A329C">
      <w:pPr>
        <w:tabs>
          <w:tab w:val="left" w:pos="450"/>
        </w:tabs>
        <w:spacing w:after="0" w:line="276" w:lineRule="auto"/>
        <w:ind w:right="9"/>
        <w:rPr>
          <w:rFonts w:ascii="Times New Roman" w:hAnsi="Times New Roman" w:cs="Times New Roman"/>
        </w:rPr>
      </w:pPr>
    </w:p>
    <w:p w:rsidR="00A0239F" w:rsidRPr="001D0846" w:rsidRDefault="00A0239F" w:rsidP="000A329C">
      <w:pPr>
        <w:tabs>
          <w:tab w:val="left" w:pos="450"/>
        </w:tabs>
        <w:spacing w:after="0" w:line="276" w:lineRule="auto"/>
        <w:ind w:right="9"/>
        <w:rPr>
          <w:rFonts w:ascii="Times New Roman" w:hAnsi="Times New Roman" w:cs="Times New Roman"/>
        </w:rPr>
      </w:pPr>
    </w:p>
    <w:p w:rsidR="00A0239F" w:rsidRPr="001D0846" w:rsidRDefault="00A0239F" w:rsidP="000A329C">
      <w:pPr>
        <w:tabs>
          <w:tab w:val="left" w:pos="450"/>
        </w:tabs>
        <w:spacing w:after="0" w:line="276" w:lineRule="auto"/>
        <w:ind w:right="9"/>
        <w:jc w:val="center"/>
        <w:rPr>
          <w:rFonts w:ascii="Times New Roman" w:hAnsi="Times New Roman" w:cs="Times New Roman"/>
          <w:b/>
          <w:sz w:val="28"/>
          <w:szCs w:val="28"/>
        </w:rPr>
      </w:pPr>
    </w:p>
    <w:p w:rsidR="009F2555" w:rsidRPr="001D0846" w:rsidRDefault="009F2555" w:rsidP="000A329C">
      <w:pPr>
        <w:tabs>
          <w:tab w:val="left" w:pos="450"/>
          <w:tab w:val="left" w:pos="720"/>
        </w:tabs>
        <w:spacing w:after="0" w:line="276" w:lineRule="auto"/>
        <w:ind w:right="9"/>
        <w:jc w:val="center"/>
        <w:rPr>
          <w:rFonts w:ascii="Times New Roman" w:eastAsia="Times New Roman" w:hAnsi="Times New Roman" w:cs="Times New Roman"/>
          <w:b/>
          <w:bCs/>
          <w:sz w:val="32"/>
          <w:szCs w:val="32"/>
        </w:rPr>
      </w:pPr>
    </w:p>
    <w:p w:rsidR="009F2555" w:rsidRPr="001D0846" w:rsidRDefault="009F2555" w:rsidP="00DE0919">
      <w:pPr>
        <w:tabs>
          <w:tab w:val="left" w:pos="450"/>
          <w:tab w:val="left" w:pos="720"/>
        </w:tabs>
        <w:spacing w:after="0" w:line="276" w:lineRule="auto"/>
        <w:ind w:right="9"/>
        <w:rPr>
          <w:rFonts w:ascii="Times New Roman" w:eastAsia="Times New Roman" w:hAnsi="Times New Roman" w:cs="Times New Roman"/>
          <w:b/>
          <w:bCs/>
          <w:sz w:val="32"/>
          <w:szCs w:val="32"/>
        </w:rPr>
      </w:pPr>
    </w:p>
    <w:p w:rsidR="00A0239F" w:rsidRPr="001D0846" w:rsidRDefault="00A0239F" w:rsidP="000A329C">
      <w:pPr>
        <w:tabs>
          <w:tab w:val="left" w:pos="450"/>
          <w:tab w:val="left" w:pos="720"/>
        </w:tabs>
        <w:spacing w:after="0" w:line="276" w:lineRule="auto"/>
        <w:ind w:right="9"/>
        <w:jc w:val="center"/>
        <w:rPr>
          <w:rFonts w:ascii="Times New Roman" w:eastAsia="Times New Roman" w:hAnsi="Times New Roman" w:cs="Times New Roman"/>
          <w:b/>
          <w:bCs/>
          <w:sz w:val="32"/>
          <w:szCs w:val="32"/>
        </w:rPr>
      </w:pPr>
      <w:r w:rsidRPr="001D0846">
        <w:rPr>
          <w:rFonts w:ascii="Times New Roman" w:eastAsia="Times New Roman" w:hAnsi="Times New Roman" w:cs="Times New Roman"/>
          <w:b/>
          <w:bCs/>
          <w:sz w:val="32"/>
          <w:szCs w:val="32"/>
        </w:rPr>
        <w:t>RAPORTUL</w:t>
      </w:r>
    </w:p>
    <w:p w:rsidR="006C4681" w:rsidRPr="001D0846" w:rsidRDefault="006C4681" w:rsidP="000A329C">
      <w:pPr>
        <w:tabs>
          <w:tab w:val="left" w:pos="450"/>
          <w:tab w:val="left" w:pos="720"/>
          <w:tab w:val="left" w:pos="1080"/>
        </w:tabs>
        <w:spacing w:after="0" w:line="276" w:lineRule="auto"/>
        <w:ind w:right="9"/>
        <w:jc w:val="center"/>
        <w:rPr>
          <w:rFonts w:ascii="Times New Roman" w:eastAsia="Times New Roman" w:hAnsi="Times New Roman" w:cs="Times New Roman"/>
          <w:b/>
          <w:bCs/>
          <w:sz w:val="32"/>
          <w:szCs w:val="32"/>
        </w:rPr>
      </w:pPr>
      <w:r w:rsidRPr="001D0846">
        <w:rPr>
          <w:rFonts w:ascii="Times New Roman" w:eastAsia="Times New Roman" w:hAnsi="Times New Roman" w:cs="Times New Roman"/>
          <w:b/>
          <w:bCs/>
          <w:sz w:val="32"/>
          <w:szCs w:val="32"/>
        </w:rPr>
        <w:t xml:space="preserve">de </w:t>
      </w:r>
      <w:r w:rsidR="00A0239F" w:rsidRPr="001D0846">
        <w:rPr>
          <w:rFonts w:ascii="Times New Roman" w:eastAsia="Times New Roman" w:hAnsi="Times New Roman" w:cs="Times New Roman"/>
          <w:b/>
          <w:bCs/>
          <w:sz w:val="32"/>
          <w:szCs w:val="32"/>
        </w:rPr>
        <w:t>audit</w:t>
      </w:r>
      <w:r w:rsidRPr="001D0846">
        <w:rPr>
          <w:rFonts w:ascii="Times New Roman" w:eastAsia="Times New Roman" w:hAnsi="Times New Roman" w:cs="Times New Roman"/>
          <w:b/>
          <w:bCs/>
          <w:sz w:val="32"/>
          <w:szCs w:val="32"/>
        </w:rPr>
        <w:t xml:space="preserve"> al performanței</w:t>
      </w:r>
    </w:p>
    <w:p w:rsidR="007533DD" w:rsidRPr="001D0846" w:rsidRDefault="006C4681" w:rsidP="000A329C">
      <w:pPr>
        <w:tabs>
          <w:tab w:val="left" w:pos="450"/>
          <w:tab w:val="left" w:pos="720"/>
          <w:tab w:val="left" w:pos="1080"/>
        </w:tabs>
        <w:spacing w:after="0" w:line="276" w:lineRule="auto"/>
        <w:ind w:right="9"/>
        <w:jc w:val="center"/>
        <w:rPr>
          <w:rFonts w:ascii="Times New Roman" w:eastAsia="Times New Roman" w:hAnsi="Times New Roman" w:cs="Times New Roman"/>
          <w:b/>
          <w:bCs/>
          <w:sz w:val="32"/>
          <w:szCs w:val="32"/>
        </w:rPr>
      </w:pPr>
      <w:r w:rsidRPr="001D0846">
        <w:rPr>
          <w:rFonts w:ascii="Times New Roman" w:eastAsia="Times New Roman" w:hAnsi="Times New Roman" w:cs="Times New Roman"/>
          <w:b/>
          <w:bCs/>
          <w:sz w:val="32"/>
          <w:szCs w:val="32"/>
        </w:rPr>
        <w:t>,,Funcționalitatea și rezultativitatea operațională</w:t>
      </w:r>
    </w:p>
    <w:p w:rsidR="00B60979" w:rsidRPr="001D0846" w:rsidRDefault="006C4681" w:rsidP="000A329C">
      <w:pPr>
        <w:tabs>
          <w:tab w:val="left" w:pos="450"/>
          <w:tab w:val="left" w:pos="720"/>
          <w:tab w:val="left" w:pos="1080"/>
        </w:tabs>
        <w:spacing w:after="0" w:line="276" w:lineRule="auto"/>
        <w:ind w:right="9"/>
        <w:jc w:val="center"/>
        <w:rPr>
          <w:rFonts w:ascii="Times New Roman" w:eastAsia="Times New Roman" w:hAnsi="Times New Roman" w:cs="Times New Roman"/>
          <w:b/>
          <w:bCs/>
          <w:sz w:val="32"/>
          <w:szCs w:val="32"/>
        </w:rPr>
      </w:pPr>
      <w:r w:rsidRPr="001D0846">
        <w:rPr>
          <w:rFonts w:ascii="Times New Roman" w:eastAsia="Times New Roman" w:hAnsi="Times New Roman" w:cs="Times New Roman"/>
          <w:b/>
          <w:bCs/>
          <w:sz w:val="32"/>
          <w:szCs w:val="32"/>
        </w:rPr>
        <w:t>afere</w:t>
      </w:r>
      <w:r w:rsidRPr="001D67FA">
        <w:rPr>
          <w:rFonts w:ascii="Times New Roman" w:eastAsia="Times New Roman" w:hAnsi="Times New Roman" w:cs="Times New Roman"/>
          <w:b/>
          <w:bCs/>
          <w:sz w:val="32"/>
          <w:szCs w:val="32"/>
        </w:rPr>
        <w:t>nt</w:t>
      </w:r>
      <w:r w:rsidR="001D67FA" w:rsidRPr="001D67FA">
        <w:rPr>
          <w:rFonts w:ascii="Times New Roman" w:eastAsia="Times New Roman" w:hAnsi="Times New Roman" w:cs="Times New Roman"/>
          <w:b/>
          <w:bCs/>
          <w:sz w:val="32"/>
          <w:szCs w:val="32"/>
        </w:rPr>
        <w:t>e</w:t>
      </w:r>
      <w:r w:rsidRPr="001D0846">
        <w:rPr>
          <w:rFonts w:ascii="Times New Roman" w:eastAsia="Times New Roman" w:hAnsi="Times New Roman" w:cs="Times New Roman"/>
          <w:b/>
          <w:bCs/>
          <w:sz w:val="32"/>
          <w:szCs w:val="32"/>
        </w:rPr>
        <w:t xml:space="preserve"> administrării impozitelor și taxelor”</w:t>
      </w:r>
    </w:p>
    <w:p w:rsidR="00C30938" w:rsidRDefault="00C30938">
      <w:pPr>
        <w:rPr>
          <w:rFonts w:ascii="Times New Roman" w:eastAsia="Times New Roman" w:hAnsi="Times New Roman" w:cs="Times New Roman"/>
          <w:b/>
          <w:bCs/>
          <w:noProof/>
          <w:sz w:val="32"/>
          <w:szCs w:val="32"/>
          <w:lang w:val="en-GB" w:eastAsia="en-GB"/>
        </w:rPr>
      </w:pPr>
      <w:r>
        <w:rPr>
          <w:rFonts w:ascii="Times New Roman" w:eastAsia="Times New Roman" w:hAnsi="Times New Roman" w:cs="Times New Roman"/>
          <w:b/>
          <w:bCs/>
          <w:noProof/>
          <w:sz w:val="32"/>
          <w:szCs w:val="32"/>
          <w:lang w:val="en-GB" w:eastAsia="en-GB"/>
        </w:rPr>
        <w:br w:type="page"/>
      </w:r>
    </w:p>
    <w:p w:rsidR="002F517B" w:rsidRPr="001D0846" w:rsidRDefault="002F517B" w:rsidP="000A329C">
      <w:pPr>
        <w:tabs>
          <w:tab w:val="left" w:pos="450"/>
          <w:tab w:val="left" w:pos="720"/>
          <w:tab w:val="left" w:pos="1080"/>
        </w:tabs>
        <w:spacing w:after="0" w:line="276" w:lineRule="auto"/>
        <w:ind w:right="9"/>
        <w:jc w:val="center"/>
        <w:rPr>
          <w:rFonts w:ascii="Times New Roman" w:eastAsia="Times New Roman" w:hAnsi="Times New Roman" w:cs="Times New Roman"/>
          <w:b/>
          <w:bCs/>
          <w:sz w:val="32"/>
          <w:szCs w:val="32"/>
        </w:rPr>
      </w:pPr>
    </w:p>
    <w:p w:rsidR="002F517B" w:rsidRPr="001D0846" w:rsidRDefault="002F517B" w:rsidP="000A329C">
      <w:pPr>
        <w:tabs>
          <w:tab w:val="left" w:pos="450"/>
          <w:tab w:val="left" w:pos="720"/>
          <w:tab w:val="left" w:pos="1080"/>
        </w:tabs>
        <w:spacing w:after="0" w:line="276" w:lineRule="auto"/>
        <w:ind w:right="9"/>
        <w:jc w:val="center"/>
        <w:rPr>
          <w:rFonts w:ascii="Times New Roman" w:eastAsia="Times New Roman" w:hAnsi="Times New Roman" w:cs="Times New Roman"/>
          <w:b/>
          <w:bCs/>
          <w:sz w:val="32"/>
          <w:szCs w:val="32"/>
        </w:rPr>
      </w:pPr>
    </w:p>
    <w:p w:rsidR="00073D4B" w:rsidRDefault="00073D4B" w:rsidP="00073D4B">
      <w:pPr>
        <w:tabs>
          <w:tab w:val="right" w:leader="dot" w:pos="9270"/>
        </w:tabs>
        <w:spacing w:after="0" w:line="276" w:lineRule="auto"/>
        <w:jc w:val="center"/>
        <w:rPr>
          <w:rFonts w:ascii="Times New Roman" w:hAnsi="Times New Roman" w:cs="Times New Roman"/>
          <w:b/>
          <w:sz w:val="28"/>
          <w:szCs w:val="28"/>
        </w:rPr>
      </w:pPr>
      <w:bookmarkStart w:id="0" w:name="_Toc453661781"/>
    </w:p>
    <w:p w:rsidR="003C4B9E" w:rsidRDefault="003C4B9E" w:rsidP="007864B6">
      <w:pPr>
        <w:spacing w:after="0" w:line="276" w:lineRule="auto"/>
        <w:jc w:val="center"/>
        <w:rPr>
          <w:rFonts w:ascii="Times New Roman" w:hAnsi="Times New Roman" w:cs="Times New Roman"/>
          <w:b/>
          <w:sz w:val="28"/>
          <w:szCs w:val="28"/>
        </w:rPr>
      </w:pPr>
    </w:p>
    <w:p w:rsidR="00A0239F" w:rsidRPr="001D0846" w:rsidRDefault="00A0239F" w:rsidP="007864B6">
      <w:pPr>
        <w:spacing w:after="0" w:line="276" w:lineRule="auto"/>
        <w:jc w:val="center"/>
      </w:pPr>
      <w:r w:rsidRPr="001D0846">
        <w:rPr>
          <w:rFonts w:ascii="Times New Roman" w:hAnsi="Times New Roman" w:cs="Times New Roman"/>
          <w:b/>
          <w:sz w:val="28"/>
          <w:szCs w:val="28"/>
        </w:rPr>
        <w:t>LISTA ACRONIMELOR</w:t>
      </w:r>
      <w:bookmarkEnd w:id="0"/>
    </w:p>
    <w:tbl>
      <w:tblPr>
        <w:tblStyle w:val="TableGrid"/>
        <w:tblW w:w="9360" w:type="dxa"/>
        <w:tblInd w:w="-5" w:type="dxa"/>
        <w:tblLook w:val="04A0"/>
      </w:tblPr>
      <w:tblGrid>
        <w:gridCol w:w="2790"/>
        <w:gridCol w:w="6570"/>
      </w:tblGrid>
      <w:tr w:rsidR="002D6077" w:rsidRPr="001D67FA" w:rsidTr="000A329C">
        <w:tc>
          <w:tcPr>
            <w:tcW w:w="2790" w:type="dxa"/>
          </w:tcPr>
          <w:p w:rsidR="002D6077" w:rsidRDefault="002D6077" w:rsidP="00733CD4">
            <w:pPr>
              <w:tabs>
                <w:tab w:val="left" w:pos="450"/>
                <w:tab w:val="left" w:pos="3600"/>
              </w:tabs>
              <w:spacing w:line="276" w:lineRule="auto"/>
              <w:ind w:right="9"/>
              <w:rPr>
                <w:rFonts w:ascii="Times New Roman" w:eastAsia="Times New Roman" w:hAnsi="Times New Roman" w:cs="Times New Roman"/>
                <w:b/>
                <w:sz w:val="28"/>
                <w:szCs w:val="28"/>
              </w:rPr>
            </w:pPr>
            <w:r>
              <w:rPr>
                <w:rFonts w:ascii="Times New Roman" w:eastAsia="Times New Roman" w:hAnsi="Times New Roman" w:cs="Times New Roman"/>
                <w:b/>
                <w:sz w:val="28"/>
                <w:szCs w:val="28"/>
              </w:rPr>
              <w:t>AAPL</w:t>
            </w:r>
          </w:p>
        </w:tc>
        <w:tc>
          <w:tcPr>
            <w:tcW w:w="6570" w:type="dxa"/>
          </w:tcPr>
          <w:p w:rsidR="002D6077" w:rsidRDefault="002D6077" w:rsidP="00733CD4">
            <w:pPr>
              <w:spacing w:line="276" w:lineRule="auto"/>
              <w:rPr>
                <w:rFonts w:ascii="Times New Roman" w:hAnsi="Times New Roman" w:cs="Times New Roman"/>
                <w:sz w:val="28"/>
                <w:szCs w:val="28"/>
              </w:rPr>
            </w:pPr>
            <w:r>
              <w:rPr>
                <w:rFonts w:ascii="Times New Roman" w:hAnsi="Times New Roman" w:cs="Times New Roman"/>
                <w:sz w:val="28"/>
                <w:szCs w:val="28"/>
              </w:rPr>
              <w:t>Autoritățile administrației publice locale</w:t>
            </w:r>
          </w:p>
        </w:tc>
      </w:tr>
      <w:tr w:rsidR="000A329C" w:rsidRPr="001D67FA" w:rsidTr="000A329C">
        <w:tc>
          <w:tcPr>
            <w:tcW w:w="2790" w:type="dxa"/>
          </w:tcPr>
          <w:p w:rsidR="000A329C" w:rsidRPr="001D67FA" w:rsidRDefault="00412223" w:rsidP="00733CD4">
            <w:pPr>
              <w:tabs>
                <w:tab w:val="left" w:pos="450"/>
                <w:tab w:val="left" w:pos="3600"/>
              </w:tabs>
              <w:spacing w:line="276" w:lineRule="auto"/>
              <w:ind w:right="9"/>
              <w:rPr>
                <w:rFonts w:ascii="Times New Roman" w:eastAsia="Times New Roman" w:hAnsi="Times New Roman" w:cs="Times New Roman"/>
                <w:b/>
                <w:sz w:val="28"/>
                <w:szCs w:val="28"/>
              </w:rPr>
            </w:pPr>
            <w:r>
              <w:rPr>
                <w:rFonts w:ascii="Times New Roman" w:eastAsia="Times New Roman" w:hAnsi="Times New Roman" w:cs="Times New Roman"/>
                <w:b/>
                <w:sz w:val="28"/>
                <w:szCs w:val="28"/>
              </w:rPr>
              <w:t>ASP</w:t>
            </w:r>
          </w:p>
        </w:tc>
        <w:tc>
          <w:tcPr>
            <w:tcW w:w="6570" w:type="dxa"/>
          </w:tcPr>
          <w:p w:rsidR="000A329C" w:rsidRPr="001D67FA" w:rsidRDefault="00412223" w:rsidP="00733CD4">
            <w:pPr>
              <w:spacing w:line="276" w:lineRule="auto"/>
              <w:rPr>
                <w:rFonts w:ascii="Times New Roman" w:hAnsi="Times New Roman" w:cs="Times New Roman"/>
                <w:sz w:val="28"/>
                <w:szCs w:val="28"/>
              </w:rPr>
            </w:pPr>
            <w:r>
              <w:rPr>
                <w:rFonts w:ascii="Times New Roman" w:hAnsi="Times New Roman" w:cs="Times New Roman"/>
                <w:sz w:val="28"/>
                <w:szCs w:val="28"/>
              </w:rPr>
              <w:t>Agenția Servicii Publice</w:t>
            </w:r>
          </w:p>
        </w:tc>
      </w:tr>
      <w:tr w:rsidR="00412223" w:rsidRPr="001D67FA" w:rsidTr="000A329C">
        <w:tc>
          <w:tcPr>
            <w:tcW w:w="2790" w:type="dxa"/>
          </w:tcPr>
          <w:p w:rsidR="00412223" w:rsidRPr="001D67FA" w:rsidRDefault="00412223" w:rsidP="00412223">
            <w:pPr>
              <w:tabs>
                <w:tab w:val="left" w:pos="450"/>
                <w:tab w:val="left" w:pos="3600"/>
              </w:tabs>
              <w:spacing w:line="276" w:lineRule="auto"/>
              <w:ind w:right="9"/>
              <w:rPr>
                <w:rFonts w:ascii="Times New Roman" w:eastAsia="Times New Roman" w:hAnsi="Times New Roman" w:cs="Times New Roman"/>
                <w:b/>
                <w:sz w:val="28"/>
                <w:szCs w:val="28"/>
              </w:rPr>
            </w:pPr>
            <w:r w:rsidRPr="001D67FA">
              <w:rPr>
                <w:rFonts w:ascii="Times New Roman" w:eastAsia="Times New Roman" w:hAnsi="Times New Roman" w:cs="Times New Roman"/>
                <w:b/>
                <w:sz w:val="28"/>
                <w:szCs w:val="28"/>
              </w:rPr>
              <w:t>BASS</w:t>
            </w:r>
          </w:p>
        </w:tc>
        <w:tc>
          <w:tcPr>
            <w:tcW w:w="6570" w:type="dxa"/>
          </w:tcPr>
          <w:p w:rsidR="00412223" w:rsidRPr="001D67FA" w:rsidRDefault="00412223" w:rsidP="00412223">
            <w:pPr>
              <w:spacing w:line="276" w:lineRule="auto"/>
              <w:rPr>
                <w:rFonts w:ascii="Times New Roman" w:hAnsi="Times New Roman" w:cs="Times New Roman"/>
                <w:sz w:val="28"/>
                <w:szCs w:val="28"/>
              </w:rPr>
            </w:pPr>
            <w:r w:rsidRPr="001D67FA">
              <w:rPr>
                <w:rFonts w:ascii="Times New Roman" w:hAnsi="Times New Roman" w:cs="Times New Roman"/>
                <w:sz w:val="28"/>
                <w:szCs w:val="28"/>
              </w:rPr>
              <w:t>Bugetul asigurărilor sociale de stat</w:t>
            </w:r>
          </w:p>
        </w:tc>
      </w:tr>
      <w:tr w:rsidR="00412223" w:rsidRPr="001D67FA" w:rsidTr="000A329C">
        <w:tc>
          <w:tcPr>
            <w:tcW w:w="2790" w:type="dxa"/>
          </w:tcPr>
          <w:p w:rsidR="00412223" w:rsidRPr="001D67FA" w:rsidRDefault="00412223" w:rsidP="00412223">
            <w:pPr>
              <w:tabs>
                <w:tab w:val="left" w:pos="450"/>
                <w:tab w:val="left" w:pos="3600"/>
              </w:tabs>
              <w:spacing w:line="276" w:lineRule="auto"/>
              <w:ind w:right="9"/>
              <w:rPr>
                <w:rFonts w:ascii="Times New Roman" w:eastAsia="Times New Roman" w:hAnsi="Times New Roman" w:cs="Times New Roman"/>
                <w:b/>
                <w:sz w:val="28"/>
                <w:szCs w:val="28"/>
              </w:rPr>
            </w:pPr>
            <w:r w:rsidRPr="001D67FA">
              <w:rPr>
                <w:rFonts w:ascii="Times New Roman" w:eastAsia="Times New Roman" w:hAnsi="Times New Roman" w:cs="Times New Roman"/>
                <w:b/>
                <w:sz w:val="28"/>
                <w:szCs w:val="28"/>
              </w:rPr>
              <w:t>BPN</w:t>
            </w:r>
          </w:p>
        </w:tc>
        <w:tc>
          <w:tcPr>
            <w:tcW w:w="6570" w:type="dxa"/>
          </w:tcPr>
          <w:p w:rsidR="00412223" w:rsidRPr="001D67FA" w:rsidRDefault="00412223" w:rsidP="00412223">
            <w:pPr>
              <w:spacing w:line="276" w:lineRule="auto"/>
              <w:rPr>
                <w:rFonts w:ascii="Times New Roman" w:hAnsi="Times New Roman" w:cs="Times New Roman"/>
                <w:sz w:val="28"/>
                <w:szCs w:val="28"/>
              </w:rPr>
            </w:pPr>
            <w:r w:rsidRPr="001D67FA">
              <w:rPr>
                <w:rFonts w:ascii="Times New Roman" w:hAnsi="Times New Roman" w:cs="Times New Roman"/>
                <w:sz w:val="28"/>
                <w:szCs w:val="28"/>
              </w:rPr>
              <w:t>Bugetul public național</w:t>
            </w:r>
          </w:p>
        </w:tc>
      </w:tr>
      <w:tr w:rsidR="00412223" w:rsidRPr="001D67FA" w:rsidTr="000A329C">
        <w:tc>
          <w:tcPr>
            <w:tcW w:w="2790" w:type="dxa"/>
          </w:tcPr>
          <w:p w:rsidR="00412223" w:rsidRPr="001D67FA" w:rsidRDefault="00412223" w:rsidP="00412223">
            <w:pPr>
              <w:tabs>
                <w:tab w:val="left" w:pos="450"/>
                <w:tab w:val="left" w:pos="3600"/>
              </w:tabs>
              <w:spacing w:line="276" w:lineRule="auto"/>
              <w:ind w:right="9"/>
              <w:rPr>
                <w:rFonts w:ascii="Times New Roman" w:eastAsia="Times New Roman" w:hAnsi="Times New Roman" w:cs="Times New Roman"/>
                <w:b/>
                <w:sz w:val="28"/>
                <w:szCs w:val="28"/>
              </w:rPr>
            </w:pPr>
            <w:r w:rsidRPr="001D67FA">
              <w:rPr>
                <w:rFonts w:ascii="Times New Roman" w:eastAsia="Times New Roman" w:hAnsi="Times New Roman" w:cs="Times New Roman"/>
                <w:b/>
                <w:sz w:val="28"/>
                <w:szCs w:val="28"/>
              </w:rPr>
              <w:t>BS</w:t>
            </w:r>
          </w:p>
        </w:tc>
        <w:tc>
          <w:tcPr>
            <w:tcW w:w="6570" w:type="dxa"/>
          </w:tcPr>
          <w:p w:rsidR="00412223" w:rsidRPr="001D67FA" w:rsidRDefault="00412223" w:rsidP="00412223">
            <w:pPr>
              <w:spacing w:line="276" w:lineRule="auto"/>
              <w:rPr>
                <w:rFonts w:ascii="Times New Roman" w:hAnsi="Times New Roman" w:cs="Times New Roman"/>
                <w:sz w:val="28"/>
                <w:szCs w:val="28"/>
              </w:rPr>
            </w:pPr>
            <w:r w:rsidRPr="001D67FA">
              <w:rPr>
                <w:rFonts w:ascii="Times New Roman" w:hAnsi="Times New Roman" w:cs="Times New Roman"/>
                <w:sz w:val="28"/>
                <w:szCs w:val="28"/>
              </w:rPr>
              <w:t>Bugetul de stat</w:t>
            </w:r>
          </w:p>
        </w:tc>
      </w:tr>
      <w:tr w:rsidR="00412223" w:rsidRPr="001D67FA" w:rsidTr="0014303B">
        <w:trPr>
          <w:trHeight w:val="98"/>
        </w:trPr>
        <w:tc>
          <w:tcPr>
            <w:tcW w:w="2790" w:type="dxa"/>
          </w:tcPr>
          <w:p w:rsidR="00412223" w:rsidRPr="001D67FA" w:rsidRDefault="00412223" w:rsidP="00412223">
            <w:pPr>
              <w:tabs>
                <w:tab w:val="left" w:pos="450"/>
                <w:tab w:val="left" w:pos="3600"/>
              </w:tabs>
              <w:spacing w:line="276" w:lineRule="auto"/>
              <w:ind w:right="9"/>
              <w:rPr>
                <w:rFonts w:ascii="Times New Roman" w:eastAsia="Times New Roman" w:hAnsi="Times New Roman" w:cs="Times New Roman"/>
                <w:b/>
                <w:sz w:val="28"/>
                <w:szCs w:val="28"/>
              </w:rPr>
            </w:pPr>
            <w:r w:rsidRPr="001D67FA">
              <w:rPr>
                <w:rFonts w:ascii="Times New Roman" w:eastAsia="Times New Roman" w:hAnsi="Times New Roman" w:cs="Times New Roman"/>
                <w:b/>
                <w:sz w:val="28"/>
                <w:szCs w:val="28"/>
              </w:rPr>
              <w:t>BUAT</w:t>
            </w:r>
          </w:p>
        </w:tc>
        <w:tc>
          <w:tcPr>
            <w:tcW w:w="6570" w:type="dxa"/>
          </w:tcPr>
          <w:p w:rsidR="00412223" w:rsidRPr="001D67FA" w:rsidRDefault="00412223" w:rsidP="00412223">
            <w:pPr>
              <w:spacing w:line="276" w:lineRule="auto"/>
              <w:rPr>
                <w:rFonts w:ascii="Times New Roman" w:hAnsi="Times New Roman" w:cs="Times New Roman"/>
                <w:sz w:val="28"/>
                <w:szCs w:val="28"/>
              </w:rPr>
            </w:pPr>
            <w:r w:rsidRPr="001D67FA">
              <w:rPr>
                <w:rFonts w:ascii="Times New Roman" w:hAnsi="Times New Roman" w:cs="Times New Roman"/>
                <w:sz w:val="28"/>
                <w:szCs w:val="28"/>
              </w:rPr>
              <w:t>Bugetul unităților administrativ-teritoriale</w:t>
            </w:r>
          </w:p>
        </w:tc>
      </w:tr>
      <w:tr w:rsidR="00412223" w:rsidRPr="001D67FA" w:rsidTr="000A329C">
        <w:tc>
          <w:tcPr>
            <w:tcW w:w="2790" w:type="dxa"/>
          </w:tcPr>
          <w:p w:rsidR="00412223" w:rsidRPr="001D67FA" w:rsidRDefault="00412223" w:rsidP="00412223">
            <w:pPr>
              <w:tabs>
                <w:tab w:val="left" w:pos="450"/>
                <w:tab w:val="left" w:pos="3600"/>
              </w:tabs>
              <w:spacing w:line="276" w:lineRule="auto"/>
              <w:ind w:right="9"/>
              <w:rPr>
                <w:rFonts w:ascii="Times New Roman" w:eastAsia="Times New Roman" w:hAnsi="Times New Roman" w:cs="Times New Roman"/>
                <w:b/>
                <w:sz w:val="28"/>
                <w:szCs w:val="28"/>
              </w:rPr>
            </w:pPr>
            <w:r w:rsidRPr="001D67FA">
              <w:rPr>
                <w:rFonts w:ascii="Times New Roman" w:eastAsia="Times New Roman" w:hAnsi="Times New Roman" w:cs="Times New Roman"/>
                <w:b/>
                <w:sz w:val="28"/>
                <w:szCs w:val="28"/>
              </w:rPr>
              <w:t>BUMM</w:t>
            </w:r>
          </w:p>
        </w:tc>
        <w:tc>
          <w:tcPr>
            <w:tcW w:w="6570" w:type="dxa"/>
          </w:tcPr>
          <w:p w:rsidR="00412223" w:rsidRPr="001D67FA" w:rsidRDefault="00412223" w:rsidP="00412223">
            <w:pPr>
              <w:spacing w:line="276" w:lineRule="auto"/>
              <w:rPr>
                <w:rFonts w:ascii="Times New Roman" w:hAnsi="Times New Roman" w:cs="Times New Roman"/>
                <w:sz w:val="28"/>
                <w:szCs w:val="28"/>
              </w:rPr>
            </w:pPr>
            <w:r w:rsidRPr="001D67FA">
              <w:rPr>
                <w:rFonts w:ascii="Times New Roman" w:hAnsi="Times New Roman" w:cs="Times New Roman"/>
                <w:sz w:val="28"/>
                <w:szCs w:val="28"/>
              </w:rPr>
              <w:t>Bursa universală de mărfuri a Moldovei</w:t>
            </w:r>
          </w:p>
        </w:tc>
      </w:tr>
      <w:tr w:rsidR="00412223" w:rsidRPr="001D67FA" w:rsidTr="000A329C">
        <w:tc>
          <w:tcPr>
            <w:tcW w:w="2790" w:type="dxa"/>
          </w:tcPr>
          <w:p w:rsidR="00412223" w:rsidRPr="002D6077" w:rsidRDefault="00412223" w:rsidP="00412223">
            <w:pPr>
              <w:tabs>
                <w:tab w:val="left" w:pos="450"/>
                <w:tab w:val="left" w:pos="3600"/>
              </w:tabs>
              <w:spacing w:line="276" w:lineRule="auto"/>
              <w:ind w:right="9"/>
              <w:rPr>
                <w:rFonts w:ascii="Times New Roman" w:eastAsia="Times New Roman" w:hAnsi="Times New Roman" w:cs="Times New Roman"/>
                <w:b/>
                <w:sz w:val="28"/>
                <w:szCs w:val="28"/>
              </w:rPr>
            </w:pPr>
            <w:r w:rsidRPr="002D6077">
              <w:rPr>
                <w:rFonts w:ascii="Times New Roman" w:eastAsia="Times New Roman" w:hAnsi="Times New Roman" w:cs="Times New Roman"/>
                <w:b/>
                <w:sz w:val="28"/>
                <w:szCs w:val="28"/>
              </w:rPr>
              <w:t>BV</w:t>
            </w:r>
          </w:p>
        </w:tc>
        <w:tc>
          <w:tcPr>
            <w:tcW w:w="6570" w:type="dxa"/>
          </w:tcPr>
          <w:p w:rsidR="00412223" w:rsidRPr="002D6077" w:rsidRDefault="00412223" w:rsidP="00412223">
            <w:pPr>
              <w:spacing w:line="276" w:lineRule="auto"/>
              <w:rPr>
                <w:rFonts w:ascii="Times New Roman" w:hAnsi="Times New Roman" w:cs="Times New Roman"/>
                <w:sz w:val="28"/>
                <w:szCs w:val="28"/>
              </w:rPr>
            </w:pPr>
            <w:r w:rsidRPr="002D6077">
              <w:rPr>
                <w:rFonts w:ascii="Times New Roman" w:hAnsi="Times New Roman" w:cs="Times New Roman"/>
                <w:sz w:val="28"/>
                <w:szCs w:val="28"/>
              </w:rPr>
              <w:t>Birou</w:t>
            </w:r>
            <w:r w:rsidR="00381178">
              <w:rPr>
                <w:rFonts w:ascii="Times New Roman" w:hAnsi="Times New Roman" w:cs="Times New Roman"/>
                <w:sz w:val="28"/>
                <w:szCs w:val="28"/>
              </w:rPr>
              <w:t>l</w:t>
            </w:r>
            <w:r w:rsidRPr="002D6077">
              <w:rPr>
                <w:rFonts w:ascii="Times New Roman" w:hAnsi="Times New Roman" w:cs="Times New Roman"/>
                <w:sz w:val="28"/>
                <w:szCs w:val="28"/>
              </w:rPr>
              <w:t xml:space="preserve"> vamal</w:t>
            </w:r>
          </w:p>
        </w:tc>
      </w:tr>
      <w:tr w:rsidR="000C61BF" w:rsidRPr="001D67FA" w:rsidTr="000A329C">
        <w:tc>
          <w:tcPr>
            <w:tcW w:w="2790" w:type="dxa"/>
          </w:tcPr>
          <w:p w:rsidR="000C61BF" w:rsidRPr="001D67FA" w:rsidRDefault="000C61BF" w:rsidP="00412223">
            <w:pPr>
              <w:tabs>
                <w:tab w:val="left" w:pos="450"/>
                <w:tab w:val="left" w:pos="3600"/>
              </w:tabs>
              <w:spacing w:line="276" w:lineRule="auto"/>
              <w:ind w:right="9"/>
              <w:rPr>
                <w:rFonts w:ascii="Times New Roman" w:eastAsia="Times New Roman" w:hAnsi="Times New Roman" w:cs="Times New Roman"/>
                <w:b/>
                <w:sz w:val="28"/>
                <w:szCs w:val="28"/>
              </w:rPr>
            </w:pPr>
            <w:r>
              <w:rPr>
                <w:rFonts w:ascii="Times New Roman" w:eastAsia="Times New Roman" w:hAnsi="Times New Roman" w:cs="Times New Roman"/>
                <w:b/>
                <w:sz w:val="28"/>
                <w:szCs w:val="28"/>
              </w:rPr>
              <w:t>BNS</w:t>
            </w:r>
          </w:p>
        </w:tc>
        <w:tc>
          <w:tcPr>
            <w:tcW w:w="6570" w:type="dxa"/>
          </w:tcPr>
          <w:p w:rsidR="000C61BF" w:rsidRPr="001D67FA" w:rsidRDefault="000C61BF" w:rsidP="00412223">
            <w:pPr>
              <w:spacing w:line="276" w:lineRule="auto"/>
              <w:rPr>
                <w:rFonts w:ascii="Times New Roman" w:hAnsi="Times New Roman" w:cs="Times New Roman"/>
                <w:sz w:val="28"/>
                <w:szCs w:val="28"/>
              </w:rPr>
            </w:pPr>
            <w:r>
              <w:rPr>
                <w:rFonts w:ascii="Times New Roman" w:hAnsi="Times New Roman" w:cs="Times New Roman"/>
                <w:sz w:val="28"/>
                <w:szCs w:val="28"/>
              </w:rPr>
              <w:t>Biroul Național de Statistică</w:t>
            </w:r>
          </w:p>
        </w:tc>
      </w:tr>
      <w:tr w:rsidR="00412223" w:rsidRPr="001D67FA" w:rsidTr="000A329C">
        <w:tc>
          <w:tcPr>
            <w:tcW w:w="2790" w:type="dxa"/>
          </w:tcPr>
          <w:p w:rsidR="00412223" w:rsidRPr="002D6077" w:rsidRDefault="00412223" w:rsidP="00412223">
            <w:pPr>
              <w:tabs>
                <w:tab w:val="left" w:pos="450"/>
                <w:tab w:val="left" w:pos="3600"/>
              </w:tabs>
              <w:spacing w:line="276" w:lineRule="auto"/>
              <w:ind w:right="9"/>
              <w:rPr>
                <w:rFonts w:ascii="Times New Roman" w:eastAsia="Times New Roman" w:hAnsi="Times New Roman" w:cs="Times New Roman"/>
                <w:b/>
                <w:sz w:val="28"/>
                <w:szCs w:val="28"/>
              </w:rPr>
            </w:pPr>
            <w:r w:rsidRPr="002D6077">
              <w:rPr>
                <w:rFonts w:ascii="Times New Roman" w:eastAsia="Times New Roman" w:hAnsi="Times New Roman" w:cs="Times New Roman"/>
                <w:b/>
                <w:sz w:val="28"/>
                <w:szCs w:val="28"/>
              </w:rPr>
              <w:t>CCRM</w:t>
            </w:r>
          </w:p>
        </w:tc>
        <w:tc>
          <w:tcPr>
            <w:tcW w:w="6570" w:type="dxa"/>
          </w:tcPr>
          <w:p w:rsidR="00412223" w:rsidRPr="002D6077" w:rsidRDefault="00412223" w:rsidP="00412223">
            <w:pPr>
              <w:spacing w:line="276" w:lineRule="auto"/>
              <w:rPr>
                <w:rFonts w:ascii="Times New Roman" w:hAnsi="Times New Roman" w:cs="Times New Roman"/>
                <w:sz w:val="28"/>
                <w:szCs w:val="28"/>
              </w:rPr>
            </w:pPr>
            <w:r w:rsidRPr="002D6077">
              <w:rPr>
                <w:rFonts w:ascii="Times New Roman" w:hAnsi="Times New Roman" w:cs="Times New Roman"/>
                <w:sz w:val="28"/>
                <w:szCs w:val="28"/>
              </w:rPr>
              <w:t>Curtea de Conturi a Republicii Moldova</w:t>
            </w:r>
          </w:p>
        </w:tc>
      </w:tr>
      <w:tr w:rsidR="002D6077" w:rsidRPr="001D67FA" w:rsidTr="000A329C">
        <w:tc>
          <w:tcPr>
            <w:tcW w:w="2790" w:type="dxa"/>
          </w:tcPr>
          <w:p w:rsidR="002D6077" w:rsidRPr="002D6077" w:rsidRDefault="002D6077" w:rsidP="00412223">
            <w:pPr>
              <w:tabs>
                <w:tab w:val="left" w:pos="450"/>
                <w:tab w:val="left" w:pos="3600"/>
              </w:tabs>
              <w:spacing w:line="276" w:lineRule="auto"/>
              <w:ind w:right="9"/>
              <w:rPr>
                <w:rFonts w:ascii="Times New Roman" w:eastAsia="Times New Roman" w:hAnsi="Times New Roman" w:cs="Times New Roman"/>
                <w:b/>
                <w:sz w:val="28"/>
                <w:szCs w:val="28"/>
              </w:rPr>
            </w:pPr>
            <w:r>
              <w:rPr>
                <w:rFonts w:ascii="Times New Roman" w:eastAsia="Times New Roman" w:hAnsi="Times New Roman" w:cs="Times New Roman"/>
                <w:b/>
                <w:sz w:val="28"/>
                <w:szCs w:val="28"/>
              </w:rPr>
              <w:t>CF</w:t>
            </w:r>
          </w:p>
        </w:tc>
        <w:tc>
          <w:tcPr>
            <w:tcW w:w="6570" w:type="dxa"/>
          </w:tcPr>
          <w:p w:rsidR="002D6077" w:rsidRPr="002D6077" w:rsidRDefault="002D6077" w:rsidP="00412223">
            <w:pPr>
              <w:spacing w:line="276" w:lineRule="auto"/>
              <w:rPr>
                <w:rFonts w:ascii="Times New Roman" w:hAnsi="Times New Roman" w:cs="Times New Roman"/>
                <w:sz w:val="28"/>
                <w:szCs w:val="28"/>
              </w:rPr>
            </w:pPr>
            <w:r>
              <w:rPr>
                <w:rFonts w:ascii="Times New Roman" w:hAnsi="Times New Roman" w:cs="Times New Roman"/>
                <w:sz w:val="28"/>
                <w:szCs w:val="28"/>
              </w:rPr>
              <w:t>Codul fiscal</w:t>
            </w:r>
          </w:p>
        </w:tc>
      </w:tr>
      <w:tr w:rsidR="002D6077" w:rsidRPr="001D67FA" w:rsidTr="000A329C">
        <w:tc>
          <w:tcPr>
            <w:tcW w:w="2790" w:type="dxa"/>
          </w:tcPr>
          <w:p w:rsidR="002D6077" w:rsidRDefault="002D6077" w:rsidP="00412223">
            <w:pPr>
              <w:tabs>
                <w:tab w:val="left" w:pos="450"/>
                <w:tab w:val="left" w:pos="3600"/>
              </w:tabs>
              <w:spacing w:line="276" w:lineRule="auto"/>
              <w:ind w:right="9"/>
              <w:rPr>
                <w:rFonts w:ascii="Times New Roman" w:eastAsia="Times New Roman" w:hAnsi="Times New Roman" w:cs="Times New Roman"/>
                <w:b/>
                <w:sz w:val="28"/>
                <w:szCs w:val="28"/>
              </w:rPr>
            </w:pPr>
            <w:r>
              <w:rPr>
                <w:rFonts w:ascii="Times New Roman" w:eastAsia="Times New Roman" w:hAnsi="Times New Roman" w:cs="Times New Roman"/>
                <w:b/>
                <w:sz w:val="28"/>
                <w:szCs w:val="28"/>
              </w:rPr>
              <w:t>CV</w:t>
            </w:r>
          </w:p>
        </w:tc>
        <w:tc>
          <w:tcPr>
            <w:tcW w:w="6570" w:type="dxa"/>
          </w:tcPr>
          <w:p w:rsidR="002D6077" w:rsidRDefault="002D6077" w:rsidP="00412223">
            <w:pPr>
              <w:spacing w:line="276" w:lineRule="auto"/>
              <w:rPr>
                <w:rFonts w:ascii="Times New Roman" w:hAnsi="Times New Roman" w:cs="Times New Roman"/>
                <w:sz w:val="28"/>
                <w:szCs w:val="28"/>
              </w:rPr>
            </w:pPr>
            <w:r>
              <w:rPr>
                <w:rFonts w:ascii="Times New Roman" w:hAnsi="Times New Roman" w:cs="Times New Roman"/>
                <w:sz w:val="28"/>
                <w:szCs w:val="28"/>
              </w:rPr>
              <w:t>Codul vamal</w:t>
            </w:r>
          </w:p>
        </w:tc>
      </w:tr>
      <w:tr w:rsidR="00412223" w:rsidRPr="001D67FA" w:rsidTr="000A329C">
        <w:tc>
          <w:tcPr>
            <w:tcW w:w="2790" w:type="dxa"/>
          </w:tcPr>
          <w:p w:rsidR="00412223" w:rsidRPr="001D67FA" w:rsidRDefault="00412223" w:rsidP="00412223">
            <w:pPr>
              <w:tabs>
                <w:tab w:val="left" w:pos="450"/>
                <w:tab w:val="left" w:pos="3600"/>
              </w:tabs>
              <w:spacing w:line="276" w:lineRule="auto"/>
              <w:ind w:right="9"/>
              <w:rPr>
                <w:rFonts w:ascii="Times New Roman" w:eastAsia="Times New Roman" w:hAnsi="Times New Roman" w:cs="Times New Roman"/>
                <w:b/>
                <w:sz w:val="28"/>
                <w:szCs w:val="28"/>
              </w:rPr>
            </w:pPr>
            <w:r w:rsidRPr="001D67FA">
              <w:rPr>
                <w:rFonts w:ascii="Times New Roman" w:eastAsia="Times New Roman" w:hAnsi="Times New Roman" w:cs="Times New Roman"/>
                <w:b/>
                <w:sz w:val="28"/>
                <w:szCs w:val="28"/>
              </w:rPr>
              <w:t>DGACM</w:t>
            </w:r>
          </w:p>
        </w:tc>
        <w:tc>
          <w:tcPr>
            <w:tcW w:w="6570" w:type="dxa"/>
          </w:tcPr>
          <w:p w:rsidR="00412223" w:rsidRPr="001D67FA" w:rsidRDefault="00412223" w:rsidP="00412223">
            <w:pPr>
              <w:spacing w:line="276" w:lineRule="auto"/>
              <w:rPr>
                <w:rFonts w:ascii="Times New Roman" w:hAnsi="Times New Roman" w:cs="Times New Roman"/>
                <w:sz w:val="28"/>
                <w:szCs w:val="28"/>
              </w:rPr>
            </w:pPr>
            <w:r w:rsidRPr="001D67FA">
              <w:rPr>
                <w:rFonts w:ascii="Times New Roman" w:hAnsi="Times New Roman" w:cs="Times New Roman"/>
                <w:sz w:val="28"/>
                <w:szCs w:val="28"/>
              </w:rPr>
              <w:t>Direcția generală administrare contribuabili mari</w:t>
            </w:r>
          </w:p>
        </w:tc>
      </w:tr>
      <w:tr w:rsidR="00412223" w:rsidRPr="001D67FA" w:rsidTr="000A329C">
        <w:tc>
          <w:tcPr>
            <w:tcW w:w="2790" w:type="dxa"/>
          </w:tcPr>
          <w:p w:rsidR="00412223" w:rsidRPr="001D67FA" w:rsidRDefault="00412223" w:rsidP="00412223">
            <w:pPr>
              <w:tabs>
                <w:tab w:val="left" w:pos="450"/>
                <w:tab w:val="left" w:pos="3600"/>
              </w:tabs>
              <w:spacing w:line="276" w:lineRule="auto"/>
              <w:ind w:right="9"/>
              <w:rPr>
                <w:rFonts w:ascii="Times New Roman" w:eastAsia="Times New Roman" w:hAnsi="Times New Roman" w:cs="Times New Roman"/>
                <w:b/>
                <w:sz w:val="28"/>
                <w:szCs w:val="28"/>
              </w:rPr>
            </w:pPr>
            <w:r w:rsidRPr="001D67FA">
              <w:rPr>
                <w:rFonts w:ascii="Times New Roman" w:eastAsia="Times New Roman" w:hAnsi="Times New Roman" w:cs="Times New Roman"/>
                <w:b/>
                <w:sz w:val="28"/>
                <w:szCs w:val="28"/>
              </w:rPr>
              <w:t>DGAF</w:t>
            </w:r>
          </w:p>
        </w:tc>
        <w:tc>
          <w:tcPr>
            <w:tcW w:w="6570" w:type="dxa"/>
          </w:tcPr>
          <w:p w:rsidR="00412223" w:rsidRPr="001D67FA" w:rsidRDefault="00412223" w:rsidP="00412223">
            <w:pPr>
              <w:spacing w:line="276" w:lineRule="auto"/>
              <w:rPr>
                <w:rFonts w:ascii="Times New Roman" w:hAnsi="Times New Roman" w:cs="Times New Roman"/>
                <w:sz w:val="28"/>
                <w:szCs w:val="28"/>
              </w:rPr>
            </w:pPr>
            <w:r w:rsidRPr="001D67FA">
              <w:rPr>
                <w:rFonts w:ascii="Times New Roman" w:hAnsi="Times New Roman" w:cs="Times New Roman"/>
                <w:sz w:val="28"/>
                <w:szCs w:val="28"/>
              </w:rPr>
              <w:t>Direcția generală administrare fiscală</w:t>
            </w:r>
          </w:p>
        </w:tc>
      </w:tr>
      <w:tr w:rsidR="00412223" w:rsidRPr="001D67FA" w:rsidTr="000A329C">
        <w:tc>
          <w:tcPr>
            <w:tcW w:w="2790" w:type="dxa"/>
          </w:tcPr>
          <w:p w:rsidR="00412223" w:rsidRPr="001D67FA" w:rsidRDefault="00412223" w:rsidP="00412223">
            <w:pPr>
              <w:tabs>
                <w:tab w:val="left" w:pos="450"/>
                <w:tab w:val="left" w:pos="3600"/>
              </w:tabs>
              <w:spacing w:line="276" w:lineRule="auto"/>
              <w:ind w:right="9"/>
              <w:rPr>
                <w:rFonts w:ascii="Times New Roman" w:eastAsia="Times New Roman" w:hAnsi="Times New Roman" w:cs="Times New Roman"/>
                <w:b/>
                <w:sz w:val="28"/>
                <w:szCs w:val="28"/>
              </w:rPr>
            </w:pPr>
            <w:r w:rsidRPr="001D67FA">
              <w:rPr>
                <w:rFonts w:ascii="Times New Roman" w:eastAsia="Times New Roman" w:hAnsi="Times New Roman" w:cs="Times New Roman"/>
                <w:b/>
                <w:sz w:val="28"/>
                <w:szCs w:val="28"/>
              </w:rPr>
              <w:t>FAOAM</w:t>
            </w:r>
          </w:p>
        </w:tc>
        <w:tc>
          <w:tcPr>
            <w:tcW w:w="6570" w:type="dxa"/>
          </w:tcPr>
          <w:p w:rsidR="00412223" w:rsidRPr="001D67FA" w:rsidRDefault="00412223" w:rsidP="00412223">
            <w:pPr>
              <w:spacing w:line="276" w:lineRule="auto"/>
              <w:rPr>
                <w:rFonts w:ascii="Times New Roman" w:hAnsi="Times New Roman" w:cs="Times New Roman"/>
                <w:sz w:val="28"/>
                <w:szCs w:val="28"/>
              </w:rPr>
            </w:pPr>
            <w:r w:rsidRPr="001D67FA">
              <w:rPr>
                <w:rFonts w:ascii="Times New Roman" w:hAnsi="Times New Roman" w:cs="Times New Roman"/>
                <w:sz w:val="28"/>
                <w:szCs w:val="28"/>
              </w:rPr>
              <w:t>Fondu</w:t>
            </w:r>
            <w:r w:rsidR="00F10984">
              <w:rPr>
                <w:rFonts w:ascii="Times New Roman" w:hAnsi="Times New Roman" w:cs="Times New Roman"/>
                <w:sz w:val="28"/>
                <w:szCs w:val="28"/>
              </w:rPr>
              <w:t>rilea</w:t>
            </w:r>
            <w:r w:rsidRPr="001D67FA">
              <w:rPr>
                <w:rFonts w:ascii="Times New Roman" w:hAnsi="Times New Roman" w:cs="Times New Roman"/>
                <w:sz w:val="28"/>
                <w:szCs w:val="28"/>
              </w:rPr>
              <w:t xml:space="preserve">sigurării </w:t>
            </w:r>
            <w:r w:rsidR="00F10984">
              <w:rPr>
                <w:rFonts w:ascii="Times New Roman" w:hAnsi="Times New Roman" w:cs="Times New Roman"/>
                <w:sz w:val="28"/>
                <w:szCs w:val="28"/>
              </w:rPr>
              <w:t>o</w:t>
            </w:r>
            <w:r w:rsidRPr="001D67FA">
              <w:rPr>
                <w:rFonts w:ascii="Times New Roman" w:hAnsi="Times New Roman" w:cs="Times New Roman"/>
                <w:sz w:val="28"/>
                <w:szCs w:val="28"/>
              </w:rPr>
              <w:t xml:space="preserve">bligatorii de </w:t>
            </w:r>
            <w:r w:rsidR="00F10984">
              <w:rPr>
                <w:rFonts w:ascii="Times New Roman" w:hAnsi="Times New Roman" w:cs="Times New Roman"/>
                <w:sz w:val="28"/>
                <w:szCs w:val="28"/>
              </w:rPr>
              <w:t>a</w:t>
            </w:r>
            <w:r w:rsidRPr="001D67FA">
              <w:rPr>
                <w:rFonts w:ascii="Times New Roman" w:hAnsi="Times New Roman" w:cs="Times New Roman"/>
                <w:sz w:val="28"/>
                <w:szCs w:val="28"/>
              </w:rPr>
              <w:t xml:space="preserve">sistență </w:t>
            </w:r>
            <w:r w:rsidR="00F10984">
              <w:rPr>
                <w:rFonts w:ascii="Times New Roman" w:hAnsi="Times New Roman" w:cs="Times New Roman"/>
                <w:sz w:val="28"/>
                <w:szCs w:val="28"/>
              </w:rPr>
              <w:t>m</w:t>
            </w:r>
            <w:r w:rsidRPr="001D67FA">
              <w:rPr>
                <w:rFonts w:ascii="Times New Roman" w:hAnsi="Times New Roman" w:cs="Times New Roman"/>
                <w:sz w:val="28"/>
                <w:szCs w:val="28"/>
              </w:rPr>
              <w:t>edicală</w:t>
            </w:r>
          </w:p>
        </w:tc>
      </w:tr>
      <w:tr w:rsidR="00412223" w:rsidRPr="001D67FA" w:rsidTr="000A329C">
        <w:tc>
          <w:tcPr>
            <w:tcW w:w="2790" w:type="dxa"/>
          </w:tcPr>
          <w:p w:rsidR="00412223" w:rsidRPr="001D67FA" w:rsidRDefault="00412223" w:rsidP="00412223">
            <w:pPr>
              <w:tabs>
                <w:tab w:val="left" w:pos="450"/>
                <w:tab w:val="left" w:pos="3600"/>
              </w:tabs>
              <w:spacing w:line="276" w:lineRule="auto"/>
              <w:ind w:right="9"/>
              <w:rPr>
                <w:rFonts w:ascii="Times New Roman" w:eastAsia="Times New Roman" w:hAnsi="Times New Roman" w:cs="Times New Roman"/>
                <w:b/>
                <w:sz w:val="28"/>
                <w:szCs w:val="28"/>
              </w:rPr>
            </w:pPr>
            <w:r w:rsidRPr="001D67FA">
              <w:rPr>
                <w:rFonts w:ascii="Times New Roman" w:eastAsia="Times New Roman" w:hAnsi="Times New Roman" w:cs="Times New Roman"/>
                <w:b/>
                <w:sz w:val="28"/>
                <w:szCs w:val="28"/>
              </w:rPr>
              <w:t>IES</w:t>
            </w:r>
          </w:p>
        </w:tc>
        <w:tc>
          <w:tcPr>
            <w:tcW w:w="6570" w:type="dxa"/>
          </w:tcPr>
          <w:p w:rsidR="00412223" w:rsidRPr="001D67FA" w:rsidRDefault="00412223" w:rsidP="00412223">
            <w:pPr>
              <w:spacing w:line="276" w:lineRule="auto"/>
              <w:rPr>
                <w:rFonts w:ascii="Times New Roman" w:hAnsi="Times New Roman" w:cs="Times New Roman"/>
                <w:sz w:val="28"/>
                <w:szCs w:val="28"/>
              </w:rPr>
            </w:pPr>
            <w:r w:rsidRPr="001D67FA">
              <w:rPr>
                <w:rFonts w:ascii="Times New Roman" w:hAnsi="Times New Roman" w:cs="Times New Roman"/>
                <w:sz w:val="28"/>
                <w:szCs w:val="28"/>
              </w:rPr>
              <w:t>Inspectoratul Ecologic de Stat</w:t>
            </w:r>
          </w:p>
        </w:tc>
      </w:tr>
      <w:tr w:rsidR="00412223" w:rsidRPr="001D67FA" w:rsidTr="000A329C">
        <w:tc>
          <w:tcPr>
            <w:tcW w:w="2790" w:type="dxa"/>
          </w:tcPr>
          <w:p w:rsidR="00412223" w:rsidRPr="001D67FA" w:rsidRDefault="00412223" w:rsidP="00412223">
            <w:pPr>
              <w:tabs>
                <w:tab w:val="left" w:pos="450"/>
                <w:tab w:val="left" w:pos="3600"/>
              </w:tabs>
              <w:spacing w:line="276" w:lineRule="auto"/>
              <w:ind w:right="9"/>
              <w:rPr>
                <w:rFonts w:ascii="Times New Roman" w:eastAsia="Times New Roman" w:hAnsi="Times New Roman" w:cs="Times New Roman"/>
                <w:b/>
                <w:sz w:val="28"/>
                <w:szCs w:val="28"/>
              </w:rPr>
            </w:pPr>
            <w:r w:rsidRPr="001D67FA">
              <w:rPr>
                <w:rFonts w:ascii="Times New Roman" w:eastAsia="Times New Roman" w:hAnsi="Times New Roman" w:cs="Times New Roman"/>
                <w:b/>
                <w:sz w:val="28"/>
                <w:szCs w:val="28"/>
              </w:rPr>
              <w:t>ME</w:t>
            </w:r>
          </w:p>
        </w:tc>
        <w:tc>
          <w:tcPr>
            <w:tcW w:w="6570" w:type="dxa"/>
          </w:tcPr>
          <w:p w:rsidR="00412223" w:rsidRPr="001D67FA" w:rsidRDefault="00412223" w:rsidP="00412223">
            <w:pPr>
              <w:spacing w:line="276" w:lineRule="auto"/>
              <w:rPr>
                <w:rFonts w:ascii="Times New Roman" w:hAnsi="Times New Roman" w:cs="Times New Roman"/>
                <w:sz w:val="28"/>
                <w:szCs w:val="28"/>
              </w:rPr>
            </w:pPr>
            <w:r w:rsidRPr="001D67FA">
              <w:rPr>
                <w:rFonts w:ascii="Times New Roman" w:hAnsi="Times New Roman" w:cs="Times New Roman"/>
                <w:sz w:val="28"/>
                <w:szCs w:val="28"/>
              </w:rPr>
              <w:t>Ministerul Economiei</w:t>
            </w:r>
          </w:p>
        </w:tc>
      </w:tr>
      <w:tr w:rsidR="00412223" w:rsidRPr="001D67FA" w:rsidTr="000A329C">
        <w:tc>
          <w:tcPr>
            <w:tcW w:w="2790" w:type="dxa"/>
          </w:tcPr>
          <w:p w:rsidR="00412223" w:rsidRPr="002D6077" w:rsidRDefault="00412223" w:rsidP="00412223">
            <w:pPr>
              <w:tabs>
                <w:tab w:val="left" w:pos="450"/>
                <w:tab w:val="left" w:pos="3600"/>
              </w:tabs>
              <w:spacing w:line="276" w:lineRule="auto"/>
              <w:ind w:right="9"/>
              <w:rPr>
                <w:rFonts w:ascii="Times New Roman" w:eastAsia="Times New Roman" w:hAnsi="Times New Roman" w:cs="Times New Roman"/>
                <w:b/>
                <w:sz w:val="28"/>
                <w:szCs w:val="28"/>
              </w:rPr>
            </w:pPr>
            <w:r w:rsidRPr="002D6077">
              <w:rPr>
                <w:rFonts w:ascii="Times New Roman" w:eastAsia="Times New Roman" w:hAnsi="Times New Roman" w:cs="Times New Roman"/>
                <w:b/>
                <w:sz w:val="28"/>
                <w:szCs w:val="28"/>
              </w:rPr>
              <w:t>MF</w:t>
            </w:r>
          </w:p>
        </w:tc>
        <w:tc>
          <w:tcPr>
            <w:tcW w:w="6570" w:type="dxa"/>
          </w:tcPr>
          <w:p w:rsidR="00412223" w:rsidRPr="002D6077" w:rsidRDefault="00412223" w:rsidP="00412223">
            <w:pPr>
              <w:spacing w:line="276" w:lineRule="auto"/>
              <w:rPr>
                <w:rFonts w:ascii="Times New Roman" w:hAnsi="Times New Roman" w:cs="Times New Roman"/>
                <w:sz w:val="28"/>
                <w:szCs w:val="28"/>
              </w:rPr>
            </w:pPr>
            <w:r w:rsidRPr="002D6077">
              <w:rPr>
                <w:rFonts w:ascii="Times New Roman" w:hAnsi="Times New Roman" w:cs="Times New Roman"/>
                <w:sz w:val="28"/>
                <w:szCs w:val="28"/>
              </w:rPr>
              <w:t>Ministerul Finanțelor</w:t>
            </w:r>
          </w:p>
        </w:tc>
      </w:tr>
      <w:tr w:rsidR="004E4152" w:rsidRPr="001D67FA" w:rsidTr="000A329C">
        <w:tc>
          <w:tcPr>
            <w:tcW w:w="2790" w:type="dxa"/>
          </w:tcPr>
          <w:p w:rsidR="004E4152" w:rsidRPr="002D6077" w:rsidRDefault="004E4152" w:rsidP="00412223">
            <w:pPr>
              <w:tabs>
                <w:tab w:val="left" w:pos="450"/>
                <w:tab w:val="left" w:pos="3600"/>
              </w:tabs>
              <w:spacing w:line="276" w:lineRule="auto"/>
              <w:ind w:right="9"/>
              <w:rPr>
                <w:rFonts w:ascii="Times New Roman" w:eastAsia="Times New Roman" w:hAnsi="Times New Roman" w:cs="Times New Roman"/>
                <w:b/>
                <w:sz w:val="28"/>
                <w:szCs w:val="28"/>
              </w:rPr>
            </w:pPr>
            <w:r w:rsidRPr="002D6077">
              <w:rPr>
                <w:rFonts w:ascii="Times New Roman" w:eastAsia="Times New Roman" w:hAnsi="Times New Roman" w:cs="Times New Roman"/>
                <w:b/>
                <w:sz w:val="28"/>
                <w:szCs w:val="28"/>
              </w:rPr>
              <w:t>MS</w:t>
            </w:r>
          </w:p>
        </w:tc>
        <w:tc>
          <w:tcPr>
            <w:tcW w:w="6570" w:type="dxa"/>
          </w:tcPr>
          <w:p w:rsidR="004E4152" w:rsidRPr="002D6077" w:rsidRDefault="004E4152" w:rsidP="00412223">
            <w:pPr>
              <w:spacing w:line="276" w:lineRule="auto"/>
              <w:rPr>
                <w:rFonts w:ascii="Times New Roman" w:hAnsi="Times New Roman" w:cs="Times New Roman"/>
                <w:sz w:val="28"/>
                <w:szCs w:val="28"/>
              </w:rPr>
            </w:pPr>
            <w:r w:rsidRPr="002D6077">
              <w:rPr>
                <w:rFonts w:ascii="Times New Roman" w:hAnsi="Times New Roman" w:cs="Times New Roman"/>
                <w:sz w:val="28"/>
                <w:szCs w:val="28"/>
              </w:rPr>
              <w:t>Ministerul Sănătății</w:t>
            </w:r>
          </w:p>
        </w:tc>
      </w:tr>
      <w:tr w:rsidR="00412223" w:rsidRPr="001D67FA" w:rsidTr="000A329C">
        <w:tc>
          <w:tcPr>
            <w:tcW w:w="2790" w:type="dxa"/>
          </w:tcPr>
          <w:p w:rsidR="00412223" w:rsidRPr="001D67FA" w:rsidRDefault="00412223" w:rsidP="00412223">
            <w:pPr>
              <w:pStyle w:val="NoSpacing"/>
              <w:spacing w:line="276" w:lineRule="auto"/>
              <w:jc w:val="both"/>
              <w:rPr>
                <w:rFonts w:ascii="Times New Roman" w:hAnsi="Times New Roman" w:cs="Times New Roman"/>
                <w:b/>
                <w:sz w:val="28"/>
                <w:szCs w:val="28"/>
                <w:lang w:val="ro-RO"/>
              </w:rPr>
            </w:pPr>
            <w:r w:rsidRPr="001D67FA">
              <w:rPr>
                <w:rFonts w:ascii="Times New Roman" w:hAnsi="Times New Roman" w:cs="Times New Roman"/>
                <w:b/>
                <w:sz w:val="28"/>
                <w:szCs w:val="28"/>
                <w:lang w:val="ro-RO"/>
              </w:rPr>
              <w:t>PEFA</w:t>
            </w:r>
          </w:p>
        </w:tc>
        <w:tc>
          <w:tcPr>
            <w:tcW w:w="6570" w:type="dxa"/>
          </w:tcPr>
          <w:p w:rsidR="00412223" w:rsidRPr="001D67FA" w:rsidRDefault="00412223" w:rsidP="00412223">
            <w:pPr>
              <w:pStyle w:val="NoSpacing"/>
              <w:spacing w:line="276" w:lineRule="auto"/>
              <w:jc w:val="both"/>
              <w:rPr>
                <w:rFonts w:ascii="Times New Roman" w:eastAsia="Times New Roman" w:hAnsi="Times New Roman" w:cs="Times New Roman"/>
                <w:color w:val="000000"/>
                <w:sz w:val="28"/>
                <w:szCs w:val="28"/>
                <w:lang w:val="ro-RO"/>
              </w:rPr>
            </w:pPr>
            <w:r w:rsidRPr="001D67FA">
              <w:rPr>
                <w:rFonts w:ascii="Times New Roman" w:eastAsia="Times New Roman" w:hAnsi="Times New Roman" w:cs="Times New Roman"/>
                <w:color w:val="000000"/>
                <w:sz w:val="28"/>
                <w:szCs w:val="28"/>
                <w:lang w:val="ro-RO"/>
              </w:rPr>
              <w:t>Performanţa Managementului Finanţelor Publice</w:t>
            </w:r>
          </w:p>
        </w:tc>
      </w:tr>
      <w:tr w:rsidR="00412223" w:rsidRPr="001D67FA" w:rsidTr="000A329C">
        <w:tc>
          <w:tcPr>
            <w:tcW w:w="2790" w:type="dxa"/>
          </w:tcPr>
          <w:p w:rsidR="00412223" w:rsidRPr="001D67FA" w:rsidRDefault="00412223" w:rsidP="00412223">
            <w:pPr>
              <w:tabs>
                <w:tab w:val="left" w:pos="450"/>
                <w:tab w:val="left" w:pos="3600"/>
              </w:tabs>
              <w:spacing w:line="276" w:lineRule="auto"/>
              <w:ind w:right="9"/>
              <w:rPr>
                <w:rFonts w:ascii="Times New Roman" w:eastAsia="Times New Roman" w:hAnsi="Times New Roman" w:cs="Times New Roman"/>
                <w:b/>
                <w:sz w:val="28"/>
                <w:szCs w:val="28"/>
              </w:rPr>
            </w:pPr>
            <w:r w:rsidRPr="001D67FA">
              <w:rPr>
                <w:rFonts w:ascii="Times New Roman" w:eastAsia="Times New Roman" w:hAnsi="Times New Roman" w:cs="Times New Roman"/>
                <w:b/>
                <w:sz w:val="28"/>
                <w:szCs w:val="28"/>
              </w:rPr>
              <w:t>PIB</w:t>
            </w:r>
          </w:p>
        </w:tc>
        <w:tc>
          <w:tcPr>
            <w:tcW w:w="6570" w:type="dxa"/>
          </w:tcPr>
          <w:p w:rsidR="00412223" w:rsidRPr="001D67FA" w:rsidRDefault="00412223" w:rsidP="00412223">
            <w:pPr>
              <w:spacing w:line="276" w:lineRule="auto"/>
              <w:rPr>
                <w:rFonts w:ascii="Times New Roman" w:hAnsi="Times New Roman" w:cs="Times New Roman"/>
                <w:sz w:val="28"/>
                <w:szCs w:val="28"/>
              </w:rPr>
            </w:pPr>
            <w:r w:rsidRPr="001D67FA">
              <w:rPr>
                <w:rFonts w:ascii="Times New Roman" w:hAnsi="Times New Roman" w:cs="Times New Roman"/>
                <w:sz w:val="28"/>
                <w:szCs w:val="28"/>
              </w:rPr>
              <w:t>Produsul Intern Brut</w:t>
            </w:r>
          </w:p>
        </w:tc>
      </w:tr>
      <w:tr w:rsidR="00412223" w:rsidRPr="001D67FA" w:rsidTr="000A329C">
        <w:tc>
          <w:tcPr>
            <w:tcW w:w="2790" w:type="dxa"/>
          </w:tcPr>
          <w:p w:rsidR="00412223" w:rsidRPr="001D67FA" w:rsidRDefault="00F10984" w:rsidP="00412223">
            <w:pPr>
              <w:tabs>
                <w:tab w:val="left" w:pos="450"/>
                <w:tab w:val="left" w:pos="3600"/>
              </w:tabs>
              <w:spacing w:line="276" w:lineRule="auto"/>
              <w:ind w:right="9"/>
              <w:rPr>
                <w:rFonts w:ascii="Times New Roman" w:eastAsia="Times New Roman" w:hAnsi="Times New Roman" w:cs="Times New Roman"/>
                <w:b/>
                <w:sz w:val="28"/>
                <w:szCs w:val="28"/>
              </w:rPr>
            </w:pPr>
            <w:r>
              <w:rPr>
                <w:rFonts w:ascii="Times New Roman" w:eastAsia="Times New Roman" w:hAnsi="Times New Roman" w:cs="Times New Roman"/>
                <w:b/>
                <w:sz w:val="28"/>
                <w:szCs w:val="28"/>
              </w:rPr>
              <w:t>p</w:t>
            </w:r>
            <w:r w:rsidR="00412223" w:rsidRPr="001D67FA">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p</w:t>
            </w:r>
            <w:r w:rsidR="00412223" w:rsidRPr="001D67FA">
              <w:rPr>
                <w:rFonts w:ascii="Times New Roman" w:eastAsia="Times New Roman" w:hAnsi="Times New Roman" w:cs="Times New Roman"/>
                <w:b/>
                <w:sz w:val="28"/>
                <w:szCs w:val="28"/>
              </w:rPr>
              <w:t>.</w:t>
            </w:r>
          </w:p>
        </w:tc>
        <w:tc>
          <w:tcPr>
            <w:tcW w:w="6570" w:type="dxa"/>
          </w:tcPr>
          <w:p w:rsidR="00412223" w:rsidRPr="001D67FA" w:rsidRDefault="00F10984" w:rsidP="00412223">
            <w:pPr>
              <w:spacing w:line="276" w:lineRule="auto"/>
              <w:rPr>
                <w:rFonts w:ascii="Times New Roman" w:hAnsi="Times New Roman" w:cs="Times New Roman"/>
                <w:sz w:val="28"/>
                <w:szCs w:val="28"/>
              </w:rPr>
            </w:pPr>
            <w:r>
              <w:rPr>
                <w:rFonts w:ascii="Times New Roman" w:hAnsi="Times New Roman" w:cs="Times New Roman"/>
                <w:sz w:val="28"/>
                <w:szCs w:val="28"/>
              </w:rPr>
              <w:t>p</w:t>
            </w:r>
            <w:r w:rsidR="00412223" w:rsidRPr="001D67FA">
              <w:rPr>
                <w:rFonts w:ascii="Times New Roman" w:hAnsi="Times New Roman" w:cs="Times New Roman"/>
                <w:sz w:val="28"/>
                <w:szCs w:val="28"/>
              </w:rPr>
              <w:t>uncte procentuale</w:t>
            </w:r>
          </w:p>
        </w:tc>
      </w:tr>
      <w:tr w:rsidR="00412223" w:rsidRPr="001D67FA" w:rsidTr="000A329C">
        <w:tc>
          <w:tcPr>
            <w:tcW w:w="2790" w:type="dxa"/>
          </w:tcPr>
          <w:p w:rsidR="00412223" w:rsidRPr="001D67FA" w:rsidRDefault="00412223" w:rsidP="00412223">
            <w:pPr>
              <w:tabs>
                <w:tab w:val="left" w:pos="450"/>
                <w:tab w:val="left" w:pos="3600"/>
              </w:tabs>
              <w:spacing w:line="276" w:lineRule="auto"/>
              <w:ind w:right="9"/>
              <w:rPr>
                <w:rFonts w:ascii="Times New Roman" w:eastAsia="Times New Roman" w:hAnsi="Times New Roman" w:cs="Times New Roman"/>
                <w:b/>
                <w:sz w:val="28"/>
                <w:szCs w:val="28"/>
              </w:rPr>
            </w:pPr>
            <w:r>
              <w:rPr>
                <w:rFonts w:ascii="Times New Roman" w:eastAsia="Times New Roman" w:hAnsi="Times New Roman" w:cs="Times New Roman"/>
                <w:b/>
                <w:sz w:val="28"/>
                <w:szCs w:val="28"/>
              </w:rPr>
              <w:t>RFS</w:t>
            </w:r>
          </w:p>
        </w:tc>
        <w:tc>
          <w:tcPr>
            <w:tcW w:w="6570" w:type="dxa"/>
          </w:tcPr>
          <w:p w:rsidR="00412223" w:rsidRPr="001D67FA" w:rsidRDefault="00412223" w:rsidP="00412223">
            <w:pPr>
              <w:spacing w:line="276" w:lineRule="auto"/>
              <w:rPr>
                <w:rFonts w:ascii="Times New Roman" w:hAnsi="Times New Roman" w:cs="Times New Roman"/>
                <w:sz w:val="28"/>
                <w:szCs w:val="28"/>
              </w:rPr>
            </w:pPr>
            <w:r>
              <w:rPr>
                <w:rFonts w:ascii="Times New Roman" w:hAnsi="Times New Roman" w:cs="Times New Roman"/>
                <w:sz w:val="28"/>
                <w:szCs w:val="28"/>
              </w:rPr>
              <w:t>Registrul Fiscal de Stat</w:t>
            </w:r>
          </w:p>
        </w:tc>
      </w:tr>
      <w:tr w:rsidR="00412223" w:rsidRPr="001D67FA" w:rsidTr="000A329C">
        <w:tc>
          <w:tcPr>
            <w:tcW w:w="2790" w:type="dxa"/>
          </w:tcPr>
          <w:p w:rsidR="00412223" w:rsidRPr="001D67FA" w:rsidRDefault="00412223" w:rsidP="00412223">
            <w:pPr>
              <w:tabs>
                <w:tab w:val="left" w:pos="450"/>
                <w:tab w:val="left" w:pos="3600"/>
              </w:tabs>
              <w:spacing w:line="276" w:lineRule="auto"/>
              <w:ind w:right="9"/>
              <w:rPr>
                <w:rFonts w:ascii="Times New Roman" w:eastAsia="Times New Roman" w:hAnsi="Times New Roman" w:cs="Times New Roman"/>
                <w:b/>
                <w:sz w:val="28"/>
                <w:szCs w:val="28"/>
              </w:rPr>
            </w:pPr>
            <w:r w:rsidRPr="001D67FA">
              <w:rPr>
                <w:rFonts w:ascii="Times New Roman" w:eastAsia="Times New Roman" w:hAnsi="Times New Roman" w:cs="Times New Roman"/>
                <w:b/>
                <w:sz w:val="28"/>
                <w:szCs w:val="28"/>
              </w:rPr>
              <w:t>SCI</w:t>
            </w:r>
          </w:p>
        </w:tc>
        <w:tc>
          <w:tcPr>
            <w:tcW w:w="6570" w:type="dxa"/>
          </w:tcPr>
          <w:p w:rsidR="00412223" w:rsidRPr="001D67FA" w:rsidRDefault="00412223" w:rsidP="00412223">
            <w:pPr>
              <w:spacing w:line="276" w:lineRule="auto"/>
              <w:rPr>
                <w:rFonts w:ascii="Times New Roman" w:hAnsi="Times New Roman" w:cs="Times New Roman"/>
                <w:sz w:val="28"/>
                <w:szCs w:val="28"/>
              </w:rPr>
            </w:pPr>
            <w:r w:rsidRPr="001D67FA">
              <w:rPr>
                <w:rFonts w:ascii="Times New Roman" w:hAnsi="Times New Roman" w:cs="Times New Roman"/>
                <w:sz w:val="28"/>
                <w:szCs w:val="28"/>
              </w:rPr>
              <w:t>Sistem</w:t>
            </w:r>
            <w:r w:rsidR="00F10984">
              <w:rPr>
                <w:rFonts w:ascii="Times New Roman" w:hAnsi="Times New Roman" w:cs="Times New Roman"/>
                <w:sz w:val="28"/>
                <w:szCs w:val="28"/>
              </w:rPr>
              <w:t>ul</w:t>
            </w:r>
            <w:r w:rsidRPr="001D67FA">
              <w:rPr>
                <w:rFonts w:ascii="Times New Roman" w:hAnsi="Times New Roman" w:cs="Times New Roman"/>
                <w:sz w:val="28"/>
                <w:szCs w:val="28"/>
              </w:rPr>
              <w:t xml:space="preserve"> de control intern</w:t>
            </w:r>
          </w:p>
        </w:tc>
      </w:tr>
      <w:tr w:rsidR="00412223" w:rsidRPr="001D67FA" w:rsidTr="000A329C">
        <w:tc>
          <w:tcPr>
            <w:tcW w:w="2790" w:type="dxa"/>
          </w:tcPr>
          <w:p w:rsidR="00412223" w:rsidRPr="001D67FA" w:rsidRDefault="00412223" w:rsidP="00412223">
            <w:pPr>
              <w:tabs>
                <w:tab w:val="left" w:pos="450"/>
                <w:tab w:val="left" w:pos="3600"/>
              </w:tabs>
              <w:spacing w:line="276" w:lineRule="auto"/>
              <w:ind w:right="9"/>
              <w:rPr>
                <w:rFonts w:ascii="Times New Roman" w:eastAsia="Times New Roman" w:hAnsi="Times New Roman" w:cs="Times New Roman"/>
                <w:b/>
                <w:sz w:val="28"/>
                <w:szCs w:val="28"/>
              </w:rPr>
            </w:pPr>
            <w:r w:rsidRPr="001D67FA">
              <w:rPr>
                <w:rFonts w:ascii="Times New Roman" w:eastAsia="Times New Roman" w:hAnsi="Times New Roman" w:cs="Times New Roman"/>
                <w:b/>
                <w:sz w:val="28"/>
                <w:szCs w:val="28"/>
              </w:rPr>
              <w:t>SFS</w:t>
            </w:r>
          </w:p>
        </w:tc>
        <w:tc>
          <w:tcPr>
            <w:tcW w:w="6570" w:type="dxa"/>
          </w:tcPr>
          <w:p w:rsidR="00412223" w:rsidRPr="001D67FA" w:rsidRDefault="00412223" w:rsidP="00412223">
            <w:pPr>
              <w:spacing w:line="276" w:lineRule="auto"/>
              <w:rPr>
                <w:rFonts w:ascii="Times New Roman" w:hAnsi="Times New Roman" w:cs="Times New Roman"/>
                <w:sz w:val="28"/>
                <w:szCs w:val="28"/>
              </w:rPr>
            </w:pPr>
            <w:r w:rsidRPr="001D67FA">
              <w:rPr>
                <w:rFonts w:ascii="Times New Roman" w:hAnsi="Times New Roman" w:cs="Times New Roman"/>
                <w:sz w:val="28"/>
                <w:szCs w:val="28"/>
              </w:rPr>
              <w:t>Serviciul Fiscal de Stat</w:t>
            </w:r>
          </w:p>
        </w:tc>
      </w:tr>
      <w:tr w:rsidR="00412223" w:rsidRPr="001D67FA" w:rsidTr="000A329C">
        <w:tc>
          <w:tcPr>
            <w:tcW w:w="2790" w:type="dxa"/>
          </w:tcPr>
          <w:p w:rsidR="00412223" w:rsidRPr="001D67FA" w:rsidRDefault="00412223" w:rsidP="00412223">
            <w:pPr>
              <w:tabs>
                <w:tab w:val="left" w:pos="450"/>
                <w:tab w:val="left" w:pos="3600"/>
              </w:tabs>
              <w:spacing w:line="276" w:lineRule="auto"/>
              <w:ind w:right="9"/>
              <w:rPr>
                <w:rFonts w:ascii="Times New Roman" w:eastAsia="Times New Roman" w:hAnsi="Times New Roman" w:cs="Times New Roman"/>
                <w:b/>
                <w:sz w:val="28"/>
                <w:szCs w:val="28"/>
              </w:rPr>
            </w:pPr>
            <w:r w:rsidRPr="001D67FA">
              <w:rPr>
                <w:rFonts w:ascii="Times New Roman" w:eastAsia="Times New Roman" w:hAnsi="Times New Roman" w:cs="Times New Roman"/>
                <w:b/>
                <w:sz w:val="28"/>
                <w:szCs w:val="28"/>
              </w:rPr>
              <w:t>SIA</w:t>
            </w:r>
          </w:p>
        </w:tc>
        <w:tc>
          <w:tcPr>
            <w:tcW w:w="6570" w:type="dxa"/>
          </w:tcPr>
          <w:p w:rsidR="00412223" w:rsidRPr="001D67FA" w:rsidRDefault="00412223" w:rsidP="00412223">
            <w:pPr>
              <w:spacing w:line="276" w:lineRule="auto"/>
              <w:rPr>
                <w:rFonts w:ascii="Times New Roman" w:hAnsi="Times New Roman" w:cs="Times New Roman"/>
                <w:sz w:val="28"/>
                <w:szCs w:val="28"/>
              </w:rPr>
            </w:pPr>
            <w:r>
              <w:rPr>
                <w:rFonts w:ascii="Times New Roman" w:hAnsi="Times New Roman" w:cs="Times New Roman"/>
                <w:sz w:val="28"/>
                <w:szCs w:val="28"/>
              </w:rPr>
              <w:t>Sistem</w:t>
            </w:r>
            <w:r w:rsidR="00F10984">
              <w:rPr>
                <w:rFonts w:ascii="Times New Roman" w:hAnsi="Times New Roman" w:cs="Times New Roman"/>
                <w:sz w:val="28"/>
                <w:szCs w:val="28"/>
              </w:rPr>
              <w:t>ul</w:t>
            </w:r>
            <w:r>
              <w:rPr>
                <w:rFonts w:ascii="Times New Roman" w:hAnsi="Times New Roman" w:cs="Times New Roman"/>
                <w:sz w:val="28"/>
                <w:szCs w:val="28"/>
              </w:rPr>
              <w:t xml:space="preserve"> informaț</w:t>
            </w:r>
            <w:r w:rsidRPr="001D67FA">
              <w:rPr>
                <w:rFonts w:ascii="Times New Roman" w:hAnsi="Times New Roman" w:cs="Times New Roman"/>
                <w:sz w:val="28"/>
                <w:szCs w:val="28"/>
              </w:rPr>
              <w:t>ional automatizat</w:t>
            </w:r>
          </w:p>
        </w:tc>
      </w:tr>
      <w:tr w:rsidR="00412223" w:rsidRPr="001D67FA" w:rsidTr="000A329C">
        <w:tc>
          <w:tcPr>
            <w:tcW w:w="2790" w:type="dxa"/>
          </w:tcPr>
          <w:p w:rsidR="00412223" w:rsidRPr="001D67FA" w:rsidRDefault="00412223" w:rsidP="00412223">
            <w:pPr>
              <w:tabs>
                <w:tab w:val="left" w:pos="450"/>
                <w:tab w:val="left" w:pos="3600"/>
              </w:tabs>
              <w:spacing w:line="276" w:lineRule="auto"/>
              <w:ind w:right="9"/>
              <w:rPr>
                <w:rFonts w:ascii="Times New Roman" w:eastAsia="Times New Roman" w:hAnsi="Times New Roman" w:cs="Times New Roman"/>
                <w:b/>
                <w:sz w:val="28"/>
                <w:szCs w:val="28"/>
              </w:rPr>
            </w:pPr>
            <w:r w:rsidRPr="001D67FA">
              <w:rPr>
                <w:rFonts w:ascii="Times New Roman" w:eastAsia="Times New Roman" w:hAnsi="Times New Roman" w:cs="Times New Roman"/>
                <w:b/>
                <w:sz w:val="28"/>
                <w:szCs w:val="28"/>
              </w:rPr>
              <w:t>SV</w:t>
            </w:r>
          </w:p>
        </w:tc>
        <w:tc>
          <w:tcPr>
            <w:tcW w:w="6570" w:type="dxa"/>
          </w:tcPr>
          <w:p w:rsidR="00412223" w:rsidRPr="001D67FA" w:rsidRDefault="00412223" w:rsidP="00412223">
            <w:pPr>
              <w:spacing w:line="276" w:lineRule="auto"/>
              <w:rPr>
                <w:rFonts w:ascii="Times New Roman" w:hAnsi="Times New Roman" w:cs="Times New Roman"/>
                <w:sz w:val="28"/>
                <w:szCs w:val="28"/>
              </w:rPr>
            </w:pPr>
            <w:r w:rsidRPr="001D67FA">
              <w:rPr>
                <w:rFonts w:ascii="Times New Roman" w:hAnsi="Times New Roman" w:cs="Times New Roman"/>
                <w:sz w:val="28"/>
                <w:szCs w:val="28"/>
              </w:rPr>
              <w:t>Serviciul Vamal</w:t>
            </w:r>
          </w:p>
        </w:tc>
      </w:tr>
      <w:tr w:rsidR="00412223" w:rsidRPr="001D67FA" w:rsidTr="000A329C">
        <w:tc>
          <w:tcPr>
            <w:tcW w:w="2790" w:type="dxa"/>
          </w:tcPr>
          <w:p w:rsidR="00412223" w:rsidRPr="001D67FA" w:rsidRDefault="00412223" w:rsidP="00412223">
            <w:pPr>
              <w:tabs>
                <w:tab w:val="left" w:pos="450"/>
                <w:tab w:val="left" w:pos="3600"/>
              </w:tabs>
              <w:spacing w:line="276" w:lineRule="auto"/>
              <w:ind w:right="9"/>
              <w:rPr>
                <w:rFonts w:ascii="Times New Roman" w:eastAsia="Times New Roman" w:hAnsi="Times New Roman" w:cs="Times New Roman"/>
                <w:b/>
                <w:sz w:val="28"/>
                <w:szCs w:val="28"/>
              </w:rPr>
            </w:pPr>
            <w:r w:rsidRPr="001D67FA">
              <w:rPr>
                <w:rFonts w:ascii="Times New Roman" w:eastAsia="Times New Roman" w:hAnsi="Times New Roman" w:cs="Times New Roman"/>
                <w:b/>
                <w:sz w:val="28"/>
                <w:szCs w:val="28"/>
              </w:rPr>
              <w:t>TVA</w:t>
            </w:r>
          </w:p>
        </w:tc>
        <w:tc>
          <w:tcPr>
            <w:tcW w:w="6570" w:type="dxa"/>
          </w:tcPr>
          <w:p w:rsidR="00412223" w:rsidRPr="001D67FA" w:rsidRDefault="00412223" w:rsidP="00412223">
            <w:pPr>
              <w:spacing w:line="276" w:lineRule="auto"/>
              <w:rPr>
                <w:rFonts w:ascii="Times New Roman" w:hAnsi="Times New Roman" w:cs="Times New Roman"/>
                <w:sz w:val="28"/>
                <w:szCs w:val="28"/>
              </w:rPr>
            </w:pPr>
            <w:r w:rsidRPr="001D67FA">
              <w:rPr>
                <w:rFonts w:ascii="Times New Roman" w:hAnsi="Times New Roman" w:cs="Times New Roman"/>
                <w:sz w:val="28"/>
                <w:szCs w:val="28"/>
              </w:rPr>
              <w:t>Taxa pe valoare</w:t>
            </w:r>
            <w:r w:rsidR="00F10984">
              <w:rPr>
                <w:rFonts w:ascii="Times New Roman" w:hAnsi="Times New Roman" w:cs="Times New Roman"/>
                <w:sz w:val="28"/>
                <w:szCs w:val="28"/>
              </w:rPr>
              <w:t>a</w:t>
            </w:r>
            <w:r w:rsidRPr="001D67FA">
              <w:rPr>
                <w:rFonts w:ascii="Times New Roman" w:hAnsi="Times New Roman" w:cs="Times New Roman"/>
                <w:sz w:val="28"/>
                <w:szCs w:val="28"/>
              </w:rPr>
              <w:t xml:space="preserve"> adăugată</w:t>
            </w:r>
          </w:p>
        </w:tc>
      </w:tr>
      <w:tr w:rsidR="00412223" w:rsidRPr="001D67FA" w:rsidTr="000A329C">
        <w:tc>
          <w:tcPr>
            <w:tcW w:w="2790" w:type="dxa"/>
          </w:tcPr>
          <w:p w:rsidR="00412223" w:rsidRPr="00300711" w:rsidRDefault="00412223" w:rsidP="00412223">
            <w:pPr>
              <w:tabs>
                <w:tab w:val="left" w:pos="450"/>
                <w:tab w:val="left" w:pos="3600"/>
              </w:tabs>
              <w:spacing w:line="276" w:lineRule="auto"/>
              <w:ind w:right="9"/>
              <w:rPr>
                <w:rFonts w:ascii="Times New Roman" w:eastAsia="Times New Roman" w:hAnsi="Times New Roman" w:cs="Times New Roman"/>
                <w:b/>
                <w:sz w:val="28"/>
                <w:szCs w:val="28"/>
              </w:rPr>
            </w:pPr>
            <w:r w:rsidRPr="00300711">
              <w:rPr>
                <w:rFonts w:ascii="Times New Roman" w:hAnsi="Times New Roman" w:cs="Times New Roman"/>
                <w:b/>
                <w:sz w:val="28"/>
                <w:szCs w:val="28"/>
              </w:rPr>
              <w:t xml:space="preserve">M.O. al RM  </w:t>
            </w:r>
          </w:p>
        </w:tc>
        <w:tc>
          <w:tcPr>
            <w:tcW w:w="6570" w:type="dxa"/>
          </w:tcPr>
          <w:p w:rsidR="00412223" w:rsidRPr="001D67FA" w:rsidRDefault="00412223" w:rsidP="00412223">
            <w:pPr>
              <w:spacing w:line="276" w:lineRule="auto"/>
              <w:rPr>
                <w:rFonts w:ascii="Times New Roman" w:hAnsi="Times New Roman" w:cs="Times New Roman"/>
                <w:sz w:val="28"/>
                <w:szCs w:val="28"/>
              </w:rPr>
            </w:pPr>
            <w:r>
              <w:rPr>
                <w:rFonts w:ascii="Times New Roman" w:hAnsi="Times New Roman" w:cs="Times New Roman"/>
                <w:sz w:val="28"/>
                <w:szCs w:val="28"/>
              </w:rPr>
              <w:t>Monitorul Oficial al Republicii Moldova</w:t>
            </w:r>
          </w:p>
        </w:tc>
      </w:tr>
    </w:tbl>
    <w:p w:rsidR="000A329C" w:rsidRPr="001D0846" w:rsidRDefault="000A329C" w:rsidP="00733CD4">
      <w:pPr>
        <w:tabs>
          <w:tab w:val="left" w:pos="360"/>
        </w:tabs>
        <w:spacing w:after="0" w:line="276" w:lineRule="auto"/>
        <w:jc w:val="both"/>
        <w:rPr>
          <w:rFonts w:ascii="Times New Roman" w:hAnsi="Times New Roman" w:cs="Times New Roman"/>
          <w:sz w:val="28"/>
          <w:szCs w:val="28"/>
        </w:rPr>
      </w:pPr>
      <w:bookmarkStart w:id="1" w:name="_Toc505603937"/>
    </w:p>
    <w:p w:rsidR="001D67FA" w:rsidRDefault="001D67FA" w:rsidP="00E0571F">
      <w:pPr>
        <w:spacing w:after="0" w:line="276" w:lineRule="auto"/>
        <w:jc w:val="center"/>
        <w:rPr>
          <w:rFonts w:ascii="Times New Roman" w:hAnsi="Times New Roman" w:cs="Times New Roman"/>
          <w:b/>
          <w:sz w:val="28"/>
          <w:szCs w:val="28"/>
          <w:highlight w:val="yellow"/>
        </w:rPr>
      </w:pPr>
    </w:p>
    <w:p w:rsidR="001D67FA" w:rsidRDefault="001D67FA" w:rsidP="00E0571F">
      <w:pPr>
        <w:spacing w:after="0" w:line="276" w:lineRule="auto"/>
        <w:jc w:val="center"/>
        <w:rPr>
          <w:rFonts w:ascii="Times New Roman" w:hAnsi="Times New Roman" w:cs="Times New Roman"/>
          <w:b/>
          <w:sz w:val="28"/>
          <w:szCs w:val="28"/>
          <w:highlight w:val="yellow"/>
        </w:rPr>
      </w:pPr>
    </w:p>
    <w:p w:rsidR="00E15A52" w:rsidRDefault="00E15A52" w:rsidP="00C30938">
      <w:pPr>
        <w:spacing w:after="0" w:line="240" w:lineRule="auto"/>
        <w:rPr>
          <w:rFonts w:ascii="Times New Roman" w:hAnsi="Times New Roman" w:cs="Times New Roman"/>
          <w:b/>
          <w:sz w:val="32"/>
          <w:szCs w:val="32"/>
        </w:rPr>
      </w:pPr>
    </w:p>
    <w:p w:rsidR="00300711" w:rsidRPr="00300711" w:rsidRDefault="00E0571F" w:rsidP="001D67FA">
      <w:pPr>
        <w:spacing w:after="0" w:line="240" w:lineRule="auto"/>
        <w:jc w:val="center"/>
        <w:rPr>
          <w:rFonts w:ascii="Times New Roman" w:hAnsi="Times New Roman" w:cs="Times New Roman"/>
          <w:b/>
          <w:sz w:val="32"/>
          <w:szCs w:val="32"/>
        </w:rPr>
      </w:pPr>
      <w:r w:rsidRPr="00300711">
        <w:rPr>
          <w:rFonts w:ascii="Times New Roman" w:hAnsi="Times New Roman" w:cs="Times New Roman"/>
          <w:b/>
          <w:sz w:val="32"/>
          <w:szCs w:val="32"/>
        </w:rPr>
        <w:t>GLOSAR</w:t>
      </w:r>
    </w:p>
    <w:p w:rsidR="005A3D1C" w:rsidRPr="00606373" w:rsidRDefault="005A3D1C" w:rsidP="00300711">
      <w:pPr>
        <w:spacing w:after="0" w:line="276" w:lineRule="auto"/>
        <w:ind w:firstLine="720"/>
        <w:jc w:val="both"/>
        <w:rPr>
          <w:rFonts w:ascii="Times New Roman" w:eastAsia="Times New Roman" w:hAnsi="Times New Roman" w:cs="Times New Roman"/>
          <w:sz w:val="28"/>
          <w:szCs w:val="28"/>
          <w:lang w:eastAsia="ru-RU"/>
        </w:rPr>
      </w:pPr>
      <w:r w:rsidRPr="00606373">
        <w:rPr>
          <w:rFonts w:ascii="Times New Roman" w:eastAsia="Times New Roman" w:hAnsi="Times New Roman" w:cs="Times New Roman"/>
          <w:b/>
          <w:iCs/>
          <w:sz w:val="28"/>
          <w:szCs w:val="28"/>
          <w:lang w:eastAsia="ru-RU"/>
        </w:rPr>
        <w:t>Contribuabil</w:t>
      </w:r>
      <w:r w:rsidRPr="00606373">
        <w:rPr>
          <w:rFonts w:ascii="Times New Roman" w:eastAsia="Times New Roman" w:hAnsi="Times New Roman" w:cs="Times New Roman"/>
          <w:sz w:val="28"/>
          <w:szCs w:val="28"/>
          <w:lang w:eastAsia="ru-RU"/>
        </w:rPr>
        <w:t>– persoană care, conform legislaţiei fiscale, este obligată să calculeze şi/sau să achite la buget orice impozite şi taxe, penalităţileşi amenzile respective; persoană care, conform legislaţiei fiscale, este obligată să reţină sau să perceapă de la altă persoană şi să a</w:t>
      </w:r>
      <w:r w:rsidR="00F830C3" w:rsidRPr="00606373">
        <w:rPr>
          <w:rFonts w:ascii="Times New Roman" w:eastAsia="Times New Roman" w:hAnsi="Times New Roman" w:cs="Times New Roman"/>
          <w:sz w:val="28"/>
          <w:szCs w:val="28"/>
          <w:lang w:eastAsia="ru-RU"/>
        </w:rPr>
        <w:t>chite la buget plăţile indicate.</w:t>
      </w:r>
    </w:p>
    <w:p w:rsidR="00690357" w:rsidRPr="00606373" w:rsidRDefault="00690357" w:rsidP="00300711">
      <w:pPr>
        <w:spacing w:after="0" w:line="276" w:lineRule="auto"/>
        <w:ind w:firstLine="720"/>
        <w:jc w:val="both"/>
        <w:rPr>
          <w:rFonts w:ascii="Times New Roman" w:eastAsia="Times New Roman" w:hAnsi="Times New Roman" w:cs="Times New Roman"/>
          <w:sz w:val="28"/>
          <w:szCs w:val="28"/>
          <w:lang w:eastAsia="ru-RU"/>
        </w:rPr>
      </w:pPr>
      <w:r w:rsidRPr="005A5243">
        <w:rPr>
          <w:rFonts w:ascii="Times New Roman" w:eastAsia="Times New Roman" w:hAnsi="Times New Roman" w:cs="Times New Roman"/>
          <w:b/>
          <w:iCs/>
          <w:sz w:val="28"/>
          <w:szCs w:val="28"/>
          <w:lang w:eastAsia="ru-RU"/>
        </w:rPr>
        <w:t>Marecontribuabil</w:t>
      </w:r>
      <w:r w:rsidRPr="0053384E">
        <w:rPr>
          <w:rFonts w:ascii="Times New Roman" w:eastAsia="Times New Roman" w:hAnsi="Times New Roman" w:cs="Times New Roman"/>
          <w:sz w:val="28"/>
          <w:szCs w:val="28"/>
          <w:lang w:eastAsia="ru-RU"/>
        </w:rPr>
        <w:t xml:space="preserve"> – contribuabilul identificat conform criteriilor de selectare a marilor contribuabili, elaborate de către S</w:t>
      </w:r>
      <w:r w:rsidR="00606373">
        <w:rPr>
          <w:rFonts w:ascii="Times New Roman" w:eastAsia="Times New Roman" w:hAnsi="Times New Roman" w:cs="Times New Roman"/>
          <w:sz w:val="28"/>
          <w:szCs w:val="28"/>
          <w:lang w:eastAsia="ru-RU"/>
        </w:rPr>
        <w:t>FS</w:t>
      </w:r>
      <w:r w:rsidRPr="0053384E">
        <w:rPr>
          <w:rFonts w:ascii="Times New Roman" w:eastAsia="Times New Roman" w:hAnsi="Times New Roman" w:cs="Times New Roman"/>
          <w:sz w:val="28"/>
          <w:szCs w:val="28"/>
          <w:lang w:eastAsia="ru-RU"/>
        </w:rPr>
        <w:t xml:space="preserve">şi inclus în Lista agenţilor economici – mari contribuabili. </w:t>
      </w:r>
    </w:p>
    <w:p w:rsidR="001D67FA" w:rsidRPr="00606373" w:rsidRDefault="001D67FA" w:rsidP="00300711">
      <w:pPr>
        <w:spacing w:after="0" w:line="276" w:lineRule="auto"/>
        <w:ind w:firstLine="720"/>
        <w:jc w:val="both"/>
        <w:rPr>
          <w:rFonts w:ascii="Times New Roman" w:eastAsia="Times New Roman" w:hAnsi="Times New Roman" w:cs="Times New Roman"/>
          <w:sz w:val="28"/>
          <w:szCs w:val="28"/>
          <w:lang w:eastAsia="ru-RU"/>
        </w:rPr>
      </w:pPr>
      <w:r w:rsidRPr="00606373">
        <w:rPr>
          <w:rFonts w:ascii="Times New Roman" w:eastAsia="Times New Roman" w:hAnsi="Times New Roman" w:cs="Times New Roman"/>
          <w:b/>
          <w:iCs/>
          <w:sz w:val="28"/>
          <w:szCs w:val="28"/>
        </w:rPr>
        <w:t>Plătitor vamal</w:t>
      </w:r>
      <w:r w:rsidRPr="00606373">
        <w:rPr>
          <w:rFonts w:ascii="Times New Roman" w:eastAsia="Times New Roman" w:hAnsi="Times New Roman" w:cs="Times New Roman"/>
          <w:sz w:val="28"/>
          <w:szCs w:val="28"/>
        </w:rPr>
        <w:t> </w:t>
      </w:r>
      <w:r w:rsidRPr="00606373">
        <w:rPr>
          <w:rFonts w:ascii="Times New Roman" w:eastAsia="Times New Roman" w:hAnsi="Times New Roman" w:cs="Times New Roman"/>
          <w:sz w:val="28"/>
          <w:szCs w:val="28"/>
          <w:lang w:eastAsia="ru-RU"/>
        </w:rPr>
        <w:t xml:space="preserve">– </w:t>
      </w:r>
      <w:r w:rsidRPr="00606373">
        <w:rPr>
          <w:rFonts w:ascii="Times New Roman" w:eastAsia="Times New Roman" w:hAnsi="Times New Roman" w:cs="Times New Roman"/>
          <w:sz w:val="28"/>
          <w:szCs w:val="28"/>
        </w:rPr>
        <w:t>persoana obliga</w:t>
      </w:r>
      <w:r w:rsidR="00F830C3" w:rsidRPr="00606373">
        <w:rPr>
          <w:rFonts w:ascii="Times New Roman" w:eastAsia="Times New Roman" w:hAnsi="Times New Roman" w:cs="Times New Roman"/>
          <w:sz w:val="28"/>
          <w:szCs w:val="28"/>
        </w:rPr>
        <w:t>tă să achite o obligaţie vamală.</w:t>
      </w:r>
    </w:p>
    <w:p w:rsidR="00F73A0A" w:rsidRPr="001E16F8" w:rsidRDefault="00F73A0A" w:rsidP="00300711">
      <w:pPr>
        <w:shd w:val="clear" w:color="auto" w:fill="FFFFFF"/>
        <w:spacing w:after="0" w:line="276" w:lineRule="auto"/>
        <w:ind w:firstLine="720"/>
        <w:jc w:val="both"/>
        <w:textAlignment w:val="baseline"/>
        <w:rPr>
          <w:rFonts w:ascii="Times New Roman" w:eastAsia="Times New Roman" w:hAnsi="Times New Roman" w:cs="Times New Roman"/>
          <w:sz w:val="28"/>
          <w:szCs w:val="28"/>
        </w:rPr>
      </w:pPr>
      <w:r w:rsidRPr="001E16F8">
        <w:rPr>
          <w:rFonts w:ascii="Times New Roman" w:eastAsia="Times New Roman" w:hAnsi="Times New Roman" w:cs="Times New Roman"/>
          <w:b/>
          <w:bCs/>
          <w:iCs/>
          <w:sz w:val="28"/>
          <w:szCs w:val="28"/>
          <w:bdr w:val="none" w:sz="0" w:space="0" w:color="auto" w:frame="1"/>
        </w:rPr>
        <w:t xml:space="preserve">Baza impozabilă </w:t>
      </w:r>
      <w:r w:rsidRPr="001E16F8">
        <w:rPr>
          <w:rFonts w:ascii="Times New Roman" w:eastAsia="Times New Roman" w:hAnsi="Times New Roman" w:cs="Times New Roman"/>
          <w:sz w:val="28"/>
          <w:szCs w:val="28"/>
          <w:lang/>
        </w:rPr>
        <w:t>–</w:t>
      </w:r>
      <w:r w:rsidRPr="001E16F8">
        <w:rPr>
          <w:rFonts w:ascii="Times New Roman" w:eastAsia="Times New Roman" w:hAnsi="Times New Roman" w:cs="Times New Roman"/>
          <w:sz w:val="28"/>
          <w:szCs w:val="28"/>
        </w:rPr>
        <w:t xml:space="preserve"> totalul veniturilor, </w:t>
      </w:r>
      <w:r w:rsidRPr="001E16F8">
        <w:rPr>
          <w:rFonts w:ascii="Times New Roman" w:hAnsi="Times New Roman" w:cs="Times New Roman"/>
          <w:sz w:val="28"/>
          <w:szCs w:val="28"/>
          <w:shd w:val="clear" w:color="auto" w:fill="FFFFFF"/>
        </w:rPr>
        <w:t>bunurilor, sau alte valori</w:t>
      </w:r>
      <w:r w:rsidRPr="001E16F8">
        <w:rPr>
          <w:rFonts w:ascii="Times New Roman" w:eastAsia="Times New Roman" w:hAnsi="Times New Roman" w:cs="Times New Roman"/>
          <w:sz w:val="28"/>
          <w:szCs w:val="28"/>
        </w:rPr>
        <w:t xml:space="preserve"> asupra cărora se aplică cota de impozit.</w:t>
      </w:r>
    </w:p>
    <w:p w:rsidR="00F73A0A" w:rsidRDefault="00F73A0A" w:rsidP="00300711">
      <w:pPr>
        <w:shd w:val="clear" w:color="auto" w:fill="FFFFFF"/>
        <w:spacing w:after="0" w:line="276" w:lineRule="auto"/>
        <w:ind w:firstLine="720"/>
        <w:jc w:val="both"/>
        <w:textAlignment w:val="baseline"/>
        <w:rPr>
          <w:rFonts w:ascii="Times New Roman" w:eastAsia="Times New Roman" w:hAnsi="Times New Roman" w:cs="Times New Roman"/>
          <w:b/>
          <w:bCs/>
          <w:iCs/>
          <w:color w:val="424242"/>
          <w:sz w:val="28"/>
          <w:szCs w:val="28"/>
          <w:bdr w:val="none" w:sz="0" w:space="0" w:color="auto" w:frame="1"/>
        </w:rPr>
      </w:pPr>
      <w:r w:rsidRPr="0074452F">
        <w:rPr>
          <w:rFonts w:ascii="Times New Roman" w:hAnsi="Times New Roman" w:cs="Times New Roman"/>
          <w:b/>
          <w:color w:val="000000"/>
          <w:sz w:val="28"/>
          <w:szCs w:val="28"/>
          <w:shd w:val="clear" w:color="auto" w:fill="FFFFFF"/>
        </w:rPr>
        <w:t>Obiectul impunerii</w:t>
      </w:r>
      <w:r w:rsidRPr="0053384E">
        <w:rPr>
          <w:rFonts w:ascii="Times New Roman" w:eastAsia="Times New Roman" w:hAnsi="Times New Roman" w:cs="Times New Roman"/>
          <w:sz w:val="28"/>
          <w:szCs w:val="28"/>
          <w:lang/>
        </w:rPr>
        <w:t>–</w:t>
      </w:r>
      <w:r w:rsidRPr="0074452F">
        <w:rPr>
          <w:rFonts w:ascii="Times New Roman" w:hAnsi="Times New Roman" w:cs="Times New Roman"/>
          <w:color w:val="000000"/>
          <w:sz w:val="28"/>
          <w:szCs w:val="28"/>
          <w:shd w:val="clear" w:color="auto" w:fill="FFFFFF"/>
        </w:rPr>
        <w:t xml:space="preserve"> valoarea asupra căreia se calculează impozitul</w:t>
      </w:r>
      <w:r>
        <w:rPr>
          <w:rFonts w:ascii="Times New Roman" w:hAnsi="Times New Roman" w:cs="Times New Roman"/>
          <w:color w:val="000000"/>
          <w:sz w:val="28"/>
          <w:szCs w:val="28"/>
          <w:shd w:val="clear" w:color="auto" w:fill="FFFFFF"/>
        </w:rPr>
        <w:t>/taxa</w:t>
      </w:r>
      <w:r w:rsidRPr="0074452F">
        <w:rPr>
          <w:rFonts w:ascii="Times New Roman" w:hAnsi="Times New Roman" w:cs="Times New Roman"/>
          <w:color w:val="000000"/>
          <w:sz w:val="28"/>
          <w:szCs w:val="28"/>
          <w:shd w:val="clear" w:color="auto" w:fill="FFFFFF"/>
        </w:rPr>
        <w:t xml:space="preserve"> ori contribuţia.</w:t>
      </w:r>
    </w:p>
    <w:p w:rsidR="00F830C3" w:rsidRPr="00606373" w:rsidRDefault="00F830C3" w:rsidP="00300711">
      <w:pPr>
        <w:spacing w:after="0" w:line="276" w:lineRule="auto"/>
        <w:ind w:firstLine="720"/>
        <w:jc w:val="both"/>
        <w:rPr>
          <w:rFonts w:ascii="Times New Roman" w:eastAsia="Times New Roman" w:hAnsi="Times New Roman" w:cs="Times New Roman"/>
          <w:sz w:val="28"/>
          <w:szCs w:val="28"/>
          <w:lang/>
        </w:rPr>
      </w:pPr>
      <w:r w:rsidRPr="0053384E">
        <w:rPr>
          <w:rFonts w:ascii="Times New Roman" w:eastAsia="Times New Roman" w:hAnsi="Times New Roman" w:cs="Times New Roman"/>
          <w:b/>
          <w:iCs/>
          <w:sz w:val="28"/>
          <w:szCs w:val="28"/>
          <w:lang/>
        </w:rPr>
        <w:t>Obligaţie fiscală</w:t>
      </w:r>
      <w:r w:rsidRPr="0053384E">
        <w:rPr>
          <w:rFonts w:ascii="Times New Roman" w:eastAsia="Times New Roman" w:hAnsi="Times New Roman" w:cs="Times New Roman"/>
          <w:sz w:val="28"/>
          <w:szCs w:val="28"/>
          <w:lang/>
        </w:rPr>
        <w:t xml:space="preserve"> – obligaţie a contribuabilului de a plăti la buget o anumită sumă ca impozit, taxă, majorare de înt</w:t>
      </w:r>
      <w:r w:rsidR="00E366DC">
        <w:rPr>
          <w:rFonts w:ascii="Times New Roman" w:eastAsia="Times New Roman" w:hAnsi="Times New Roman" w:cs="Times New Roman"/>
          <w:sz w:val="28"/>
          <w:szCs w:val="28"/>
          <w:lang/>
        </w:rPr>
        <w:t>â</w:t>
      </w:r>
      <w:r w:rsidRPr="0053384E">
        <w:rPr>
          <w:rFonts w:ascii="Times New Roman" w:eastAsia="Times New Roman" w:hAnsi="Times New Roman" w:cs="Times New Roman"/>
          <w:sz w:val="28"/>
          <w:szCs w:val="28"/>
          <w:lang/>
        </w:rPr>
        <w:t xml:space="preserve">rziere (penalitate) şi/sau amendă. </w:t>
      </w:r>
    </w:p>
    <w:p w:rsidR="00690357" w:rsidRPr="00606373" w:rsidRDefault="00690357" w:rsidP="00300711">
      <w:pPr>
        <w:spacing w:after="0" w:line="276" w:lineRule="auto"/>
        <w:ind w:firstLine="720"/>
        <w:jc w:val="both"/>
        <w:rPr>
          <w:rFonts w:ascii="Times New Roman" w:eastAsia="Times New Roman" w:hAnsi="Times New Roman" w:cs="Times New Roman"/>
          <w:sz w:val="28"/>
          <w:szCs w:val="28"/>
        </w:rPr>
      </w:pPr>
      <w:r w:rsidRPr="00606373">
        <w:rPr>
          <w:rFonts w:ascii="Times New Roman" w:eastAsia="Times New Roman" w:hAnsi="Times New Roman" w:cs="Times New Roman"/>
          <w:b/>
          <w:iCs/>
          <w:sz w:val="28"/>
          <w:szCs w:val="28"/>
        </w:rPr>
        <w:t>Obligaţie vamală</w:t>
      </w:r>
      <w:r w:rsidRPr="0053384E">
        <w:rPr>
          <w:rFonts w:ascii="Times New Roman" w:eastAsia="Times New Roman" w:hAnsi="Times New Roman" w:cs="Times New Roman"/>
          <w:sz w:val="28"/>
          <w:szCs w:val="28"/>
          <w:lang/>
        </w:rPr>
        <w:t>–</w:t>
      </w:r>
      <w:r w:rsidRPr="00606373">
        <w:rPr>
          <w:rFonts w:ascii="Times New Roman" w:eastAsia="Times New Roman" w:hAnsi="Times New Roman" w:cs="Times New Roman"/>
          <w:sz w:val="28"/>
          <w:szCs w:val="28"/>
        </w:rPr>
        <w:t>obligaţia de plată a drepturilor de import şi de export (inclusiv a amenzilor, contravalorii corpurilor delicte şipenalităţilor) apărute conform legislaţiei, precum şi a celor constatate ulterior operațiunilor vamale.</w:t>
      </w:r>
    </w:p>
    <w:p w:rsidR="00F830C3" w:rsidRPr="00606373" w:rsidRDefault="00690357" w:rsidP="00300711">
      <w:pPr>
        <w:spacing w:after="0" w:line="276" w:lineRule="auto"/>
        <w:ind w:firstLine="720"/>
        <w:jc w:val="both"/>
        <w:rPr>
          <w:rFonts w:ascii="Times New Roman" w:eastAsia="Times New Roman" w:hAnsi="Times New Roman" w:cs="Times New Roman"/>
          <w:sz w:val="28"/>
          <w:szCs w:val="28"/>
        </w:rPr>
      </w:pPr>
      <w:r w:rsidRPr="00606373">
        <w:rPr>
          <w:rFonts w:ascii="Times New Roman" w:eastAsia="Times New Roman" w:hAnsi="Times New Roman" w:cs="Times New Roman"/>
          <w:b/>
          <w:iCs/>
          <w:sz w:val="28"/>
          <w:szCs w:val="28"/>
          <w:lang/>
        </w:rPr>
        <w:t>D</w:t>
      </w:r>
      <w:r w:rsidR="00F830C3" w:rsidRPr="0053384E">
        <w:rPr>
          <w:rFonts w:ascii="Times New Roman" w:eastAsia="Times New Roman" w:hAnsi="Times New Roman" w:cs="Times New Roman"/>
          <w:b/>
          <w:iCs/>
          <w:sz w:val="28"/>
          <w:szCs w:val="28"/>
          <w:lang/>
        </w:rPr>
        <w:t xml:space="preserve">are de seamă </w:t>
      </w:r>
      <w:r w:rsidRPr="00606373">
        <w:rPr>
          <w:rFonts w:ascii="Times New Roman" w:eastAsia="Times New Roman" w:hAnsi="Times New Roman" w:cs="Times New Roman"/>
          <w:b/>
          <w:iCs/>
          <w:sz w:val="28"/>
          <w:szCs w:val="28"/>
          <w:lang/>
        </w:rPr>
        <w:t>fiscală/declarație fiscală</w:t>
      </w:r>
      <w:r w:rsidR="00F830C3" w:rsidRPr="0053384E">
        <w:rPr>
          <w:rFonts w:ascii="Times New Roman" w:eastAsia="Times New Roman" w:hAnsi="Times New Roman" w:cs="Times New Roman"/>
          <w:sz w:val="28"/>
          <w:szCs w:val="28"/>
          <w:lang/>
        </w:rPr>
        <w:t xml:space="preserve"> – orice declaraţie, informaţie, calcul, notă informativă, alt document, care s</w:t>
      </w:r>
      <w:r w:rsidR="00E366DC">
        <w:rPr>
          <w:rFonts w:ascii="Times New Roman" w:eastAsia="Times New Roman" w:hAnsi="Times New Roman" w:cs="Times New Roman"/>
          <w:sz w:val="28"/>
          <w:szCs w:val="28"/>
          <w:lang/>
        </w:rPr>
        <w:t>u</w:t>
      </w:r>
      <w:r w:rsidR="00F830C3" w:rsidRPr="0053384E">
        <w:rPr>
          <w:rFonts w:ascii="Times New Roman" w:eastAsia="Times New Roman" w:hAnsi="Times New Roman" w:cs="Times New Roman"/>
          <w:sz w:val="28"/>
          <w:szCs w:val="28"/>
          <w:lang/>
        </w:rPr>
        <w:t>nt prezentate sau trebuie să fie prezentate S</w:t>
      </w:r>
      <w:r w:rsidR="0090620C">
        <w:rPr>
          <w:rFonts w:ascii="Times New Roman" w:eastAsia="Times New Roman" w:hAnsi="Times New Roman" w:cs="Times New Roman"/>
          <w:sz w:val="28"/>
          <w:szCs w:val="28"/>
          <w:lang/>
        </w:rPr>
        <w:t>FS</w:t>
      </w:r>
      <w:r w:rsidR="00F830C3" w:rsidRPr="0053384E">
        <w:rPr>
          <w:rFonts w:ascii="Times New Roman" w:eastAsia="Times New Roman" w:hAnsi="Times New Roman" w:cs="Times New Roman"/>
          <w:sz w:val="28"/>
          <w:szCs w:val="28"/>
          <w:lang/>
        </w:rPr>
        <w:t xml:space="preserve">, privind calcularea, achitarea, reţinerea impozitelor, taxelor, </w:t>
      </w:r>
      <w:r w:rsidR="00F830C3" w:rsidRPr="0053384E">
        <w:rPr>
          <w:rFonts w:ascii="Times New Roman" w:eastAsia="Calibri" w:hAnsi="Times New Roman" w:cs="Times New Roman"/>
          <w:sz w:val="28"/>
          <w:szCs w:val="28"/>
          <w:lang/>
        </w:rPr>
        <w:t xml:space="preserve">primelor de asigurare obligatorie de asistenţă medicală şi a contribuţiilor de asigurări sociale de stat obligatorii, </w:t>
      </w:r>
      <w:r w:rsidR="00F830C3" w:rsidRPr="0053384E">
        <w:rPr>
          <w:rFonts w:ascii="Times New Roman" w:eastAsia="Times New Roman" w:hAnsi="Times New Roman" w:cs="Times New Roman"/>
          <w:sz w:val="28"/>
          <w:szCs w:val="28"/>
          <w:lang/>
        </w:rPr>
        <w:t>majorărilor de înt</w:t>
      </w:r>
      <w:r w:rsidR="00E366DC">
        <w:rPr>
          <w:rFonts w:ascii="Times New Roman" w:eastAsia="Times New Roman" w:hAnsi="Times New Roman" w:cs="Times New Roman"/>
          <w:sz w:val="28"/>
          <w:szCs w:val="28"/>
          <w:lang/>
        </w:rPr>
        <w:t>â</w:t>
      </w:r>
      <w:r w:rsidR="00F830C3" w:rsidRPr="0053384E">
        <w:rPr>
          <w:rFonts w:ascii="Times New Roman" w:eastAsia="Times New Roman" w:hAnsi="Times New Roman" w:cs="Times New Roman"/>
          <w:sz w:val="28"/>
          <w:szCs w:val="28"/>
          <w:lang/>
        </w:rPr>
        <w:t>rziere (penalităţilor) şi/sau amenzilor</w:t>
      </w:r>
      <w:r w:rsidR="00E366DC">
        <w:rPr>
          <w:rFonts w:ascii="Times New Roman" w:eastAsia="Times New Roman" w:hAnsi="Times New Roman" w:cs="Times New Roman"/>
          <w:sz w:val="28"/>
          <w:szCs w:val="28"/>
          <w:lang/>
        </w:rPr>
        <w:t>,</w:t>
      </w:r>
      <w:r w:rsidR="00F830C3" w:rsidRPr="0053384E">
        <w:rPr>
          <w:rFonts w:ascii="Times New Roman" w:eastAsia="Times New Roman" w:hAnsi="Times New Roman" w:cs="Times New Roman"/>
          <w:sz w:val="28"/>
          <w:szCs w:val="28"/>
          <w:lang/>
        </w:rPr>
        <w:t xml:space="preserve"> ori privind alte fapte ce ţin</w:t>
      </w:r>
      <w:r w:rsidR="00F830C3" w:rsidRPr="00236832">
        <w:rPr>
          <w:rFonts w:ascii="Times New Roman" w:eastAsia="Times New Roman" w:hAnsi="Times New Roman" w:cs="Times New Roman"/>
          <w:sz w:val="28"/>
          <w:szCs w:val="28"/>
          <w:lang/>
        </w:rPr>
        <w:t>de naşterea, modificarea</w:t>
      </w:r>
      <w:r w:rsidR="00F830C3" w:rsidRPr="0053384E">
        <w:rPr>
          <w:rFonts w:ascii="Times New Roman" w:eastAsia="Times New Roman" w:hAnsi="Times New Roman" w:cs="Times New Roman"/>
          <w:sz w:val="28"/>
          <w:szCs w:val="28"/>
          <w:lang/>
        </w:rPr>
        <w:t xml:space="preserve"> sau stingerea obligaţiei fiscale. </w:t>
      </w:r>
    </w:p>
    <w:p w:rsidR="00606373" w:rsidRDefault="00606373" w:rsidP="00300711">
      <w:pPr>
        <w:spacing w:after="0" w:line="276" w:lineRule="auto"/>
        <w:ind w:firstLine="720"/>
        <w:jc w:val="both"/>
        <w:rPr>
          <w:rFonts w:ascii="Times New Roman" w:eastAsia="Times New Roman" w:hAnsi="Times New Roman" w:cs="Times New Roman"/>
          <w:sz w:val="28"/>
          <w:szCs w:val="28"/>
        </w:rPr>
      </w:pPr>
      <w:r w:rsidRPr="00606373">
        <w:rPr>
          <w:rFonts w:ascii="Times New Roman" w:eastAsia="Times New Roman" w:hAnsi="Times New Roman" w:cs="Times New Roman"/>
          <w:b/>
          <w:iCs/>
          <w:sz w:val="28"/>
          <w:szCs w:val="28"/>
        </w:rPr>
        <w:t>Drepturi de import; drepturi de export</w:t>
      </w:r>
      <w:r w:rsidRPr="0053384E">
        <w:rPr>
          <w:rFonts w:ascii="Times New Roman" w:eastAsia="Times New Roman" w:hAnsi="Times New Roman" w:cs="Times New Roman"/>
          <w:sz w:val="28"/>
          <w:szCs w:val="28"/>
          <w:lang/>
        </w:rPr>
        <w:t>–</w:t>
      </w:r>
      <w:r w:rsidRPr="00606373">
        <w:rPr>
          <w:rFonts w:ascii="Times New Roman" w:eastAsia="Times New Roman" w:hAnsi="Times New Roman" w:cs="Times New Roman"/>
          <w:sz w:val="28"/>
          <w:szCs w:val="28"/>
        </w:rPr>
        <w:t>taxa vamală, taxa pentru procedurile vamale, taxa pe valoarea adăugată, accizele şi orice alte sume care se cuvin statului la importul de mărfuri, încasate de organul vamal în conformitate cu legislaţia</w:t>
      </w:r>
      <w:r w:rsidR="00E366DC">
        <w:rPr>
          <w:rFonts w:ascii="Times New Roman" w:eastAsia="Times New Roman" w:hAnsi="Times New Roman" w:cs="Times New Roman"/>
          <w:sz w:val="28"/>
          <w:szCs w:val="28"/>
        </w:rPr>
        <w:t>,</w:t>
      </w:r>
      <w:r w:rsidRPr="00606373">
        <w:rPr>
          <w:rFonts w:ascii="Times New Roman" w:eastAsia="Times New Roman" w:hAnsi="Times New Roman" w:cs="Times New Roman"/>
          <w:sz w:val="28"/>
          <w:szCs w:val="28"/>
        </w:rPr>
        <w:t xml:space="preserve"> taxa pentru procedurile vamale, orice alte sume care se cuvin statului la exportul de mărfuri, încasate de organul vamal în conformitate cu legislaţia.</w:t>
      </w:r>
    </w:p>
    <w:p w:rsidR="00606373" w:rsidRDefault="00606373" w:rsidP="00300711">
      <w:pPr>
        <w:spacing w:after="0" w:line="276" w:lineRule="auto"/>
        <w:ind w:firstLine="720"/>
        <w:jc w:val="both"/>
        <w:rPr>
          <w:rFonts w:ascii="Times New Roman" w:hAnsi="Times New Roman" w:cs="Times New Roman"/>
          <w:sz w:val="28"/>
          <w:szCs w:val="28"/>
        </w:rPr>
      </w:pPr>
      <w:r w:rsidRPr="00606373">
        <w:rPr>
          <w:rFonts w:ascii="Times New Roman" w:hAnsi="Times New Roman" w:cs="Times New Roman"/>
          <w:b/>
          <w:iCs/>
          <w:sz w:val="28"/>
          <w:szCs w:val="28"/>
        </w:rPr>
        <w:t>V</w:t>
      </w:r>
      <w:r w:rsidR="00006999" w:rsidRPr="00606373">
        <w:rPr>
          <w:rFonts w:ascii="Times New Roman" w:hAnsi="Times New Roman" w:cs="Times New Roman"/>
          <w:b/>
          <w:iCs/>
          <w:sz w:val="28"/>
          <w:szCs w:val="28"/>
        </w:rPr>
        <w:t>ămuire</w:t>
      </w:r>
      <w:r w:rsidR="00006999" w:rsidRPr="00606373">
        <w:rPr>
          <w:rFonts w:ascii="Times New Roman" w:hAnsi="Times New Roman" w:cs="Times New Roman"/>
          <w:b/>
          <w:sz w:val="28"/>
          <w:szCs w:val="28"/>
        </w:rPr>
        <w:t> </w:t>
      </w:r>
      <w:r w:rsidRPr="0053384E">
        <w:rPr>
          <w:rFonts w:ascii="Times New Roman" w:eastAsia="Times New Roman" w:hAnsi="Times New Roman" w:cs="Times New Roman"/>
          <w:sz w:val="28"/>
          <w:szCs w:val="28"/>
          <w:lang/>
        </w:rPr>
        <w:t>–</w:t>
      </w:r>
      <w:r>
        <w:rPr>
          <w:rFonts w:ascii="Times New Roman" w:hAnsi="Times New Roman" w:cs="Times New Roman"/>
          <w:sz w:val="28"/>
          <w:szCs w:val="28"/>
        </w:rPr>
        <w:t xml:space="preserve"> procedeu</w:t>
      </w:r>
      <w:r w:rsidR="00006999" w:rsidRPr="00606373">
        <w:rPr>
          <w:rFonts w:ascii="Times New Roman" w:hAnsi="Times New Roman" w:cs="Times New Roman"/>
          <w:sz w:val="28"/>
          <w:szCs w:val="28"/>
        </w:rPr>
        <w:t xml:space="preserve"> de plasare a mărfurilor şi mijloacelor de transport într-un anumit regim vamal şi încheierea acestui regim, în condiţiile</w:t>
      </w:r>
      <w:r w:rsidRPr="00606373">
        <w:rPr>
          <w:rFonts w:ascii="Times New Roman" w:hAnsi="Times New Roman" w:cs="Times New Roman"/>
          <w:sz w:val="28"/>
          <w:szCs w:val="28"/>
        </w:rPr>
        <w:t>C</w:t>
      </w:r>
      <w:r>
        <w:rPr>
          <w:rFonts w:ascii="Times New Roman" w:hAnsi="Times New Roman" w:cs="Times New Roman"/>
          <w:sz w:val="28"/>
          <w:szCs w:val="28"/>
        </w:rPr>
        <w:t xml:space="preserve">odului </w:t>
      </w:r>
      <w:r w:rsidR="00241ECE">
        <w:rPr>
          <w:rFonts w:ascii="Times New Roman" w:hAnsi="Times New Roman" w:cs="Times New Roman"/>
          <w:sz w:val="28"/>
          <w:szCs w:val="28"/>
        </w:rPr>
        <w:t>vamal.</w:t>
      </w:r>
    </w:p>
    <w:p w:rsidR="002717B0" w:rsidRDefault="00606373" w:rsidP="00300711">
      <w:pPr>
        <w:spacing w:after="0" w:line="276"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b/>
          <w:iCs/>
          <w:sz w:val="28"/>
          <w:szCs w:val="28"/>
          <w:lang w:eastAsia="ru-RU"/>
        </w:rPr>
        <w:t>Impozit/taxă</w:t>
      </w:r>
      <w:r w:rsidRPr="0053384E">
        <w:rPr>
          <w:rFonts w:ascii="Times New Roman" w:eastAsia="Times New Roman" w:hAnsi="Times New Roman" w:cs="Times New Roman"/>
          <w:sz w:val="28"/>
          <w:szCs w:val="28"/>
          <w:lang/>
        </w:rPr>
        <w:t>–</w:t>
      </w:r>
      <w:r w:rsidRPr="0053384E">
        <w:rPr>
          <w:rFonts w:ascii="Times New Roman" w:eastAsia="Times New Roman" w:hAnsi="Times New Roman" w:cs="Times New Roman"/>
          <w:sz w:val="28"/>
          <w:szCs w:val="28"/>
          <w:lang w:eastAsia="ru-RU"/>
        </w:rPr>
        <w:t xml:space="preserve"> plată obligatorie cu titlu gratuit, care nu ţine de efectuarea unor acţiuni determinate şi concrete de către organul împuternicit sau de către persoana cu funcţii de răspundere a acestuia pentru sau în raport cu contribuabilu</w:t>
      </w:r>
      <w:r>
        <w:rPr>
          <w:rFonts w:ascii="Times New Roman" w:eastAsia="Times New Roman" w:hAnsi="Times New Roman" w:cs="Times New Roman"/>
          <w:sz w:val="28"/>
          <w:szCs w:val="28"/>
          <w:lang w:eastAsia="ru-RU"/>
        </w:rPr>
        <w:t>l care a achitat această plată.</w:t>
      </w:r>
    </w:p>
    <w:p w:rsidR="00241ECE" w:rsidRDefault="00241ECE" w:rsidP="00300711">
      <w:pPr>
        <w:spacing w:after="0" w:line="276" w:lineRule="auto"/>
        <w:ind w:firstLine="720"/>
        <w:jc w:val="both"/>
        <w:rPr>
          <w:rFonts w:ascii="Times New Roman" w:eastAsia="Times New Roman" w:hAnsi="Times New Roman" w:cs="Times New Roman"/>
          <w:sz w:val="28"/>
          <w:szCs w:val="28"/>
          <w:lang/>
        </w:rPr>
      </w:pPr>
      <w:r w:rsidRPr="0053384E">
        <w:rPr>
          <w:rFonts w:ascii="Times New Roman" w:eastAsia="Times New Roman" w:hAnsi="Times New Roman" w:cs="Times New Roman"/>
          <w:b/>
          <w:sz w:val="28"/>
          <w:szCs w:val="28"/>
          <w:lang/>
        </w:rPr>
        <w:lastRenderedPageBreak/>
        <w:t>Conformare fiscală voluntară</w:t>
      </w:r>
      <w:r w:rsidRPr="0053384E">
        <w:rPr>
          <w:rFonts w:ascii="Times New Roman" w:eastAsia="Times New Roman" w:hAnsi="Times New Roman" w:cs="Times New Roman"/>
          <w:sz w:val="28"/>
          <w:szCs w:val="28"/>
          <w:lang/>
        </w:rPr>
        <w:t xml:space="preserve"> – calculare corectă, raportare și achitare deplină și la timp la buget a obligației fiscale de către contribuabil în mod benevol.</w:t>
      </w:r>
    </w:p>
    <w:p w:rsidR="00F73A0A" w:rsidRPr="00F73A0A" w:rsidRDefault="00F73A0A" w:rsidP="00300711">
      <w:pPr>
        <w:spacing w:after="0" w:line="276" w:lineRule="auto"/>
        <w:ind w:firstLine="720"/>
        <w:jc w:val="both"/>
        <w:rPr>
          <w:rFonts w:ascii="Times New Roman" w:hAnsi="Times New Roman" w:cs="Times New Roman"/>
          <w:sz w:val="28"/>
          <w:szCs w:val="28"/>
        </w:rPr>
      </w:pPr>
      <w:r w:rsidRPr="00F73A0A">
        <w:rPr>
          <w:rFonts w:ascii="Times New Roman" w:hAnsi="Times New Roman" w:cs="Times New Roman"/>
          <w:b/>
          <w:iCs/>
          <w:sz w:val="28"/>
          <w:szCs w:val="28"/>
        </w:rPr>
        <w:t>Restanţă</w:t>
      </w:r>
      <w:r w:rsidRPr="00F73A0A">
        <w:rPr>
          <w:rFonts w:ascii="Times New Roman" w:hAnsi="Times New Roman" w:cs="Times New Roman"/>
          <w:sz w:val="28"/>
          <w:szCs w:val="28"/>
        </w:rPr>
        <w:t>– sumă pe care contribuabilul</w:t>
      </w:r>
      <w:r>
        <w:rPr>
          <w:rFonts w:ascii="Times New Roman" w:hAnsi="Times New Roman" w:cs="Times New Roman"/>
          <w:sz w:val="28"/>
          <w:szCs w:val="28"/>
        </w:rPr>
        <w:t>/plătitorul vamal</w:t>
      </w:r>
      <w:r w:rsidRPr="00F73A0A">
        <w:rPr>
          <w:rFonts w:ascii="Times New Roman" w:hAnsi="Times New Roman" w:cs="Times New Roman"/>
          <w:sz w:val="28"/>
          <w:szCs w:val="28"/>
        </w:rPr>
        <w:t xml:space="preserve"> era obligat să o plătească la buget ca impozit, taxă sau altă plată, dar pe care nu a plătit-o în termen, precum şi suma majorării de înt</w:t>
      </w:r>
      <w:r w:rsidR="00E366DC">
        <w:rPr>
          <w:rFonts w:ascii="Times New Roman" w:hAnsi="Times New Roman" w:cs="Times New Roman"/>
          <w:sz w:val="28"/>
          <w:szCs w:val="28"/>
        </w:rPr>
        <w:t>â</w:t>
      </w:r>
      <w:r w:rsidRPr="00F73A0A">
        <w:rPr>
          <w:rFonts w:ascii="Times New Roman" w:hAnsi="Times New Roman" w:cs="Times New Roman"/>
          <w:sz w:val="28"/>
          <w:szCs w:val="28"/>
        </w:rPr>
        <w:t>rziere (penalităţii) şi/sau amenzii.</w:t>
      </w:r>
    </w:p>
    <w:p w:rsidR="00EA587E" w:rsidRDefault="00241ECE" w:rsidP="00EA587E">
      <w:pPr>
        <w:spacing w:after="0" w:line="276" w:lineRule="auto"/>
        <w:ind w:firstLine="720"/>
        <w:jc w:val="both"/>
        <w:rPr>
          <w:rFonts w:ascii="Times New Roman" w:eastAsia="Times New Roman" w:hAnsi="Times New Roman" w:cs="Times New Roman"/>
          <w:sz w:val="28"/>
          <w:szCs w:val="28"/>
          <w:lang/>
        </w:rPr>
      </w:pPr>
      <w:r w:rsidRPr="007116A5">
        <w:rPr>
          <w:rFonts w:ascii="Times New Roman" w:eastAsia="Times New Roman" w:hAnsi="Times New Roman" w:cs="Times New Roman"/>
          <w:b/>
          <w:iCs/>
          <w:sz w:val="28"/>
          <w:szCs w:val="28"/>
          <w:lang/>
        </w:rPr>
        <w:t>Control fiscal</w:t>
      </w:r>
      <w:r w:rsidRPr="007116A5">
        <w:rPr>
          <w:rFonts w:ascii="Times New Roman" w:eastAsia="Times New Roman" w:hAnsi="Times New Roman" w:cs="Times New Roman"/>
          <w:sz w:val="28"/>
          <w:szCs w:val="28"/>
          <w:lang/>
        </w:rPr>
        <w:t xml:space="preserve"> – verificarea corectitudinii cu care contribuabilul execută obligaţia fiscală şi alte obligaţii prevăzute de legislaţia fiscală, inclusiv verificarea altor persoane sub aspectul legăturii lor cu activitatea contribuabilului</w:t>
      </w:r>
      <w:r w:rsidR="00E366DC">
        <w:rPr>
          <w:rFonts w:ascii="Times New Roman" w:eastAsia="Times New Roman" w:hAnsi="Times New Roman" w:cs="Times New Roman"/>
          <w:sz w:val="28"/>
          <w:szCs w:val="28"/>
          <w:lang/>
        </w:rPr>
        <w:t>,</w:t>
      </w:r>
      <w:r w:rsidRPr="007116A5">
        <w:rPr>
          <w:rFonts w:ascii="Times New Roman" w:eastAsia="Times New Roman" w:hAnsi="Times New Roman" w:cs="Times New Roman"/>
          <w:sz w:val="28"/>
          <w:szCs w:val="28"/>
          <w:lang/>
        </w:rPr>
        <w:t xml:space="preserve"> prin metode, forme şioperaţiuni prevăzute de Codul fiscal.</w:t>
      </w:r>
    </w:p>
    <w:p w:rsidR="00F73A0A" w:rsidRPr="00EA587E" w:rsidRDefault="00F73A0A" w:rsidP="00EA587E">
      <w:pPr>
        <w:spacing w:after="0" w:line="276" w:lineRule="auto"/>
        <w:ind w:firstLine="720"/>
        <w:jc w:val="both"/>
        <w:rPr>
          <w:rFonts w:ascii="Times New Roman" w:eastAsia="Times New Roman" w:hAnsi="Times New Roman" w:cs="Times New Roman"/>
          <w:sz w:val="28"/>
          <w:szCs w:val="28"/>
          <w:lang/>
        </w:rPr>
      </w:pPr>
      <w:r w:rsidRPr="007116A5">
        <w:rPr>
          <w:rFonts w:ascii="Times New Roman" w:hAnsi="Times New Roman" w:cs="Times New Roman"/>
          <w:b/>
          <w:sz w:val="28"/>
          <w:szCs w:val="28"/>
        </w:rPr>
        <w:t>Control vamal</w:t>
      </w:r>
      <w:r w:rsidRPr="007116A5">
        <w:rPr>
          <w:rFonts w:ascii="Times New Roman" w:hAnsi="Times New Roman" w:cs="Times New Roman"/>
          <w:sz w:val="28"/>
          <w:szCs w:val="28"/>
        </w:rPr>
        <w:t> – ansamblu de acţiuni întreprinse de organele vamale pentru aplicarea şi respectarea legilor şi a reglementărilor pe care organele vamale au sarcina să le aplice.</w:t>
      </w:r>
    </w:p>
    <w:p w:rsidR="0090620C" w:rsidRDefault="0090620C" w:rsidP="007116A5">
      <w:pPr>
        <w:spacing w:after="0" w:line="276" w:lineRule="auto"/>
        <w:ind w:firstLine="720"/>
        <w:jc w:val="both"/>
        <w:rPr>
          <w:rFonts w:ascii="Times New Roman" w:hAnsi="Times New Roman" w:cs="Times New Roman"/>
          <w:color w:val="000000"/>
          <w:sz w:val="28"/>
          <w:szCs w:val="28"/>
        </w:rPr>
      </w:pPr>
      <w:r w:rsidRPr="007116A5">
        <w:rPr>
          <w:rFonts w:ascii="Times New Roman" w:hAnsi="Times New Roman" w:cs="Times New Roman"/>
          <w:b/>
          <w:sz w:val="28"/>
          <w:szCs w:val="28"/>
        </w:rPr>
        <w:t>Analiza riscurilor</w:t>
      </w:r>
      <w:r w:rsidRPr="007116A5">
        <w:rPr>
          <w:rFonts w:ascii="Times New Roman" w:hAnsi="Times New Roman" w:cs="Times New Roman"/>
          <w:sz w:val="28"/>
          <w:szCs w:val="28"/>
        </w:rPr>
        <w:t xml:space="preserve"> – utilizarea sistematică a informațiilor disponibile pentru a determina cauzele și condițiile apariției riscurilor</w:t>
      </w:r>
      <w:r w:rsidRPr="00F73A0A">
        <w:rPr>
          <w:rFonts w:ascii="Times New Roman" w:hAnsi="Times New Roman" w:cs="Times New Roman"/>
          <w:color w:val="000000"/>
          <w:sz w:val="28"/>
          <w:szCs w:val="28"/>
        </w:rPr>
        <w:t xml:space="preserve">, identificarea lor, evaluarea </w:t>
      </w:r>
      <w:r>
        <w:rPr>
          <w:rFonts w:ascii="Times New Roman" w:hAnsi="Times New Roman" w:cs="Times New Roman"/>
          <w:color w:val="000000"/>
          <w:sz w:val="28"/>
          <w:szCs w:val="28"/>
        </w:rPr>
        <w:t>frecvenței și gravitatea impactului acestora.</w:t>
      </w:r>
    </w:p>
    <w:p w:rsidR="00F73A0A" w:rsidRPr="00F73A0A" w:rsidRDefault="00F73A0A" w:rsidP="00300711">
      <w:pPr>
        <w:spacing w:after="0" w:line="276" w:lineRule="auto"/>
        <w:ind w:firstLine="720"/>
        <w:jc w:val="both"/>
        <w:rPr>
          <w:rFonts w:ascii="Times New Roman" w:hAnsi="Times New Roman" w:cs="Times New Roman"/>
          <w:color w:val="000000"/>
          <w:sz w:val="28"/>
          <w:szCs w:val="28"/>
        </w:rPr>
      </w:pPr>
      <w:r w:rsidRPr="00F73A0A">
        <w:rPr>
          <w:rFonts w:ascii="Times New Roman" w:hAnsi="Times New Roman" w:cs="Times New Roman"/>
          <w:b/>
          <w:iCs/>
          <w:color w:val="000000"/>
          <w:sz w:val="28"/>
          <w:szCs w:val="28"/>
        </w:rPr>
        <w:t>Control ulterior</w:t>
      </w:r>
      <w:r w:rsidRPr="00F73A0A">
        <w:rPr>
          <w:rFonts w:ascii="Times New Roman" w:hAnsi="Times New Roman" w:cs="Times New Roman"/>
          <w:color w:val="000000"/>
          <w:sz w:val="28"/>
          <w:szCs w:val="28"/>
        </w:rPr>
        <w:t> – verificarea informaţiilor din declaraţia vamală şi din documentele însoţitoare, verificarea existenţeişi conformității documentelor prevăzute pentru derularea unei destinaţii vamale sau regim vamal, examinarea contabilităţiişi a tuturor documentelor şi datelor sub orice formă, inclusiv computerizată, care se raportează la operaţiunile privind mărfurileprovenite din comerțul internațional ori la alte operațiuni comerciale anterioare sau ulterioare implic</w:t>
      </w:r>
      <w:r w:rsidR="00CF4CF0">
        <w:rPr>
          <w:rFonts w:ascii="Times New Roman" w:hAnsi="Times New Roman" w:cs="Times New Roman"/>
          <w:color w:val="000000"/>
          <w:sz w:val="28"/>
          <w:szCs w:val="28"/>
        </w:rPr>
        <w:t>â</w:t>
      </w:r>
      <w:r w:rsidRPr="00F73A0A">
        <w:rPr>
          <w:rFonts w:ascii="Times New Roman" w:hAnsi="Times New Roman" w:cs="Times New Roman"/>
          <w:color w:val="000000"/>
          <w:sz w:val="28"/>
          <w:szCs w:val="28"/>
        </w:rPr>
        <w:t xml:space="preserve">nd aceste </w:t>
      </w:r>
      <w:r w:rsidRPr="00CF4CF0">
        <w:rPr>
          <w:rFonts w:ascii="Times New Roman" w:hAnsi="Times New Roman" w:cs="Times New Roman"/>
          <w:color w:val="000000"/>
          <w:sz w:val="28"/>
          <w:szCs w:val="28"/>
        </w:rPr>
        <w:t>m</w:t>
      </w:r>
      <w:r w:rsidRPr="00236832">
        <w:rPr>
          <w:rFonts w:ascii="Times New Roman" w:hAnsi="Times New Roman" w:cs="Times New Roman"/>
          <w:color w:val="000000"/>
          <w:sz w:val="28"/>
          <w:szCs w:val="28"/>
          <w:lang w:val="en-US"/>
        </w:rPr>
        <w:t>ăr</w:t>
      </w:r>
      <w:r w:rsidRPr="00CF4CF0">
        <w:rPr>
          <w:rFonts w:ascii="Times New Roman" w:hAnsi="Times New Roman" w:cs="Times New Roman"/>
          <w:color w:val="000000"/>
          <w:sz w:val="28"/>
          <w:szCs w:val="28"/>
        </w:rPr>
        <w:t>furi</w:t>
      </w:r>
      <w:r w:rsidRPr="00F73A0A">
        <w:rPr>
          <w:rFonts w:ascii="Times New Roman" w:hAnsi="Times New Roman" w:cs="Times New Roman"/>
          <w:color w:val="000000"/>
          <w:sz w:val="28"/>
          <w:szCs w:val="28"/>
        </w:rPr>
        <w:t xml:space="preserve">, verificarea mărfurilor, în cazul în care acestea pot fi </w:t>
      </w:r>
      <w:r w:rsidR="00CF4CF0">
        <w:rPr>
          <w:rFonts w:ascii="Times New Roman" w:hAnsi="Times New Roman" w:cs="Times New Roman"/>
          <w:color w:val="000000"/>
          <w:sz w:val="28"/>
          <w:szCs w:val="28"/>
        </w:rPr>
        <w:t>identificate</w:t>
      </w:r>
      <w:r w:rsidRPr="00F73A0A">
        <w:rPr>
          <w:rFonts w:ascii="Times New Roman" w:hAnsi="Times New Roman" w:cs="Times New Roman"/>
          <w:color w:val="000000"/>
          <w:sz w:val="28"/>
          <w:szCs w:val="28"/>
        </w:rPr>
        <w:t>, a mijloacelor de transport, încăperilor și spațiilor de depozitare</w:t>
      </w:r>
      <w:r w:rsidR="00CF4CF0">
        <w:rPr>
          <w:rFonts w:ascii="Times New Roman" w:hAnsi="Times New Roman" w:cs="Times New Roman"/>
          <w:color w:val="000000"/>
          <w:sz w:val="28"/>
          <w:szCs w:val="28"/>
        </w:rPr>
        <w:t>.</w:t>
      </w:r>
    </w:p>
    <w:p w:rsidR="00F73A0A" w:rsidRPr="00F73A0A" w:rsidRDefault="00F73A0A" w:rsidP="00300711">
      <w:pPr>
        <w:spacing w:after="0" w:line="276" w:lineRule="auto"/>
        <w:ind w:firstLine="720"/>
        <w:jc w:val="both"/>
        <w:rPr>
          <w:rFonts w:ascii="Times New Roman" w:hAnsi="Times New Roman" w:cs="Times New Roman"/>
          <w:sz w:val="28"/>
          <w:szCs w:val="28"/>
        </w:rPr>
      </w:pPr>
      <w:r w:rsidRPr="00F73A0A">
        <w:rPr>
          <w:rFonts w:ascii="Times New Roman" w:hAnsi="Times New Roman" w:cs="Times New Roman"/>
          <w:b/>
          <w:sz w:val="28"/>
          <w:szCs w:val="28"/>
        </w:rPr>
        <w:t xml:space="preserve">Decalaj fiscal – </w:t>
      </w:r>
      <w:r w:rsidRPr="00F73A0A">
        <w:rPr>
          <w:rFonts w:ascii="Times New Roman" w:hAnsi="Times New Roman" w:cs="Times New Roman"/>
          <w:sz w:val="28"/>
          <w:szCs w:val="28"/>
        </w:rPr>
        <w:t>diferența dintre suma impozitelor și/sau taxelor datorate teoretic și suma impozitelor și/sau taxelor efectiv colectate pentru o anumită perioadă.</w:t>
      </w:r>
    </w:p>
    <w:p w:rsidR="00C767DB" w:rsidRDefault="00F73A0A" w:rsidP="00300711">
      <w:pPr>
        <w:spacing w:after="0" w:line="276" w:lineRule="auto"/>
        <w:ind w:firstLine="720"/>
        <w:jc w:val="both"/>
        <w:rPr>
          <w:rFonts w:ascii="Times New Roman" w:hAnsi="Times New Roman" w:cs="Times New Roman"/>
          <w:sz w:val="28"/>
          <w:szCs w:val="28"/>
        </w:rPr>
      </w:pPr>
      <w:r w:rsidRPr="00F73A0A">
        <w:rPr>
          <w:rFonts w:ascii="Times New Roman" w:hAnsi="Times New Roman" w:cs="Times New Roman"/>
          <w:b/>
          <w:sz w:val="28"/>
          <w:szCs w:val="28"/>
        </w:rPr>
        <w:t>Impozit</w:t>
      </w:r>
      <w:r w:rsidR="0058797F">
        <w:rPr>
          <w:rFonts w:ascii="Times New Roman" w:hAnsi="Times New Roman" w:cs="Times New Roman"/>
          <w:b/>
          <w:sz w:val="28"/>
          <w:szCs w:val="28"/>
        </w:rPr>
        <w:t>/</w:t>
      </w:r>
      <w:r w:rsidRPr="00F73A0A">
        <w:rPr>
          <w:rFonts w:ascii="Times New Roman" w:hAnsi="Times New Roman" w:cs="Times New Roman"/>
          <w:b/>
          <w:sz w:val="28"/>
          <w:szCs w:val="28"/>
        </w:rPr>
        <w:t>taxă datorat</w:t>
      </w:r>
      <w:r w:rsidR="0058797F">
        <w:rPr>
          <w:rFonts w:ascii="Times New Roman" w:hAnsi="Times New Roman" w:cs="Times New Roman"/>
          <w:b/>
          <w:sz w:val="28"/>
          <w:szCs w:val="28"/>
        </w:rPr>
        <w:t>ă</w:t>
      </w:r>
      <w:r w:rsidRPr="00F73A0A">
        <w:rPr>
          <w:rFonts w:ascii="Times New Roman" w:hAnsi="Times New Roman" w:cs="Times New Roman"/>
          <w:b/>
          <w:sz w:val="28"/>
          <w:szCs w:val="28"/>
        </w:rPr>
        <w:t xml:space="preserve"> teoretic</w:t>
      </w:r>
      <w:r w:rsidRPr="00F73A0A">
        <w:rPr>
          <w:rFonts w:ascii="Times New Roman" w:hAnsi="Times New Roman" w:cs="Times New Roman"/>
          <w:sz w:val="28"/>
          <w:szCs w:val="28"/>
        </w:rPr>
        <w:t xml:space="preserve"> – valoarea impozabilă a venitului, costurile intermediare sau altă bază de evaluare înmulțită cu rata de impozitare aplicabilă pentru fiecare unitate a unei astfel de valori.</w:t>
      </w:r>
    </w:p>
    <w:p w:rsidR="00C767DB" w:rsidRDefault="00C767DB" w:rsidP="00300711">
      <w:pPr>
        <w:spacing w:after="0" w:line="276" w:lineRule="auto"/>
        <w:ind w:firstLine="720"/>
        <w:jc w:val="both"/>
        <w:rPr>
          <w:rFonts w:ascii="Times New Roman" w:hAnsi="Times New Roman" w:cs="Times New Roman"/>
          <w:color w:val="000000"/>
          <w:sz w:val="28"/>
          <w:szCs w:val="28"/>
        </w:rPr>
      </w:pPr>
      <w:r w:rsidRPr="001D67FA">
        <w:rPr>
          <w:rFonts w:ascii="Times New Roman" w:eastAsia="Times New Roman" w:hAnsi="Times New Roman" w:cs="Times New Roman"/>
          <w:b/>
          <w:iCs/>
          <w:sz w:val="28"/>
          <w:szCs w:val="28"/>
          <w:lang/>
        </w:rPr>
        <w:t>Executare silită a obligaţiei fiscale</w:t>
      </w:r>
      <w:r>
        <w:rPr>
          <w:rFonts w:ascii="Times New Roman" w:eastAsia="Times New Roman" w:hAnsi="Times New Roman" w:cs="Times New Roman"/>
          <w:b/>
          <w:iCs/>
          <w:sz w:val="28"/>
          <w:szCs w:val="28"/>
          <w:lang/>
        </w:rPr>
        <w:t xml:space="preserve"> și vamale</w:t>
      </w:r>
      <w:r w:rsidRPr="001D67FA">
        <w:rPr>
          <w:rFonts w:ascii="Times New Roman" w:eastAsia="Times New Roman" w:hAnsi="Times New Roman" w:cs="Times New Roman"/>
          <w:sz w:val="28"/>
          <w:szCs w:val="28"/>
          <w:lang/>
        </w:rPr>
        <w:t xml:space="preserve"> – acţiuni întreprinse de </w:t>
      </w:r>
      <w:r w:rsidRPr="001D67FA">
        <w:rPr>
          <w:rFonts w:ascii="Times New Roman" w:eastAsia="Times New Roman" w:hAnsi="Times New Roman" w:cs="Times New Roman"/>
          <w:sz w:val="28"/>
          <w:szCs w:val="28"/>
          <w:lang/>
        </w:rPr>
        <w:t>S</w:t>
      </w:r>
      <w:r w:rsidR="0014303B">
        <w:rPr>
          <w:rFonts w:ascii="Times New Roman" w:eastAsia="Times New Roman" w:hAnsi="Times New Roman" w:cs="Times New Roman"/>
          <w:sz w:val="28"/>
          <w:szCs w:val="28"/>
          <w:lang/>
        </w:rPr>
        <w:t>FS și SV</w:t>
      </w:r>
      <w:r w:rsidRPr="001D67FA">
        <w:rPr>
          <w:rFonts w:ascii="Times New Roman" w:eastAsia="Times New Roman" w:hAnsi="Times New Roman" w:cs="Times New Roman"/>
          <w:sz w:val="28"/>
          <w:szCs w:val="28"/>
          <w:lang/>
        </w:rPr>
        <w:t xml:space="preserve"> pentru perceperea forţată a restanţei</w:t>
      </w:r>
      <w:r w:rsidR="0014303B">
        <w:rPr>
          <w:rFonts w:ascii="Times New Roman" w:eastAsia="Times New Roman" w:hAnsi="Times New Roman" w:cs="Times New Roman"/>
          <w:sz w:val="28"/>
          <w:szCs w:val="28"/>
          <w:lang/>
        </w:rPr>
        <w:t>/</w:t>
      </w:r>
      <w:r w:rsidR="0014303B" w:rsidRPr="00F73A0A">
        <w:rPr>
          <w:rFonts w:ascii="Times New Roman" w:hAnsi="Times New Roman" w:cs="Times New Roman"/>
          <w:color w:val="000000"/>
          <w:sz w:val="28"/>
          <w:szCs w:val="28"/>
        </w:rPr>
        <w:t>oblig</w:t>
      </w:r>
      <w:r w:rsidR="0014303B">
        <w:rPr>
          <w:rFonts w:ascii="Times New Roman" w:hAnsi="Times New Roman" w:cs="Times New Roman"/>
          <w:color w:val="000000"/>
          <w:sz w:val="28"/>
          <w:szCs w:val="28"/>
        </w:rPr>
        <w:t>aţiei vamale ajunsă la scadenţă.</w:t>
      </w:r>
    </w:p>
    <w:p w:rsidR="00971632" w:rsidRPr="00DA1154" w:rsidRDefault="0014303B" w:rsidP="00300711">
      <w:pPr>
        <w:spacing w:after="0" w:line="276" w:lineRule="auto"/>
        <w:ind w:firstLine="720"/>
        <w:jc w:val="both"/>
        <w:rPr>
          <w:rFonts w:ascii="Times New Roman" w:hAnsi="Times New Roman" w:cs="Times New Roman"/>
          <w:color w:val="000000"/>
          <w:sz w:val="28"/>
          <w:szCs w:val="28"/>
        </w:rPr>
      </w:pPr>
      <w:r w:rsidRPr="00DA1154">
        <w:rPr>
          <w:rFonts w:ascii="Times New Roman" w:hAnsi="Times New Roman" w:cs="Times New Roman"/>
          <w:b/>
          <w:color w:val="000000"/>
          <w:sz w:val="28"/>
          <w:szCs w:val="28"/>
        </w:rPr>
        <w:t>Evaziune fiscală</w:t>
      </w:r>
      <w:r w:rsidRPr="005A5243">
        <w:rPr>
          <w:rFonts w:ascii="Times New Roman" w:eastAsia="Times New Roman" w:hAnsi="Times New Roman" w:cs="Times New Roman"/>
          <w:sz w:val="28"/>
          <w:szCs w:val="28"/>
          <w:lang/>
        </w:rPr>
        <w:t xml:space="preserve">– </w:t>
      </w:r>
      <w:r w:rsidR="00E15A52">
        <w:rPr>
          <w:rFonts w:ascii="Times New Roman" w:eastAsia="Times New Roman" w:hAnsi="Times New Roman" w:cs="Times New Roman"/>
          <w:sz w:val="28"/>
          <w:szCs w:val="28"/>
          <w:lang/>
        </w:rPr>
        <w:t xml:space="preserve">eschivarea </w:t>
      </w:r>
      <w:r w:rsidR="00DA1154" w:rsidRPr="00DA1154">
        <w:rPr>
          <w:rFonts w:ascii="Times New Roman" w:hAnsi="Times New Roman" w:cs="Times New Roman"/>
          <w:sz w:val="28"/>
          <w:szCs w:val="28"/>
        </w:rPr>
        <w:t>contribuabililor/plătitorilor vamali</w:t>
      </w:r>
      <w:r w:rsidR="00DA1154" w:rsidRPr="00DA1154">
        <w:rPr>
          <w:rFonts w:ascii="Times New Roman" w:hAnsi="Times New Roman" w:cs="Times New Roman"/>
          <w:color w:val="222222"/>
          <w:sz w:val="28"/>
          <w:szCs w:val="28"/>
          <w:shd w:val="clear" w:color="auto" w:fill="FFFFFF"/>
        </w:rPr>
        <w:t xml:space="preserve"> de la plata impozitelor, taxelor, contribuțiilor și a altor sume datorate bugetului,</w:t>
      </w:r>
      <w:r w:rsidRPr="00DA1154">
        <w:rPr>
          <w:rFonts w:ascii="Times New Roman" w:hAnsi="Times New Roman" w:cs="Times New Roman"/>
          <w:color w:val="000000"/>
          <w:sz w:val="28"/>
          <w:szCs w:val="28"/>
        </w:rPr>
        <w:t>prin includerea în documentele contabile, fiscale sau financiare a unor date denaturate privind veniturile sau cheltuielile, a unor cheltuieli care nu au la bază operaţiuni reale ori care au la bază operaţiuni ce nu au existat, fie prin tăinuirea unor </w:t>
      </w:r>
      <w:r w:rsidR="000857E7">
        <w:rPr>
          <w:rFonts w:ascii="Times New Roman" w:hAnsi="Times New Roman" w:cs="Times New Roman"/>
          <w:color w:val="000000"/>
          <w:sz w:val="28"/>
          <w:szCs w:val="28"/>
        </w:rPr>
        <w:t>obiecte impozabile.</w:t>
      </w:r>
    </w:p>
    <w:p w:rsidR="000A329C" w:rsidRPr="00300711" w:rsidRDefault="009F2555" w:rsidP="00417529">
      <w:pPr>
        <w:pStyle w:val="Heading1"/>
        <w:spacing w:before="0" w:line="276" w:lineRule="auto"/>
        <w:ind w:right="-334"/>
        <w:jc w:val="center"/>
        <w:rPr>
          <w:rFonts w:ascii="Times New Roman" w:hAnsi="Times New Roman" w:cs="Times New Roman"/>
          <w:b/>
          <w:color w:val="auto"/>
        </w:rPr>
      </w:pPr>
      <w:bookmarkStart w:id="2" w:name="_Toc515894883"/>
      <w:bookmarkEnd w:id="1"/>
      <w:r w:rsidRPr="003C4B9E">
        <w:rPr>
          <w:rFonts w:ascii="Times New Roman" w:hAnsi="Times New Roman" w:cs="Times New Roman"/>
          <w:b/>
          <w:color w:val="auto"/>
        </w:rPr>
        <w:lastRenderedPageBreak/>
        <w:t>SINTEZA</w:t>
      </w:r>
      <w:bookmarkStart w:id="3" w:name="_Toc505603938"/>
      <w:bookmarkEnd w:id="2"/>
    </w:p>
    <w:p w:rsidR="006358AD" w:rsidRDefault="006358AD" w:rsidP="00DA1154">
      <w:pPr>
        <w:spacing w:after="0" w:line="276" w:lineRule="auto"/>
        <w:ind w:firstLine="720"/>
        <w:jc w:val="both"/>
        <w:rPr>
          <w:rFonts w:ascii="Times New Roman" w:hAnsi="Times New Roman" w:cs="Times New Roman"/>
          <w:sz w:val="28"/>
          <w:szCs w:val="28"/>
        </w:rPr>
      </w:pPr>
      <w:r w:rsidRPr="001D0846">
        <w:rPr>
          <w:rFonts w:ascii="Times New Roman" w:hAnsi="Times New Roman" w:cs="Times New Roman"/>
          <w:color w:val="000000"/>
          <w:sz w:val="28"/>
          <w:szCs w:val="28"/>
          <w:lang w:bidi="en-US"/>
        </w:rPr>
        <w:t>Curtea de Conturi a efectuat</w:t>
      </w:r>
      <w:r w:rsidR="00236832">
        <w:rPr>
          <w:rFonts w:ascii="Times New Roman" w:hAnsi="Times New Roman" w:cs="Times New Roman"/>
          <w:color w:val="000000"/>
          <w:sz w:val="28"/>
          <w:szCs w:val="28"/>
          <w:lang w:bidi="en-US"/>
        </w:rPr>
        <w:t>,</w:t>
      </w:r>
      <w:r w:rsidRPr="001D0846">
        <w:rPr>
          <w:rFonts w:ascii="Times New Roman" w:hAnsi="Times New Roman" w:cs="Times New Roman"/>
          <w:noProof/>
          <w:sz w:val="28"/>
          <w:szCs w:val="28"/>
          <w:lang w:eastAsia="ru-RU"/>
        </w:rPr>
        <w:t xml:space="preserve">în conformitate cu </w:t>
      </w:r>
      <w:r w:rsidRPr="001D0846">
        <w:rPr>
          <w:rFonts w:ascii="Times New Roman" w:hAnsi="Times New Roman" w:cs="Times New Roman"/>
          <w:noProof/>
          <w:sz w:val="28"/>
          <w:szCs w:val="28"/>
        </w:rPr>
        <w:t xml:space="preserve">Programul activităţii de audit </w:t>
      </w:r>
      <w:r w:rsidRPr="001D0846">
        <w:rPr>
          <w:rFonts w:ascii="Times New Roman" w:hAnsi="Times New Roman" w:cs="Times New Roman"/>
          <w:sz w:val="28"/>
          <w:szCs w:val="28"/>
        </w:rPr>
        <w:t>pe anul 2017</w:t>
      </w:r>
      <w:r w:rsidRPr="001D0846">
        <w:rPr>
          <w:rStyle w:val="FootnoteReference"/>
          <w:rFonts w:ascii="Times New Roman" w:hAnsi="Times New Roman" w:cs="Times New Roman"/>
          <w:sz w:val="28"/>
          <w:szCs w:val="28"/>
        </w:rPr>
        <w:footnoteReference w:id="2"/>
      </w:r>
      <w:r w:rsidR="00236832">
        <w:rPr>
          <w:rFonts w:ascii="Times New Roman" w:hAnsi="Times New Roman" w:cs="Times New Roman"/>
          <w:sz w:val="28"/>
          <w:szCs w:val="28"/>
        </w:rPr>
        <w:t>,</w:t>
      </w:r>
      <w:r w:rsidRPr="001D0846">
        <w:rPr>
          <w:rFonts w:ascii="Times New Roman" w:hAnsi="Times New Roman" w:cs="Times New Roman"/>
          <w:noProof/>
          <w:color w:val="000000"/>
          <w:sz w:val="28"/>
          <w:szCs w:val="28"/>
        </w:rPr>
        <w:t xml:space="preserve">auditul performanței </w:t>
      </w:r>
      <w:r w:rsidRPr="001D0846">
        <w:rPr>
          <w:rFonts w:ascii="Times New Roman" w:hAnsi="Times New Roman" w:cs="Times New Roman"/>
          <w:color w:val="000000"/>
          <w:sz w:val="28"/>
          <w:szCs w:val="28"/>
          <w:lang w:bidi="en-US"/>
        </w:rPr>
        <w:t>„</w:t>
      </w:r>
      <w:r w:rsidRPr="001D0846">
        <w:rPr>
          <w:rFonts w:ascii="Times New Roman" w:hAnsi="Times New Roman" w:cs="Times New Roman"/>
          <w:sz w:val="28"/>
          <w:szCs w:val="28"/>
        </w:rPr>
        <w:t>Funcționalitatea și rezul</w:t>
      </w:r>
      <w:r w:rsidR="00DA1154">
        <w:rPr>
          <w:rFonts w:ascii="Times New Roman" w:hAnsi="Times New Roman" w:cs="Times New Roman"/>
          <w:sz w:val="28"/>
          <w:szCs w:val="28"/>
        </w:rPr>
        <w:t>tativitatea operațională aferente</w:t>
      </w:r>
      <w:r w:rsidRPr="001D0846">
        <w:rPr>
          <w:rFonts w:ascii="Times New Roman" w:hAnsi="Times New Roman" w:cs="Times New Roman"/>
          <w:sz w:val="28"/>
          <w:szCs w:val="28"/>
        </w:rPr>
        <w:t>administrării impozitelor și taxelor”, evaluând managementul și performanțele instituționale ale organelor fiscale și vamale în administrarea impozitelor și taxelor.</w:t>
      </w:r>
      <w:r w:rsidR="00E15A52">
        <w:rPr>
          <w:rFonts w:ascii="Times New Roman" w:hAnsi="Times New Roman" w:cs="Times New Roman"/>
          <w:sz w:val="28"/>
          <w:szCs w:val="28"/>
        </w:rPr>
        <w:t>Cele</w:t>
      </w:r>
      <w:r w:rsidRPr="001D0846">
        <w:rPr>
          <w:rFonts w:ascii="Times New Roman" w:hAnsi="Times New Roman" w:cs="Times New Roman"/>
          <w:sz w:val="28"/>
          <w:szCs w:val="28"/>
        </w:rPr>
        <w:t xml:space="preserve"> mai semni</w:t>
      </w:r>
      <w:r w:rsidR="00E410DF" w:rsidRPr="001D0846">
        <w:rPr>
          <w:rFonts w:ascii="Times New Roman" w:hAnsi="Times New Roman" w:cs="Times New Roman"/>
          <w:sz w:val="28"/>
          <w:szCs w:val="28"/>
        </w:rPr>
        <w:t>ficative aspecte</w:t>
      </w:r>
      <w:r w:rsidR="00236832">
        <w:rPr>
          <w:rFonts w:ascii="Times New Roman" w:hAnsi="Times New Roman" w:cs="Times New Roman"/>
          <w:sz w:val="28"/>
          <w:szCs w:val="28"/>
        </w:rPr>
        <w:t>-</w:t>
      </w:r>
      <w:r w:rsidR="00E410DF" w:rsidRPr="001D0846">
        <w:rPr>
          <w:rFonts w:ascii="Times New Roman" w:hAnsi="Times New Roman" w:cs="Times New Roman"/>
          <w:sz w:val="28"/>
          <w:szCs w:val="28"/>
        </w:rPr>
        <w:t>cheie de audit</w:t>
      </w:r>
      <w:r w:rsidR="001E16F8">
        <w:rPr>
          <w:rFonts w:ascii="Times New Roman" w:hAnsi="Times New Roman" w:cs="Times New Roman"/>
          <w:sz w:val="28"/>
          <w:szCs w:val="28"/>
        </w:rPr>
        <w:t>fiind</w:t>
      </w:r>
      <w:r w:rsidR="00A472E9">
        <w:rPr>
          <w:rFonts w:ascii="Times New Roman" w:hAnsi="Times New Roman" w:cs="Times New Roman"/>
          <w:sz w:val="28"/>
          <w:szCs w:val="28"/>
        </w:rPr>
        <w:t xml:space="preserve"> prez</w:t>
      </w:r>
      <w:r w:rsidR="001E16F8">
        <w:rPr>
          <w:rFonts w:ascii="Times New Roman" w:hAnsi="Times New Roman" w:cs="Times New Roman"/>
          <w:sz w:val="28"/>
          <w:szCs w:val="28"/>
        </w:rPr>
        <w:t>entate</w:t>
      </w:r>
      <w:r w:rsidRPr="001D0846">
        <w:rPr>
          <w:rFonts w:ascii="Times New Roman" w:hAnsi="Times New Roman" w:cs="Times New Roman"/>
          <w:sz w:val="28"/>
          <w:szCs w:val="28"/>
        </w:rPr>
        <w:t xml:space="preserve"> după cum urmează:</w:t>
      </w:r>
    </w:p>
    <w:p w:rsidR="00E15A52" w:rsidRDefault="00E15A52" w:rsidP="00E15A52">
      <w:pPr>
        <w:tabs>
          <w:tab w:val="left" w:pos="270"/>
          <w:tab w:val="left" w:pos="360"/>
          <w:tab w:val="left" w:pos="720"/>
          <w:tab w:val="left" w:pos="993"/>
        </w:tabs>
        <w:spacing w:after="0" w:line="276"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(i) </w:t>
      </w:r>
      <w:r w:rsidR="00422664" w:rsidRPr="00E15A52">
        <w:rPr>
          <w:rFonts w:ascii="Times New Roman" w:hAnsi="Times New Roman" w:cs="Times New Roman"/>
          <w:sz w:val="28"/>
          <w:szCs w:val="28"/>
        </w:rPr>
        <w:t>Referitor la p</w:t>
      </w:r>
      <w:r w:rsidR="00A00E0B" w:rsidRPr="00E15A52">
        <w:rPr>
          <w:rFonts w:ascii="Times New Roman" w:hAnsi="Times New Roman" w:cs="Times New Roman"/>
          <w:sz w:val="28"/>
          <w:szCs w:val="28"/>
        </w:rPr>
        <w:t>rocesul de elaborare</w:t>
      </w:r>
      <w:r w:rsidR="00F02032" w:rsidRPr="00E15A52">
        <w:rPr>
          <w:rFonts w:ascii="Times New Roman" w:hAnsi="Times New Roman" w:cs="Times New Roman"/>
          <w:sz w:val="28"/>
          <w:szCs w:val="28"/>
        </w:rPr>
        <w:t xml:space="preserve"> și realizare de către organele fiscale și vamale a unor indicatori de performanță în administrarea impozitelor și taxelor</w:t>
      </w:r>
      <w:r w:rsidR="00422664" w:rsidRPr="00E15A52">
        <w:rPr>
          <w:rFonts w:ascii="Times New Roman" w:hAnsi="Times New Roman" w:cs="Times New Roman"/>
          <w:sz w:val="28"/>
          <w:szCs w:val="28"/>
        </w:rPr>
        <w:t xml:space="preserve">, semenționează </w:t>
      </w:r>
      <w:r w:rsidR="00A00E0B" w:rsidRPr="00E15A52">
        <w:rPr>
          <w:rFonts w:ascii="Times New Roman" w:hAnsi="Times New Roman" w:cs="Times New Roman"/>
          <w:sz w:val="28"/>
          <w:szCs w:val="28"/>
        </w:rPr>
        <w:t xml:space="preserve">că, deși </w:t>
      </w:r>
      <w:r w:rsidR="00D51A4F" w:rsidRPr="00E15A52">
        <w:rPr>
          <w:rFonts w:ascii="Times New Roman" w:hAnsi="Times New Roman" w:cs="Times New Roman"/>
          <w:sz w:val="28"/>
          <w:szCs w:val="28"/>
        </w:rPr>
        <w:t>s-</w:t>
      </w:r>
      <w:r w:rsidR="00A00E0B" w:rsidRPr="00E15A52">
        <w:rPr>
          <w:rFonts w:ascii="Times New Roman" w:hAnsi="Times New Roman" w:cs="Times New Roman"/>
          <w:sz w:val="28"/>
          <w:szCs w:val="28"/>
        </w:rPr>
        <w:t xml:space="preserve">au  întreprins măsuri pentru atingerea rezultatelor planificate, fiind realizate unele performanțe în domeniu, se atestă unele nerealizări/realizări parțiale ale indicatorilor de performanță, lipsa unor caracteristici definitorii ale obiectivelor stabilite, elaborarea unor indicatori fără o fundamentare a modalității de calcul și a sursei de colectare a informației, necorelarea în documentele de politici a unor indicatori de performanță, </w:t>
      </w:r>
      <w:r w:rsidR="00D81312" w:rsidRPr="00E15A52">
        <w:rPr>
          <w:rFonts w:ascii="Times New Roman" w:hAnsi="Times New Roman" w:cs="Times New Roman"/>
          <w:sz w:val="28"/>
          <w:szCs w:val="28"/>
        </w:rPr>
        <w:t>precum</w:t>
      </w:r>
      <w:r w:rsidR="00A00E0B" w:rsidRPr="00E15A52">
        <w:rPr>
          <w:rFonts w:ascii="Times New Roman" w:hAnsi="Times New Roman" w:cs="Times New Roman"/>
          <w:sz w:val="28"/>
          <w:szCs w:val="28"/>
        </w:rPr>
        <w:t xml:space="preserve"> și neestimarea resurselor/costurilor necesare în vederea realizării obiectivelor strategice.</w:t>
      </w:r>
    </w:p>
    <w:p w:rsidR="00E15A52" w:rsidRDefault="00E15A52" w:rsidP="00E15A52">
      <w:pPr>
        <w:tabs>
          <w:tab w:val="left" w:pos="270"/>
          <w:tab w:val="left" w:pos="360"/>
          <w:tab w:val="left" w:pos="720"/>
          <w:tab w:val="left" w:pos="993"/>
        </w:tabs>
        <w:spacing w:after="0" w:line="276"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(ii) </w:t>
      </w:r>
      <w:r w:rsidR="00422664" w:rsidRPr="00E15A52">
        <w:rPr>
          <w:rFonts w:ascii="Times New Roman" w:hAnsi="Times New Roman" w:cs="Times New Roman"/>
          <w:sz w:val="28"/>
          <w:szCs w:val="28"/>
        </w:rPr>
        <w:t>În p</w:t>
      </w:r>
      <w:r w:rsidR="007528E6" w:rsidRPr="00E15A52">
        <w:rPr>
          <w:rFonts w:ascii="Times New Roman" w:hAnsi="Times New Roman" w:cs="Times New Roman"/>
          <w:sz w:val="28"/>
          <w:szCs w:val="28"/>
        </w:rPr>
        <w:t>rocesul de estimare</w:t>
      </w:r>
      <w:r w:rsidR="00D12239" w:rsidRPr="00E15A52">
        <w:rPr>
          <w:rFonts w:ascii="Times New Roman" w:hAnsi="Times New Roman" w:cs="Times New Roman"/>
          <w:sz w:val="28"/>
          <w:szCs w:val="28"/>
        </w:rPr>
        <w:t>/prognozarea veniturilor fiscale și vamale</w:t>
      </w:r>
      <w:r w:rsidR="008A27C1" w:rsidRPr="00E15A52">
        <w:rPr>
          <w:rFonts w:ascii="Times New Roman" w:hAnsi="Times New Roman" w:cs="Times New Roman"/>
          <w:sz w:val="28"/>
          <w:szCs w:val="28"/>
        </w:rPr>
        <w:t>,</w:t>
      </w:r>
      <w:r w:rsidR="007528E6" w:rsidRPr="00E15A52">
        <w:rPr>
          <w:rFonts w:ascii="Times New Roman" w:hAnsi="Times New Roman" w:cs="Times New Roman"/>
          <w:sz w:val="28"/>
          <w:szCs w:val="28"/>
        </w:rPr>
        <w:t xml:space="preserve"> deși </w:t>
      </w:r>
      <w:r w:rsidR="008A27C1" w:rsidRPr="00E15A52">
        <w:rPr>
          <w:rFonts w:ascii="Times New Roman" w:hAnsi="Times New Roman" w:cs="Times New Roman"/>
          <w:sz w:val="28"/>
          <w:szCs w:val="28"/>
        </w:rPr>
        <w:t>administratorii de venituri</w:t>
      </w:r>
      <w:r w:rsidR="00D81312" w:rsidRPr="00E15A52">
        <w:rPr>
          <w:rFonts w:ascii="Times New Roman" w:hAnsi="Times New Roman" w:cs="Times New Roman"/>
          <w:sz w:val="28"/>
          <w:szCs w:val="28"/>
        </w:rPr>
        <w:t>,dar</w:t>
      </w:r>
      <w:r w:rsidR="008A27C1" w:rsidRPr="00E15A52">
        <w:rPr>
          <w:rFonts w:ascii="Times New Roman" w:hAnsi="Times New Roman" w:cs="Times New Roman"/>
          <w:sz w:val="28"/>
          <w:szCs w:val="28"/>
        </w:rPr>
        <w:t>și MF în calitate de administrator de buget</w:t>
      </w:r>
      <w:r w:rsidR="007528E6" w:rsidRPr="00E15A52">
        <w:rPr>
          <w:rFonts w:ascii="Times New Roman" w:hAnsi="Times New Roman" w:cs="Times New Roman"/>
          <w:color w:val="000000"/>
          <w:sz w:val="28"/>
          <w:szCs w:val="28"/>
        </w:rPr>
        <w:t xml:space="preserve"> dispun d</w:t>
      </w:r>
      <w:r w:rsidR="008A27C1" w:rsidRPr="00E15A52">
        <w:rPr>
          <w:rFonts w:ascii="Times New Roman" w:hAnsi="Times New Roman" w:cs="Times New Roman"/>
          <w:color w:val="000000"/>
          <w:sz w:val="28"/>
          <w:szCs w:val="28"/>
        </w:rPr>
        <w:t xml:space="preserve">e metode și tehnici de estimare/prognozare, </w:t>
      </w:r>
      <w:r w:rsidR="00422664" w:rsidRPr="00E15A52">
        <w:rPr>
          <w:rFonts w:ascii="Times New Roman" w:hAnsi="Times New Roman" w:cs="Times New Roman"/>
          <w:color w:val="000000"/>
          <w:sz w:val="28"/>
          <w:szCs w:val="28"/>
        </w:rPr>
        <w:t>mai există</w:t>
      </w:r>
      <w:r w:rsidR="008A27C1" w:rsidRPr="00E15A52">
        <w:rPr>
          <w:rFonts w:ascii="Times New Roman" w:hAnsi="Times New Roman" w:cs="Times New Roman"/>
          <w:color w:val="000000"/>
          <w:sz w:val="28"/>
          <w:szCs w:val="28"/>
        </w:rPr>
        <w:t xml:space="preserve"> unele rezerve </w:t>
      </w:r>
      <w:r w:rsidR="002835B6" w:rsidRPr="00E15A52">
        <w:rPr>
          <w:rFonts w:ascii="Times New Roman" w:hAnsi="Times New Roman" w:cs="Times New Roman"/>
          <w:color w:val="000000"/>
          <w:sz w:val="28"/>
          <w:szCs w:val="28"/>
        </w:rPr>
        <w:t>la</w:t>
      </w:r>
      <w:r w:rsidR="00797EFF" w:rsidRPr="00E15A52">
        <w:rPr>
          <w:rFonts w:ascii="Times New Roman" w:hAnsi="Times New Roman" w:cs="Times New Roman"/>
          <w:spacing w:val="3"/>
          <w:sz w:val="28"/>
          <w:szCs w:val="28"/>
        </w:rPr>
        <w:t>fundamentarea veniturilor bugetare</w:t>
      </w:r>
      <w:r w:rsidR="00D81312" w:rsidRPr="00E15A52">
        <w:rPr>
          <w:rFonts w:ascii="Times New Roman" w:hAnsi="Times New Roman" w:cs="Times New Roman"/>
          <w:spacing w:val="3"/>
          <w:sz w:val="28"/>
          <w:szCs w:val="28"/>
        </w:rPr>
        <w:t>,</w:t>
      </w:r>
      <w:r w:rsidR="00797EFF" w:rsidRPr="00E15A52">
        <w:rPr>
          <w:rFonts w:ascii="Times New Roman" w:hAnsi="Times New Roman" w:cs="Times New Roman"/>
          <w:color w:val="000000"/>
          <w:sz w:val="28"/>
          <w:szCs w:val="28"/>
        </w:rPr>
        <w:t xml:space="preserve"> care au afectat </w:t>
      </w:r>
      <w:r w:rsidR="00797EFF" w:rsidRPr="00E15A52">
        <w:rPr>
          <w:rFonts w:ascii="Times New Roman" w:hAnsi="Times New Roman" w:cs="Times New Roman"/>
          <w:sz w:val="28"/>
          <w:szCs w:val="28"/>
        </w:rPr>
        <w:t>acuratețea estimărilor</w:t>
      </w:r>
      <w:r w:rsidR="008F2719" w:rsidRPr="00E15A52">
        <w:rPr>
          <w:rFonts w:ascii="Times New Roman" w:hAnsi="Times New Roman" w:cs="Times New Roman"/>
          <w:sz w:val="28"/>
          <w:szCs w:val="28"/>
        </w:rPr>
        <w:t xml:space="preserve"> elaborate</w:t>
      </w:r>
      <w:r w:rsidR="00797EFF" w:rsidRPr="00E15A52">
        <w:rPr>
          <w:rFonts w:ascii="Times New Roman" w:hAnsi="Times New Roman" w:cs="Times New Roman"/>
          <w:sz w:val="28"/>
          <w:szCs w:val="28"/>
        </w:rPr>
        <w:t>.</w:t>
      </w:r>
    </w:p>
    <w:p w:rsidR="00E15A52" w:rsidRDefault="00E15A52" w:rsidP="00E15A52">
      <w:pPr>
        <w:tabs>
          <w:tab w:val="left" w:pos="270"/>
          <w:tab w:val="left" w:pos="360"/>
          <w:tab w:val="left" w:pos="720"/>
          <w:tab w:val="left" w:pos="993"/>
        </w:tabs>
        <w:spacing w:after="0" w:line="276"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(iii)  </w:t>
      </w:r>
      <w:r w:rsidR="002835B6" w:rsidRPr="00E15A52">
        <w:rPr>
          <w:rFonts w:ascii="Times New Roman" w:hAnsi="Times New Roman" w:cs="Times New Roman"/>
          <w:sz w:val="28"/>
          <w:szCs w:val="28"/>
        </w:rPr>
        <w:t>La e</w:t>
      </w:r>
      <w:r w:rsidR="00D81312" w:rsidRPr="00E15A52">
        <w:rPr>
          <w:rFonts w:ascii="Times New Roman" w:hAnsi="Times New Roman" w:cs="Times New Roman"/>
          <w:sz w:val="28"/>
          <w:szCs w:val="28"/>
        </w:rPr>
        <w:t>xecutarea</w:t>
      </w:r>
      <w:r w:rsidR="00797EFF" w:rsidRPr="00E15A52">
        <w:rPr>
          <w:rFonts w:ascii="Times New Roman" w:hAnsi="Times New Roman" w:cs="Times New Roman"/>
          <w:sz w:val="28"/>
          <w:szCs w:val="28"/>
        </w:rPr>
        <w:t xml:space="preserve"> sarcinii de colectare a veniturilor la BPN</w:t>
      </w:r>
      <w:r w:rsidR="002835B6" w:rsidRPr="00E15A52">
        <w:rPr>
          <w:rFonts w:ascii="Times New Roman" w:hAnsi="Times New Roman" w:cs="Times New Roman"/>
          <w:sz w:val="28"/>
          <w:szCs w:val="28"/>
        </w:rPr>
        <w:t>,</w:t>
      </w:r>
      <w:r w:rsidR="00797EFF" w:rsidRPr="00E15A52">
        <w:rPr>
          <w:rFonts w:ascii="Times New Roman" w:hAnsi="Times New Roman" w:cs="Times New Roman"/>
          <w:sz w:val="28"/>
          <w:szCs w:val="28"/>
        </w:rPr>
        <w:t xml:space="preserve"> deși organele fiscal</w:t>
      </w:r>
      <w:r w:rsidR="0035775C" w:rsidRPr="00E15A52">
        <w:rPr>
          <w:rFonts w:ascii="Times New Roman" w:hAnsi="Times New Roman" w:cs="Times New Roman"/>
          <w:sz w:val="28"/>
          <w:szCs w:val="28"/>
        </w:rPr>
        <w:t>e</w:t>
      </w:r>
      <w:r w:rsidR="00797EFF" w:rsidRPr="00E15A52">
        <w:rPr>
          <w:rFonts w:ascii="Times New Roman" w:hAnsi="Times New Roman" w:cs="Times New Roman"/>
          <w:sz w:val="28"/>
          <w:szCs w:val="28"/>
        </w:rPr>
        <w:t xml:space="preserve"> și vamale </w:t>
      </w:r>
      <w:r w:rsidR="0035775C" w:rsidRPr="00E15A52">
        <w:rPr>
          <w:rFonts w:ascii="Times New Roman" w:hAnsi="Times New Roman" w:cs="Times New Roman"/>
          <w:sz w:val="28"/>
          <w:szCs w:val="28"/>
        </w:rPr>
        <w:t>au îndeplinit per ansamblu obiectivele asumate, înregistrându-se tendințe pozitive de majorare a veniturilor bugetare din impozite și taxe</w:t>
      </w:r>
      <w:r w:rsidR="007116A5" w:rsidRPr="00E15A52">
        <w:rPr>
          <w:rFonts w:ascii="Times New Roman" w:hAnsi="Times New Roman" w:cs="Times New Roman"/>
          <w:sz w:val="28"/>
          <w:szCs w:val="28"/>
        </w:rPr>
        <w:t xml:space="preserve"> (de la 38,6 mlrd. lei - în anul 2015</w:t>
      </w:r>
      <w:r w:rsidR="00D81312" w:rsidRPr="00E15A52">
        <w:rPr>
          <w:rFonts w:ascii="Times New Roman" w:hAnsi="Times New Roman" w:cs="Times New Roman"/>
          <w:sz w:val="28"/>
          <w:szCs w:val="28"/>
        </w:rPr>
        <w:t>,</w:t>
      </w:r>
      <w:r w:rsidR="007116A5" w:rsidRPr="00E15A52">
        <w:rPr>
          <w:rFonts w:ascii="Times New Roman" w:hAnsi="Times New Roman" w:cs="Times New Roman"/>
          <w:sz w:val="28"/>
          <w:szCs w:val="28"/>
        </w:rPr>
        <w:t xml:space="preserve"> până la 50,3 mlrd. lei - în anul 2017)</w:t>
      </w:r>
      <w:r w:rsidR="0035775C" w:rsidRPr="00E15A52">
        <w:rPr>
          <w:rFonts w:ascii="Times New Roman" w:hAnsi="Times New Roman" w:cs="Times New Roman"/>
          <w:sz w:val="28"/>
          <w:szCs w:val="28"/>
        </w:rPr>
        <w:t>, precum și</w:t>
      </w:r>
      <w:r w:rsidR="0035775C" w:rsidRPr="00E15A52">
        <w:rPr>
          <w:rFonts w:ascii="Times New Roman" w:hAnsi="Times New Roman" w:cs="Times New Roman"/>
          <w:sz w:val="28"/>
          <w:szCs w:val="28"/>
          <w:lang w:val="it-IT"/>
        </w:rPr>
        <w:t xml:space="preserve">o dinamică pozitivă a veniturilor </w:t>
      </w:r>
      <w:r w:rsidR="0035775C" w:rsidRPr="00E15A52">
        <w:rPr>
          <w:rFonts w:ascii="Times New Roman" w:hAnsi="Times New Roman" w:cs="Times New Roman"/>
          <w:sz w:val="28"/>
          <w:szCs w:val="28"/>
        </w:rPr>
        <w:t>colectate în P</w:t>
      </w:r>
      <w:r w:rsidR="007116A5" w:rsidRPr="00E15A52">
        <w:rPr>
          <w:rFonts w:ascii="Times New Roman" w:hAnsi="Times New Roman" w:cs="Times New Roman"/>
          <w:sz w:val="28"/>
          <w:szCs w:val="28"/>
        </w:rPr>
        <w:t>IB (de la 31,5 % - în anul 2015</w:t>
      </w:r>
      <w:r w:rsidR="00D81312" w:rsidRPr="00E15A52">
        <w:rPr>
          <w:rFonts w:ascii="Times New Roman" w:hAnsi="Times New Roman" w:cs="Times New Roman"/>
          <w:sz w:val="28"/>
          <w:szCs w:val="28"/>
        </w:rPr>
        <w:t>,</w:t>
      </w:r>
      <w:r w:rsidR="007116A5" w:rsidRPr="00E15A52">
        <w:rPr>
          <w:rFonts w:ascii="Times New Roman" w:hAnsi="Times New Roman" w:cs="Times New Roman"/>
          <w:sz w:val="28"/>
          <w:szCs w:val="28"/>
        </w:rPr>
        <w:t xml:space="preserve"> până la 33,4 % - în anul 2017), </w:t>
      </w:r>
      <w:r w:rsidR="0035775C" w:rsidRPr="00E15A52">
        <w:rPr>
          <w:rFonts w:ascii="Times New Roman" w:hAnsi="Times New Roman" w:cs="Times New Roman"/>
          <w:sz w:val="28"/>
          <w:szCs w:val="28"/>
        </w:rPr>
        <w:t xml:space="preserve">se atestă nerealizarea planului de încasări în aspectul unor tipuri de impozite și taxe, un ritm încetinit </w:t>
      </w:r>
      <w:r w:rsidR="0035775C" w:rsidRPr="00E15A52">
        <w:rPr>
          <w:rFonts w:ascii="Times New Roman" w:hAnsi="Times New Roman" w:cs="Times New Roman"/>
          <w:bCs/>
          <w:sz w:val="28"/>
          <w:szCs w:val="28"/>
          <w:lang w:eastAsia="ro-RO"/>
        </w:rPr>
        <w:t>de creștere a veniturilor fiscale și vamale</w:t>
      </w:r>
      <w:r w:rsidR="002835B6" w:rsidRPr="00E15A52">
        <w:rPr>
          <w:rFonts w:ascii="Times New Roman" w:hAnsi="Times New Roman" w:cs="Times New Roman"/>
          <w:bCs/>
          <w:sz w:val="28"/>
          <w:szCs w:val="28"/>
          <w:lang w:eastAsia="ro-RO"/>
        </w:rPr>
        <w:t>,</w:t>
      </w:r>
      <w:r w:rsidR="0035775C" w:rsidRPr="00E15A52">
        <w:rPr>
          <w:rFonts w:ascii="Times New Roman" w:hAnsi="Times New Roman" w:cs="Times New Roman"/>
          <w:bCs/>
          <w:sz w:val="28"/>
          <w:szCs w:val="28"/>
          <w:lang w:eastAsia="ro-RO"/>
        </w:rPr>
        <w:t xml:space="preserve"> raportat la evoluția PIB,</w:t>
      </w:r>
      <w:r w:rsidR="0035775C" w:rsidRPr="00E15A52">
        <w:rPr>
          <w:rFonts w:ascii="Times New Roman" w:hAnsi="Times New Roman" w:cs="Times New Roman"/>
          <w:sz w:val="28"/>
          <w:szCs w:val="28"/>
        </w:rPr>
        <w:t>precum și modificări impredictibile în politica bugetar-fiscală pe parcursul anului</w:t>
      </w:r>
      <w:r w:rsidR="00D81312" w:rsidRPr="00E15A52">
        <w:rPr>
          <w:rFonts w:ascii="Times New Roman" w:hAnsi="Times New Roman" w:cs="Times New Roman"/>
          <w:sz w:val="28"/>
          <w:szCs w:val="28"/>
        </w:rPr>
        <w:t>,</w:t>
      </w:r>
      <w:r w:rsidR="0035775C" w:rsidRPr="00E15A52">
        <w:rPr>
          <w:rFonts w:ascii="Times New Roman" w:hAnsi="Times New Roman" w:cs="Times New Roman"/>
          <w:sz w:val="28"/>
          <w:szCs w:val="28"/>
        </w:rPr>
        <w:t xml:space="preserve"> care au majorat veniturile bugetare fără eforturi de administrare.</w:t>
      </w:r>
    </w:p>
    <w:p w:rsidR="007E580C" w:rsidRPr="00E15A52" w:rsidRDefault="00E15A52" w:rsidP="00E15A52">
      <w:pPr>
        <w:tabs>
          <w:tab w:val="left" w:pos="270"/>
          <w:tab w:val="left" w:pos="360"/>
          <w:tab w:val="left" w:pos="720"/>
          <w:tab w:val="left" w:pos="993"/>
        </w:tabs>
        <w:spacing w:after="0" w:line="276"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(iv)  </w:t>
      </w:r>
      <w:r w:rsidR="00E76B2F" w:rsidRPr="00E15A52">
        <w:rPr>
          <w:rFonts w:ascii="Times New Roman" w:hAnsi="Times New Roman" w:cs="Times New Roman"/>
          <w:sz w:val="28"/>
          <w:szCs w:val="28"/>
        </w:rPr>
        <w:t>Cât privește</w:t>
      </w:r>
      <w:r w:rsidR="00422664" w:rsidRPr="00E15A52">
        <w:rPr>
          <w:rFonts w:ascii="Times New Roman" w:hAnsi="Times New Roman" w:cs="Times New Roman"/>
          <w:sz w:val="28"/>
          <w:szCs w:val="28"/>
        </w:rPr>
        <w:t xml:space="preserve"> r</w:t>
      </w:r>
      <w:r w:rsidR="00F1125D" w:rsidRPr="00E15A52">
        <w:rPr>
          <w:rFonts w:ascii="Times New Roman" w:hAnsi="Times New Roman" w:cs="Times New Roman"/>
          <w:sz w:val="28"/>
          <w:szCs w:val="28"/>
        </w:rPr>
        <w:t xml:space="preserve">ealizarea obiectivelor </w:t>
      </w:r>
      <w:r w:rsidR="0090620C" w:rsidRPr="00E15A52">
        <w:rPr>
          <w:rFonts w:ascii="Times New Roman" w:hAnsi="Times New Roman" w:cs="Times New Roman"/>
          <w:sz w:val="28"/>
          <w:szCs w:val="28"/>
        </w:rPr>
        <w:t xml:space="preserve">strategice </w:t>
      </w:r>
      <w:r w:rsidR="00F1125D" w:rsidRPr="00E15A52">
        <w:rPr>
          <w:rFonts w:ascii="Times New Roman" w:hAnsi="Times New Roman" w:cs="Times New Roman"/>
          <w:sz w:val="28"/>
          <w:szCs w:val="28"/>
        </w:rPr>
        <w:t>și atingerea performa</w:t>
      </w:r>
      <w:r w:rsidR="0090620C" w:rsidRPr="00E15A52">
        <w:rPr>
          <w:rFonts w:ascii="Times New Roman" w:hAnsi="Times New Roman" w:cs="Times New Roman"/>
          <w:sz w:val="28"/>
          <w:szCs w:val="28"/>
        </w:rPr>
        <w:t>n</w:t>
      </w:r>
      <w:r w:rsidR="00F1125D" w:rsidRPr="00E15A52">
        <w:rPr>
          <w:rFonts w:ascii="Times New Roman" w:hAnsi="Times New Roman" w:cs="Times New Roman"/>
          <w:sz w:val="28"/>
          <w:szCs w:val="28"/>
        </w:rPr>
        <w:t xml:space="preserve">țelor </w:t>
      </w:r>
      <w:r w:rsidR="0090620C" w:rsidRPr="00E15A52">
        <w:rPr>
          <w:rFonts w:ascii="Times New Roman" w:hAnsi="Times New Roman" w:cs="Times New Roman"/>
          <w:sz w:val="28"/>
          <w:szCs w:val="28"/>
        </w:rPr>
        <w:t>în admin</w:t>
      </w:r>
      <w:r w:rsidR="005477BB" w:rsidRPr="00E15A52">
        <w:rPr>
          <w:rFonts w:ascii="Times New Roman" w:hAnsi="Times New Roman" w:cs="Times New Roman"/>
          <w:sz w:val="28"/>
          <w:szCs w:val="28"/>
        </w:rPr>
        <w:t>i</w:t>
      </w:r>
      <w:r w:rsidR="0090620C" w:rsidRPr="00E15A52">
        <w:rPr>
          <w:rFonts w:ascii="Times New Roman" w:hAnsi="Times New Roman" w:cs="Times New Roman"/>
          <w:sz w:val="28"/>
          <w:szCs w:val="28"/>
        </w:rPr>
        <w:t xml:space="preserve">strarea impozitelor și taxelor în condiții de economicitate, </w:t>
      </w:r>
      <w:r w:rsidR="00E123C4" w:rsidRPr="00E15A52">
        <w:rPr>
          <w:rFonts w:ascii="Times New Roman" w:hAnsi="Times New Roman" w:cs="Times New Roman"/>
          <w:sz w:val="28"/>
          <w:szCs w:val="28"/>
        </w:rPr>
        <w:t xml:space="preserve">cu toate că </w:t>
      </w:r>
      <w:r w:rsidR="0090620C" w:rsidRPr="00E15A52">
        <w:rPr>
          <w:rFonts w:ascii="Times New Roman" w:hAnsi="Times New Roman" w:cs="Times New Roman"/>
          <w:sz w:val="28"/>
          <w:szCs w:val="28"/>
        </w:rPr>
        <w:t xml:space="preserve"> organele fiscale și vamale au depus eforturi </w:t>
      </w:r>
      <w:r w:rsidR="00D81312" w:rsidRPr="00E15A52">
        <w:rPr>
          <w:rFonts w:ascii="Times New Roman" w:hAnsi="Times New Roman" w:cs="Times New Roman"/>
          <w:sz w:val="28"/>
          <w:szCs w:val="28"/>
        </w:rPr>
        <w:t>pentru</w:t>
      </w:r>
      <w:r w:rsidR="0090620C" w:rsidRPr="00E15A52">
        <w:rPr>
          <w:rFonts w:ascii="Times New Roman" w:hAnsi="Times New Roman" w:cs="Times New Roman"/>
          <w:sz w:val="28"/>
          <w:szCs w:val="28"/>
        </w:rPr>
        <w:t xml:space="preserve"> asigura</w:t>
      </w:r>
      <w:r w:rsidR="00D81312" w:rsidRPr="00E15A52">
        <w:rPr>
          <w:rFonts w:ascii="Times New Roman" w:hAnsi="Times New Roman" w:cs="Times New Roman"/>
          <w:sz w:val="28"/>
          <w:szCs w:val="28"/>
        </w:rPr>
        <w:t>rea</w:t>
      </w:r>
      <w:r w:rsidR="0090620C" w:rsidRPr="00E15A52">
        <w:rPr>
          <w:rFonts w:ascii="Times New Roman" w:hAnsi="Times New Roman" w:cs="Times New Roman"/>
          <w:sz w:val="28"/>
          <w:szCs w:val="28"/>
        </w:rPr>
        <w:t xml:space="preserve"> eficienț</w:t>
      </w:r>
      <w:r w:rsidR="00D81312" w:rsidRPr="00E15A52">
        <w:rPr>
          <w:rFonts w:ascii="Times New Roman" w:hAnsi="Times New Roman" w:cs="Times New Roman"/>
          <w:sz w:val="28"/>
          <w:szCs w:val="28"/>
        </w:rPr>
        <w:t>ei</w:t>
      </w:r>
      <w:r w:rsidR="0090620C" w:rsidRPr="00E15A52">
        <w:rPr>
          <w:rFonts w:ascii="Times New Roman" w:hAnsi="Times New Roman" w:cs="Times New Roman"/>
          <w:sz w:val="28"/>
          <w:szCs w:val="28"/>
        </w:rPr>
        <w:t xml:space="preserve"> maxim</w:t>
      </w:r>
      <w:r w:rsidR="00D81312" w:rsidRPr="00E15A52">
        <w:rPr>
          <w:rFonts w:ascii="Times New Roman" w:hAnsi="Times New Roman" w:cs="Times New Roman"/>
          <w:sz w:val="28"/>
          <w:szCs w:val="28"/>
        </w:rPr>
        <w:t>e</w:t>
      </w:r>
      <w:r w:rsidR="0090620C" w:rsidRPr="00E15A52">
        <w:rPr>
          <w:rFonts w:ascii="Times New Roman" w:hAnsi="Times New Roman" w:cs="Times New Roman"/>
          <w:sz w:val="28"/>
          <w:szCs w:val="28"/>
        </w:rPr>
        <w:t xml:space="preserve"> în </w:t>
      </w:r>
      <w:r w:rsidR="0090620C" w:rsidRPr="00E15A52">
        <w:rPr>
          <w:rFonts w:ascii="Times New Roman" w:hAnsi="Times New Roman" w:cs="Times New Roman"/>
          <w:sz w:val="28"/>
          <w:szCs w:val="28"/>
        </w:rPr>
        <w:lastRenderedPageBreak/>
        <w:t xml:space="preserve">colectarea veniturilor la costuri minime, se </w:t>
      </w:r>
      <w:r w:rsidR="00B33A68" w:rsidRPr="00E15A52">
        <w:rPr>
          <w:rFonts w:ascii="Times New Roman" w:hAnsi="Times New Roman" w:cs="Times New Roman"/>
          <w:sz w:val="28"/>
          <w:szCs w:val="28"/>
        </w:rPr>
        <w:t>constată</w:t>
      </w:r>
      <w:r w:rsidR="0090620C" w:rsidRPr="00E15A52">
        <w:rPr>
          <w:rFonts w:ascii="Times New Roman" w:hAnsi="Times New Roman" w:cs="Times New Roman"/>
          <w:sz w:val="28"/>
          <w:szCs w:val="28"/>
        </w:rPr>
        <w:t xml:space="preserve"> o dinamică ascendentă a costurilor suportate în activitatea de administrare, care pe fundalul creșterii veniturilor încasate au atins în anul 2017 plafonul maxim al perioadei analizate.</w:t>
      </w:r>
    </w:p>
    <w:p w:rsidR="00E15A52" w:rsidRDefault="00E15A52" w:rsidP="00E15A52">
      <w:pPr>
        <w:tabs>
          <w:tab w:val="left" w:pos="270"/>
          <w:tab w:val="left" w:pos="360"/>
          <w:tab w:val="left" w:pos="720"/>
        </w:tabs>
        <w:spacing w:after="0" w:line="276"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(v) </w:t>
      </w:r>
      <w:r w:rsidR="00E123C4" w:rsidRPr="00E15A52">
        <w:rPr>
          <w:rFonts w:ascii="Times New Roman" w:hAnsi="Times New Roman" w:cs="Times New Roman"/>
          <w:sz w:val="28"/>
          <w:szCs w:val="28"/>
        </w:rPr>
        <w:t>În p</w:t>
      </w:r>
      <w:r w:rsidR="0058797F" w:rsidRPr="00E15A52">
        <w:rPr>
          <w:rFonts w:ascii="Times New Roman" w:hAnsi="Times New Roman" w:cs="Times New Roman"/>
          <w:sz w:val="28"/>
          <w:szCs w:val="28"/>
        </w:rPr>
        <w:t>rocesul de administrare a restanțelor la BPN</w:t>
      </w:r>
      <w:r w:rsidR="007E580C" w:rsidRPr="00E15A52">
        <w:rPr>
          <w:rFonts w:ascii="Times New Roman" w:hAnsi="Times New Roman" w:cs="Times New Roman"/>
          <w:sz w:val="28"/>
          <w:szCs w:val="28"/>
        </w:rPr>
        <w:t>,</w:t>
      </w:r>
      <w:r w:rsidR="0058797F" w:rsidRPr="00E15A52">
        <w:rPr>
          <w:rFonts w:ascii="Times New Roman" w:hAnsi="Times New Roman" w:cs="Times New Roman"/>
          <w:sz w:val="28"/>
          <w:szCs w:val="28"/>
        </w:rPr>
        <w:t xml:space="preserve"> deși organele fiscale și vamale au întreprins măsuri în vederea încasării plăților restante, fiind atinse unele rezultate în domeniu, se atestă </w:t>
      </w:r>
      <w:r w:rsidR="007E580C" w:rsidRPr="00E15A52">
        <w:rPr>
          <w:rFonts w:ascii="Times New Roman" w:hAnsi="Times New Roman" w:cs="Times New Roman"/>
          <w:sz w:val="28"/>
          <w:szCs w:val="28"/>
        </w:rPr>
        <w:t xml:space="preserve">o dinamică ascendentă și </w:t>
      </w:r>
      <w:r w:rsidR="0058797F" w:rsidRPr="00E15A52">
        <w:rPr>
          <w:rFonts w:ascii="Times New Roman" w:hAnsi="Times New Roman" w:cs="Times New Roman"/>
          <w:sz w:val="28"/>
          <w:szCs w:val="28"/>
        </w:rPr>
        <w:t>tendințe de c</w:t>
      </w:r>
      <w:r w:rsidR="007116A5" w:rsidRPr="00E15A52">
        <w:rPr>
          <w:rFonts w:ascii="Times New Roman" w:hAnsi="Times New Roman" w:cs="Times New Roman"/>
          <w:sz w:val="28"/>
          <w:szCs w:val="28"/>
        </w:rPr>
        <w:t xml:space="preserve">reștere continuă a restanțelor </w:t>
      </w:r>
      <w:r w:rsidR="0035758B" w:rsidRPr="00E15A52">
        <w:rPr>
          <w:rFonts w:ascii="Times New Roman" w:hAnsi="Times New Roman" w:cs="Times New Roman"/>
          <w:sz w:val="28"/>
          <w:szCs w:val="28"/>
        </w:rPr>
        <w:t xml:space="preserve">administrate de SFS </w:t>
      </w:r>
      <w:r w:rsidR="007116A5" w:rsidRPr="00E15A52">
        <w:rPr>
          <w:rFonts w:ascii="Times New Roman" w:eastAsia="Times New Roman" w:hAnsi="Times New Roman" w:cs="Times New Roman"/>
          <w:bCs/>
          <w:sz w:val="28"/>
          <w:szCs w:val="28"/>
        </w:rPr>
        <w:t>(de la 1844,6 mil.lei - în anul 2015, până la 2182 mil.lei - în anul 2017</w:t>
      </w:r>
      <w:r w:rsidR="0035758B" w:rsidRPr="00E15A52">
        <w:rPr>
          <w:rFonts w:ascii="Times New Roman" w:eastAsia="Times New Roman" w:hAnsi="Times New Roman" w:cs="Times New Roman"/>
          <w:bCs/>
          <w:sz w:val="28"/>
          <w:szCs w:val="28"/>
        </w:rPr>
        <w:t xml:space="preserve">), precum și a celor administrate de SV (de la 307,2 mil.lei - în anul 2015, până la 385,8 mil.lei - în anul 2017), </w:t>
      </w:r>
      <w:r w:rsidR="0058797F" w:rsidRPr="00E15A52">
        <w:rPr>
          <w:rFonts w:ascii="Times New Roman" w:hAnsi="Times New Roman" w:cs="Times New Roman"/>
          <w:sz w:val="28"/>
          <w:szCs w:val="28"/>
        </w:rPr>
        <w:t>rezerve în monitorizarea a</w:t>
      </w:r>
      <w:r w:rsidR="00E123C4" w:rsidRPr="00E15A52">
        <w:rPr>
          <w:rFonts w:ascii="Times New Roman" w:hAnsi="Times New Roman" w:cs="Times New Roman"/>
          <w:sz w:val="28"/>
          <w:szCs w:val="28"/>
        </w:rPr>
        <w:t>c</w:t>
      </w:r>
      <w:r w:rsidR="0058797F" w:rsidRPr="00E15A52">
        <w:rPr>
          <w:rFonts w:ascii="Times New Roman" w:hAnsi="Times New Roman" w:cs="Times New Roman"/>
          <w:sz w:val="28"/>
          <w:szCs w:val="28"/>
        </w:rPr>
        <w:t>tivității subdiviziunilor cu atribuții de încasare silită a obligațiilor fiscale și vamale, insuficiența, rezultativitatea și funcționalitatea redus</w:t>
      </w:r>
      <w:r w:rsidR="00E123C4" w:rsidRPr="00E15A52">
        <w:rPr>
          <w:rFonts w:ascii="Times New Roman" w:hAnsi="Times New Roman" w:cs="Times New Roman"/>
          <w:sz w:val="28"/>
          <w:szCs w:val="28"/>
        </w:rPr>
        <w:t>e,</w:t>
      </w:r>
      <w:r w:rsidR="0058797F" w:rsidRPr="00E15A52">
        <w:rPr>
          <w:rFonts w:ascii="Times New Roman" w:hAnsi="Times New Roman" w:cs="Times New Roman"/>
          <w:sz w:val="28"/>
          <w:szCs w:val="28"/>
        </w:rPr>
        <w:t xml:space="preserve"> în unele cazuri</w:t>
      </w:r>
      <w:r w:rsidR="00E123C4" w:rsidRPr="00E15A52">
        <w:rPr>
          <w:rFonts w:ascii="Times New Roman" w:hAnsi="Times New Roman" w:cs="Times New Roman"/>
          <w:sz w:val="28"/>
          <w:szCs w:val="28"/>
        </w:rPr>
        <w:t>,</w:t>
      </w:r>
      <w:r w:rsidR="0058797F" w:rsidRPr="00E15A52">
        <w:rPr>
          <w:rFonts w:ascii="Times New Roman" w:hAnsi="Times New Roman" w:cs="Times New Roman"/>
          <w:sz w:val="28"/>
          <w:szCs w:val="28"/>
        </w:rPr>
        <w:t xml:space="preserve"> a</w:t>
      </w:r>
      <w:r w:rsidR="00E123C4" w:rsidRPr="00E15A52">
        <w:rPr>
          <w:rFonts w:ascii="Times New Roman" w:hAnsi="Times New Roman" w:cs="Times New Roman"/>
          <w:sz w:val="28"/>
          <w:szCs w:val="28"/>
        </w:rPr>
        <w:t>le</w:t>
      </w:r>
      <w:r w:rsidR="0058797F" w:rsidRPr="00E15A52">
        <w:rPr>
          <w:rFonts w:ascii="Times New Roman" w:hAnsi="Times New Roman" w:cs="Times New Roman"/>
          <w:sz w:val="28"/>
          <w:szCs w:val="28"/>
        </w:rPr>
        <w:t xml:space="preserve"> măsurilor/ mecanismelor aplicate de </w:t>
      </w:r>
      <w:r w:rsidR="00E123C4" w:rsidRPr="00E15A52">
        <w:rPr>
          <w:rFonts w:ascii="Times New Roman" w:hAnsi="Times New Roman" w:cs="Times New Roman"/>
          <w:sz w:val="28"/>
          <w:szCs w:val="28"/>
        </w:rPr>
        <w:t xml:space="preserve">către </w:t>
      </w:r>
      <w:r w:rsidR="0058797F" w:rsidRPr="00E15A52">
        <w:rPr>
          <w:rFonts w:ascii="Times New Roman" w:hAnsi="Times New Roman" w:cs="Times New Roman"/>
          <w:sz w:val="28"/>
          <w:szCs w:val="28"/>
        </w:rPr>
        <w:t>SFS și SV în vederea recuperării restanțelor</w:t>
      </w:r>
      <w:r>
        <w:rPr>
          <w:rFonts w:ascii="Times New Roman" w:hAnsi="Times New Roman" w:cs="Times New Roman"/>
          <w:sz w:val="28"/>
          <w:szCs w:val="28"/>
        </w:rPr>
        <w:t>.</w:t>
      </w:r>
    </w:p>
    <w:p w:rsidR="00E15A52" w:rsidRDefault="00E15A52" w:rsidP="00E15A52">
      <w:pPr>
        <w:tabs>
          <w:tab w:val="left" w:pos="270"/>
          <w:tab w:val="left" w:pos="360"/>
          <w:tab w:val="left" w:pos="720"/>
        </w:tabs>
        <w:spacing w:after="0" w:line="276"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(vi) </w:t>
      </w:r>
      <w:r w:rsidR="00E123C4" w:rsidRPr="00E15A52">
        <w:rPr>
          <w:rFonts w:ascii="Times New Roman" w:eastAsia="Times New Roman" w:hAnsi="Times New Roman" w:cs="Times New Roman"/>
          <w:sz w:val="28"/>
          <w:szCs w:val="28"/>
        </w:rPr>
        <w:t>Cât privește p</w:t>
      </w:r>
      <w:r w:rsidR="007E580C" w:rsidRPr="00E15A52">
        <w:rPr>
          <w:rFonts w:ascii="Times New Roman" w:eastAsia="Times New Roman" w:hAnsi="Times New Roman" w:cs="Times New Roman"/>
          <w:sz w:val="28"/>
          <w:szCs w:val="28"/>
        </w:rPr>
        <w:t>rocesul de c</w:t>
      </w:r>
      <w:r w:rsidR="007E580C" w:rsidRPr="00E15A52">
        <w:rPr>
          <w:rFonts w:ascii="Times New Roman" w:hAnsi="Times New Roman" w:cs="Times New Roman"/>
          <w:sz w:val="28"/>
          <w:szCs w:val="28"/>
        </w:rPr>
        <w:t>onformare voluntară la declararea și achitarea impozitelor și taxelor</w:t>
      </w:r>
      <w:r w:rsidR="00E123C4" w:rsidRPr="00E15A52">
        <w:rPr>
          <w:rFonts w:ascii="Times New Roman" w:hAnsi="Times New Roman" w:cs="Times New Roman"/>
          <w:sz w:val="28"/>
          <w:szCs w:val="28"/>
        </w:rPr>
        <w:t xml:space="preserve">,auditul denotă </w:t>
      </w:r>
      <w:r w:rsidR="007E580C" w:rsidRPr="00E15A52">
        <w:rPr>
          <w:rFonts w:ascii="Times New Roman" w:hAnsi="Times New Roman" w:cs="Times New Roman"/>
          <w:sz w:val="28"/>
          <w:szCs w:val="28"/>
        </w:rPr>
        <w:t xml:space="preserve">că, deși organele fiscale și vamale au întreprins măsuri în vederea </w:t>
      </w:r>
      <w:r w:rsidR="0035758B" w:rsidRPr="00E15A52">
        <w:rPr>
          <w:rFonts w:ascii="Times New Roman" w:hAnsi="Times New Roman" w:cs="Times New Roman"/>
          <w:sz w:val="28"/>
          <w:szCs w:val="28"/>
        </w:rPr>
        <w:t>promovării continue a conformării voluntare</w:t>
      </w:r>
      <w:r w:rsidR="007E580C" w:rsidRPr="00E15A52">
        <w:rPr>
          <w:rFonts w:ascii="Times New Roman" w:hAnsi="Times New Roman" w:cs="Times New Roman"/>
          <w:sz w:val="28"/>
          <w:szCs w:val="28"/>
        </w:rPr>
        <w:t xml:space="preserve">, fiind atinse unele rezultate în domeniu, </w:t>
      </w:r>
      <w:r w:rsidR="00B33A68" w:rsidRPr="00E15A52">
        <w:rPr>
          <w:rFonts w:ascii="Times New Roman" w:hAnsi="Times New Roman" w:cs="Times New Roman"/>
          <w:sz w:val="28"/>
          <w:szCs w:val="28"/>
        </w:rPr>
        <w:t xml:space="preserve">se constată </w:t>
      </w:r>
      <w:r w:rsidR="0035758B" w:rsidRPr="00E15A52">
        <w:rPr>
          <w:rFonts w:ascii="Times New Roman" w:hAnsi="Times New Roman" w:cs="Times New Roman"/>
          <w:sz w:val="28"/>
          <w:szCs w:val="28"/>
        </w:rPr>
        <w:t>un nivel insuficient a</w:t>
      </w:r>
      <w:r w:rsidR="00B33A68" w:rsidRPr="00E15A52">
        <w:rPr>
          <w:rFonts w:ascii="Times New Roman" w:hAnsi="Times New Roman" w:cs="Times New Roman"/>
          <w:sz w:val="28"/>
          <w:szCs w:val="28"/>
        </w:rPr>
        <w:t>l</w:t>
      </w:r>
      <w:r w:rsidR="0035758B" w:rsidRPr="00E15A52">
        <w:rPr>
          <w:rFonts w:ascii="Times New Roman" w:hAnsi="Times New Roman" w:cs="Times New Roman"/>
          <w:sz w:val="28"/>
          <w:szCs w:val="28"/>
        </w:rPr>
        <w:t xml:space="preserve"> conformării voluntare a </w:t>
      </w:r>
      <w:r w:rsidR="004C1DF9" w:rsidRPr="00E15A52">
        <w:rPr>
          <w:rFonts w:ascii="Times New Roman" w:hAnsi="Times New Roman" w:cs="Times New Roman"/>
          <w:sz w:val="28"/>
          <w:szCs w:val="28"/>
        </w:rPr>
        <w:t>contribuabililor și plătitorilor vamali.</w:t>
      </w:r>
    </w:p>
    <w:p w:rsidR="00E15A52" w:rsidRDefault="00E15A52" w:rsidP="00E15A52">
      <w:pPr>
        <w:tabs>
          <w:tab w:val="left" w:pos="270"/>
          <w:tab w:val="left" w:pos="360"/>
          <w:tab w:val="left" w:pos="720"/>
        </w:tabs>
        <w:spacing w:after="0" w:line="276"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(vii) </w:t>
      </w:r>
      <w:r w:rsidR="00E76B2F" w:rsidRPr="00E15A52">
        <w:rPr>
          <w:rFonts w:ascii="Times New Roman" w:hAnsi="Times New Roman" w:cs="Times New Roman"/>
          <w:sz w:val="28"/>
          <w:szCs w:val="28"/>
        </w:rPr>
        <w:t>În</w:t>
      </w:r>
      <w:r w:rsidR="00B33A68" w:rsidRPr="00E15A52">
        <w:rPr>
          <w:rFonts w:ascii="Times New Roman" w:hAnsi="Times New Roman" w:cs="Times New Roman"/>
          <w:sz w:val="28"/>
          <w:szCs w:val="28"/>
        </w:rPr>
        <w:t xml:space="preserve"> p</w:t>
      </w:r>
      <w:r w:rsidR="004D3D09" w:rsidRPr="00E15A52">
        <w:rPr>
          <w:rFonts w:ascii="Times New Roman" w:hAnsi="Times New Roman" w:cs="Times New Roman"/>
          <w:sz w:val="28"/>
          <w:szCs w:val="28"/>
        </w:rPr>
        <w:t>roces</w:t>
      </w:r>
      <w:r w:rsidR="00B33A68" w:rsidRPr="00E15A52">
        <w:rPr>
          <w:rFonts w:ascii="Times New Roman" w:hAnsi="Times New Roman" w:cs="Times New Roman"/>
          <w:sz w:val="28"/>
          <w:szCs w:val="28"/>
        </w:rPr>
        <w:t>ele</w:t>
      </w:r>
      <w:r w:rsidR="004D3D09" w:rsidRPr="00E15A52">
        <w:rPr>
          <w:rFonts w:ascii="Times New Roman" w:hAnsi="Times New Roman" w:cs="Times New Roman"/>
          <w:sz w:val="28"/>
          <w:szCs w:val="28"/>
        </w:rPr>
        <w:t xml:space="preserve"> de </w:t>
      </w:r>
      <w:r w:rsidR="004D3D09" w:rsidRPr="00E15A52">
        <w:rPr>
          <w:rFonts w:ascii="Times New Roman" w:eastAsia="Times New Roman" w:hAnsi="Times New Roman" w:cs="Times New Roman"/>
          <w:sz w:val="28"/>
          <w:szCs w:val="28"/>
          <w:lang w:eastAsia="ru-RU"/>
        </w:rPr>
        <w:t xml:space="preserve">organizare, efectuare și exercitare a controalelor fiscale și vamale, deși administratorii de venituri </w:t>
      </w:r>
      <w:r w:rsidR="004D3D09" w:rsidRPr="00E15A52">
        <w:rPr>
          <w:rFonts w:ascii="Times New Roman" w:hAnsi="Times New Roman" w:cs="Times New Roman"/>
          <w:sz w:val="28"/>
          <w:szCs w:val="28"/>
        </w:rPr>
        <w:t>au modernizat și actualizat procesele de control, precum și criteriile de selectivitate</w:t>
      </w:r>
      <w:r w:rsidR="00E76B2F" w:rsidRPr="00E15A52">
        <w:rPr>
          <w:rFonts w:ascii="Times New Roman" w:hAnsi="Times New Roman" w:cs="Times New Roman"/>
          <w:sz w:val="28"/>
          <w:szCs w:val="28"/>
        </w:rPr>
        <w:t>,</w:t>
      </w:r>
      <w:r w:rsidR="004D3D09" w:rsidRPr="00E15A52">
        <w:rPr>
          <w:rFonts w:ascii="Times New Roman" w:hAnsi="Times New Roman"/>
          <w:sz w:val="28"/>
          <w:szCs w:val="28"/>
          <w:lang w:eastAsia="zh-CN"/>
        </w:rPr>
        <w:t>bazate pe procedee de analiză a riscurilor</w:t>
      </w:r>
      <w:r w:rsidR="004D3D09" w:rsidRPr="00E15A52">
        <w:rPr>
          <w:rFonts w:ascii="Times New Roman" w:hAnsi="Times New Roman" w:cs="Times New Roman"/>
          <w:sz w:val="28"/>
          <w:szCs w:val="28"/>
        </w:rPr>
        <w:t xml:space="preserve">, se </w:t>
      </w:r>
      <w:r w:rsidR="00E76B2F" w:rsidRPr="00E15A52">
        <w:rPr>
          <w:rFonts w:ascii="Times New Roman" w:hAnsi="Times New Roman" w:cs="Times New Roman"/>
          <w:sz w:val="28"/>
          <w:szCs w:val="28"/>
        </w:rPr>
        <w:t>atestă</w:t>
      </w:r>
      <w:r w:rsidR="004D3D09" w:rsidRPr="00E15A52">
        <w:rPr>
          <w:rFonts w:ascii="Times New Roman" w:hAnsi="Times New Roman" w:cs="Times New Roman"/>
          <w:sz w:val="28"/>
          <w:szCs w:val="28"/>
        </w:rPr>
        <w:t xml:space="preserve"> neîncasarea </w:t>
      </w:r>
      <w:r w:rsidR="00300711" w:rsidRPr="00E15A52">
        <w:rPr>
          <w:rFonts w:ascii="Times New Roman" w:hAnsi="Times New Roman" w:cs="Times New Roman"/>
          <w:sz w:val="28"/>
          <w:szCs w:val="28"/>
        </w:rPr>
        <w:t xml:space="preserve">la buget </w:t>
      </w:r>
      <w:r w:rsidR="00E76B2F" w:rsidRPr="00E15A52">
        <w:rPr>
          <w:rFonts w:ascii="Times New Roman" w:hAnsi="Times New Roman" w:cs="Times New Roman"/>
          <w:sz w:val="28"/>
          <w:szCs w:val="28"/>
        </w:rPr>
        <w:t xml:space="preserve">a </w:t>
      </w:r>
      <w:r w:rsidR="004D3D09" w:rsidRPr="00E15A52">
        <w:rPr>
          <w:rFonts w:ascii="Times New Roman" w:hAnsi="Times New Roman" w:cs="Times New Roman"/>
          <w:sz w:val="28"/>
          <w:szCs w:val="28"/>
        </w:rPr>
        <w:t>unor sume calculate suplimentar/recalculate în baza controalelor efectuate</w:t>
      </w:r>
      <w:r w:rsidR="00A472E9">
        <w:rPr>
          <w:rFonts w:ascii="Times New Roman" w:hAnsi="Times New Roman" w:cs="Times New Roman"/>
          <w:sz w:val="28"/>
          <w:szCs w:val="28"/>
        </w:rPr>
        <w:t xml:space="preserve">, </w:t>
      </w:r>
      <w:r w:rsidR="004D3D09" w:rsidRPr="00E15A52">
        <w:rPr>
          <w:rFonts w:ascii="Times New Roman" w:hAnsi="Times New Roman" w:cs="Times New Roman"/>
          <w:sz w:val="28"/>
          <w:szCs w:val="28"/>
        </w:rPr>
        <w:t>precum și anularea unor calcule</w:t>
      </w:r>
      <w:r w:rsidR="00582AA1" w:rsidRPr="00E15A52">
        <w:rPr>
          <w:rFonts w:ascii="Times New Roman" w:hAnsi="Times New Roman" w:cs="Times New Roman"/>
          <w:sz w:val="28"/>
          <w:szCs w:val="28"/>
        </w:rPr>
        <w:t xml:space="preserve">suplimentare la buget </w:t>
      </w:r>
      <w:r w:rsidR="00300711" w:rsidRPr="00E15A52">
        <w:rPr>
          <w:rFonts w:ascii="Times New Roman" w:hAnsi="Times New Roman" w:cs="Times New Roman"/>
          <w:sz w:val="28"/>
          <w:szCs w:val="28"/>
        </w:rPr>
        <w:t>în urma</w:t>
      </w:r>
      <w:r w:rsidR="004D3D09" w:rsidRPr="00E15A52">
        <w:rPr>
          <w:rFonts w:ascii="Times New Roman" w:hAnsi="Times New Roman" w:cs="Times New Roman"/>
          <w:sz w:val="28"/>
          <w:szCs w:val="28"/>
        </w:rPr>
        <w:t xml:space="preserve"> examinării contestațiilor/cererilor de chemare în judecată depuse de cont</w:t>
      </w:r>
      <w:r>
        <w:rPr>
          <w:rFonts w:ascii="Times New Roman" w:hAnsi="Times New Roman" w:cs="Times New Roman"/>
          <w:sz w:val="28"/>
          <w:szCs w:val="28"/>
        </w:rPr>
        <w:t>ribuabili și plătitorii vamali.</w:t>
      </w:r>
    </w:p>
    <w:p w:rsidR="00E15A52" w:rsidRDefault="00E15A52" w:rsidP="00E15A52">
      <w:pPr>
        <w:tabs>
          <w:tab w:val="left" w:pos="270"/>
          <w:tab w:val="left" w:pos="360"/>
          <w:tab w:val="left" w:pos="720"/>
        </w:tabs>
        <w:spacing w:after="0" w:line="276" w:lineRule="auto"/>
        <w:jc w:val="both"/>
        <w:rPr>
          <w:rFonts w:ascii="Times New Roman" w:hAnsi="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(viii) </w:t>
      </w:r>
      <w:r w:rsidR="00E76B2F" w:rsidRPr="00E15A52">
        <w:rPr>
          <w:rFonts w:ascii="Times New Roman" w:hAnsi="Times New Roman" w:cs="Times New Roman"/>
          <w:sz w:val="28"/>
          <w:szCs w:val="28"/>
        </w:rPr>
        <w:t>Referitor la i</w:t>
      </w:r>
      <w:r w:rsidR="00300711" w:rsidRPr="00E15A52">
        <w:rPr>
          <w:rFonts w:ascii="Times New Roman" w:hAnsi="Times New Roman" w:cs="Times New Roman"/>
          <w:sz w:val="28"/>
          <w:szCs w:val="28"/>
        </w:rPr>
        <w:t>mplementarea de către organele fiscale și vamale a recomandărilor auditurilor precedente ale C</w:t>
      </w:r>
      <w:r w:rsidR="000857E7" w:rsidRPr="00E15A52">
        <w:rPr>
          <w:rFonts w:ascii="Times New Roman" w:hAnsi="Times New Roman" w:cs="Times New Roman"/>
          <w:sz w:val="28"/>
          <w:szCs w:val="28"/>
        </w:rPr>
        <w:t>CRM</w:t>
      </w:r>
      <w:r w:rsidR="00E76B2F" w:rsidRPr="00E15A52">
        <w:rPr>
          <w:rFonts w:ascii="Times New Roman" w:hAnsi="Times New Roman" w:cs="Times New Roman"/>
          <w:sz w:val="28"/>
          <w:szCs w:val="28"/>
        </w:rPr>
        <w:t>,</w:t>
      </w:r>
      <w:r w:rsidR="00E76B2F" w:rsidRPr="00E15A52">
        <w:rPr>
          <w:rFonts w:ascii="Times New Roman" w:hAnsi="Times New Roman"/>
          <w:sz w:val="28"/>
          <w:szCs w:val="28"/>
        </w:rPr>
        <w:t xml:space="preserve">auditul denotă </w:t>
      </w:r>
      <w:r w:rsidR="00300711" w:rsidRPr="00E15A52">
        <w:rPr>
          <w:rFonts w:ascii="Times New Roman" w:hAnsi="Times New Roman" w:cs="Times New Roman"/>
          <w:sz w:val="28"/>
          <w:szCs w:val="28"/>
        </w:rPr>
        <w:t xml:space="preserve">că, </w:t>
      </w:r>
      <w:r w:rsidR="00300711" w:rsidRPr="00E15A52">
        <w:rPr>
          <w:rFonts w:ascii="Times New Roman" w:eastAsia="Times New Roman" w:hAnsi="Times New Roman"/>
          <w:sz w:val="28"/>
          <w:szCs w:val="28"/>
          <w:lang w:eastAsia="ru-RU"/>
        </w:rPr>
        <w:t>deși factorii de decizie a</w:t>
      </w:r>
      <w:r w:rsidR="00E76B2F" w:rsidRPr="00E15A52">
        <w:rPr>
          <w:rFonts w:ascii="Times New Roman" w:eastAsia="Times New Roman" w:hAnsi="Times New Roman"/>
          <w:sz w:val="28"/>
          <w:szCs w:val="28"/>
          <w:lang w:eastAsia="ru-RU"/>
        </w:rPr>
        <w:t>i</w:t>
      </w:r>
      <w:r w:rsidR="00300711" w:rsidRPr="00E15A52">
        <w:rPr>
          <w:rFonts w:ascii="Times New Roman" w:eastAsia="Times New Roman" w:hAnsi="Times New Roman"/>
          <w:sz w:val="28"/>
          <w:szCs w:val="28"/>
          <w:lang w:eastAsia="ru-RU"/>
        </w:rPr>
        <w:t xml:space="preserve"> entităților auditate a</w:t>
      </w:r>
      <w:r w:rsidR="00300711" w:rsidRPr="00E15A52">
        <w:rPr>
          <w:rFonts w:ascii="Times New Roman" w:hAnsi="Times New Roman"/>
          <w:sz w:val="28"/>
          <w:szCs w:val="28"/>
        </w:rPr>
        <w:t xml:space="preserve">u întreprins </w:t>
      </w:r>
      <w:r w:rsidR="0035758B" w:rsidRPr="00E15A52">
        <w:rPr>
          <w:rFonts w:ascii="Times New Roman" w:hAnsi="Times New Roman"/>
          <w:sz w:val="28"/>
          <w:szCs w:val="28"/>
        </w:rPr>
        <w:t xml:space="preserve">unele măsuri </w:t>
      </w:r>
      <w:r w:rsidR="00E76B2F" w:rsidRPr="00E15A52">
        <w:rPr>
          <w:rFonts w:ascii="Times New Roman" w:hAnsi="Times New Roman"/>
          <w:sz w:val="28"/>
          <w:szCs w:val="28"/>
        </w:rPr>
        <w:t xml:space="preserve">în </w:t>
      </w:r>
      <w:r w:rsidR="00300711" w:rsidRPr="00E15A52">
        <w:rPr>
          <w:rFonts w:ascii="Times New Roman" w:hAnsi="Times New Roman"/>
          <w:sz w:val="28"/>
          <w:szCs w:val="28"/>
        </w:rPr>
        <w:t xml:space="preserve">vederea remedierii problematicilor și vulnerabilităților </w:t>
      </w:r>
      <w:r w:rsidR="0035758B" w:rsidRPr="00E15A52">
        <w:rPr>
          <w:rFonts w:ascii="Times New Roman" w:hAnsi="Times New Roman"/>
          <w:sz w:val="28"/>
          <w:szCs w:val="28"/>
        </w:rPr>
        <w:t>constatate în cadrul misiunilor</w:t>
      </w:r>
      <w:r w:rsidR="00300711" w:rsidRPr="00E15A52">
        <w:rPr>
          <w:rFonts w:ascii="Times New Roman" w:hAnsi="Times New Roman"/>
          <w:sz w:val="28"/>
          <w:szCs w:val="28"/>
        </w:rPr>
        <w:t xml:space="preserve"> de audit precedente, </w:t>
      </w:r>
      <w:r w:rsidR="00E76B2F" w:rsidRPr="00E15A52">
        <w:rPr>
          <w:rFonts w:ascii="Times New Roman" w:hAnsi="Times New Roman"/>
          <w:sz w:val="28"/>
          <w:szCs w:val="28"/>
        </w:rPr>
        <w:t xml:space="preserve">mai </w:t>
      </w:r>
      <w:r w:rsidR="0035758B" w:rsidRPr="00E15A52">
        <w:rPr>
          <w:rFonts w:ascii="Times New Roman" w:hAnsi="Times New Roman"/>
          <w:sz w:val="28"/>
          <w:szCs w:val="28"/>
        </w:rPr>
        <w:t>persist</w:t>
      </w:r>
      <w:r w:rsidR="00E76B2F" w:rsidRPr="00E15A52">
        <w:rPr>
          <w:rFonts w:ascii="Times New Roman" w:hAnsi="Times New Roman"/>
          <w:sz w:val="28"/>
          <w:szCs w:val="28"/>
        </w:rPr>
        <w:t>ă</w:t>
      </w:r>
      <w:r w:rsidR="00300711" w:rsidRPr="00E15A52">
        <w:rPr>
          <w:rFonts w:ascii="Times New Roman" w:hAnsi="Times New Roman"/>
          <w:sz w:val="28"/>
          <w:szCs w:val="28"/>
        </w:rPr>
        <w:t xml:space="preserve"> un</w:t>
      </w:r>
      <w:r w:rsidR="00E76B2F" w:rsidRPr="00E15A52">
        <w:rPr>
          <w:rFonts w:ascii="Times New Roman" w:hAnsi="Times New Roman"/>
          <w:sz w:val="28"/>
          <w:szCs w:val="28"/>
        </w:rPr>
        <w:t>ele</w:t>
      </w:r>
      <w:r w:rsidR="000857E7" w:rsidRPr="00E15A52">
        <w:rPr>
          <w:rFonts w:ascii="Times New Roman" w:hAnsi="Times New Roman"/>
          <w:sz w:val="28"/>
          <w:szCs w:val="28"/>
        </w:rPr>
        <w:t xml:space="preserve"> deficiențe</w:t>
      </w:r>
      <w:r w:rsidR="0035758B" w:rsidRPr="00E15A52">
        <w:rPr>
          <w:rFonts w:ascii="Times New Roman" w:hAnsi="Times New Roman"/>
          <w:sz w:val="28"/>
          <w:szCs w:val="28"/>
        </w:rPr>
        <w:t>, fapt</w:t>
      </w:r>
      <w:r w:rsidR="000857E7" w:rsidRPr="00E15A52">
        <w:rPr>
          <w:rFonts w:ascii="Times New Roman" w:hAnsi="Times New Roman"/>
          <w:sz w:val="28"/>
          <w:szCs w:val="28"/>
        </w:rPr>
        <w:t xml:space="preserve"> care afectează în continuare procesul de administrare a impozitelor și taxelor.</w:t>
      </w:r>
    </w:p>
    <w:p w:rsidR="000857E7" w:rsidRPr="00E15A52" w:rsidRDefault="00E15A52" w:rsidP="00E15A52">
      <w:pPr>
        <w:tabs>
          <w:tab w:val="left" w:pos="270"/>
          <w:tab w:val="left" w:pos="360"/>
          <w:tab w:val="left" w:pos="720"/>
        </w:tabs>
        <w:spacing w:after="0" w:line="276" w:lineRule="auto"/>
        <w:jc w:val="both"/>
        <w:rPr>
          <w:rFonts w:ascii="Times New Roman" w:hAnsi="Times New Roman" w:cs="Times New Roman"/>
          <w:sz w:val="28"/>
          <w:szCs w:val="28"/>
        </w:rPr>
      </w:pPr>
      <w:r>
        <w:rPr>
          <w:rFonts w:ascii="Times New Roman" w:hAnsi="Times New Roman"/>
          <w:sz w:val="28"/>
          <w:szCs w:val="28"/>
        </w:rPr>
        <w:tab/>
      </w:r>
      <w:r>
        <w:rPr>
          <w:rFonts w:ascii="Times New Roman" w:hAnsi="Times New Roman"/>
          <w:sz w:val="28"/>
          <w:szCs w:val="28"/>
        </w:rPr>
        <w:tab/>
        <w:t xml:space="preserve"> (ix) </w:t>
      </w:r>
      <w:r w:rsidR="00EF12CD" w:rsidRPr="00E15A52">
        <w:rPr>
          <w:rFonts w:ascii="Times New Roman" w:hAnsi="Times New Roman" w:cs="Times New Roman"/>
          <w:sz w:val="28"/>
          <w:szCs w:val="28"/>
        </w:rPr>
        <w:t>La o</w:t>
      </w:r>
      <w:r w:rsidR="000857E7" w:rsidRPr="00E15A52">
        <w:rPr>
          <w:rFonts w:ascii="Times New Roman" w:hAnsi="Times New Roman" w:cs="Times New Roman"/>
          <w:sz w:val="28"/>
          <w:szCs w:val="28"/>
        </w:rPr>
        <w:t>rganizarea și implementarea de către organele fiscale și vamale a SCI, deși au fost asigurate condițiile de instituire și organizare a acestui sistem</w:t>
      </w:r>
      <w:r w:rsidR="00EF12CD" w:rsidRPr="00E15A52">
        <w:rPr>
          <w:rFonts w:ascii="Times New Roman" w:hAnsi="Times New Roman" w:cs="Times New Roman"/>
          <w:sz w:val="28"/>
          <w:szCs w:val="28"/>
        </w:rPr>
        <w:t>,</w:t>
      </w:r>
      <w:r w:rsidR="000857E7" w:rsidRPr="00E15A52">
        <w:rPr>
          <w:rFonts w:ascii="Times New Roman" w:hAnsi="Times New Roman" w:cs="Times New Roman"/>
          <w:color w:val="000000"/>
          <w:sz w:val="28"/>
          <w:szCs w:val="28"/>
        </w:rPr>
        <w:t>pentru a</w:t>
      </w:r>
      <w:r w:rsidR="000857E7" w:rsidRPr="00E15A52">
        <w:rPr>
          <w:rFonts w:ascii="Times New Roman" w:hAnsi="Times New Roman" w:cs="Times New Roman"/>
          <w:sz w:val="28"/>
          <w:szCs w:val="28"/>
        </w:rPr>
        <w:t xml:space="preserve"> oferi o asigurare rezonabilă privind atingerea obiectivelor și rezultatelor planificate, evaluările și activitățile desfășurate de auditul public extern</w:t>
      </w:r>
      <w:r w:rsidR="00EF12CD" w:rsidRPr="00E15A52">
        <w:rPr>
          <w:rFonts w:ascii="Times New Roman" w:hAnsi="Times New Roman" w:cs="Times New Roman"/>
          <w:sz w:val="28"/>
          <w:szCs w:val="28"/>
        </w:rPr>
        <w:t>,atestă</w:t>
      </w:r>
      <w:r w:rsidR="000857E7" w:rsidRPr="00E15A52">
        <w:rPr>
          <w:rFonts w:ascii="Times New Roman" w:hAnsi="Times New Roman" w:cs="Times New Roman"/>
          <w:sz w:val="28"/>
          <w:szCs w:val="28"/>
        </w:rPr>
        <w:t xml:space="preserve"> unele rezerve, care au avut impact asupra</w:t>
      </w:r>
      <w:r w:rsidR="008F2719" w:rsidRPr="00E15A52">
        <w:rPr>
          <w:rFonts w:ascii="Times New Roman" w:hAnsi="Times New Roman" w:cs="Times New Roman"/>
          <w:sz w:val="28"/>
          <w:szCs w:val="28"/>
        </w:rPr>
        <w:t xml:space="preserve">funcționalității și rezultativității operaționale </w:t>
      </w:r>
      <w:r w:rsidR="000857E7" w:rsidRPr="00E15A52">
        <w:rPr>
          <w:rFonts w:ascii="Times New Roman" w:hAnsi="Times New Roman" w:cs="Times New Roman"/>
          <w:sz w:val="28"/>
          <w:szCs w:val="28"/>
        </w:rPr>
        <w:t>în administrarea impozitelor și taxelor.</w:t>
      </w:r>
    </w:p>
    <w:p w:rsidR="000857E7" w:rsidRPr="00C77119" w:rsidRDefault="000857E7" w:rsidP="000857E7">
      <w:pPr>
        <w:tabs>
          <w:tab w:val="left" w:pos="270"/>
          <w:tab w:val="left" w:pos="360"/>
          <w:tab w:val="left" w:pos="720"/>
        </w:tabs>
        <w:spacing w:after="0" w:line="276" w:lineRule="auto"/>
        <w:jc w:val="both"/>
        <w:rPr>
          <w:rFonts w:ascii="Times New Roman" w:hAnsi="Times New Roman" w:cs="Times New Roman"/>
          <w:sz w:val="28"/>
          <w:szCs w:val="28"/>
        </w:rPr>
      </w:pPr>
    </w:p>
    <w:p w:rsidR="000857E7" w:rsidRDefault="000857E7" w:rsidP="000857E7">
      <w:pPr>
        <w:tabs>
          <w:tab w:val="left" w:pos="270"/>
          <w:tab w:val="left" w:pos="360"/>
          <w:tab w:val="left" w:pos="720"/>
        </w:tabs>
        <w:spacing w:after="0" w:line="276" w:lineRule="auto"/>
        <w:jc w:val="both"/>
        <w:rPr>
          <w:rFonts w:ascii="Times New Roman" w:hAnsi="Times New Roman" w:cs="Times New Roman"/>
          <w:sz w:val="28"/>
          <w:szCs w:val="28"/>
        </w:rPr>
      </w:pPr>
    </w:p>
    <w:p w:rsidR="000857E7" w:rsidRDefault="000857E7" w:rsidP="000857E7">
      <w:pPr>
        <w:tabs>
          <w:tab w:val="left" w:pos="270"/>
          <w:tab w:val="left" w:pos="360"/>
          <w:tab w:val="left" w:pos="720"/>
        </w:tabs>
        <w:spacing w:after="0" w:line="276" w:lineRule="auto"/>
        <w:jc w:val="both"/>
        <w:rPr>
          <w:rFonts w:ascii="Times New Roman" w:hAnsi="Times New Roman" w:cs="Times New Roman"/>
          <w:sz w:val="28"/>
          <w:szCs w:val="28"/>
        </w:rPr>
      </w:pPr>
    </w:p>
    <w:p w:rsidR="00417529" w:rsidRPr="002F48EB" w:rsidRDefault="000857E7" w:rsidP="000857E7">
      <w:pPr>
        <w:tabs>
          <w:tab w:val="left" w:pos="851"/>
          <w:tab w:val="left" w:pos="1134"/>
        </w:tabs>
        <w:spacing w:after="0" w:line="276" w:lineRule="auto"/>
        <w:jc w:val="both"/>
        <w:rPr>
          <w:rFonts w:ascii="Times New Roman" w:hAnsi="Times New Roman" w:cs="Times New Roman"/>
          <w:color w:val="000000"/>
          <w:sz w:val="28"/>
          <w:szCs w:val="28"/>
          <w:highlight w:val="green"/>
        </w:rPr>
      </w:pPr>
      <w:r>
        <w:rPr>
          <w:rFonts w:ascii="Times New Roman" w:eastAsia="Calibri" w:hAnsi="Times New Roman" w:cs="Times New Roman"/>
          <w:iCs/>
          <w:sz w:val="28"/>
          <w:szCs w:val="28"/>
          <w:lang w:eastAsia="ru-RU"/>
        </w:rPr>
        <w:tab/>
      </w:r>
    </w:p>
    <w:p w:rsidR="000A329C" w:rsidRPr="001D0846" w:rsidRDefault="00BB3186" w:rsidP="007864B6">
      <w:pPr>
        <w:pStyle w:val="Heading1"/>
        <w:spacing w:before="0" w:line="276" w:lineRule="auto"/>
        <w:jc w:val="center"/>
        <w:rPr>
          <w:rFonts w:ascii="Times New Roman" w:hAnsi="Times New Roman" w:cs="Times New Roman"/>
          <w:b/>
          <w:color w:val="auto"/>
        </w:rPr>
      </w:pPr>
      <w:bookmarkStart w:id="4" w:name="_Toc515894884"/>
      <w:r w:rsidRPr="007116A5">
        <w:rPr>
          <w:rFonts w:ascii="Times New Roman" w:hAnsi="Times New Roman" w:cs="Times New Roman"/>
          <w:b/>
          <w:color w:val="auto"/>
        </w:rPr>
        <w:t>I. INTRODUCERE</w:t>
      </w:r>
      <w:bookmarkEnd w:id="4"/>
    </w:p>
    <w:bookmarkEnd w:id="3"/>
    <w:p w:rsidR="00123CB3" w:rsidRPr="001D0846" w:rsidRDefault="002976DF" w:rsidP="00F85F40">
      <w:pPr>
        <w:pStyle w:val="ListParagraph"/>
        <w:spacing w:after="0" w:line="276" w:lineRule="auto"/>
        <w:ind w:left="0" w:firstLine="709"/>
        <w:jc w:val="both"/>
        <w:rPr>
          <w:rFonts w:ascii="Times New Roman" w:hAnsi="Times New Roman" w:cs="Times New Roman"/>
          <w:sz w:val="28"/>
          <w:szCs w:val="28"/>
        </w:rPr>
      </w:pPr>
      <w:r w:rsidRPr="001D0846">
        <w:rPr>
          <w:rFonts w:ascii="Times New Roman" w:eastAsia="Calibri" w:hAnsi="Times New Roman" w:cs="Times New Roman"/>
          <w:sz w:val="28"/>
          <w:szCs w:val="28"/>
        </w:rPr>
        <w:tab/>
      </w:r>
      <w:r w:rsidR="00123CB3" w:rsidRPr="001D0846">
        <w:rPr>
          <w:rFonts w:ascii="Times New Roman" w:hAnsi="Times New Roman" w:cs="Times New Roman"/>
          <w:color w:val="000000"/>
          <w:sz w:val="28"/>
          <w:szCs w:val="28"/>
        </w:rPr>
        <w:t>Administrarea fiscală și vamală reprezintă activitatea organelor de stat împuternicite şi responsabile de asigurarea colectării depline şi la termen a impozitelor şi taxelor, a penalităţilorşi amenzilor în bugetele de toate nivelurile, precum şi de efectuarea acţiunilor de urmărire penală în caz de existenţă a unor circumstanţe ce atestă comiterea infracţiunilor.</w:t>
      </w:r>
    </w:p>
    <w:p w:rsidR="00123CB3" w:rsidRPr="00DA4F6D" w:rsidRDefault="00123CB3" w:rsidP="00DA4F6D">
      <w:pPr>
        <w:pStyle w:val="80"/>
        <w:shd w:val="clear" w:color="auto" w:fill="auto"/>
        <w:spacing w:after="0" w:line="276" w:lineRule="auto"/>
        <w:ind w:firstLine="709"/>
        <w:jc w:val="both"/>
        <w:rPr>
          <w:b w:val="0"/>
          <w:sz w:val="28"/>
          <w:szCs w:val="28"/>
        </w:rPr>
      </w:pPr>
      <w:r w:rsidRPr="001D0846">
        <w:rPr>
          <w:b w:val="0"/>
          <w:sz w:val="28"/>
          <w:szCs w:val="28"/>
        </w:rPr>
        <w:t xml:space="preserve">Principala sarcină a administrării fiscale și vamale o constituie colectarea </w:t>
      </w:r>
      <w:r w:rsidRPr="0035758B">
        <w:rPr>
          <w:b w:val="0"/>
          <w:sz w:val="28"/>
          <w:szCs w:val="28"/>
        </w:rPr>
        <w:t>deplină și în termen a impozitelor</w:t>
      </w:r>
      <w:r w:rsidRPr="001D0846">
        <w:rPr>
          <w:b w:val="0"/>
          <w:sz w:val="28"/>
          <w:szCs w:val="28"/>
        </w:rPr>
        <w:t xml:space="preserve"> și taxelor la BPN</w:t>
      </w:r>
      <w:r w:rsidR="00EF1F97">
        <w:rPr>
          <w:b w:val="0"/>
          <w:sz w:val="28"/>
          <w:szCs w:val="28"/>
        </w:rPr>
        <w:t>,</w:t>
      </w:r>
      <w:r w:rsidRPr="001D0846">
        <w:rPr>
          <w:b w:val="0"/>
          <w:sz w:val="28"/>
          <w:szCs w:val="28"/>
        </w:rPr>
        <w:t xml:space="preserve"> în scopul finanțării cheltuielilor în</w:t>
      </w:r>
      <w:r w:rsidR="0035758B">
        <w:rPr>
          <w:b w:val="0"/>
          <w:sz w:val="28"/>
          <w:szCs w:val="28"/>
        </w:rPr>
        <w:t xml:space="preserve"> domenii</w:t>
      </w:r>
      <w:r w:rsidR="00EF1F97">
        <w:rPr>
          <w:b w:val="0"/>
          <w:sz w:val="28"/>
          <w:szCs w:val="28"/>
        </w:rPr>
        <w:t>le</w:t>
      </w:r>
      <w:r w:rsidR="0035758B">
        <w:rPr>
          <w:b w:val="0"/>
          <w:sz w:val="28"/>
          <w:szCs w:val="28"/>
        </w:rPr>
        <w:t xml:space="preserve"> social-importa</w:t>
      </w:r>
      <w:r w:rsidR="00EF1F97">
        <w:rPr>
          <w:b w:val="0"/>
          <w:sz w:val="28"/>
          <w:szCs w:val="28"/>
        </w:rPr>
        <w:t>n</w:t>
      </w:r>
      <w:r w:rsidR="0035758B">
        <w:rPr>
          <w:b w:val="0"/>
          <w:sz w:val="28"/>
          <w:szCs w:val="28"/>
        </w:rPr>
        <w:t>te</w:t>
      </w:r>
      <w:r w:rsidR="00DA4F6D">
        <w:rPr>
          <w:b w:val="0"/>
          <w:sz w:val="28"/>
          <w:szCs w:val="28"/>
        </w:rPr>
        <w:t xml:space="preserve"> ale statului</w:t>
      </w:r>
      <w:r w:rsidRPr="001D0846">
        <w:rPr>
          <w:b w:val="0"/>
          <w:sz w:val="28"/>
          <w:szCs w:val="28"/>
        </w:rPr>
        <w:t>(educație, sănătate, asistență socială, economie, infrastructură, mediuetc.). Gradul de performanță al administrării fiscale și vamale influențează în mod direct capacitatea de funcționare și dezvoltare a statului în scopul</w:t>
      </w:r>
      <w:r w:rsidRPr="001D0846">
        <w:rPr>
          <w:b w:val="0"/>
          <w:color w:val="000000"/>
          <w:sz w:val="28"/>
          <w:szCs w:val="28"/>
        </w:rPr>
        <w:t xml:space="preserve"> acoperirii necesităților social-economice.</w:t>
      </w:r>
    </w:p>
    <w:p w:rsidR="00123CB3" w:rsidRPr="001D0846" w:rsidRDefault="00123CB3" w:rsidP="00385FE6">
      <w:pPr>
        <w:widowControl w:val="0"/>
        <w:tabs>
          <w:tab w:val="left" w:pos="720"/>
        </w:tabs>
        <w:autoSpaceDE w:val="0"/>
        <w:autoSpaceDN w:val="0"/>
        <w:adjustRightInd w:val="0"/>
        <w:spacing w:after="0" w:line="276" w:lineRule="auto"/>
        <w:jc w:val="both"/>
        <w:rPr>
          <w:rFonts w:ascii="Times New Roman" w:hAnsi="Times New Roman" w:cs="Times New Roman"/>
          <w:sz w:val="28"/>
          <w:szCs w:val="28"/>
        </w:rPr>
      </w:pPr>
      <w:r w:rsidRPr="001D0846">
        <w:rPr>
          <w:rFonts w:eastAsia="Impact"/>
          <w:bCs/>
          <w:iCs/>
          <w:color w:val="000000"/>
          <w:szCs w:val="28"/>
          <w:shd w:val="clear" w:color="auto" w:fill="FFFFFF"/>
          <w:lang w:bidi="en-US"/>
        </w:rPr>
        <w:tab/>
      </w:r>
      <w:r w:rsidRPr="001D0846">
        <w:rPr>
          <w:rFonts w:ascii="Times New Roman" w:hAnsi="Times New Roman" w:cs="Times New Roman"/>
          <w:sz w:val="28"/>
          <w:szCs w:val="28"/>
        </w:rPr>
        <w:t>Organele care exercită atribuţii de administrare fiscală s</w:t>
      </w:r>
      <w:r w:rsidR="00EF1F97">
        <w:rPr>
          <w:rFonts w:ascii="Times New Roman" w:hAnsi="Times New Roman" w:cs="Times New Roman"/>
          <w:sz w:val="28"/>
          <w:szCs w:val="28"/>
        </w:rPr>
        <w:t>u</w:t>
      </w:r>
      <w:r w:rsidRPr="001D0846">
        <w:rPr>
          <w:rFonts w:ascii="Times New Roman" w:hAnsi="Times New Roman" w:cs="Times New Roman"/>
          <w:sz w:val="28"/>
          <w:szCs w:val="28"/>
        </w:rPr>
        <w:t xml:space="preserve">nt: Serviciul Fiscal de Stat, </w:t>
      </w:r>
      <w:r w:rsidR="00E77CDE" w:rsidRPr="001D0846">
        <w:rPr>
          <w:rFonts w:ascii="Times New Roman" w:hAnsi="Times New Roman" w:cs="Times New Roman"/>
          <w:sz w:val="28"/>
          <w:szCs w:val="28"/>
        </w:rPr>
        <w:t>Serviciul Vamal</w:t>
      </w:r>
      <w:r w:rsidRPr="001D0846">
        <w:rPr>
          <w:rFonts w:ascii="Times New Roman" w:hAnsi="Times New Roman" w:cs="Times New Roman"/>
          <w:sz w:val="28"/>
          <w:szCs w:val="28"/>
        </w:rPr>
        <w:t>, serviciile de colectare a impozitelor şi taxelor locale din cadrul primăriilor şi alte organe abilitate, conform legislaţiei.</w:t>
      </w:r>
    </w:p>
    <w:p w:rsidR="006E5604" w:rsidRDefault="00123CB3" w:rsidP="006E5604">
      <w:pPr>
        <w:widowControl w:val="0"/>
        <w:tabs>
          <w:tab w:val="left" w:pos="720"/>
        </w:tabs>
        <w:autoSpaceDE w:val="0"/>
        <w:autoSpaceDN w:val="0"/>
        <w:adjustRightInd w:val="0"/>
        <w:spacing w:after="0" w:line="276" w:lineRule="auto"/>
        <w:jc w:val="both"/>
        <w:rPr>
          <w:rFonts w:ascii="Times New Roman" w:hAnsi="Times New Roman" w:cs="Times New Roman"/>
          <w:color w:val="000000" w:themeColor="text1"/>
          <w:sz w:val="28"/>
          <w:szCs w:val="28"/>
          <w:shd w:val="clear" w:color="auto" w:fill="FFFFFF"/>
        </w:rPr>
      </w:pPr>
      <w:r w:rsidRPr="001D0846">
        <w:rPr>
          <w:rFonts w:ascii="Times New Roman" w:hAnsi="Times New Roman" w:cs="Times New Roman"/>
          <w:sz w:val="28"/>
          <w:szCs w:val="28"/>
        </w:rPr>
        <w:tab/>
      </w:r>
      <w:r w:rsidR="00691310" w:rsidRPr="001D0846">
        <w:rPr>
          <w:rFonts w:ascii="Times New Roman" w:eastAsia="Impact" w:hAnsi="Times New Roman" w:cs="Times New Roman"/>
          <w:bCs/>
          <w:iCs/>
          <w:color w:val="000000"/>
          <w:sz w:val="28"/>
          <w:szCs w:val="28"/>
          <w:shd w:val="clear" w:color="auto" w:fill="FFFFFF"/>
          <w:lang w:bidi="en-US"/>
        </w:rPr>
        <w:t>S</w:t>
      </w:r>
      <w:r w:rsidR="00DA4F6D">
        <w:rPr>
          <w:rFonts w:ascii="Times New Roman" w:eastAsia="Impact" w:hAnsi="Times New Roman" w:cs="Times New Roman"/>
          <w:bCs/>
          <w:iCs/>
          <w:color w:val="000000"/>
          <w:sz w:val="28"/>
          <w:szCs w:val="28"/>
          <w:shd w:val="clear" w:color="auto" w:fill="FFFFFF"/>
          <w:lang w:bidi="en-US"/>
        </w:rPr>
        <w:t xml:space="preserve">FS este </w:t>
      </w:r>
      <w:r w:rsidRPr="001D0846">
        <w:rPr>
          <w:rFonts w:ascii="Times New Roman" w:hAnsi="Times New Roman" w:cs="Times New Roman"/>
          <w:color w:val="000000"/>
          <w:sz w:val="28"/>
          <w:szCs w:val="28"/>
          <w:lang w:eastAsia="en-GB"/>
        </w:rPr>
        <w:t>autoritate</w:t>
      </w:r>
      <w:r w:rsidR="00DA4F6D">
        <w:rPr>
          <w:rFonts w:ascii="Times New Roman" w:hAnsi="Times New Roman" w:cs="Times New Roman"/>
          <w:color w:val="000000"/>
          <w:sz w:val="28"/>
          <w:szCs w:val="28"/>
          <w:lang w:eastAsia="en-GB"/>
        </w:rPr>
        <w:t>a</w:t>
      </w:r>
      <w:r w:rsidRPr="001D0846">
        <w:rPr>
          <w:rFonts w:ascii="Times New Roman" w:hAnsi="Times New Roman" w:cs="Times New Roman"/>
          <w:color w:val="000000"/>
          <w:sz w:val="28"/>
          <w:szCs w:val="28"/>
          <w:lang w:eastAsia="en-GB"/>
        </w:rPr>
        <w:t xml:space="preserve"> administrativă din subordinea Ministerului Finanțelor, împuternicită să administreze impozitele, taxele și alte plăți în interesul statului. </w:t>
      </w:r>
      <w:r w:rsidR="006E5604" w:rsidRPr="001D0846">
        <w:rPr>
          <w:rFonts w:ascii="Times New Roman" w:hAnsi="Times New Roman" w:cs="Times New Roman"/>
          <w:color w:val="000000" w:themeColor="text1"/>
          <w:sz w:val="28"/>
          <w:szCs w:val="28"/>
          <w:shd w:val="clear" w:color="auto" w:fill="FFFFFF"/>
        </w:rPr>
        <w:t>Încep</w:t>
      </w:r>
      <w:r w:rsidR="00EF1F97">
        <w:rPr>
          <w:rFonts w:ascii="Times New Roman" w:hAnsi="Times New Roman" w:cs="Times New Roman"/>
          <w:color w:val="000000" w:themeColor="text1"/>
          <w:sz w:val="28"/>
          <w:szCs w:val="28"/>
          <w:shd w:val="clear" w:color="auto" w:fill="FFFFFF"/>
        </w:rPr>
        <w:t>â</w:t>
      </w:r>
      <w:r w:rsidR="006E5604" w:rsidRPr="001D0846">
        <w:rPr>
          <w:rFonts w:ascii="Times New Roman" w:hAnsi="Times New Roman" w:cs="Times New Roman"/>
          <w:color w:val="000000" w:themeColor="text1"/>
          <w:sz w:val="28"/>
          <w:szCs w:val="28"/>
          <w:shd w:val="clear" w:color="auto" w:fill="FFFFFF"/>
        </w:rPr>
        <w:t>nd cu 1 aprilie 2017, autoritatea fiscală din Republica Moldova a fost reorganizată și activează ca o entitate juridică unică</w:t>
      </w:r>
      <w:r w:rsidR="00DA4F6D">
        <w:rPr>
          <w:rStyle w:val="Strong"/>
          <w:rFonts w:ascii="Times New Roman" w:hAnsi="Times New Roman" w:cs="Times New Roman"/>
          <w:b w:val="0"/>
          <w:color w:val="000000" w:themeColor="text1"/>
          <w:sz w:val="28"/>
          <w:szCs w:val="28"/>
          <w:bdr w:val="none" w:sz="0" w:space="0" w:color="auto" w:frame="1"/>
          <w:shd w:val="clear" w:color="auto" w:fill="FFFFFF"/>
        </w:rPr>
        <w:t>.</w:t>
      </w:r>
      <w:r w:rsidR="006E5604" w:rsidRPr="001D0846">
        <w:rPr>
          <w:rFonts w:ascii="Times New Roman" w:hAnsi="Times New Roman" w:cs="Times New Roman"/>
          <w:color w:val="000000" w:themeColor="text1"/>
          <w:sz w:val="28"/>
          <w:szCs w:val="28"/>
          <w:shd w:val="clear" w:color="auto" w:fill="FFFFFF"/>
        </w:rPr>
        <w:t>Conform conceptului de reorganizare, S</w:t>
      </w:r>
      <w:r w:rsidR="00DA4F6D">
        <w:rPr>
          <w:rFonts w:ascii="Times New Roman" w:hAnsi="Times New Roman" w:cs="Times New Roman"/>
          <w:color w:val="000000" w:themeColor="text1"/>
          <w:sz w:val="28"/>
          <w:szCs w:val="28"/>
          <w:shd w:val="clear" w:color="auto" w:fill="FFFFFF"/>
        </w:rPr>
        <w:t>FS</w:t>
      </w:r>
      <w:r w:rsidR="006E5604" w:rsidRPr="001D0846">
        <w:rPr>
          <w:rFonts w:ascii="Times New Roman" w:hAnsi="Times New Roman" w:cs="Times New Roman"/>
          <w:color w:val="000000" w:themeColor="text1"/>
          <w:sz w:val="28"/>
          <w:szCs w:val="28"/>
          <w:shd w:val="clear" w:color="auto" w:fill="FFFFFF"/>
        </w:rPr>
        <w:t xml:space="preserve"> a devenit un organ unificat cu competență teritorială pe întreg teritoriul </w:t>
      </w:r>
      <w:r w:rsidR="00EF1F97">
        <w:rPr>
          <w:rFonts w:ascii="Times New Roman" w:hAnsi="Times New Roman" w:cs="Times New Roman"/>
          <w:color w:val="000000" w:themeColor="text1"/>
          <w:sz w:val="28"/>
          <w:szCs w:val="28"/>
          <w:shd w:val="clear" w:color="auto" w:fill="FFFFFF"/>
        </w:rPr>
        <w:t>țării</w:t>
      </w:r>
      <w:r w:rsidR="006E5604" w:rsidRPr="001D0846">
        <w:rPr>
          <w:rFonts w:ascii="Times New Roman" w:hAnsi="Times New Roman" w:cs="Times New Roman"/>
          <w:color w:val="000000" w:themeColor="text1"/>
          <w:sz w:val="28"/>
          <w:szCs w:val="28"/>
          <w:shd w:val="clear" w:color="auto" w:fill="FFFFFF"/>
        </w:rPr>
        <w:t xml:space="preserve">. Personalul SFS a fost concentrat într-o structură </w:t>
      </w:r>
      <w:r w:rsidR="006E5604" w:rsidRPr="00B70164">
        <w:rPr>
          <w:rFonts w:ascii="Times New Roman" w:hAnsi="Times New Roman" w:cs="Times New Roman"/>
          <w:color w:val="000000" w:themeColor="text1"/>
          <w:sz w:val="28"/>
          <w:szCs w:val="28"/>
          <w:shd w:val="clear" w:color="auto" w:fill="FFFFFF"/>
        </w:rPr>
        <w:t>centralizată</w:t>
      </w:r>
      <w:r w:rsidR="00DA4F6D">
        <w:rPr>
          <w:rFonts w:ascii="Times New Roman" w:hAnsi="Times New Roman" w:cs="Times New Roman"/>
          <w:color w:val="000000" w:themeColor="text1"/>
          <w:sz w:val="28"/>
          <w:szCs w:val="28"/>
          <w:shd w:val="clear" w:color="auto" w:fill="FFFFFF"/>
        </w:rPr>
        <w:t>, care include</w:t>
      </w:r>
      <w:r w:rsidR="006E5604" w:rsidRPr="00B70164">
        <w:rPr>
          <w:rFonts w:ascii="Times New Roman" w:hAnsi="Times New Roman" w:cs="Times New Roman"/>
          <w:color w:val="000000" w:themeColor="text1"/>
          <w:sz w:val="28"/>
          <w:szCs w:val="28"/>
          <w:shd w:val="clear" w:color="auto" w:fill="FFFFFF"/>
        </w:rPr>
        <w:t>:</w:t>
      </w:r>
    </w:p>
    <w:p w:rsidR="00DA4F6D" w:rsidRDefault="00DA4F6D" w:rsidP="00DA4F6D">
      <w:pPr>
        <w:widowControl w:val="0"/>
        <w:tabs>
          <w:tab w:val="left" w:pos="720"/>
        </w:tabs>
        <w:autoSpaceDE w:val="0"/>
        <w:autoSpaceDN w:val="0"/>
        <w:adjustRightInd w:val="0"/>
        <w:spacing w:after="0" w:line="276" w:lineRule="auto"/>
        <w:jc w:val="both"/>
        <w:rPr>
          <w:rFonts w:ascii="Times New Roman" w:hAnsi="Times New Roman" w:cs="Times New Roman"/>
          <w:color w:val="000000" w:themeColor="text1"/>
          <w:sz w:val="28"/>
          <w:szCs w:val="28"/>
          <w:shd w:val="clear" w:color="auto" w:fill="FFFFFF"/>
        </w:rPr>
      </w:pPr>
      <w:r w:rsidRPr="00F73A0A">
        <w:rPr>
          <w:rFonts w:ascii="Times New Roman" w:hAnsi="Times New Roman" w:cs="Times New Roman"/>
          <w:sz w:val="28"/>
          <w:szCs w:val="28"/>
        </w:rPr>
        <w:t>–</w:t>
      </w:r>
      <w:r w:rsidR="006E5604" w:rsidRPr="00B70164">
        <w:rPr>
          <w:rFonts w:ascii="Times New Roman" w:hAnsi="Times New Roman" w:cs="Times New Roman"/>
          <w:color w:val="000000" w:themeColor="text1"/>
          <w:sz w:val="28"/>
          <w:szCs w:val="28"/>
          <w:shd w:val="clear" w:color="auto" w:fill="FFFFFF"/>
        </w:rPr>
        <w:t>aparatul central, responsabil de aspectele metodologice</w:t>
      </w:r>
      <w:r w:rsidR="006E5604" w:rsidRPr="001D0846">
        <w:rPr>
          <w:rFonts w:ascii="Times New Roman" w:hAnsi="Times New Roman" w:cs="Times New Roman"/>
          <w:color w:val="000000" w:themeColor="text1"/>
          <w:sz w:val="28"/>
          <w:szCs w:val="28"/>
          <w:shd w:val="clear" w:color="auto" w:fill="FFFFFF"/>
        </w:rPr>
        <w:t>, de suport și gestiune;</w:t>
      </w:r>
    </w:p>
    <w:p w:rsidR="006E5604" w:rsidRPr="001D0846" w:rsidRDefault="00DA4F6D" w:rsidP="00DA4F6D">
      <w:pPr>
        <w:widowControl w:val="0"/>
        <w:tabs>
          <w:tab w:val="left" w:pos="720"/>
        </w:tabs>
        <w:autoSpaceDE w:val="0"/>
        <w:autoSpaceDN w:val="0"/>
        <w:adjustRightInd w:val="0"/>
        <w:spacing w:after="0" w:line="276" w:lineRule="auto"/>
        <w:jc w:val="both"/>
        <w:rPr>
          <w:rFonts w:ascii="Times New Roman" w:hAnsi="Times New Roman" w:cs="Times New Roman"/>
          <w:color w:val="000000" w:themeColor="text1"/>
          <w:sz w:val="28"/>
          <w:szCs w:val="28"/>
          <w:shd w:val="clear" w:color="auto" w:fill="FFFFFF"/>
        </w:rPr>
      </w:pPr>
      <w:r w:rsidRPr="00F73A0A">
        <w:rPr>
          <w:rFonts w:ascii="Times New Roman" w:hAnsi="Times New Roman" w:cs="Times New Roman"/>
          <w:sz w:val="28"/>
          <w:szCs w:val="28"/>
        </w:rPr>
        <w:t>–</w:t>
      </w:r>
      <w:r w:rsidR="006E5604" w:rsidRPr="001D0846">
        <w:rPr>
          <w:rFonts w:ascii="Times New Roman" w:hAnsi="Times New Roman" w:cs="Times New Roman"/>
          <w:color w:val="000000" w:themeColor="text1"/>
          <w:sz w:val="28"/>
          <w:szCs w:val="28"/>
          <w:shd w:val="clear" w:color="auto" w:fill="FFFFFF"/>
        </w:rPr>
        <w:t xml:space="preserve">3 regiuni de administrare fiscală (Nord, Sud și Centru) și Direcția generală administrare fiscală </w:t>
      </w:r>
      <w:r>
        <w:rPr>
          <w:rFonts w:ascii="Times New Roman" w:hAnsi="Times New Roman" w:cs="Times New Roman"/>
          <w:color w:val="000000" w:themeColor="text1"/>
          <w:sz w:val="28"/>
          <w:szCs w:val="28"/>
          <w:shd w:val="clear" w:color="auto" w:fill="FFFFFF"/>
        </w:rPr>
        <w:t xml:space="preserve">pe </w:t>
      </w:r>
      <w:r w:rsidR="006E5604" w:rsidRPr="001D0846">
        <w:rPr>
          <w:rFonts w:ascii="Times New Roman" w:hAnsi="Times New Roman" w:cs="Times New Roman"/>
          <w:color w:val="000000" w:themeColor="text1"/>
          <w:sz w:val="28"/>
          <w:szCs w:val="28"/>
          <w:shd w:val="clear" w:color="auto" w:fill="FFFFFF"/>
        </w:rPr>
        <w:t>mun.Chişinău, cu funcții de control și de gestionare a arieratelor;</w:t>
      </w:r>
    </w:p>
    <w:p w:rsidR="006E5604" w:rsidRPr="001D0846" w:rsidRDefault="00DA4F6D" w:rsidP="00DA4F6D">
      <w:pPr>
        <w:pStyle w:val="ListParagraph"/>
        <w:widowControl w:val="0"/>
        <w:tabs>
          <w:tab w:val="left" w:pos="284"/>
        </w:tabs>
        <w:autoSpaceDE w:val="0"/>
        <w:autoSpaceDN w:val="0"/>
        <w:adjustRightInd w:val="0"/>
        <w:spacing w:after="0" w:line="276" w:lineRule="auto"/>
        <w:ind w:left="0"/>
        <w:jc w:val="both"/>
        <w:rPr>
          <w:rFonts w:ascii="Times New Roman" w:hAnsi="Times New Roman" w:cs="Times New Roman"/>
          <w:color w:val="000000" w:themeColor="text1"/>
          <w:sz w:val="28"/>
          <w:szCs w:val="28"/>
          <w:shd w:val="clear" w:color="auto" w:fill="FFFFFF"/>
        </w:rPr>
      </w:pPr>
      <w:r w:rsidRPr="00F73A0A">
        <w:rPr>
          <w:rFonts w:ascii="Times New Roman" w:hAnsi="Times New Roman" w:cs="Times New Roman"/>
          <w:sz w:val="28"/>
          <w:szCs w:val="28"/>
        </w:rPr>
        <w:t>–</w:t>
      </w:r>
      <w:r w:rsidR="006E5604" w:rsidRPr="001D0846">
        <w:rPr>
          <w:rFonts w:ascii="Times New Roman" w:hAnsi="Times New Roman" w:cs="Times New Roman"/>
          <w:color w:val="000000" w:themeColor="text1"/>
          <w:sz w:val="28"/>
          <w:szCs w:val="28"/>
          <w:shd w:val="clear" w:color="auto" w:fill="FFFFFF"/>
        </w:rPr>
        <w:t>oficii de deservire și prestări servicii contribuabililor la nivel teritorial.</w:t>
      </w:r>
    </w:p>
    <w:p w:rsidR="00FE7E52" w:rsidRDefault="00123CB3" w:rsidP="00385FE6">
      <w:pPr>
        <w:widowControl w:val="0"/>
        <w:tabs>
          <w:tab w:val="left" w:pos="720"/>
        </w:tabs>
        <w:autoSpaceDE w:val="0"/>
        <w:autoSpaceDN w:val="0"/>
        <w:adjustRightInd w:val="0"/>
        <w:spacing w:after="0" w:line="276" w:lineRule="auto"/>
        <w:jc w:val="both"/>
        <w:rPr>
          <w:rFonts w:ascii="Times New Roman" w:hAnsi="Times New Roman" w:cs="Times New Roman"/>
          <w:color w:val="000000" w:themeColor="text1"/>
          <w:sz w:val="28"/>
          <w:szCs w:val="28"/>
          <w:lang w:eastAsia="en-GB"/>
        </w:rPr>
      </w:pPr>
      <w:r w:rsidRPr="001D0846">
        <w:rPr>
          <w:rFonts w:ascii="Times New Roman" w:eastAsia="Impact" w:hAnsi="Times New Roman" w:cs="Times New Roman"/>
          <w:b/>
          <w:bCs/>
          <w:iCs/>
          <w:color w:val="000000"/>
          <w:sz w:val="28"/>
          <w:szCs w:val="28"/>
          <w:shd w:val="clear" w:color="auto" w:fill="FFFFFF"/>
          <w:lang w:bidi="en-US"/>
        </w:rPr>
        <w:tab/>
      </w:r>
      <w:r w:rsidRPr="001D0846">
        <w:rPr>
          <w:rFonts w:ascii="Times New Roman" w:eastAsia="Impact" w:hAnsi="Times New Roman" w:cs="Times New Roman"/>
          <w:bCs/>
          <w:iCs/>
          <w:color w:val="000000"/>
          <w:sz w:val="28"/>
          <w:szCs w:val="28"/>
          <w:shd w:val="clear" w:color="auto" w:fill="FFFFFF"/>
          <w:lang w:bidi="en-US"/>
        </w:rPr>
        <w:t>Serviciul Vamal</w:t>
      </w:r>
      <w:r w:rsidR="00DA4F6D">
        <w:rPr>
          <w:rFonts w:ascii="Times New Roman" w:hAnsi="Times New Roman" w:cs="Times New Roman"/>
          <w:sz w:val="28"/>
          <w:szCs w:val="28"/>
        </w:rPr>
        <w:t xml:space="preserve">este </w:t>
      </w:r>
      <w:r w:rsidRPr="001D0846">
        <w:rPr>
          <w:rFonts w:ascii="Times New Roman" w:hAnsi="Times New Roman" w:cs="Times New Roman"/>
          <w:sz w:val="28"/>
          <w:szCs w:val="28"/>
          <w:lang w:eastAsia="en-GB"/>
        </w:rPr>
        <w:t>organul administrației publice subordonat Ministerului Finanțelor</w:t>
      </w:r>
      <w:r w:rsidR="00EF1F97">
        <w:rPr>
          <w:rFonts w:ascii="Times New Roman" w:hAnsi="Times New Roman" w:cs="Times New Roman"/>
          <w:sz w:val="28"/>
          <w:szCs w:val="28"/>
          <w:lang w:eastAsia="en-GB"/>
        </w:rPr>
        <w:t>,</w:t>
      </w:r>
      <w:r w:rsidRPr="001D0846">
        <w:rPr>
          <w:rFonts w:ascii="Times New Roman" w:hAnsi="Times New Roman" w:cs="Times New Roman"/>
          <w:sz w:val="28"/>
          <w:szCs w:val="28"/>
          <w:lang w:eastAsia="en-GB"/>
        </w:rPr>
        <w:t xml:space="preserve"> care asigură securitatea economică a statului, </w:t>
      </w:r>
      <w:r w:rsidRPr="00DA4F6D">
        <w:rPr>
          <w:rFonts w:ascii="Times New Roman" w:hAnsi="Times New Roman" w:cs="Times New Roman"/>
          <w:sz w:val="28"/>
          <w:szCs w:val="28"/>
          <w:lang w:eastAsia="en-GB"/>
        </w:rPr>
        <w:t xml:space="preserve">implementează politica vamală și conduce nemijlocit activitatea vamală în Republica Moldova. </w:t>
      </w:r>
      <w:r w:rsidR="00FE7E52">
        <w:rPr>
          <w:rFonts w:ascii="Times New Roman" w:hAnsi="Times New Roman" w:cs="Times New Roman"/>
          <w:sz w:val="28"/>
          <w:szCs w:val="28"/>
          <w:lang w:eastAsia="en-GB"/>
        </w:rPr>
        <w:t>Începând cu anul</w:t>
      </w:r>
      <w:r w:rsidR="006E5604" w:rsidRPr="00DA4F6D">
        <w:rPr>
          <w:rFonts w:ascii="Times New Roman" w:hAnsi="Times New Roman" w:cs="Times New Roman"/>
          <w:color w:val="000000" w:themeColor="text1"/>
          <w:sz w:val="28"/>
          <w:szCs w:val="28"/>
          <w:lang w:eastAsia="en-GB"/>
        </w:rPr>
        <w:t xml:space="preserve"> 2017</w:t>
      </w:r>
      <w:r w:rsidR="00EF1F97">
        <w:rPr>
          <w:rFonts w:ascii="Times New Roman" w:hAnsi="Times New Roman" w:cs="Times New Roman"/>
          <w:color w:val="000000" w:themeColor="text1"/>
          <w:sz w:val="28"/>
          <w:szCs w:val="28"/>
          <w:lang w:eastAsia="en-GB"/>
        </w:rPr>
        <w:t>,</w:t>
      </w:r>
      <w:r w:rsidR="00DA4F6D" w:rsidRPr="00DA4F6D">
        <w:rPr>
          <w:rFonts w:ascii="Times New Roman" w:hAnsi="Times New Roman" w:cs="Times New Roman"/>
          <w:color w:val="000000" w:themeColor="text1"/>
          <w:sz w:val="28"/>
          <w:szCs w:val="28"/>
          <w:lang w:eastAsia="en-GB"/>
        </w:rPr>
        <w:t xml:space="preserve">SV </w:t>
      </w:r>
      <w:r w:rsidR="00FE7E52">
        <w:rPr>
          <w:rFonts w:ascii="Times New Roman" w:hAnsi="Times New Roman" w:cs="Times New Roman"/>
          <w:color w:val="000000" w:themeColor="text1"/>
          <w:sz w:val="28"/>
          <w:szCs w:val="28"/>
          <w:lang w:eastAsia="en-GB"/>
        </w:rPr>
        <w:t xml:space="preserve">activează în baza unei noi organigrame, </w:t>
      </w:r>
      <w:r w:rsidR="00FE7E52" w:rsidRPr="00DA4F6D">
        <w:rPr>
          <w:rFonts w:ascii="Times New Roman" w:hAnsi="Times New Roman" w:cs="Times New Roman"/>
          <w:color w:val="000000" w:themeColor="text1"/>
          <w:sz w:val="28"/>
          <w:szCs w:val="28"/>
          <w:lang w:eastAsia="en-GB"/>
        </w:rPr>
        <w:t>fiind comasate 7 birouri vamale și create 3 subdiviziuni</w:t>
      </w:r>
      <w:r w:rsidR="00FE7E52">
        <w:rPr>
          <w:rFonts w:ascii="Times New Roman" w:hAnsi="Times New Roman" w:cs="Times New Roman"/>
          <w:color w:val="000000" w:themeColor="text1"/>
          <w:sz w:val="28"/>
          <w:szCs w:val="28"/>
          <w:lang w:eastAsia="en-GB"/>
        </w:rPr>
        <w:t xml:space="preserve"> ale SV</w:t>
      </w:r>
      <w:r w:rsidR="00FE7E52" w:rsidRPr="00DA4F6D">
        <w:rPr>
          <w:rFonts w:ascii="Times New Roman" w:hAnsi="Times New Roman" w:cs="Times New Roman"/>
          <w:color w:val="000000" w:themeColor="text1"/>
          <w:sz w:val="28"/>
          <w:szCs w:val="28"/>
          <w:lang w:eastAsia="en-GB"/>
        </w:rPr>
        <w:t>: Nord, Centru și Sud.</w:t>
      </w:r>
    </w:p>
    <w:p w:rsidR="00123CB3" w:rsidRDefault="00123CB3" w:rsidP="00385FE6">
      <w:pPr>
        <w:widowControl w:val="0"/>
        <w:tabs>
          <w:tab w:val="left" w:pos="720"/>
        </w:tabs>
        <w:autoSpaceDE w:val="0"/>
        <w:autoSpaceDN w:val="0"/>
        <w:adjustRightInd w:val="0"/>
        <w:spacing w:after="0" w:line="276" w:lineRule="auto"/>
        <w:jc w:val="both"/>
        <w:rPr>
          <w:rFonts w:ascii="Times New Roman" w:hAnsi="Times New Roman" w:cs="Times New Roman"/>
          <w:i/>
          <w:color w:val="000000"/>
          <w:sz w:val="28"/>
          <w:szCs w:val="28"/>
        </w:rPr>
      </w:pPr>
      <w:r w:rsidRPr="001D0846">
        <w:rPr>
          <w:rFonts w:ascii="Times New Roman" w:hAnsi="Times New Roman" w:cs="Times New Roman"/>
          <w:sz w:val="28"/>
          <w:szCs w:val="28"/>
          <w:lang w:eastAsia="en-GB"/>
        </w:rPr>
        <w:tab/>
      </w:r>
      <w:r w:rsidRPr="001D0846">
        <w:rPr>
          <w:rFonts w:ascii="Times New Roman" w:eastAsia="Impact" w:hAnsi="Times New Roman" w:cs="Times New Roman"/>
          <w:bCs/>
          <w:iCs/>
          <w:color w:val="000000"/>
          <w:sz w:val="28"/>
          <w:szCs w:val="28"/>
          <w:shd w:val="clear" w:color="auto" w:fill="FFFFFF"/>
          <w:lang w:bidi="en-US"/>
        </w:rPr>
        <w:t>Misiunea, funcțiile de bază, atribuțiile, drepturile și o</w:t>
      </w:r>
      <w:r w:rsidRPr="001D0846">
        <w:rPr>
          <w:rFonts w:ascii="Times New Roman" w:hAnsi="Times New Roman" w:cs="Times New Roman"/>
          <w:color w:val="000000"/>
          <w:sz w:val="28"/>
          <w:szCs w:val="28"/>
        </w:rPr>
        <w:t xml:space="preserve">rganizarea activităţii organelor cu atribuţii de administrare fiscală </w:t>
      </w:r>
      <w:r w:rsidR="00FE7E52">
        <w:rPr>
          <w:rFonts w:ascii="Times New Roman" w:hAnsi="Times New Roman" w:cs="Times New Roman"/>
          <w:color w:val="000000"/>
          <w:sz w:val="28"/>
          <w:szCs w:val="28"/>
        </w:rPr>
        <w:t xml:space="preserve">și vamală </w:t>
      </w:r>
      <w:r w:rsidRPr="001D0846">
        <w:rPr>
          <w:rFonts w:ascii="Times New Roman" w:hAnsi="Times New Roman" w:cs="Times New Roman"/>
          <w:color w:val="000000"/>
          <w:sz w:val="28"/>
          <w:szCs w:val="28"/>
        </w:rPr>
        <w:t xml:space="preserve">sunt reglementate de </w:t>
      </w:r>
      <w:r w:rsidRPr="001D0846">
        <w:rPr>
          <w:rFonts w:ascii="Times New Roman" w:hAnsi="Times New Roman" w:cs="Times New Roman"/>
          <w:color w:val="000000"/>
          <w:sz w:val="28"/>
          <w:szCs w:val="28"/>
        </w:rPr>
        <w:lastRenderedPageBreak/>
        <w:t>legislaţia Republicii Moldova</w:t>
      </w:r>
      <w:r w:rsidR="00F67D51" w:rsidRPr="001D0846">
        <w:rPr>
          <w:rStyle w:val="FootnoteReference"/>
          <w:rFonts w:ascii="Times New Roman" w:hAnsi="Times New Roman" w:cs="Times New Roman"/>
          <w:color w:val="000000"/>
          <w:sz w:val="28"/>
          <w:szCs w:val="28"/>
        </w:rPr>
        <w:footnoteReference w:id="3"/>
      </w:r>
      <w:r w:rsidRPr="001D0846">
        <w:rPr>
          <w:rFonts w:ascii="Times New Roman" w:hAnsi="Times New Roman" w:cs="Times New Roman"/>
          <w:color w:val="000000"/>
          <w:sz w:val="28"/>
          <w:szCs w:val="28"/>
        </w:rPr>
        <w:t>şi tratatele internaţionale la care Repu</w:t>
      </w:r>
      <w:r w:rsidR="00B1515B" w:rsidRPr="001D0846">
        <w:rPr>
          <w:rFonts w:ascii="Times New Roman" w:hAnsi="Times New Roman" w:cs="Times New Roman"/>
          <w:color w:val="000000"/>
          <w:sz w:val="28"/>
          <w:szCs w:val="28"/>
        </w:rPr>
        <w:t xml:space="preserve">blica Moldova este parte. </w:t>
      </w:r>
      <w:r w:rsidR="00B1515B" w:rsidRPr="001D0846">
        <w:rPr>
          <w:rFonts w:ascii="Times New Roman" w:hAnsi="Times New Roman" w:cs="Times New Roman"/>
          <w:i/>
          <w:color w:val="000000"/>
          <w:sz w:val="28"/>
          <w:szCs w:val="28"/>
        </w:rPr>
        <w:t>Funcțiile și atribuțiile SFS și SV în domeniul administrării fiscale și vamale s</w:t>
      </w:r>
      <w:r w:rsidR="00EF1F97">
        <w:rPr>
          <w:rFonts w:ascii="Times New Roman" w:hAnsi="Times New Roman" w:cs="Times New Roman"/>
          <w:i/>
          <w:color w:val="000000"/>
          <w:sz w:val="28"/>
          <w:szCs w:val="28"/>
        </w:rPr>
        <w:t>unt</w:t>
      </w:r>
      <w:r w:rsidR="00B1515B" w:rsidRPr="001D0846">
        <w:rPr>
          <w:rFonts w:ascii="Times New Roman" w:hAnsi="Times New Roman" w:cs="Times New Roman"/>
          <w:i/>
          <w:color w:val="000000"/>
          <w:sz w:val="28"/>
          <w:szCs w:val="28"/>
        </w:rPr>
        <w:t xml:space="preserve"> prez</w:t>
      </w:r>
      <w:r w:rsidR="00A84B93">
        <w:rPr>
          <w:rFonts w:ascii="Times New Roman" w:hAnsi="Times New Roman" w:cs="Times New Roman"/>
          <w:i/>
          <w:color w:val="000000"/>
          <w:sz w:val="28"/>
          <w:szCs w:val="28"/>
        </w:rPr>
        <w:t>entate</w:t>
      </w:r>
      <w:r w:rsidR="00B1515B" w:rsidRPr="001D0846">
        <w:rPr>
          <w:rFonts w:ascii="Times New Roman" w:hAnsi="Times New Roman" w:cs="Times New Roman"/>
          <w:i/>
          <w:color w:val="000000"/>
          <w:sz w:val="28"/>
          <w:szCs w:val="28"/>
        </w:rPr>
        <w:t xml:space="preserve"> în Anexa nr.1 la Raport</w:t>
      </w:r>
      <w:r w:rsidR="00A84B93">
        <w:rPr>
          <w:rFonts w:ascii="Times New Roman" w:hAnsi="Times New Roman" w:cs="Times New Roman"/>
          <w:i/>
          <w:color w:val="000000"/>
          <w:sz w:val="28"/>
          <w:szCs w:val="28"/>
        </w:rPr>
        <w:t>ul</w:t>
      </w:r>
      <w:r w:rsidR="00B1515B" w:rsidRPr="001D0846">
        <w:rPr>
          <w:rFonts w:ascii="Times New Roman" w:hAnsi="Times New Roman" w:cs="Times New Roman"/>
          <w:i/>
          <w:color w:val="000000"/>
          <w:sz w:val="28"/>
          <w:szCs w:val="28"/>
        </w:rPr>
        <w:t xml:space="preserve"> de audit.</w:t>
      </w:r>
    </w:p>
    <w:p w:rsidR="00E2400B" w:rsidRPr="001D0846" w:rsidRDefault="00E2400B" w:rsidP="00385FE6">
      <w:pPr>
        <w:widowControl w:val="0"/>
        <w:tabs>
          <w:tab w:val="left" w:pos="720"/>
        </w:tabs>
        <w:autoSpaceDE w:val="0"/>
        <w:autoSpaceDN w:val="0"/>
        <w:adjustRightInd w:val="0"/>
        <w:spacing w:after="0" w:line="276" w:lineRule="auto"/>
        <w:jc w:val="both"/>
        <w:rPr>
          <w:rFonts w:ascii="Times New Roman" w:hAnsi="Times New Roman" w:cs="Times New Roman"/>
          <w:color w:val="000000"/>
          <w:sz w:val="28"/>
          <w:szCs w:val="28"/>
        </w:rPr>
      </w:pPr>
      <w:r w:rsidRPr="001D0846">
        <w:rPr>
          <w:rFonts w:ascii="Times New Roman" w:hAnsi="Times New Roman" w:cs="Times New Roman"/>
          <w:b/>
          <w:color w:val="000000"/>
          <w:sz w:val="28"/>
          <w:szCs w:val="28"/>
        </w:rPr>
        <w:tab/>
      </w:r>
      <w:r w:rsidRPr="001D0846">
        <w:rPr>
          <w:rFonts w:ascii="Times New Roman" w:hAnsi="Times New Roman" w:cs="Times New Roman"/>
          <w:color w:val="000000"/>
          <w:sz w:val="28"/>
          <w:szCs w:val="28"/>
        </w:rPr>
        <w:t>Organele cu atribuţii de administrare fiscală</w:t>
      </w:r>
      <w:r w:rsidR="00CF4B7F">
        <w:rPr>
          <w:rFonts w:ascii="Times New Roman" w:hAnsi="Times New Roman" w:cs="Times New Roman"/>
          <w:color w:val="000000"/>
          <w:sz w:val="28"/>
          <w:szCs w:val="28"/>
        </w:rPr>
        <w:t xml:space="preserve"> și vamală</w:t>
      </w:r>
      <w:r w:rsidRPr="001D0846">
        <w:rPr>
          <w:rFonts w:ascii="Times New Roman" w:hAnsi="Times New Roman" w:cs="Times New Roman"/>
          <w:color w:val="000000"/>
          <w:sz w:val="28"/>
          <w:szCs w:val="28"/>
        </w:rPr>
        <w:t>, în procesul exercitării atribuţiilor respective, conlucrează între ele şi colaborează cu alte autorităţi publice.</w:t>
      </w:r>
      <w:r w:rsidRPr="001D0846">
        <w:rPr>
          <w:rFonts w:ascii="Times New Roman" w:hAnsi="Times New Roman" w:cs="Times New Roman"/>
          <w:color w:val="000000"/>
          <w:sz w:val="28"/>
          <w:szCs w:val="28"/>
        </w:rPr>
        <w:tab/>
        <w:t>Ministerul Finanţelor</w:t>
      </w:r>
      <w:r w:rsidR="00CF4B7F">
        <w:rPr>
          <w:rFonts w:ascii="Times New Roman" w:hAnsi="Times New Roman" w:cs="Times New Roman"/>
          <w:color w:val="000000"/>
          <w:sz w:val="28"/>
          <w:szCs w:val="28"/>
        </w:rPr>
        <w:t>efectuează</w:t>
      </w:r>
      <w:r w:rsidRPr="001D0846">
        <w:rPr>
          <w:rFonts w:ascii="Times New Roman" w:hAnsi="Times New Roman" w:cs="Times New Roman"/>
          <w:color w:val="000000"/>
          <w:sz w:val="28"/>
          <w:szCs w:val="28"/>
        </w:rPr>
        <w:t xml:space="preserve"> dirijarea metodologică a</w:t>
      </w:r>
      <w:r w:rsidR="00F25B0D">
        <w:rPr>
          <w:rFonts w:ascii="Times New Roman" w:hAnsi="Times New Roman" w:cs="Times New Roman"/>
          <w:color w:val="000000"/>
          <w:sz w:val="28"/>
          <w:szCs w:val="28"/>
        </w:rPr>
        <w:t xml:space="preserve"> activității</w:t>
      </w:r>
      <w:r w:rsidRPr="001D0846">
        <w:rPr>
          <w:rFonts w:ascii="Times New Roman" w:hAnsi="Times New Roman" w:cs="Times New Roman"/>
          <w:color w:val="000000"/>
          <w:sz w:val="28"/>
          <w:szCs w:val="28"/>
        </w:rPr>
        <w:t xml:space="preserve"> SFS și SV</w:t>
      </w:r>
      <w:r w:rsidR="00A84B93">
        <w:rPr>
          <w:rFonts w:ascii="Times New Roman" w:hAnsi="Times New Roman" w:cs="Times New Roman"/>
          <w:color w:val="000000"/>
          <w:sz w:val="28"/>
          <w:szCs w:val="28"/>
        </w:rPr>
        <w:t>,</w:t>
      </w:r>
      <w:r w:rsidR="00F25B0D">
        <w:rPr>
          <w:rFonts w:ascii="Times New Roman" w:hAnsi="Times New Roman" w:cs="Times New Roman"/>
          <w:color w:val="000000"/>
          <w:sz w:val="28"/>
          <w:szCs w:val="28"/>
        </w:rPr>
        <w:t>prin exercitarea următoarelor</w:t>
      </w:r>
      <w:r w:rsidRPr="001D0846">
        <w:rPr>
          <w:rFonts w:ascii="Times New Roman" w:hAnsi="Times New Roman" w:cs="Times New Roman"/>
          <w:color w:val="000000"/>
          <w:sz w:val="28"/>
          <w:szCs w:val="28"/>
        </w:rPr>
        <w:t xml:space="preserve">atribuţii: </w:t>
      </w:r>
      <w:r w:rsidRPr="001D0846">
        <w:rPr>
          <w:rFonts w:ascii="Times New Roman" w:hAnsi="Times New Roman" w:cs="Times New Roman"/>
          <w:i/>
          <w:color w:val="000000"/>
          <w:sz w:val="28"/>
          <w:szCs w:val="28"/>
        </w:rPr>
        <w:t>(i)</w:t>
      </w:r>
      <w:r w:rsidRPr="001D0846">
        <w:rPr>
          <w:rFonts w:ascii="Times New Roman" w:hAnsi="Times New Roman" w:cs="Times New Roman"/>
          <w:color w:val="000000"/>
          <w:sz w:val="28"/>
          <w:szCs w:val="28"/>
        </w:rPr>
        <w:t xml:space="preserve"> aprobă structura SFS și </w:t>
      </w:r>
      <w:r w:rsidR="00A84B93">
        <w:rPr>
          <w:rFonts w:ascii="Times New Roman" w:hAnsi="Times New Roman" w:cs="Times New Roman"/>
          <w:color w:val="000000"/>
          <w:sz w:val="28"/>
          <w:szCs w:val="28"/>
        </w:rPr>
        <w:t xml:space="preserve">a </w:t>
      </w:r>
      <w:r w:rsidRPr="001D0846">
        <w:rPr>
          <w:rFonts w:ascii="Times New Roman" w:hAnsi="Times New Roman" w:cs="Times New Roman"/>
          <w:color w:val="000000"/>
          <w:sz w:val="28"/>
          <w:szCs w:val="28"/>
        </w:rPr>
        <w:t xml:space="preserve">SV; </w:t>
      </w:r>
      <w:r w:rsidRPr="001D0846">
        <w:rPr>
          <w:rFonts w:ascii="Times New Roman" w:hAnsi="Times New Roman" w:cs="Times New Roman"/>
          <w:i/>
          <w:color w:val="000000"/>
          <w:sz w:val="28"/>
          <w:szCs w:val="28"/>
        </w:rPr>
        <w:t>(ii)</w:t>
      </w:r>
      <w:r w:rsidRPr="001D0846">
        <w:rPr>
          <w:rFonts w:ascii="Times New Roman" w:hAnsi="Times New Roman" w:cs="Times New Roman"/>
          <w:color w:val="000000"/>
          <w:sz w:val="28"/>
          <w:szCs w:val="28"/>
        </w:rPr>
        <w:t>stabileşte obiectivele şi indicatorii de performanţă a</w:t>
      </w:r>
      <w:r w:rsidR="00A84B93">
        <w:rPr>
          <w:rFonts w:ascii="Times New Roman" w:hAnsi="Times New Roman" w:cs="Times New Roman"/>
          <w:color w:val="000000"/>
          <w:sz w:val="28"/>
          <w:szCs w:val="28"/>
        </w:rPr>
        <w:t>i</w:t>
      </w:r>
      <w:r w:rsidRPr="001D0846">
        <w:rPr>
          <w:rFonts w:ascii="Times New Roman" w:hAnsi="Times New Roman" w:cs="Times New Roman"/>
          <w:color w:val="000000"/>
          <w:sz w:val="28"/>
          <w:szCs w:val="28"/>
        </w:rPr>
        <w:t xml:space="preserve"> SFS și SV; </w:t>
      </w:r>
      <w:r w:rsidRPr="001D0846">
        <w:rPr>
          <w:rFonts w:ascii="Times New Roman" w:hAnsi="Times New Roman" w:cs="Times New Roman"/>
          <w:i/>
          <w:color w:val="000000"/>
          <w:sz w:val="28"/>
          <w:szCs w:val="28"/>
        </w:rPr>
        <w:t>(iii)</w:t>
      </w:r>
      <w:r w:rsidRPr="001D0846">
        <w:rPr>
          <w:rFonts w:ascii="Times New Roman" w:hAnsi="Times New Roman" w:cs="Times New Roman"/>
          <w:color w:val="000000"/>
          <w:sz w:val="28"/>
          <w:szCs w:val="28"/>
        </w:rPr>
        <w:t xml:space="preserve"> evaluează performanţa</w:t>
      </w:r>
      <w:r w:rsidR="00F25B0D">
        <w:rPr>
          <w:rFonts w:ascii="Times New Roman" w:hAnsi="Times New Roman" w:cs="Times New Roman"/>
          <w:color w:val="000000"/>
          <w:sz w:val="28"/>
          <w:szCs w:val="28"/>
        </w:rPr>
        <w:t xml:space="preserve">activității </w:t>
      </w:r>
      <w:r w:rsidRPr="001D0846">
        <w:rPr>
          <w:rFonts w:ascii="Times New Roman" w:hAnsi="Times New Roman" w:cs="Times New Roman"/>
          <w:color w:val="000000"/>
          <w:sz w:val="28"/>
          <w:szCs w:val="28"/>
        </w:rPr>
        <w:t>directorului şi a directorilor adjuncţi a</w:t>
      </w:r>
      <w:r w:rsidR="00A84B93">
        <w:rPr>
          <w:rFonts w:ascii="Times New Roman" w:hAnsi="Times New Roman" w:cs="Times New Roman"/>
          <w:color w:val="000000"/>
          <w:sz w:val="28"/>
          <w:szCs w:val="28"/>
        </w:rPr>
        <w:t>i</w:t>
      </w:r>
      <w:r w:rsidRPr="001D0846">
        <w:rPr>
          <w:rFonts w:ascii="Times New Roman" w:hAnsi="Times New Roman" w:cs="Times New Roman"/>
          <w:color w:val="000000"/>
          <w:sz w:val="28"/>
          <w:szCs w:val="28"/>
        </w:rPr>
        <w:t xml:space="preserve"> SFS și SV; </w:t>
      </w:r>
      <w:r w:rsidRPr="001D0846">
        <w:rPr>
          <w:rFonts w:ascii="Times New Roman" w:hAnsi="Times New Roman" w:cs="Times New Roman"/>
          <w:i/>
          <w:color w:val="000000"/>
          <w:sz w:val="28"/>
          <w:szCs w:val="28"/>
        </w:rPr>
        <w:t>(iv)</w:t>
      </w:r>
      <w:r w:rsidRPr="001D0846">
        <w:rPr>
          <w:rFonts w:ascii="Times New Roman" w:hAnsi="Times New Roman" w:cs="Times New Roman"/>
          <w:color w:val="000000"/>
          <w:sz w:val="28"/>
          <w:szCs w:val="28"/>
        </w:rPr>
        <w:t xml:space="preserve"> aprobă bugetul SFS și </w:t>
      </w:r>
      <w:r w:rsidR="00A84B93">
        <w:rPr>
          <w:rFonts w:ascii="Times New Roman" w:hAnsi="Times New Roman" w:cs="Times New Roman"/>
          <w:color w:val="000000"/>
          <w:sz w:val="28"/>
          <w:szCs w:val="28"/>
        </w:rPr>
        <w:t xml:space="preserve">al </w:t>
      </w:r>
      <w:r w:rsidRPr="001D0846">
        <w:rPr>
          <w:rFonts w:ascii="Times New Roman" w:hAnsi="Times New Roman" w:cs="Times New Roman"/>
          <w:color w:val="000000"/>
          <w:sz w:val="28"/>
          <w:szCs w:val="28"/>
        </w:rPr>
        <w:t xml:space="preserve">SV; </w:t>
      </w:r>
      <w:r w:rsidRPr="001D0846">
        <w:rPr>
          <w:rFonts w:ascii="Times New Roman" w:hAnsi="Times New Roman" w:cs="Times New Roman"/>
          <w:i/>
          <w:color w:val="000000"/>
          <w:sz w:val="28"/>
          <w:szCs w:val="28"/>
        </w:rPr>
        <w:t>(v)</w:t>
      </w:r>
      <w:r w:rsidR="00F25B0D">
        <w:rPr>
          <w:rFonts w:ascii="Times New Roman" w:hAnsi="Times New Roman" w:cs="Times New Roman"/>
          <w:color w:val="000000"/>
          <w:sz w:val="28"/>
          <w:szCs w:val="28"/>
        </w:rPr>
        <w:t xml:space="preserve"> solicită informaţii</w:t>
      </w:r>
      <w:r w:rsidRPr="001D0846">
        <w:rPr>
          <w:rFonts w:ascii="Times New Roman" w:hAnsi="Times New Roman" w:cs="Times New Roman"/>
          <w:color w:val="000000"/>
          <w:sz w:val="28"/>
          <w:szCs w:val="28"/>
        </w:rPr>
        <w:t xml:space="preserve"> privind monitorizarea administrării fiscale, inclusiv rapoarte </w:t>
      </w:r>
      <w:r w:rsidR="00F25B0D">
        <w:rPr>
          <w:rFonts w:ascii="Times New Roman" w:hAnsi="Times New Roman" w:cs="Times New Roman"/>
          <w:color w:val="000000"/>
          <w:sz w:val="28"/>
          <w:szCs w:val="28"/>
        </w:rPr>
        <w:t>cu privire la</w:t>
      </w:r>
      <w:r w:rsidRPr="001D0846">
        <w:rPr>
          <w:rFonts w:ascii="Times New Roman" w:hAnsi="Times New Roman" w:cs="Times New Roman"/>
          <w:color w:val="000000"/>
          <w:sz w:val="28"/>
          <w:szCs w:val="28"/>
        </w:rPr>
        <w:t xml:space="preserve"> impozitarea şi administrarea fiscală, rapoarte trimestriale şi anuale privind suma obligaţiilor fiscale luate </w:t>
      </w:r>
      <w:r w:rsidR="00A84B93">
        <w:rPr>
          <w:rFonts w:ascii="Times New Roman" w:hAnsi="Times New Roman" w:cs="Times New Roman"/>
          <w:color w:val="000000"/>
          <w:sz w:val="28"/>
          <w:szCs w:val="28"/>
        </w:rPr>
        <w:t>la</w:t>
      </w:r>
      <w:r w:rsidRPr="001D0846">
        <w:rPr>
          <w:rFonts w:ascii="Times New Roman" w:hAnsi="Times New Roman" w:cs="Times New Roman"/>
          <w:color w:val="000000"/>
          <w:sz w:val="28"/>
          <w:szCs w:val="28"/>
        </w:rPr>
        <w:t>evidenţ</w:t>
      </w:r>
      <w:r w:rsidR="00A84B93">
        <w:rPr>
          <w:rFonts w:ascii="Times New Roman" w:hAnsi="Times New Roman" w:cs="Times New Roman"/>
          <w:color w:val="000000"/>
          <w:sz w:val="28"/>
          <w:szCs w:val="28"/>
        </w:rPr>
        <w:t>a</w:t>
      </w:r>
      <w:r w:rsidRPr="001D0846">
        <w:rPr>
          <w:rFonts w:ascii="Times New Roman" w:hAnsi="Times New Roman" w:cs="Times New Roman"/>
          <w:color w:val="000000"/>
          <w:sz w:val="28"/>
          <w:szCs w:val="28"/>
        </w:rPr>
        <w:t xml:space="preserve"> specială; </w:t>
      </w:r>
      <w:r w:rsidRPr="001D0846">
        <w:rPr>
          <w:rFonts w:ascii="Times New Roman" w:hAnsi="Times New Roman" w:cs="Times New Roman"/>
          <w:i/>
          <w:color w:val="000000"/>
          <w:sz w:val="28"/>
          <w:szCs w:val="28"/>
        </w:rPr>
        <w:t>(vi)</w:t>
      </w:r>
      <w:r w:rsidRPr="001D0846">
        <w:rPr>
          <w:rFonts w:ascii="Times New Roman" w:hAnsi="Times New Roman" w:cs="Times New Roman"/>
          <w:color w:val="000000"/>
          <w:sz w:val="28"/>
          <w:szCs w:val="28"/>
        </w:rPr>
        <w:t xml:space="preserve"> alte acţiuni prevăzute de legislație.</w:t>
      </w:r>
    </w:p>
    <w:p w:rsidR="00385FE6" w:rsidRPr="001D0846" w:rsidRDefault="00385FE6" w:rsidP="00385FE6">
      <w:pPr>
        <w:pStyle w:val="Heading1"/>
        <w:spacing w:before="0" w:line="276" w:lineRule="auto"/>
        <w:rPr>
          <w:rFonts w:ascii="Times New Roman" w:hAnsi="Times New Roman" w:cs="Times New Roman"/>
          <w:b/>
          <w:color w:val="auto"/>
          <w:sz w:val="28"/>
          <w:szCs w:val="28"/>
        </w:rPr>
      </w:pPr>
      <w:bookmarkStart w:id="5" w:name="_Toc505603939"/>
    </w:p>
    <w:p w:rsidR="00982BF8" w:rsidRPr="001D0846" w:rsidRDefault="00AD19B6" w:rsidP="00AD19B6">
      <w:pPr>
        <w:pStyle w:val="Heading1"/>
        <w:spacing w:before="0" w:line="276" w:lineRule="auto"/>
        <w:jc w:val="center"/>
        <w:rPr>
          <w:rFonts w:ascii="Times New Roman" w:hAnsi="Times New Roman" w:cs="Times New Roman"/>
          <w:b/>
          <w:color w:val="000000"/>
        </w:rPr>
      </w:pPr>
      <w:bookmarkStart w:id="6" w:name="_Toc515894885"/>
      <w:r w:rsidRPr="001D0846">
        <w:rPr>
          <w:rFonts w:ascii="Times New Roman" w:hAnsi="Times New Roman" w:cs="Times New Roman"/>
          <w:b/>
          <w:color w:val="auto"/>
        </w:rPr>
        <w:t>II</w:t>
      </w:r>
      <w:r w:rsidR="00A0239F" w:rsidRPr="001D0846">
        <w:rPr>
          <w:rFonts w:ascii="Times New Roman" w:hAnsi="Times New Roman" w:cs="Times New Roman"/>
          <w:b/>
          <w:color w:val="auto"/>
        </w:rPr>
        <w:t xml:space="preserve">. </w:t>
      </w:r>
      <w:r w:rsidR="009F2555" w:rsidRPr="001D0846">
        <w:rPr>
          <w:rFonts w:ascii="Times New Roman" w:hAnsi="Times New Roman" w:cs="Times New Roman"/>
          <w:b/>
          <w:color w:val="auto"/>
        </w:rPr>
        <w:t>SFERA ȘI ABORDAREA AUDITULUI</w:t>
      </w:r>
      <w:bookmarkEnd w:id="5"/>
      <w:bookmarkEnd w:id="6"/>
    </w:p>
    <w:p w:rsidR="00982BF8" w:rsidRPr="001D0846" w:rsidRDefault="00982BF8" w:rsidP="000349B9">
      <w:pPr>
        <w:pStyle w:val="ListParagraph"/>
        <w:spacing w:after="0" w:line="276" w:lineRule="auto"/>
        <w:ind w:left="0" w:firstLine="709"/>
        <w:jc w:val="both"/>
        <w:rPr>
          <w:rFonts w:ascii="Times New Roman" w:hAnsi="Times New Roman" w:cs="Times New Roman"/>
          <w:sz w:val="28"/>
          <w:szCs w:val="28"/>
        </w:rPr>
      </w:pPr>
      <w:r w:rsidRPr="001D0846">
        <w:rPr>
          <w:rFonts w:ascii="Times New Roman" w:hAnsi="Times New Roman" w:cs="Times New Roman"/>
          <w:sz w:val="28"/>
          <w:szCs w:val="28"/>
        </w:rPr>
        <w:t>Potrivit Planului de Dezvoltare Strategică pe anii 2016-2020</w:t>
      </w:r>
      <w:r w:rsidRPr="001D0846">
        <w:rPr>
          <w:rStyle w:val="FootnoteReference"/>
          <w:rFonts w:ascii="Times New Roman" w:hAnsi="Times New Roman" w:cs="Times New Roman"/>
          <w:sz w:val="28"/>
          <w:szCs w:val="28"/>
        </w:rPr>
        <w:footnoteReference w:id="4"/>
      </w:r>
      <w:r w:rsidRPr="001D0846">
        <w:rPr>
          <w:rFonts w:ascii="Times New Roman" w:hAnsi="Times New Roman" w:cs="Times New Roman"/>
          <w:sz w:val="28"/>
          <w:szCs w:val="28"/>
        </w:rPr>
        <w:t xml:space="preserve">, Curții de Conturi îi revine sarcina de a asigura coeziunea pentru sporirea nivelului de responsabilitate a Parlamentului, Guvernului și </w:t>
      </w:r>
      <w:r w:rsidRPr="00FE7E52">
        <w:rPr>
          <w:rFonts w:ascii="Times New Roman" w:hAnsi="Times New Roman" w:cs="Times New Roman"/>
          <w:sz w:val="28"/>
          <w:szCs w:val="28"/>
        </w:rPr>
        <w:t>managementului instituțiilor publice. Acest deziderat va fi realizat prin desfășurarea inclusiv a auditurilor performanței, care vor contribui la sporirea economicității, eficienței și eficacității operațiunilor guvernamentale.</w:t>
      </w:r>
    </w:p>
    <w:p w:rsidR="009130CD" w:rsidRPr="001D0846" w:rsidRDefault="00982BF8" w:rsidP="000349B9">
      <w:pPr>
        <w:shd w:val="clear" w:color="auto" w:fill="FFFFFF"/>
        <w:spacing w:after="0" w:line="276" w:lineRule="auto"/>
        <w:ind w:right="59" w:firstLine="709"/>
        <w:jc w:val="both"/>
        <w:rPr>
          <w:rFonts w:ascii="Times New Roman" w:hAnsi="Times New Roman" w:cs="Times New Roman"/>
          <w:sz w:val="28"/>
          <w:szCs w:val="28"/>
        </w:rPr>
      </w:pPr>
      <w:r w:rsidRPr="001D0846">
        <w:rPr>
          <w:rFonts w:ascii="Times New Roman" w:hAnsi="Times New Roman" w:cs="Times New Roman"/>
          <w:color w:val="000000"/>
          <w:sz w:val="28"/>
          <w:szCs w:val="28"/>
          <w:lang w:bidi="en-US"/>
        </w:rPr>
        <w:t>În vederea realizării dezideratului strategic, Curtea de Conturi a inițiat</w:t>
      </w:r>
      <w:r w:rsidR="00A84B93">
        <w:rPr>
          <w:rFonts w:ascii="Times New Roman" w:hAnsi="Times New Roman" w:cs="Times New Roman"/>
          <w:color w:val="000000"/>
          <w:sz w:val="28"/>
          <w:szCs w:val="28"/>
          <w:lang w:bidi="en-US"/>
        </w:rPr>
        <w:t>,</w:t>
      </w:r>
      <w:r w:rsidRPr="001D0846">
        <w:rPr>
          <w:rFonts w:ascii="Times New Roman" w:hAnsi="Times New Roman" w:cs="Times New Roman"/>
          <w:noProof/>
          <w:sz w:val="28"/>
          <w:szCs w:val="28"/>
          <w:lang w:eastAsia="ru-RU"/>
        </w:rPr>
        <w:t xml:space="preserve">în conformitate cu </w:t>
      </w:r>
      <w:r w:rsidRPr="001D0846">
        <w:rPr>
          <w:rFonts w:ascii="Times New Roman" w:hAnsi="Times New Roman" w:cs="Times New Roman"/>
          <w:noProof/>
          <w:sz w:val="28"/>
          <w:szCs w:val="28"/>
        </w:rPr>
        <w:t xml:space="preserve">Programul activităţii de audit </w:t>
      </w:r>
      <w:r w:rsidRPr="001D0846">
        <w:rPr>
          <w:rFonts w:ascii="Times New Roman" w:hAnsi="Times New Roman" w:cs="Times New Roman"/>
          <w:sz w:val="28"/>
          <w:szCs w:val="28"/>
        </w:rPr>
        <w:t>pe anul 2017</w:t>
      </w:r>
      <w:r w:rsidRPr="001D0846">
        <w:rPr>
          <w:rStyle w:val="FootnoteReference"/>
          <w:rFonts w:ascii="Times New Roman" w:hAnsi="Times New Roman" w:cs="Times New Roman"/>
          <w:sz w:val="28"/>
          <w:szCs w:val="28"/>
        </w:rPr>
        <w:footnoteReference w:id="5"/>
      </w:r>
      <w:r w:rsidR="00A84B93">
        <w:rPr>
          <w:rFonts w:ascii="Times New Roman" w:hAnsi="Times New Roman" w:cs="Times New Roman"/>
          <w:sz w:val="28"/>
          <w:szCs w:val="28"/>
        </w:rPr>
        <w:t>,</w:t>
      </w:r>
      <w:r w:rsidRPr="001D0846">
        <w:rPr>
          <w:rFonts w:ascii="Times New Roman" w:hAnsi="Times New Roman" w:cs="Times New Roman"/>
          <w:noProof/>
          <w:color w:val="000000"/>
          <w:sz w:val="28"/>
          <w:szCs w:val="28"/>
        </w:rPr>
        <w:t>auditul performanței</w:t>
      </w:r>
      <w:r w:rsidR="009130CD" w:rsidRPr="001D0846">
        <w:rPr>
          <w:rFonts w:ascii="Times New Roman" w:hAnsi="Times New Roman" w:cs="Times New Roman"/>
          <w:noProof/>
          <w:color w:val="000000"/>
          <w:sz w:val="28"/>
          <w:szCs w:val="28"/>
        </w:rPr>
        <w:t xml:space="preserve"> privind f</w:t>
      </w:r>
      <w:r w:rsidRPr="001D0846">
        <w:rPr>
          <w:rFonts w:ascii="Times New Roman" w:hAnsi="Times New Roman" w:cs="Times New Roman"/>
          <w:sz w:val="28"/>
          <w:szCs w:val="28"/>
        </w:rPr>
        <w:t>uncționalitatea și rezultativitatea operațională aferent</w:t>
      </w:r>
      <w:r w:rsidR="00A84B93">
        <w:rPr>
          <w:rFonts w:ascii="Times New Roman" w:hAnsi="Times New Roman" w:cs="Times New Roman"/>
          <w:sz w:val="28"/>
          <w:szCs w:val="28"/>
        </w:rPr>
        <w:t>e</w:t>
      </w:r>
      <w:r w:rsidRPr="001D0846">
        <w:rPr>
          <w:rFonts w:ascii="Times New Roman" w:hAnsi="Times New Roman" w:cs="Times New Roman"/>
          <w:sz w:val="28"/>
          <w:szCs w:val="28"/>
        </w:rPr>
        <w:t xml:space="preserve"> administrării impozitelor și </w:t>
      </w:r>
      <w:r w:rsidR="009130CD" w:rsidRPr="001D0846">
        <w:rPr>
          <w:rFonts w:ascii="Times New Roman" w:hAnsi="Times New Roman" w:cs="Times New Roman"/>
          <w:sz w:val="28"/>
          <w:szCs w:val="28"/>
        </w:rPr>
        <w:t>taxelor</w:t>
      </w:r>
      <w:r w:rsidR="00D17621" w:rsidRPr="001D0846">
        <w:rPr>
          <w:rFonts w:ascii="Times New Roman" w:hAnsi="Times New Roman" w:cs="Times New Roman"/>
          <w:sz w:val="28"/>
          <w:szCs w:val="28"/>
        </w:rPr>
        <w:t xml:space="preserve">. </w:t>
      </w:r>
    </w:p>
    <w:p w:rsidR="00982BF8" w:rsidRPr="001D0846" w:rsidRDefault="000349B9" w:rsidP="000349B9">
      <w:pPr>
        <w:pStyle w:val="80"/>
        <w:shd w:val="clear" w:color="auto" w:fill="auto"/>
        <w:spacing w:after="0" w:line="276" w:lineRule="auto"/>
        <w:ind w:firstLine="709"/>
        <w:jc w:val="both"/>
        <w:rPr>
          <w:sz w:val="28"/>
          <w:szCs w:val="28"/>
        </w:rPr>
      </w:pPr>
      <w:r w:rsidRPr="001D0846">
        <w:rPr>
          <w:b w:val="0"/>
          <w:sz w:val="28"/>
          <w:szCs w:val="28"/>
        </w:rPr>
        <w:t>Ast</w:t>
      </w:r>
      <w:r w:rsidR="009130CD" w:rsidRPr="001D0846">
        <w:rPr>
          <w:b w:val="0"/>
          <w:sz w:val="28"/>
          <w:szCs w:val="28"/>
        </w:rPr>
        <w:t xml:space="preserve">fel, </w:t>
      </w:r>
      <w:r w:rsidR="00982BF8" w:rsidRPr="001D0846">
        <w:rPr>
          <w:b w:val="0"/>
          <w:sz w:val="28"/>
          <w:szCs w:val="28"/>
        </w:rPr>
        <w:t xml:space="preserve">Curtea de Conturi, recunoscând importanța social-economică a impozitelor și taxelor, precum și factorii de risc care pot afecta buna administrare a veniturilor publice, și-a propus examinarea sistemului de administrare a impozitelor și taxelor, pentru a evalua managementul și performanțele administrării </w:t>
      </w:r>
      <w:r w:rsidR="009130CD" w:rsidRPr="001D0846">
        <w:rPr>
          <w:b w:val="0"/>
          <w:sz w:val="28"/>
          <w:szCs w:val="28"/>
        </w:rPr>
        <w:t>acestora</w:t>
      </w:r>
      <w:r w:rsidR="00982BF8" w:rsidRPr="001D0846">
        <w:rPr>
          <w:b w:val="0"/>
          <w:sz w:val="28"/>
          <w:szCs w:val="28"/>
        </w:rPr>
        <w:t xml:space="preserve">, a identifica </w:t>
      </w:r>
      <w:r w:rsidR="00F25B0D">
        <w:rPr>
          <w:b w:val="0"/>
          <w:sz w:val="28"/>
          <w:szCs w:val="28"/>
        </w:rPr>
        <w:t>potențialele riscuri, probleme și vulnerabilități</w:t>
      </w:r>
      <w:r w:rsidR="00982BF8" w:rsidRPr="001D0846">
        <w:rPr>
          <w:b w:val="0"/>
          <w:sz w:val="28"/>
          <w:szCs w:val="28"/>
        </w:rPr>
        <w:t xml:space="preserve"> care pot avea impact asupra realizării performanțelor sistemului de administrare,</w:t>
      </w:r>
      <w:r w:rsidR="00612330" w:rsidRPr="001D0846">
        <w:rPr>
          <w:b w:val="0"/>
          <w:sz w:val="28"/>
          <w:szCs w:val="28"/>
        </w:rPr>
        <w:t xml:space="preserve"> precum și </w:t>
      </w:r>
      <w:r w:rsidR="00982BF8" w:rsidRPr="001D0846">
        <w:rPr>
          <w:b w:val="0"/>
          <w:sz w:val="28"/>
          <w:szCs w:val="28"/>
        </w:rPr>
        <w:t>elabora</w:t>
      </w:r>
      <w:r w:rsidR="00612330" w:rsidRPr="001D0846">
        <w:rPr>
          <w:b w:val="0"/>
          <w:sz w:val="28"/>
          <w:szCs w:val="28"/>
        </w:rPr>
        <w:t>rea</w:t>
      </w:r>
      <w:r w:rsidR="00982BF8" w:rsidRPr="001D0846">
        <w:rPr>
          <w:b w:val="0"/>
          <w:sz w:val="28"/>
          <w:szCs w:val="28"/>
        </w:rPr>
        <w:t xml:space="preserve"> recomandări</w:t>
      </w:r>
      <w:r w:rsidR="00612330" w:rsidRPr="001D0846">
        <w:rPr>
          <w:b w:val="0"/>
          <w:sz w:val="28"/>
          <w:szCs w:val="28"/>
        </w:rPr>
        <w:t>lor</w:t>
      </w:r>
      <w:r w:rsidR="00982BF8" w:rsidRPr="001D0846">
        <w:rPr>
          <w:b w:val="0"/>
          <w:sz w:val="28"/>
          <w:szCs w:val="28"/>
        </w:rPr>
        <w:t xml:space="preserve"> pentru îmbunătățirea </w:t>
      </w:r>
      <w:r w:rsidR="00982BF8" w:rsidRPr="00FE7E52">
        <w:rPr>
          <w:b w:val="0"/>
          <w:sz w:val="28"/>
          <w:szCs w:val="28"/>
        </w:rPr>
        <w:t>man</w:t>
      </w:r>
      <w:r w:rsidR="00FE7E52" w:rsidRPr="00FE7E52">
        <w:rPr>
          <w:b w:val="0"/>
          <w:sz w:val="28"/>
          <w:szCs w:val="28"/>
        </w:rPr>
        <w:t>a</w:t>
      </w:r>
      <w:r w:rsidR="00982BF8" w:rsidRPr="00FE7E52">
        <w:rPr>
          <w:b w:val="0"/>
          <w:sz w:val="28"/>
          <w:szCs w:val="28"/>
        </w:rPr>
        <w:t>gementului și a rezultatelor administrării acestui sistem.</w:t>
      </w:r>
    </w:p>
    <w:p w:rsidR="00982BF8" w:rsidRPr="00206E15" w:rsidRDefault="00982BF8" w:rsidP="00D672A9">
      <w:pPr>
        <w:pStyle w:val="ListParagraph"/>
        <w:spacing w:after="0" w:line="276" w:lineRule="auto"/>
        <w:ind w:left="0" w:firstLine="709"/>
        <w:jc w:val="both"/>
        <w:rPr>
          <w:rFonts w:ascii="Times New Roman" w:hAnsi="Times New Roman" w:cs="Times New Roman"/>
          <w:sz w:val="28"/>
          <w:szCs w:val="28"/>
        </w:rPr>
      </w:pPr>
      <w:r w:rsidRPr="001D0846">
        <w:rPr>
          <w:rFonts w:ascii="Times New Roman" w:hAnsi="Times New Roman" w:cs="Times New Roman"/>
          <w:sz w:val="28"/>
          <w:szCs w:val="28"/>
        </w:rPr>
        <w:lastRenderedPageBreak/>
        <w:t xml:space="preserve">Iniţierea misiunii de audit a avut ca fundament interesul deosebit </w:t>
      </w:r>
      <w:r w:rsidR="00F25B0D">
        <w:rPr>
          <w:rFonts w:ascii="Times New Roman" w:hAnsi="Times New Roman" w:cs="Times New Roman"/>
          <w:sz w:val="28"/>
          <w:szCs w:val="28"/>
        </w:rPr>
        <w:t xml:space="preserve">al Curții de Conturi </w:t>
      </w:r>
      <w:r w:rsidRPr="001D0846">
        <w:rPr>
          <w:rFonts w:ascii="Times New Roman" w:hAnsi="Times New Roman" w:cs="Times New Roman"/>
          <w:sz w:val="28"/>
          <w:szCs w:val="28"/>
        </w:rPr>
        <w:t>în evaluarea eficienţeişi eficacității sistemului de administrare a impozitelor și taxelor ca surse principale de venit ale Bugetului Public Național. Acest interes al Curţii de Conturi are ca bază mandatul legal</w:t>
      </w:r>
      <w:r w:rsidRPr="001D0846">
        <w:rPr>
          <w:rStyle w:val="FootnoteReference"/>
          <w:rFonts w:ascii="Times New Roman" w:hAnsi="Times New Roman" w:cs="Times New Roman"/>
          <w:color w:val="000000"/>
          <w:sz w:val="28"/>
          <w:szCs w:val="28"/>
        </w:rPr>
        <w:footnoteReference w:id="6"/>
      </w:r>
      <w:r w:rsidRPr="001D0846">
        <w:rPr>
          <w:rFonts w:ascii="Times New Roman" w:hAnsi="Times New Roman" w:cs="Times New Roman"/>
          <w:sz w:val="28"/>
          <w:szCs w:val="28"/>
        </w:rPr>
        <w:t xml:space="preserve">de a </w:t>
      </w:r>
      <w:r w:rsidRPr="001D0846">
        <w:rPr>
          <w:rFonts w:ascii="Times New Roman" w:hAnsi="Times New Roman" w:cs="Times New Roman"/>
          <w:color w:val="000000"/>
          <w:sz w:val="28"/>
          <w:szCs w:val="28"/>
        </w:rPr>
        <w:t>efectua</w:t>
      </w:r>
      <w:r w:rsidR="000C7CE1">
        <w:rPr>
          <w:rFonts w:ascii="Times New Roman" w:hAnsi="Times New Roman" w:cs="Times New Roman"/>
          <w:color w:val="000000"/>
          <w:sz w:val="28"/>
          <w:szCs w:val="28"/>
        </w:rPr>
        <w:t>,</w:t>
      </w:r>
      <w:r w:rsidR="00F25B0D">
        <w:rPr>
          <w:rFonts w:ascii="Times New Roman" w:hAnsi="Times New Roman" w:cs="Times New Roman"/>
          <w:color w:val="000000"/>
          <w:sz w:val="28"/>
          <w:szCs w:val="28"/>
        </w:rPr>
        <w:t>conform</w:t>
      </w:r>
      <w:r w:rsidRPr="001D0846">
        <w:rPr>
          <w:rFonts w:ascii="Times New Roman" w:hAnsi="Times New Roman" w:cs="Times New Roman"/>
          <w:color w:val="000000"/>
          <w:sz w:val="28"/>
          <w:szCs w:val="28"/>
        </w:rPr>
        <w:t xml:space="preserve"> programului anual al activității de audit</w:t>
      </w:r>
      <w:r w:rsidRPr="001D0846">
        <w:rPr>
          <w:rFonts w:ascii="Times New Roman" w:hAnsi="Times New Roman" w:cs="Times New Roman"/>
          <w:sz w:val="28"/>
          <w:szCs w:val="28"/>
        </w:rPr>
        <w:t xml:space="preserve">: </w:t>
      </w:r>
      <w:r w:rsidRPr="00206E15">
        <w:rPr>
          <w:rFonts w:ascii="Times New Roman" w:hAnsi="Times New Roman" w:cs="Times New Roman"/>
          <w:i/>
          <w:sz w:val="28"/>
          <w:szCs w:val="28"/>
        </w:rPr>
        <w:t>(i)</w:t>
      </w:r>
      <w:r w:rsidRPr="001D0846">
        <w:rPr>
          <w:rFonts w:ascii="Times New Roman" w:hAnsi="Times New Roman" w:cs="Times New Roman"/>
          <w:color w:val="000000"/>
          <w:sz w:val="28"/>
          <w:szCs w:val="28"/>
        </w:rPr>
        <w:t>controlul asupra modului de formare, de administrare şi de întrebuinţare a resurselor financiare publice</w:t>
      </w:r>
      <w:r w:rsidR="000C7CE1">
        <w:rPr>
          <w:rFonts w:ascii="Times New Roman" w:hAnsi="Times New Roman" w:cs="Times New Roman"/>
          <w:color w:val="000000"/>
          <w:sz w:val="28"/>
          <w:szCs w:val="28"/>
        </w:rPr>
        <w:t>,</w:t>
      </w:r>
      <w:r w:rsidRPr="001D0846">
        <w:rPr>
          <w:rFonts w:ascii="Times New Roman" w:hAnsi="Times New Roman" w:cs="Times New Roman"/>
          <w:color w:val="000000"/>
          <w:sz w:val="28"/>
          <w:szCs w:val="28"/>
        </w:rPr>
        <w:t xml:space="preserve"> prin efectuarea auditului public extern; </w:t>
      </w:r>
      <w:r w:rsidRPr="00206E15">
        <w:rPr>
          <w:rFonts w:ascii="Times New Roman" w:hAnsi="Times New Roman" w:cs="Times New Roman"/>
          <w:i/>
          <w:color w:val="000000"/>
          <w:sz w:val="28"/>
          <w:szCs w:val="28"/>
        </w:rPr>
        <w:t>(ii)</w:t>
      </w:r>
      <w:r w:rsidRPr="001D0846">
        <w:rPr>
          <w:rFonts w:ascii="Times New Roman" w:hAnsi="Times New Roman" w:cs="Times New Roman"/>
          <w:color w:val="000000"/>
          <w:sz w:val="28"/>
          <w:szCs w:val="28"/>
        </w:rPr>
        <w:t>efectuarea auditului performanței, prin evaluarea economicității, eficienței și eficacității unui anumit aspect al operațiunilor desfășurate de o entitate sau de o parte a acesteia</w:t>
      </w:r>
      <w:r w:rsidR="000C7CE1">
        <w:rPr>
          <w:rFonts w:ascii="Times New Roman" w:hAnsi="Times New Roman" w:cs="Times New Roman"/>
          <w:color w:val="000000"/>
          <w:sz w:val="28"/>
          <w:szCs w:val="28"/>
        </w:rPr>
        <w:t>,</w:t>
      </w:r>
      <w:r w:rsidRPr="001D0846">
        <w:rPr>
          <w:rFonts w:ascii="Times New Roman" w:hAnsi="Times New Roman" w:cs="Times New Roman"/>
          <w:color w:val="000000"/>
          <w:sz w:val="28"/>
          <w:szCs w:val="28"/>
        </w:rPr>
        <w:t xml:space="preserve"> ori în cadrul unui program sau al unei activități; </w:t>
      </w:r>
      <w:r w:rsidRPr="00206E15">
        <w:rPr>
          <w:rFonts w:ascii="Times New Roman" w:hAnsi="Times New Roman" w:cs="Times New Roman"/>
          <w:i/>
          <w:color w:val="000000"/>
          <w:sz w:val="28"/>
          <w:szCs w:val="28"/>
        </w:rPr>
        <w:t>(iii)</w:t>
      </w:r>
      <w:r w:rsidRPr="001D0846">
        <w:rPr>
          <w:rFonts w:ascii="Times New Roman" w:hAnsi="Times New Roman" w:cs="Times New Roman"/>
          <w:sz w:val="28"/>
          <w:szCs w:val="28"/>
        </w:rPr>
        <w:t xml:space="preserve">urmărirea </w:t>
      </w:r>
      <w:r w:rsidR="00F25B0D" w:rsidRPr="001D0846">
        <w:rPr>
          <w:rFonts w:ascii="Times New Roman" w:hAnsi="Times New Roman" w:cs="Times New Roman"/>
          <w:sz w:val="28"/>
          <w:szCs w:val="28"/>
        </w:rPr>
        <w:t>execut</w:t>
      </w:r>
      <w:r w:rsidR="00F25B0D">
        <w:rPr>
          <w:rFonts w:ascii="Times New Roman" w:hAnsi="Times New Roman" w:cs="Times New Roman"/>
          <w:sz w:val="28"/>
          <w:szCs w:val="28"/>
        </w:rPr>
        <w:t>ării</w:t>
      </w:r>
      <w:r w:rsidR="00F25B0D" w:rsidRPr="001D0846">
        <w:rPr>
          <w:rFonts w:ascii="Times New Roman" w:hAnsi="Times New Roman" w:cs="Times New Roman"/>
          <w:sz w:val="28"/>
          <w:szCs w:val="28"/>
        </w:rPr>
        <w:t xml:space="preserve"> cerințelor</w:t>
      </w:r>
      <w:r w:rsidR="00F25B0D">
        <w:rPr>
          <w:rFonts w:ascii="Times New Roman" w:hAnsi="Times New Roman" w:cs="Times New Roman"/>
          <w:sz w:val="28"/>
          <w:szCs w:val="28"/>
        </w:rPr>
        <w:t xml:space="preserve"> și</w:t>
      </w:r>
      <w:r w:rsidRPr="001D0846">
        <w:rPr>
          <w:rFonts w:ascii="Times New Roman" w:hAnsi="Times New Roman" w:cs="Times New Roman"/>
          <w:sz w:val="28"/>
          <w:szCs w:val="28"/>
        </w:rPr>
        <w:t xml:space="preserve">implementării recomandărilor Curții de Conturi pe marginea auditurilor </w:t>
      </w:r>
      <w:r w:rsidRPr="00206E15">
        <w:rPr>
          <w:rFonts w:ascii="Times New Roman" w:hAnsi="Times New Roman" w:cs="Times New Roman"/>
          <w:sz w:val="28"/>
          <w:szCs w:val="28"/>
        </w:rPr>
        <w:t xml:space="preserve">precedente. </w:t>
      </w:r>
    </w:p>
    <w:p w:rsidR="00982BF8" w:rsidRPr="001D0846" w:rsidRDefault="00982BF8" w:rsidP="00206E15">
      <w:pPr>
        <w:pStyle w:val="ListParagraph"/>
        <w:tabs>
          <w:tab w:val="left" w:pos="630"/>
        </w:tabs>
        <w:spacing w:after="0" w:line="276" w:lineRule="auto"/>
        <w:ind w:left="0" w:firstLine="706"/>
        <w:jc w:val="both"/>
        <w:rPr>
          <w:rFonts w:ascii="Times New Roman" w:hAnsi="Times New Roman" w:cs="Times New Roman"/>
          <w:sz w:val="28"/>
          <w:szCs w:val="28"/>
        </w:rPr>
      </w:pPr>
      <w:r w:rsidRPr="00206E15">
        <w:rPr>
          <w:rFonts w:ascii="Times New Roman" w:hAnsi="Times New Roman" w:cs="Times New Roman"/>
          <w:sz w:val="28"/>
          <w:szCs w:val="28"/>
        </w:rPr>
        <w:tab/>
        <w:t xml:space="preserve">Impactul așteptat al auditului îl constituie informarea organelor legislative și executive, </w:t>
      </w:r>
      <w:r w:rsidR="000C7CE1">
        <w:rPr>
          <w:rFonts w:ascii="Times New Roman" w:hAnsi="Times New Roman" w:cs="Times New Roman"/>
          <w:sz w:val="28"/>
          <w:szCs w:val="28"/>
        </w:rPr>
        <w:t xml:space="preserve">a </w:t>
      </w:r>
      <w:r w:rsidRPr="00206E15">
        <w:rPr>
          <w:rFonts w:ascii="Times New Roman" w:hAnsi="Times New Roman" w:cs="Times New Roman"/>
          <w:sz w:val="28"/>
          <w:szCs w:val="28"/>
        </w:rPr>
        <w:t>contribuabililor, cetăţenilorşi mass-medi</w:t>
      </w:r>
      <w:r w:rsidR="000C7CE1">
        <w:rPr>
          <w:rFonts w:ascii="Times New Roman" w:hAnsi="Times New Roman" w:cs="Times New Roman"/>
          <w:sz w:val="28"/>
          <w:szCs w:val="28"/>
        </w:rPr>
        <w:t>eidespre</w:t>
      </w:r>
      <w:r w:rsidRPr="00206E15">
        <w:rPr>
          <w:rFonts w:ascii="Times New Roman" w:hAnsi="Times New Roman" w:cs="Times New Roman"/>
          <w:sz w:val="28"/>
          <w:szCs w:val="28"/>
        </w:rPr>
        <w:t xml:space="preserve"> situația reală a managementului și rezultatel</w:t>
      </w:r>
      <w:r w:rsidR="000C7CE1">
        <w:rPr>
          <w:rFonts w:ascii="Times New Roman" w:hAnsi="Times New Roman" w:cs="Times New Roman"/>
          <w:sz w:val="28"/>
          <w:szCs w:val="28"/>
        </w:rPr>
        <w:t>e</w:t>
      </w:r>
      <w:r w:rsidRPr="00206E15">
        <w:rPr>
          <w:rFonts w:ascii="Times New Roman" w:hAnsi="Times New Roman" w:cs="Times New Roman"/>
          <w:sz w:val="28"/>
          <w:szCs w:val="28"/>
        </w:rPr>
        <w:t xml:space="preserve"> administrării impozitelor și taxelor </w:t>
      </w:r>
      <w:r w:rsidR="00F55A99" w:rsidRPr="00206E15">
        <w:rPr>
          <w:rFonts w:ascii="Times New Roman" w:hAnsi="Times New Roman" w:cs="Times New Roman"/>
          <w:sz w:val="28"/>
          <w:szCs w:val="28"/>
        </w:rPr>
        <w:t>de către</w:t>
      </w:r>
      <w:r w:rsidRPr="00206E15">
        <w:rPr>
          <w:rFonts w:ascii="Times New Roman" w:hAnsi="Times New Roman" w:cs="Times New Roman"/>
          <w:sz w:val="28"/>
          <w:szCs w:val="28"/>
        </w:rPr>
        <w:t xml:space="preserve"> SFS și SV.</w:t>
      </w:r>
    </w:p>
    <w:p w:rsidR="00982BF8" w:rsidRPr="001D0846" w:rsidRDefault="00982BF8" w:rsidP="00206E15">
      <w:pPr>
        <w:pStyle w:val="ListParagraph"/>
        <w:tabs>
          <w:tab w:val="left" w:pos="630"/>
        </w:tabs>
        <w:spacing w:after="0" w:line="276" w:lineRule="auto"/>
        <w:ind w:left="0" w:firstLine="706"/>
        <w:jc w:val="both"/>
        <w:rPr>
          <w:rFonts w:ascii="Times New Roman" w:hAnsi="Times New Roman" w:cs="Times New Roman"/>
          <w:sz w:val="28"/>
          <w:szCs w:val="28"/>
        </w:rPr>
      </w:pPr>
      <w:r w:rsidRPr="001D0846">
        <w:rPr>
          <w:rFonts w:ascii="Times New Roman" w:hAnsi="Times New Roman" w:cs="Times New Roman"/>
          <w:sz w:val="28"/>
          <w:szCs w:val="28"/>
        </w:rPr>
        <w:tab/>
        <w:t xml:space="preserve">O performanță </w:t>
      </w:r>
      <w:r w:rsidRPr="001D0846">
        <w:rPr>
          <w:rFonts w:ascii="Times New Roman" w:eastAsia="Times New Roman" w:hAnsi="Times New Roman" w:cs="Times New Roman"/>
          <w:sz w:val="28"/>
          <w:szCs w:val="28"/>
          <w:lang w:eastAsia="ru-RU"/>
        </w:rPr>
        <w:t>bună în acest domeniu</w:t>
      </w:r>
      <w:r w:rsidRPr="001D0846">
        <w:rPr>
          <w:rFonts w:ascii="Times New Roman" w:hAnsi="Times New Roman" w:cs="Times New Roman"/>
          <w:sz w:val="28"/>
          <w:szCs w:val="28"/>
        </w:rPr>
        <w:t xml:space="preserve"> constituie implementarea unui </w:t>
      </w:r>
      <w:r w:rsidRPr="00206E15">
        <w:rPr>
          <w:rFonts w:ascii="Times New Roman" w:hAnsi="Times New Roman" w:cs="Times New Roman"/>
          <w:sz w:val="28"/>
          <w:szCs w:val="28"/>
        </w:rPr>
        <w:t xml:space="preserve">management </w:t>
      </w:r>
      <w:r w:rsidR="008A5EC9" w:rsidRPr="00206E15">
        <w:rPr>
          <w:rFonts w:ascii="Times New Roman" w:hAnsi="Times New Roman" w:cs="Times New Roman"/>
          <w:sz w:val="28"/>
          <w:szCs w:val="28"/>
        </w:rPr>
        <w:t xml:space="preserve">adecvat </w:t>
      </w:r>
      <w:r w:rsidRPr="00206E15">
        <w:rPr>
          <w:rFonts w:ascii="Times New Roman" w:hAnsi="Times New Roman" w:cs="Times New Roman"/>
          <w:sz w:val="28"/>
          <w:szCs w:val="28"/>
        </w:rPr>
        <w:t>menit să</w:t>
      </w:r>
      <w:r w:rsidRPr="001D0846">
        <w:rPr>
          <w:rFonts w:ascii="Times New Roman" w:hAnsi="Times New Roman" w:cs="Times New Roman"/>
          <w:sz w:val="28"/>
          <w:szCs w:val="28"/>
        </w:rPr>
        <w:t xml:space="preserve"> asigure atingerea rezultatelor scontate în administrarea impozitelor și taxelor.</w:t>
      </w:r>
    </w:p>
    <w:p w:rsidR="00982BF8" w:rsidRPr="001D0846" w:rsidRDefault="00982BF8" w:rsidP="00206E15">
      <w:pPr>
        <w:autoSpaceDE w:val="0"/>
        <w:autoSpaceDN w:val="0"/>
        <w:adjustRightInd w:val="0"/>
        <w:spacing w:after="0" w:line="276" w:lineRule="auto"/>
        <w:ind w:firstLine="630"/>
        <w:jc w:val="both"/>
        <w:rPr>
          <w:rFonts w:ascii="Times New Roman" w:hAnsi="Times New Roman" w:cs="Times New Roman"/>
          <w:sz w:val="28"/>
          <w:szCs w:val="28"/>
        </w:rPr>
      </w:pPr>
      <w:r w:rsidRPr="001D0846">
        <w:rPr>
          <w:rFonts w:ascii="Times New Roman" w:hAnsi="Times New Roman" w:cs="Times New Roman"/>
          <w:sz w:val="28"/>
          <w:szCs w:val="28"/>
          <w:lang w:eastAsia="ru-RU"/>
        </w:rPr>
        <w:t xml:space="preserve">Curtea de Conturi consideră rezultatele auditului performanței </w:t>
      </w:r>
      <w:r w:rsidR="000C7CE1" w:rsidRPr="001D0846">
        <w:rPr>
          <w:rFonts w:ascii="Times New Roman" w:hAnsi="Times New Roman" w:cs="Times New Roman"/>
          <w:sz w:val="28"/>
          <w:szCs w:val="28"/>
          <w:lang w:eastAsia="ru-RU"/>
        </w:rPr>
        <w:t xml:space="preserve">relevante </w:t>
      </w:r>
      <w:r w:rsidRPr="001D0846">
        <w:rPr>
          <w:rFonts w:ascii="Times New Roman" w:hAnsi="Times New Roman" w:cs="Times New Roman"/>
          <w:sz w:val="28"/>
          <w:szCs w:val="28"/>
          <w:lang w:eastAsia="ru-RU"/>
        </w:rPr>
        <w:t>pentru Parlament și Guvern, autoritățile cu atribuții și responsabilități în administrarea impozitelor și taxelor (MF, SFS, SV)</w:t>
      </w:r>
      <w:r w:rsidR="000C7CE1">
        <w:rPr>
          <w:rFonts w:ascii="Times New Roman" w:hAnsi="Times New Roman" w:cs="Times New Roman"/>
          <w:sz w:val="28"/>
          <w:szCs w:val="28"/>
          <w:lang w:eastAsia="ru-RU"/>
        </w:rPr>
        <w:t>,</w:t>
      </w:r>
      <w:r w:rsidRPr="001D0846">
        <w:rPr>
          <w:rFonts w:ascii="Times New Roman" w:hAnsi="Times New Roman" w:cs="Times New Roman"/>
          <w:sz w:val="28"/>
          <w:szCs w:val="28"/>
          <w:lang w:eastAsia="ru-RU"/>
        </w:rPr>
        <w:t xml:space="preserve"> întruc</w:t>
      </w:r>
      <w:r w:rsidR="000C7CE1">
        <w:rPr>
          <w:rFonts w:ascii="Times New Roman" w:hAnsi="Times New Roman" w:cs="Times New Roman"/>
          <w:sz w:val="28"/>
          <w:szCs w:val="28"/>
          <w:lang w:eastAsia="ru-RU"/>
        </w:rPr>
        <w:t>â</w:t>
      </w:r>
      <w:r w:rsidRPr="001D0846">
        <w:rPr>
          <w:rFonts w:ascii="Times New Roman" w:hAnsi="Times New Roman" w:cs="Times New Roman"/>
          <w:sz w:val="28"/>
          <w:szCs w:val="28"/>
          <w:lang w:eastAsia="ru-RU"/>
        </w:rPr>
        <w:t xml:space="preserve">t </w:t>
      </w:r>
      <w:r w:rsidR="007B464D" w:rsidRPr="001D0846">
        <w:rPr>
          <w:rFonts w:ascii="Times New Roman" w:hAnsi="Times New Roman" w:cs="Times New Roman"/>
          <w:sz w:val="28"/>
          <w:szCs w:val="28"/>
          <w:lang w:eastAsia="ru-RU"/>
        </w:rPr>
        <w:t xml:space="preserve">acestea </w:t>
      </w:r>
      <w:r w:rsidRPr="001D0846">
        <w:rPr>
          <w:rFonts w:ascii="Times New Roman" w:hAnsi="Times New Roman" w:cs="Times New Roman"/>
          <w:sz w:val="28"/>
          <w:szCs w:val="28"/>
          <w:lang w:eastAsia="ru-RU"/>
        </w:rPr>
        <w:t>pot servi ca temei pentru</w:t>
      </w:r>
      <w:r w:rsidR="003206E3" w:rsidRPr="001D0846">
        <w:rPr>
          <w:rFonts w:ascii="Times New Roman" w:hAnsi="Times New Roman" w:cs="Times New Roman"/>
          <w:sz w:val="28"/>
          <w:szCs w:val="28"/>
          <w:lang w:eastAsia="ru-RU"/>
        </w:rPr>
        <w:t xml:space="preserve">:1) </w:t>
      </w:r>
      <w:r w:rsidRPr="001D0846">
        <w:rPr>
          <w:rFonts w:ascii="Times New Roman" w:hAnsi="Times New Roman" w:cs="Times New Roman"/>
          <w:sz w:val="28"/>
          <w:szCs w:val="28"/>
          <w:lang w:eastAsia="ru-RU"/>
        </w:rPr>
        <w:t>adoptarea deciziilor de revizuire și ajustare a</w:t>
      </w:r>
      <w:r w:rsidRPr="001D0846">
        <w:rPr>
          <w:rFonts w:ascii="Times New Roman" w:hAnsi="Times New Roman" w:cs="Times New Roman"/>
          <w:sz w:val="28"/>
          <w:szCs w:val="28"/>
        </w:rPr>
        <w:t xml:space="preserve"> cadrului legislativ-normativ de reglementare a domeniului administrării impozitelor și taxelor, </w:t>
      </w:r>
      <w:r w:rsidR="003206E3" w:rsidRPr="001D0846">
        <w:rPr>
          <w:rFonts w:ascii="Times New Roman" w:hAnsi="Times New Roman" w:cs="Times New Roman"/>
          <w:sz w:val="28"/>
          <w:szCs w:val="28"/>
        </w:rPr>
        <w:t xml:space="preserve">2) </w:t>
      </w:r>
      <w:r w:rsidR="00F56F97" w:rsidRPr="00B40843">
        <w:rPr>
          <w:rFonts w:ascii="Times New Roman" w:hAnsi="Times New Roman"/>
          <w:sz w:val="28"/>
          <w:szCs w:val="28"/>
        </w:rPr>
        <w:t>elaborarea</w:t>
      </w:r>
      <w:r w:rsidR="00F25B0D" w:rsidRPr="00B40843">
        <w:rPr>
          <w:rFonts w:ascii="Times New Roman" w:hAnsi="Times New Roman"/>
          <w:sz w:val="28"/>
          <w:szCs w:val="28"/>
        </w:rPr>
        <w:t>/ajustarea</w:t>
      </w:r>
      <w:r w:rsidR="00206E15" w:rsidRPr="00B40843">
        <w:rPr>
          <w:rFonts w:ascii="Times New Roman" w:hAnsi="Times New Roman"/>
          <w:sz w:val="28"/>
          <w:szCs w:val="28"/>
        </w:rPr>
        <w:t>politicilor, procedurilor și instrumentelor de administrare fiscală</w:t>
      </w:r>
      <w:r w:rsidR="00206E15" w:rsidRPr="00206E15">
        <w:rPr>
          <w:rFonts w:ascii="Times New Roman" w:hAnsi="Times New Roman"/>
          <w:sz w:val="28"/>
          <w:szCs w:val="28"/>
        </w:rPr>
        <w:t xml:space="preserve"> și vamală,</w:t>
      </w:r>
      <w:r w:rsidR="003206E3" w:rsidRPr="001D0846">
        <w:rPr>
          <w:rFonts w:ascii="Times New Roman" w:hAnsi="Times New Roman" w:cs="Times New Roman"/>
          <w:sz w:val="28"/>
          <w:szCs w:val="28"/>
        </w:rPr>
        <w:t xml:space="preserve">3) </w:t>
      </w:r>
      <w:r w:rsidRPr="001D0846">
        <w:rPr>
          <w:rFonts w:ascii="Times New Roman" w:hAnsi="Times New Roman" w:cs="Times New Roman"/>
          <w:sz w:val="28"/>
          <w:szCs w:val="28"/>
        </w:rPr>
        <w:t>remedier</w:t>
      </w:r>
      <w:r w:rsidR="00F56F97">
        <w:rPr>
          <w:rFonts w:ascii="Times New Roman" w:hAnsi="Times New Roman" w:cs="Times New Roman"/>
          <w:sz w:val="28"/>
          <w:szCs w:val="28"/>
        </w:rPr>
        <w:t>ea</w:t>
      </w:r>
      <w:r w:rsidRPr="001D0846">
        <w:rPr>
          <w:rFonts w:ascii="Times New Roman" w:hAnsi="Times New Roman" w:cs="Times New Roman"/>
          <w:sz w:val="28"/>
          <w:szCs w:val="28"/>
        </w:rPr>
        <w:t xml:space="preserve"> unor deficiențe și situații problematice, în scopul consolidării acestui sistem.</w:t>
      </w:r>
    </w:p>
    <w:p w:rsidR="00982BF8" w:rsidRPr="001D0846" w:rsidRDefault="00982BF8" w:rsidP="006358AD">
      <w:pPr>
        <w:autoSpaceDE w:val="0"/>
        <w:autoSpaceDN w:val="0"/>
        <w:adjustRightInd w:val="0"/>
        <w:spacing w:after="0" w:line="276" w:lineRule="auto"/>
        <w:ind w:firstLine="630"/>
        <w:jc w:val="both"/>
        <w:rPr>
          <w:rFonts w:ascii="Times New Roman" w:hAnsi="Times New Roman" w:cs="Times New Roman"/>
          <w:sz w:val="28"/>
          <w:szCs w:val="28"/>
        </w:rPr>
      </w:pPr>
      <w:r w:rsidRPr="001D0846">
        <w:rPr>
          <w:rFonts w:ascii="Times New Roman" w:hAnsi="Times New Roman" w:cs="Times New Roman"/>
          <w:sz w:val="28"/>
          <w:szCs w:val="28"/>
        </w:rPr>
        <w:t>De asemenea, rezultatele ar putea fi relevante pentru societatea civilă și mediul de afaceri, întrucât redau situația reală în procesul de administrare a impozitelor și taxelor, informând despre managementul, rezultatele și problemele domeniului analizat, cauzele și impactul acestora asupra BPN, oferind posibilitatea evaluării unor riscuri potențiale în domeniul social-economic, ca rezultat al neachitării impozitelor și taxelor.</w:t>
      </w:r>
    </w:p>
    <w:p w:rsidR="00982BF8" w:rsidRDefault="00982BF8" w:rsidP="006358AD">
      <w:pPr>
        <w:tabs>
          <w:tab w:val="left" w:pos="572"/>
          <w:tab w:val="left" w:pos="598"/>
          <w:tab w:val="left" w:pos="884"/>
          <w:tab w:val="left" w:pos="993"/>
        </w:tabs>
        <w:spacing w:after="0" w:line="276" w:lineRule="auto"/>
        <w:jc w:val="both"/>
        <w:rPr>
          <w:rFonts w:ascii="Times New Roman" w:hAnsi="Times New Roman" w:cs="Times New Roman"/>
          <w:sz w:val="28"/>
          <w:szCs w:val="28"/>
          <w:lang w:eastAsia="ru-RU"/>
        </w:rPr>
      </w:pPr>
      <w:r w:rsidRPr="001D0846">
        <w:rPr>
          <w:rFonts w:ascii="Times New Roman" w:hAnsi="Times New Roman" w:cs="Times New Roman"/>
          <w:color w:val="000000"/>
          <w:spacing w:val="3"/>
          <w:sz w:val="28"/>
          <w:szCs w:val="28"/>
        </w:rPr>
        <w:tab/>
      </w:r>
      <w:r w:rsidRPr="001D0846">
        <w:rPr>
          <w:rFonts w:ascii="Times New Roman" w:hAnsi="Times New Roman" w:cs="Times New Roman"/>
          <w:sz w:val="28"/>
          <w:szCs w:val="28"/>
          <w:lang w:eastAsia="ru-RU"/>
        </w:rPr>
        <w:t xml:space="preserve">Impactul potențial al misiunii de audit </w:t>
      </w:r>
      <w:r w:rsidR="00327912" w:rsidRPr="001D0846">
        <w:rPr>
          <w:rFonts w:ascii="Times New Roman" w:hAnsi="Times New Roman" w:cs="Times New Roman"/>
          <w:sz w:val="28"/>
          <w:szCs w:val="28"/>
          <w:lang w:eastAsia="ru-RU"/>
        </w:rPr>
        <w:t xml:space="preserve">ar putea contribui la </w:t>
      </w:r>
      <w:r w:rsidRPr="001D0846">
        <w:rPr>
          <w:rFonts w:ascii="Times New Roman" w:hAnsi="Times New Roman" w:cs="Times New Roman"/>
          <w:sz w:val="28"/>
          <w:szCs w:val="28"/>
          <w:lang w:eastAsia="ru-RU"/>
        </w:rPr>
        <w:t xml:space="preserve">consolidarea sistemului de administrare a impozitelor și taxelor, prin remedierea unor situații problematice care afectează performanța instituțională, luarea de măsuri pentru sporirea gradului de eficiență și eficacitate a administrării fiscale și îmbunătățirea </w:t>
      </w:r>
      <w:r w:rsidRPr="001D0846">
        <w:rPr>
          <w:rFonts w:ascii="Times New Roman" w:hAnsi="Times New Roman" w:cs="Times New Roman"/>
          <w:sz w:val="28"/>
          <w:szCs w:val="28"/>
          <w:lang w:eastAsia="ru-RU"/>
        </w:rPr>
        <w:lastRenderedPageBreak/>
        <w:t xml:space="preserve">politicilor de administrare fiscală și vamală. De asemenea, rezultatele misiunii de audit al performanței </w:t>
      </w:r>
      <w:r w:rsidR="00327912" w:rsidRPr="001D0846">
        <w:rPr>
          <w:rFonts w:ascii="Times New Roman" w:hAnsi="Times New Roman" w:cs="Times New Roman"/>
          <w:sz w:val="28"/>
          <w:szCs w:val="28"/>
          <w:lang w:eastAsia="ru-RU"/>
        </w:rPr>
        <w:t xml:space="preserve">consolidează bunele </w:t>
      </w:r>
      <w:r w:rsidRPr="001D0846">
        <w:rPr>
          <w:rFonts w:ascii="Times New Roman" w:hAnsi="Times New Roman" w:cs="Times New Roman"/>
          <w:sz w:val="28"/>
          <w:szCs w:val="28"/>
          <w:lang w:eastAsia="ru-RU"/>
        </w:rPr>
        <w:t>practici ale Curții de Conturi în auditarea sistemului de administrare a impozitelor și taxelor.</w:t>
      </w:r>
    </w:p>
    <w:p w:rsidR="00206E15" w:rsidRPr="00206E15" w:rsidRDefault="00206E15" w:rsidP="00206E15">
      <w:pPr>
        <w:spacing w:after="0" w:line="276" w:lineRule="auto"/>
        <w:ind w:firstLine="630"/>
        <w:jc w:val="both"/>
        <w:rPr>
          <w:rFonts w:ascii="Times New Roman" w:hAnsi="Times New Roman" w:cs="Times New Roman"/>
          <w:sz w:val="28"/>
          <w:szCs w:val="28"/>
          <w:lang w:eastAsia="ru-RU"/>
        </w:rPr>
      </w:pPr>
      <w:r w:rsidRPr="00206E15">
        <w:rPr>
          <w:rFonts w:ascii="Times New Roman" w:hAnsi="Times New Roman" w:cs="Times New Roman"/>
          <w:bCs/>
          <w:sz w:val="28"/>
          <w:szCs w:val="28"/>
          <w:lang w:eastAsia="ru-RU"/>
        </w:rPr>
        <w:t>În rezultatul identificării riscurilor</w:t>
      </w:r>
      <w:r w:rsidR="00F56F97">
        <w:rPr>
          <w:rFonts w:ascii="Times New Roman" w:hAnsi="Times New Roman" w:cs="Times New Roman"/>
          <w:bCs/>
          <w:sz w:val="28"/>
          <w:szCs w:val="28"/>
          <w:lang w:eastAsia="ru-RU"/>
        </w:rPr>
        <w:t>,</w:t>
      </w:r>
      <w:r w:rsidRPr="00206E15">
        <w:rPr>
          <w:rFonts w:ascii="Times New Roman" w:hAnsi="Times New Roman" w:cs="Times New Roman"/>
          <w:sz w:val="28"/>
          <w:szCs w:val="28"/>
          <w:lang w:eastAsia="ru-RU"/>
        </w:rPr>
        <w:t>care pot avea impact asupra rezultatelor administrării</w:t>
      </w:r>
      <w:r w:rsidRPr="00206E15">
        <w:rPr>
          <w:rFonts w:ascii="Times New Roman" w:hAnsi="Times New Roman" w:cs="Times New Roman"/>
          <w:sz w:val="28"/>
          <w:szCs w:val="28"/>
        </w:rPr>
        <w:t xml:space="preserve"> impozitelor și taxelor de către SFS și SV, precum și av</w:t>
      </w:r>
      <w:r w:rsidR="00F56F97">
        <w:rPr>
          <w:rFonts w:ascii="Times New Roman" w:hAnsi="Times New Roman" w:cs="Times New Roman"/>
          <w:sz w:val="28"/>
          <w:szCs w:val="28"/>
        </w:rPr>
        <w:t>â</w:t>
      </w:r>
      <w:r w:rsidRPr="00206E15">
        <w:rPr>
          <w:rFonts w:ascii="Times New Roman" w:hAnsi="Times New Roman" w:cs="Times New Roman"/>
          <w:sz w:val="28"/>
          <w:szCs w:val="28"/>
        </w:rPr>
        <w:t xml:space="preserve">nd în vedere tema de audit selectată, </w:t>
      </w:r>
      <w:r w:rsidR="00B40843">
        <w:rPr>
          <w:rFonts w:ascii="Times New Roman" w:hAnsi="Times New Roman" w:cs="Times New Roman"/>
          <w:sz w:val="28"/>
          <w:szCs w:val="28"/>
        </w:rPr>
        <w:t>au fost</w:t>
      </w:r>
      <w:r w:rsidRPr="00206E15">
        <w:rPr>
          <w:rFonts w:ascii="Times New Roman" w:hAnsi="Times New Roman" w:cs="Times New Roman"/>
          <w:sz w:val="28"/>
          <w:szCs w:val="28"/>
        </w:rPr>
        <w:t xml:space="preserve"> formulat</w:t>
      </w:r>
      <w:r w:rsidR="00B40843">
        <w:rPr>
          <w:rFonts w:ascii="Times New Roman" w:hAnsi="Times New Roman" w:cs="Times New Roman"/>
          <w:sz w:val="28"/>
          <w:szCs w:val="28"/>
        </w:rPr>
        <w:t>e</w:t>
      </w:r>
      <w:r w:rsidRPr="00206E15">
        <w:rPr>
          <w:rFonts w:ascii="Times New Roman" w:hAnsi="Times New Roman" w:cs="Times New Roman"/>
          <w:sz w:val="28"/>
          <w:szCs w:val="28"/>
        </w:rPr>
        <w:t xml:space="preserve"> următoarele </w:t>
      </w:r>
      <w:r w:rsidRPr="005A5243">
        <w:rPr>
          <w:rFonts w:ascii="Times New Roman" w:hAnsi="Times New Roman" w:cs="Times New Roman"/>
          <w:sz w:val="28"/>
          <w:szCs w:val="28"/>
        </w:rPr>
        <w:t>obiective de audit:</w:t>
      </w:r>
    </w:p>
    <w:p w:rsidR="006522E0" w:rsidRDefault="006522E0" w:rsidP="006522E0">
      <w:pPr>
        <w:tabs>
          <w:tab w:val="left" w:pos="630"/>
          <w:tab w:val="left" w:pos="993"/>
        </w:tabs>
        <w:spacing w:after="0" w:line="276" w:lineRule="auto"/>
        <w:jc w:val="both"/>
        <w:rPr>
          <w:rFonts w:ascii="Times New Roman" w:hAnsi="Times New Roman" w:cs="Times New Roman"/>
          <w:i/>
          <w:sz w:val="28"/>
          <w:szCs w:val="28"/>
        </w:rPr>
      </w:pPr>
      <w:r>
        <w:rPr>
          <w:rFonts w:ascii="Times New Roman" w:hAnsi="Times New Roman" w:cs="Times New Roman"/>
          <w:i/>
          <w:sz w:val="28"/>
          <w:szCs w:val="28"/>
        </w:rPr>
        <w:tab/>
        <w:t xml:space="preserve">1) </w:t>
      </w:r>
      <w:r w:rsidR="00982BF8" w:rsidRPr="00B40843">
        <w:rPr>
          <w:rFonts w:ascii="Times New Roman" w:hAnsi="Times New Roman" w:cs="Times New Roman"/>
          <w:i/>
          <w:sz w:val="28"/>
          <w:szCs w:val="28"/>
        </w:rPr>
        <w:t xml:space="preserve">Evaluarea managementului </w:t>
      </w:r>
      <w:r w:rsidR="00C97CC6">
        <w:rPr>
          <w:rFonts w:ascii="Times New Roman" w:hAnsi="Times New Roman" w:cs="Times New Roman"/>
          <w:i/>
          <w:sz w:val="28"/>
          <w:szCs w:val="28"/>
        </w:rPr>
        <w:t>organelor</w:t>
      </w:r>
      <w:r w:rsidR="00B40843" w:rsidRPr="00B40843">
        <w:rPr>
          <w:rFonts w:ascii="Times New Roman" w:hAnsi="Times New Roman" w:cs="Times New Roman"/>
          <w:i/>
          <w:sz w:val="28"/>
          <w:szCs w:val="28"/>
        </w:rPr>
        <w:t xml:space="preserve"> fiscale și vamale </w:t>
      </w:r>
      <w:r w:rsidR="00982BF8" w:rsidRPr="00B40843">
        <w:rPr>
          <w:rFonts w:ascii="Times New Roman" w:hAnsi="Times New Roman" w:cs="Times New Roman"/>
          <w:i/>
          <w:sz w:val="28"/>
          <w:szCs w:val="28"/>
        </w:rPr>
        <w:t xml:space="preserve">și a rezultatelor administrării impozitelor și taxelor </w:t>
      </w:r>
      <w:r w:rsidR="00F56F97" w:rsidRPr="00B40843">
        <w:rPr>
          <w:rFonts w:ascii="Times New Roman" w:hAnsi="Times New Roman" w:cs="Times New Roman"/>
          <w:i/>
          <w:sz w:val="28"/>
          <w:szCs w:val="28"/>
        </w:rPr>
        <w:t>de către</w:t>
      </w:r>
      <w:r w:rsidR="00B40843" w:rsidRPr="00B40843">
        <w:rPr>
          <w:rFonts w:ascii="Times New Roman" w:hAnsi="Times New Roman" w:cs="Times New Roman"/>
          <w:i/>
          <w:sz w:val="28"/>
          <w:szCs w:val="28"/>
        </w:rPr>
        <w:t xml:space="preserve"> aceste organe</w:t>
      </w:r>
      <w:r w:rsidR="00982BF8" w:rsidRPr="00B40843">
        <w:rPr>
          <w:rFonts w:ascii="Times New Roman" w:hAnsi="Times New Roman" w:cs="Times New Roman"/>
          <w:i/>
          <w:sz w:val="28"/>
          <w:szCs w:val="28"/>
        </w:rPr>
        <w:t>;</w:t>
      </w:r>
    </w:p>
    <w:p w:rsidR="00982BF8" w:rsidRPr="006522E0" w:rsidRDefault="006522E0" w:rsidP="006522E0">
      <w:pPr>
        <w:tabs>
          <w:tab w:val="left" w:pos="630"/>
          <w:tab w:val="left" w:pos="993"/>
        </w:tabs>
        <w:spacing w:after="0" w:line="276" w:lineRule="auto"/>
        <w:jc w:val="both"/>
        <w:rPr>
          <w:rFonts w:ascii="Times New Roman" w:hAnsi="Times New Roman" w:cs="Times New Roman"/>
          <w:i/>
          <w:sz w:val="28"/>
          <w:szCs w:val="28"/>
        </w:rPr>
      </w:pPr>
      <w:r>
        <w:rPr>
          <w:rFonts w:ascii="Times New Roman" w:hAnsi="Times New Roman" w:cs="Times New Roman"/>
          <w:i/>
          <w:sz w:val="28"/>
          <w:szCs w:val="28"/>
        </w:rPr>
        <w:tab/>
        <w:t xml:space="preserve">2) </w:t>
      </w:r>
      <w:r w:rsidR="00982BF8" w:rsidRPr="006522E0">
        <w:rPr>
          <w:rFonts w:ascii="Times New Roman" w:hAnsi="Times New Roman" w:cs="Times New Roman"/>
          <w:i/>
          <w:sz w:val="28"/>
          <w:szCs w:val="28"/>
        </w:rPr>
        <w:t>Elaborarea recomandărilor pentru îmbunătățirea managementului și a rezultatelor administrării unor impozite și taxe.</w:t>
      </w:r>
    </w:p>
    <w:p w:rsidR="00982BF8" w:rsidRPr="00C97CC6" w:rsidRDefault="00982BF8" w:rsidP="006326D4">
      <w:pPr>
        <w:spacing w:after="0" w:line="276" w:lineRule="auto"/>
        <w:ind w:firstLine="709"/>
        <w:jc w:val="both"/>
        <w:rPr>
          <w:rFonts w:ascii="Times New Roman" w:hAnsi="Times New Roman" w:cs="Times New Roman"/>
          <w:i/>
          <w:sz w:val="28"/>
          <w:szCs w:val="28"/>
        </w:rPr>
      </w:pPr>
      <w:r w:rsidRPr="001D0846">
        <w:rPr>
          <w:rFonts w:ascii="Times New Roman" w:hAnsi="Times New Roman" w:cs="Times New Roman"/>
          <w:sz w:val="28"/>
          <w:szCs w:val="28"/>
        </w:rPr>
        <w:t xml:space="preserve">Pentru determinarea nivelului de management și a rezultatelor administrării impozitelor și taxelor, precum și </w:t>
      </w:r>
      <w:r w:rsidR="00F56F97">
        <w:rPr>
          <w:rFonts w:ascii="Times New Roman" w:hAnsi="Times New Roman" w:cs="Times New Roman"/>
          <w:sz w:val="28"/>
          <w:szCs w:val="28"/>
        </w:rPr>
        <w:t xml:space="preserve">pentru </w:t>
      </w:r>
      <w:r w:rsidRPr="001D0846">
        <w:rPr>
          <w:rFonts w:ascii="Times New Roman" w:hAnsi="Times New Roman" w:cs="Times New Roman"/>
          <w:sz w:val="28"/>
          <w:szCs w:val="28"/>
        </w:rPr>
        <w:t>a răspunde la obiectivele stabilite, echipa de audit a formulat următoarea întrebare principală:</w:t>
      </w:r>
      <w:r w:rsidRPr="00C97CC6">
        <w:rPr>
          <w:rFonts w:ascii="Times New Roman" w:hAnsi="Times New Roman" w:cs="Times New Roman"/>
          <w:i/>
          <w:sz w:val="28"/>
          <w:szCs w:val="28"/>
        </w:rPr>
        <w:t>,,În ce măsură SFS și SV au asigurat un management adecvat menit să asigure rezultatele scontate” ?</w:t>
      </w:r>
    </w:p>
    <w:p w:rsidR="00982BF8" w:rsidRPr="001D0846" w:rsidRDefault="001D077D" w:rsidP="000A421F">
      <w:pPr>
        <w:tabs>
          <w:tab w:val="left" w:pos="630"/>
        </w:tabs>
        <w:spacing w:after="0" w:line="276" w:lineRule="auto"/>
        <w:ind w:right="-2" w:firstLine="709"/>
        <w:jc w:val="both"/>
        <w:rPr>
          <w:rFonts w:ascii="Times New Roman" w:hAnsi="Times New Roman" w:cs="Times New Roman"/>
          <w:sz w:val="28"/>
          <w:szCs w:val="28"/>
        </w:rPr>
      </w:pPr>
      <w:r w:rsidRPr="001D0846">
        <w:rPr>
          <w:rFonts w:ascii="Times New Roman" w:hAnsi="Times New Roman" w:cs="Times New Roman"/>
          <w:sz w:val="28"/>
          <w:szCs w:val="28"/>
        </w:rPr>
        <w:tab/>
      </w:r>
      <w:r w:rsidR="0037313F">
        <w:rPr>
          <w:rFonts w:ascii="Times New Roman" w:hAnsi="Times New Roman" w:cs="Times New Roman"/>
          <w:sz w:val="28"/>
          <w:szCs w:val="28"/>
        </w:rPr>
        <w:t>În scopul</w:t>
      </w:r>
      <w:r w:rsidRPr="001D0846">
        <w:rPr>
          <w:rFonts w:ascii="Times New Roman" w:hAnsi="Times New Roman" w:cs="Times New Roman"/>
          <w:sz w:val="28"/>
          <w:szCs w:val="28"/>
        </w:rPr>
        <w:t xml:space="preserve"> realiz</w:t>
      </w:r>
      <w:r w:rsidR="0037313F">
        <w:rPr>
          <w:rFonts w:ascii="Times New Roman" w:hAnsi="Times New Roman" w:cs="Times New Roman"/>
          <w:sz w:val="28"/>
          <w:szCs w:val="28"/>
        </w:rPr>
        <w:t>ării</w:t>
      </w:r>
      <w:r w:rsidRPr="001D0846">
        <w:rPr>
          <w:rFonts w:ascii="Times New Roman" w:hAnsi="Times New Roman" w:cs="Times New Roman"/>
          <w:sz w:val="28"/>
          <w:szCs w:val="28"/>
        </w:rPr>
        <w:t xml:space="preserve"> obiectivelor</w:t>
      </w:r>
      <w:r w:rsidR="00982BF8" w:rsidRPr="001D0846">
        <w:rPr>
          <w:rFonts w:ascii="Times New Roman" w:hAnsi="Times New Roman" w:cs="Times New Roman"/>
          <w:sz w:val="28"/>
          <w:szCs w:val="28"/>
        </w:rPr>
        <w:t xml:space="preserve"> propus</w:t>
      </w:r>
      <w:r w:rsidRPr="001D0846">
        <w:rPr>
          <w:rFonts w:ascii="Times New Roman" w:hAnsi="Times New Roman" w:cs="Times New Roman"/>
          <w:sz w:val="28"/>
          <w:szCs w:val="28"/>
        </w:rPr>
        <w:t>e</w:t>
      </w:r>
      <w:r w:rsidR="00982BF8" w:rsidRPr="001D0846">
        <w:rPr>
          <w:rFonts w:ascii="Times New Roman" w:hAnsi="Times New Roman" w:cs="Times New Roman"/>
          <w:sz w:val="28"/>
          <w:szCs w:val="28"/>
        </w:rPr>
        <w:t xml:space="preserve">, misiunea de audit </w:t>
      </w:r>
      <w:r w:rsidR="00B1515B" w:rsidRPr="001D0846">
        <w:rPr>
          <w:rFonts w:ascii="Times New Roman" w:hAnsi="Times New Roman" w:cs="Times New Roman"/>
          <w:sz w:val="28"/>
          <w:szCs w:val="28"/>
        </w:rPr>
        <w:t>a desfășurat</w:t>
      </w:r>
      <w:r w:rsidR="00982BF8" w:rsidRPr="001D0846">
        <w:rPr>
          <w:rFonts w:ascii="Times New Roman" w:hAnsi="Times New Roman" w:cs="Times New Roman"/>
          <w:sz w:val="28"/>
          <w:szCs w:val="28"/>
        </w:rPr>
        <w:t xml:space="preserve"> activități de colectare a probelor de audit în vederea evaluării managementului și rezultatelor administrării impozitelor și taxelor, pentru a formula o concluzie asupra:</w:t>
      </w:r>
    </w:p>
    <w:p w:rsidR="00B40843" w:rsidRDefault="00B40843" w:rsidP="00206E15">
      <w:pPr>
        <w:tabs>
          <w:tab w:val="left" w:pos="360"/>
          <w:tab w:val="left" w:pos="630"/>
        </w:tabs>
        <w:spacing w:after="0" w:line="276" w:lineRule="auto"/>
        <w:ind w:right="-2"/>
        <w:jc w:val="both"/>
        <w:rPr>
          <w:rFonts w:ascii="Times New Roman" w:hAnsi="Times New Roman" w:cs="Times New Roman"/>
          <w:sz w:val="28"/>
          <w:szCs w:val="28"/>
        </w:rPr>
      </w:pPr>
      <w:r>
        <w:rPr>
          <w:rFonts w:ascii="Times New Roman" w:hAnsi="Times New Roman" w:cs="Times New Roman"/>
          <w:sz w:val="28"/>
          <w:szCs w:val="28"/>
        </w:rPr>
        <w:tab/>
        <w:t xml:space="preserve">(i) </w:t>
      </w:r>
      <w:r w:rsidR="00017C3F">
        <w:rPr>
          <w:rFonts w:ascii="Times New Roman" w:hAnsi="Times New Roman" w:cs="Times New Roman"/>
          <w:sz w:val="28"/>
          <w:szCs w:val="28"/>
        </w:rPr>
        <w:t xml:space="preserve">elaborării și </w:t>
      </w:r>
      <w:r w:rsidR="00982BF8" w:rsidRPr="00206E15">
        <w:rPr>
          <w:rFonts w:ascii="Times New Roman" w:hAnsi="Times New Roman" w:cs="Times New Roman"/>
          <w:sz w:val="28"/>
          <w:szCs w:val="28"/>
        </w:rPr>
        <w:t xml:space="preserve">realizării </w:t>
      </w:r>
      <w:r w:rsidR="00982BF8" w:rsidRPr="00206E15">
        <w:rPr>
          <w:rFonts w:ascii="Times New Roman" w:hAnsi="Times New Roman" w:cs="Times New Roman"/>
          <w:sz w:val="28"/>
          <w:szCs w:val="28"/>
          <w:lang w:eastAsia="ru-RU"/>
        </w:rPr>
        <w:t xml:space="preserve">obiectivelor și indicatorilor de performanță din strategii și alte </w:t>
      </w:r>
      <w:r w:rsidR="001D077D" w:rsidRPr="00206E15">
        <w:rPr>
          <w:rFonts w:ascii="Times New Roman" w:hAnsi="Times New Roman" w:cs="Times New Roman"/>
          <w:sz w:val="28"/>
          <w:szCs w:val="28"/>
          <w:lang w:eastAsia="ru-RU"/>
        </w:rPr>
        <w:t>documente</w:t>
      </w:r>
      <w:r w:rsidR="00982BF8" w:rsidRPr="00206E15">
        <w:rPr>
          <w:rFonts w:ascii="Times New Roman" w:hAnsi="Times New Roman" w:cs="Times New Roman"/>
          <w:sz w:val="28"/>
          <w:szCs w:val="28"/>
          <w:lang w:eastAsia="ru-RU"/>
        </w:rPr>
        <w:t xml:space="preserve"> de planificare strategică privind</w:t>
      </w:r>
      <w:r w:rsidR="00982BF8" w:rsidRPr="00206E15">
        <w:rPr>
          <w:rFonts w:ascii="Times New Roman" w:hAnsi="Times New Roman" w:cs="Times New Roman"/>
          <w:sz w:val="28"/>
          <w:szCs w:val="28"/>
        </w:rPr>
        <w:t xml:space="preserve"> administrarea impozitelor și taxelor;</w:t>
      </w:r>
    </w:p>
    <w:p w:rsidR="00B40843" w:rsidRDefault="00B40843" w:rsidP="00B40843">
      <w:pPr>
        <w:tabs>
          <w:tab w:val="left" w:pos="360"/>
          <w:tab w:val="left" w:pos="630"/>
        </w:tabs>
        <w:spacing w:after="0" w:line="276" w:lineRule="auto"/>
        <w:ind w:right="-2"/>
        <w:jc w:val="both"/>
        <w:rPr>
          <w:rFonts w:ascii="Times New Roman" w:hAnsi="Times New Roman" w:cs="Times New Roman"/>
          <w:sz w:val="28"/>
          <w:szCs w:val="28"/>
        </w:rPr>
      </w:pPr>
      <w:r>
        <w:rPr>
          <w:rFonts w:ascii="Times New Roman" w:hAnsi="Times New Roman" w:cs="Times New Roman"/>
          <w:sz w:val="28"/>
          <w:szCs w:val="28"/>
        </w:rPr>
        <w:tab/>
        <w:t xml:space="preserve">(ii) </w:t>
      </w:r>
      <w:r w:rsidR="00A23BF2" w:rsidRPr="00206E15">
        <w:rPr>
          <w:rFonts w:ascii="Times New Roman" w:hAnsi="Times New Roman" w:cs="Times New Roman"/>
          <w:sz w:val="28"/>
          <w:szCs w:val="28"/>
        </w:rPr>
        <w:t xml:space="preserve">existenței și funcționalității mecanismelor de estimare/prognozare în vederea fundamentării exacte a </w:t>
      </w:r>
      <w:r w:rsidR="00017C3F">
        <w:rPr>
          <w:rFonts w:ascii="Times New Roman" w:hAnsi="Times New Roman" w:cs="Times New Roman"/>
          <w:sz w:val="28"/>
          <w:szCs w:val="28"/>
        </w:rPr>
        <w:t>veniturilor fiscale și vamale</w:t>
      </w:r>
      <w:r>
        <w:rPr>
          <w:rFonts w:ascii="Times New Roman" w:hAnsi="Times New Roman" w:cs="Times New Roman"/>
          <w:sz w:val="28"/>
          <w:szCs w:val="28"/>
        </w:rPr>
        <w:t>;</w:t>
      </w:r>
    </w:p>
    <w:p w:rsidR="00B40843" w:rsidRDefault="00B40843" w:rsidP="00B40843">
      <w:pPr>
        <w:tabs>
          <w:tab w:val="left" w:pos="360"/>
          <w:tab w:val="left" w:pos="630"/>
        </w:tabs>
        <w:spacing w:after="0" w:line="276" w:lineRule="auto"/>
        <w:ind w:right="-2"/>
        <w:jc w:val="both"/>
        <w:rPr>
          <w:rFonts w:ascii="Times New Roman" w:hAnsi="Times New Roman" w:cs="Times New Roman"/>
          <w:sz w:val="28"/>
          <w:szCs w:val="28"/>
        </w:rPr>
      </w:pPr>
      <w:r>
        <w:rPr>
          <w:rFonts w:ascii="Times New Roman" w:hAnsi="Times New Roman" w:cs="Times New Roman"/>
          <w:sz w:val="28"/>
          <w:szCs w:val="28"/>
        </w:rPr>
        <w:tab/>
        <w:t xml:space="preserve">(iii) </w:t>
      </w:r>
      <w:r w:rsidR="00982BF8" w:rsidRPr="00206E15">
        <w:rPr>
          <w:rFonts w:ascii="Times New Roman" w:hAnsi="Times New Roman" w:cs="Times New Roman"/>
          <w:sz w:val="28"/>
          <w:szCs w:val="28"/>
          <w:lang w:eastAsia="ru-RU"/>
        </w:rPr>
        <w:t>realizării planurilor de activitateîn administrarea impozitelor și taxelor;</w:t>
      </w:r>
    </w:p>
    <w:p w:rsidR="00B40843" w:rsidRDefault="00B40843" w:rsidP="00B40843">
      <w:pPr>
        <w:tabs>
          <w:tab w:val="left" w:pos="360"/>
          <w:tab w:val="left" w:pos="630"/>
        </w:tabs>
        <w:spacing w:after="0" w:line="276" w:lineRule="auto"/>
        <w:ind w:right="-2"/>
        <w:jc w:val="both"/>
        <w:rPr>
          <w:rFonts w:ascii="Times New Roman" w:hAnsi="Times New Roman" w:cs="Times New Roman"/>
          <w:sz w:val="28"/>
          <w:szCs w:val="28"/>
        </w:rPr>
      </w:pPr>
      <w:r>
        <w:rPr>
          <w:rFonts w:ascii="Times New Roman" w:hAnsi="Times New Roman" w:cs="Times New Roman"/>
          <w:sz w:val="28"/>
          <w:szCs w:val="28"/>
        </w:rPr>
        <w:tab/>
        <w:t xml:space="preserve">(iv) </w:t>
      </w:r>
      <w:r w:rsidR="00A23BF2" w:rsidRPr="00B40843">
        <w:rPr>
          <w:rFonts w:ascii="Times New Roman" w:hAnsi="Times New Roman" w:cs="Times New Roman"/>
          <w:sz w:val="28"/>
          <w:szCs w:val="28"/>
          <w:lang w:eastAsia="ru-RU"/>
        </w:rPr>
        <w:t>procesului de executare silită a obligației fiscale și vamale;</w:t>
      </w:r>
    </w:p>
    <w:p w:rsidR="00B40843" w:rsidRDefault="00B40843" w:rsidP="00B40843">
      <w:pPr>
        <w:tabs>
          <w:tab w:val="left" w:pos="360"/>
          <w:tab w:val="left" w:pos="630"/>
        </w:tabs>
        <w:spacing w:after="0" w:line="276" w:lineRule="auto"/>
        <w:ind w:right="-2"/>
        <w:jc w:val="both"/>
        <w:rPr>
          <w:rFonts w:ascii="Times New Roman" w:hAnsi="Times New Roman" w:cs="Times New Roman"/>
          <w:sz w:val="28"/>
          <w:szCs w:val="28"/>
        </w:rPr>
      </w:pPr>
      <w:r>
        <w:rPr>
          <w:rFonts w:ascii="Times New Roman" w:hAnsi="Times New Roman" w:cs="Times New Roman"/>
          <w:sz w:val="28"/>
          <w:szCs w:val="28"/>
        </w:rPr>
        <w:tab/>
        <w:t xml:space="preserve">(v) </w:t>
      </w:r>
      <w:r w:rsidR="00982BF8" w:rsidRPr="00B40843">
        <w:rPr>
          <w:rFonts w:ascii="Times New Roman" w:hAnsi="Times New Roman" w:cs="Times New Roman"/>
          <w:sz w:val="28"/>
          <w:szCs w:val="28"/>
        </w:rPr>
        <w:t>conform</w:t>
      </w:r>
      <w:r w:rsidR="00017C3F" w:rsidRPr="00B40843">
        <w:rPr>
          <w:rFonts w:ascii="Times New Roman" w:hAnsi="Times New Roman" w:cs="Times New Roman"/>
          <w:sz w:val="28"/>
          <w:szCs w:val="28"/>
        </w:rPr>
        <w:t>ării voluntare</w:t>
      </w:r>
      <w:r w:rsidR="00982BF8" w:rsidRPr="00B40843">
        <w:rPr>
          <w:rFonts w:ascii="Times New Roman" w:hAnsi="Times New Roman" w:cs="Times New Roman"/>
          <w:sz w:val="28"/>
          <w:szCs w:val="28"/>
        </w:rPr>
        <w:t xml:space="preserve"> la </w:t>
      </w:r>
      <w:r w:rsidR="00017C3F" w:rsidRPr="00B40843">
        <w:rPr>
          <w:rFonts w:ascii="Times New Roman" w:hAnsi="Times New Roman" w:cs="Times New Roman"/>
          <w:sz w:val="28"/>
          <w:szCs w:val="28"/>
        </w:rPr>
        <w:t>declararea și achitarea</w:t>
      </w:r>
      <w:r w:rsidR="00982BF8" w:rsidRPr="00B40843">
        <w:rPr>
          <w:rFonts w:ascii="Times New Roman" w:hAnsi="Times New Roman" w:cs="Times New Roman"/>
          <w:sz w:val="28"/>
          <w:szCs w:val="28"/>
        </w:rPr>
        <w:t xml:space="preserve"> impozitelor și taxelor de către </w:t>
      </w:r>
      <w:r w:rsidR="00017C3F" w:rsidRPr="00B40843">
        <w:rPr>
          <w:rFonts w:ascii="Times New Roman" w:hAnsi="Times New Roman" w:cs="Times New Roman"/>
          <w:sz w:val="28"/>
          <w:szCs w:val="28"/>
        </w:rPr>
        <w:t>contribuabili și plătitorii vamali</w:t>
      </w:r>
      <w:r w:rsidR="00982BF8" w:rsidRPr="00B40843">
        <w:rPr>
          <w:rFonts w:ascii="Times New Roman" w:hAnsi="Times New Roman" w:cs="Times New Roman"/>
          <w:sz w:val="28"/>
          <w:szCs w:val="28"/>
        </w:rPr>
        <w:t>;</w:t>
      </w:r>
    </w:p>
    <w:p w:rsidR="00B40843" w:rsidRDefault="00B40843" w:rsidP="00B40843">
      <w:pPr>
        <w:tabs>
          <w:tab w:val="left" w:pos="360"/>
          <w:tab w:val="left" w:pos="630"/>
        </w:tabs>
        <w:spacing w:after="0" w:line="276" w:lineRule="auto"/>
        <w:ind w:right="-2"/>
        <w:jc w:val="both"/>
        <w:rPr>
          <w:rFonts w:ascii="Times New Roman" w:hAnsi="Times New Roman" w:cs="Times New Roman"/>
          <w:sz w:val="28"/>
          <w:szCs w:val="28"/>
        </w:rPr>
      </w:pPr>
      <w:r>
        <w:rPr>
          <w:rFonts w:ascii="Times New Roman" w:hAnsi="Times New Roman" w:cs="Times New Roman"/>
          <w:sz w:val="28"/>
          <w:szCs w:val="28"/>
        </w:rPr>
        <w:tab/>
        <w:t xml:space="preserve">(vi) </w:t>
      </w:r>
      <w:r w:rsidR="00982BF8" w:rsidRPr="001D0846">
        <w:rPr>
          <w:rFonts w:ascii="Times New Roman" w:hAnsi="Times New Roman" w:cs="Times New Roman"/>
          <w:sz w:val="28"/>
          <w:szCs w:val="28"/>
          <w:lang w:eastAsia="ru-RU"/>
        </w:rPr>
        <w:t>proceduri</w:t>
      </w:r>
      <w:r w:rsidR="0037313F">
        <w:rPr>
          <w:rFonts w:ascii="Times New Roman" w:hAnsi="Times New Roman" w:cs="Times New Roman"/>
          <w:sz w:val="28"/>
          <w:szCs w:val="28"/>
          <w:lang w:eastAsia="ru-RU"/>
        </w:rPr>
        <w:t>lor</w:t>
      </w:r>
      <w:r w:rsidR="00982BF8" w:rsidRPr="001D0846">
        <w:rPr>
          <w:rFonts w:ascii="Times New Roman" w:hAnsi="Times New Roman" w:cs="Times New Roman"/>
          <w:sz w:val="28"/>
          <w:szCs w:val="28"/>
          <w:lang w:eastAsia="ru-RU"/>
        </w:rPr>
        <w:t xml:space="preserve"> de organizare, efectuare și exercitare a controalelor fiscale și auditurilor post-vămuire, </w:t>
      </w:r>
      <w:r w:rsidR="00982BF8" w:rsidRPr="00B40843">
        <w:rPr>
          <w:rFonts w:ascii="Times New Roman" w:hAnsi="Times New Roman" w:cs="Times New Roman"/>
          <w:sz w:val="28"/>
          <w:szCs w:val="28"/>
          <w:lang w:eastAsia="ru-RU"/>
        </w:rPr>
        <w:t>inclusiv rezultatel</w:t>
      </w:r>
      <w:r w:rsidRPr="00B40843">
        <w:rPr>
          <w:rFonts w:ascii="Times New Roman" w:hAnsi="Times New Roman" w:cs="Times New Roman"/>
          <w:sz w:val="28"/>
          <w:szCs w:val="28"/>
          <w:lang w:eastAsia="ru-RU"/>
        </w:rPr>
        <w:t>e</w:t>
      </w:r>
      <w:r w:rsidR="00982BF8" w:rsidRPr="00B40843">
        <w:rPr>
          <w:rFonts w:ascii="Times New Roman" w:hAnsi="Times New Roman" w:cs="Times New Roman"/>
          <w:sz w:val="28"/>
          <w:szCs w:val="28"/>
          <w:lang w:eastAsia="ru-RU"/>
        </w:rPr>
        <w:t xml:space="preserve"> acestora</w:t>
      </w:r>
      <w:r w:rsidR="00017C3F" w:rsidRPr="00B40843">
        <w:rPr>
          <w:rFonts w:ascii="Times New Roman" w:hAnsi="Times New Roman" w:cs="Times New Roman"/>
          <w:sz w:val="28"/>
          <w:szCs w:val="28"/>
          <w:lang w:eastAsia="ru-RU"/>
        </w:rPr>
        <w:t>;</w:t>
      </w:r>
    </w:p>
    <w:p w:rsidR="00B40843" w:rsidRDefault="00B40843" w:rsidP="00B40843">
      <w:pPr>
        <w:tabs>
          <w:tab w:val="left" w:pos="360"/>
          <w:tab w:val="left" w:pos="630"/>
        </w:tabs>
        <w:spacing w:after="0" w:line="276" w:lineRule="auto"/>
        <w:ind w:right="-2"/>
        <w:jc w:val="both"/>
        <w:rPr>
          <w:rFonts w:ascii="Times New Roman" w:hAnsi="Times New Roman" w:cs="Times New Roman"/>
          <w:sz w:val="28"/>
          <w:szCs w:val="28"/>
        </w:rPr>
      </w:pPr>
      <w:r>
        <w:rPr>
          <w:rFonts w:ascii="Times New Roman" w:hAnsi="Times New Roman" w:cs="Times New Roman"/>
          <w:sz w:val="28"/>
          <w:szCs w:val="28"/>
        </w:rPr>
        <w:tab/>
        <w:t xml:space="preserve">(vii) </w:t>
      </w:r>
      <w:r w:rsidR="00017C3F" w:rsidRPr="00B40843">
        <w:rPr>
          <w:rFonts w:ascii="Times New Roman" w:hAnsi="Times New Roman" w:cs="Times New Roman"/>
          <w:sz w:val="28"/>
          <w:szCs w:val="28"/>
        </w:rPr>
        <w:t>implementării de către organele fiscal</w:t>
      </w:r>
      <w:r w:rsidR="0037313F" w:rsidRPr="00B40843">
        <w:rPr>
          <w:rFonts w:ascii="Times New Roman" w:hAnsi="Times New Roman" w:cs="Times New Roman"/>
          <w:sz w:val="28"/>
          <w:szCs w:val="28"/>
        </w:rPr>
        <w:t>e</w:t>
      </w:r>
      <w:r w:rsidR="00017C3F" w:rsidRPr="00B40843">
        <w:rPr>
          <w:rFonts w:ascii="Times New Roman" w:hAnsi="Times New Roman" w:cs="Times New Roman"/>
          <w:sz w:val="28"/>
          <w:szCs w:val="28"/>
        </w:rPr>
        <w:t xml:space="preserve"> și vamale a recomandărilor auditurilor precedente ale CCRM;</w:t>
      </w:r>
    </w:p>
    <w:p w:rsidR="00017C3F" w:rsidRPr="00B40843" w:rsidRDefault="00B40843" w:rsidP="00B40843">
      <w:pPr>
        <w:tabs>
          <w:tab w:val="left" w:pos="360"/>
          <w:tab w:val="left" w:pos="630"/>
        </w:tabs>
        <w:spacing w:after="0" w:line="276" w:lineRule="auto"/>
        <w:ind w:right="-2"/>
        <w:jc w:val="both"/>
        <w:rPr>
          <w:rFonts w:ascii="Times New Roman" w:hAnsi="Times New Roman" w:cs="Times New Roman"/>
          <w:sz w:val="28"/>
          <w:szCs w:val="28"/>
        </w:rPr>
      </w:pPr>
      <w:r>
        <w:rPr>
          <w:rFonts w:ascii="Times New Roman" w:hAnsi="Times New Roman" w:cs="Times New Roman"/>
          <w:sz w:val="28"/>
          <w:szCs w:val="28"/>
        </w:rPr>
        <w:tab/>
        <w:t xml:space="preserve">(viii) </w:t>
      </w:r>
      <w:r w:rsidR="00017C3F" w:rsidRPr="00B40843">
        <w:rPr>
          <w:rFonts w:ascii="Times New Roman" w:hAnsi="Times New Roman" w:cs="Times New Roman"/>
          <w:sz w:val="28"/>
          <w:szCs w:val="28"/>
        </w:rPr>
        <w:t xml:space="preserve">organizării și implementării </w:t>
      </w:r>
      <w:r w:rsidRPr="00B40843">
        <w:rPr>
          <w:rFonts w:ascii="Times New Roman" w:hAnsi="Times New Roman" w:cs="Times New Roman"/>
          <w:sz w:val="28"/>
          <w:szCs w:val="28"/>
        </w:rPr>
        <w:t xml:space="preserve">SCI </w:t>
      </w:r>
      <w:r w:rsidR="00017C3F" w:rsidRPr="00B40843">
        <w:rPr>
          <w:rFonts w:ascii="Times New Roman" w:hAnsi="Times New Roman" w:cs="Times New Roman"/>
          <w:sz w:val="28"/>
          <w:szCs w:val="28"/>
        </w:rPr>
        <w:t>de către organele fiscale și vamale în administrarea impozitelor și taxelor.</w:t>
      </w:r>
    </w:p>
    <w:p w:rsidR="00982BF8" w:rsidRPr="001D0846" w:rsidRDefault="00982BF8" w:rsidP="006358AD">
      <w:pPr>
        <w:spacing w:after="0" w:line="276" w:lineRule="auto"/>
        <w:ind w:firstLine="709"/>
        <w:jc w:val="both"/>
        <w:rPr>
          <w:rFonts w:ascii="Times New Roman" w:hAnsi="Times New Roman" w:cs="Times New Roman"/>
          <w:sz w:val="28"/>
          <w:szCs w:val="28"/>
        </w:rPr>
      </w:pPr>
      <w:r w:rsidRPr="001D0846">
        <w:rPr>
          <w:rFonts w:ascii="Times New Roman" w:hAnsi="Times New Roman" w:cs="Times New Roman"/>
          <w:sz w:val="28"/>
          <w:szCs w:val="28"/>
        </w:rPr>
        <w:t xml:space="preserve">Activitățile de audit </w:t>
      </w:r>
      <w:r w:rsidR="00B1515B" w:rsidRPr="001D0846">
        <w:rPr>
          <w:rFonts w:ascii="Times New Roman" w:hAnsi="Times New Roman" w:cs="Times New Roman"/>
          <w:sz w:val="28"/>
          <w:szCs w:val="28"/>
        </w:rPr>
        <w:t>au fost</w:t>
      </w:r>
      <w:r w:rsidRPr="001D0846">
        <w:rPr>
          <w:rFonts w:ascii="Times New Roman" w:hAnsi="Times New Roman" w:cs="Times New Roman"/>
          <w:sz w:val="28"/>
          <w:szCs w:val="28"/>
        </w:rPr>
        <w:t xml:space="preserve"> orientate spre evaluarea managementului</w:t>
      </w:r>
      <w:r w:rsidR="00D82E5B" w:rsidRPr="001D0846">
        <w:rPr>
          <w:rFonts w:ascii="Times New Roman" w:hAnsi="Times New Roman" w:cs="Times New Roman"/>
          <w:sz w:val="28"/>
          <w:szCs w:val="28"/>
        </w:rPr>
        <w:t>,</w:t>
      </w:r>
      <w:r w:rsidRPr="001D0846">
        <w:rPr>
          <w:rFonts w:ascii="Times New Roman" w:hAnsi="Times New Roman" w:cs="Times New Roman"/>
          <w:sz w:val="28"/>
          <w:szCs w:val="28"/>
        </w:rPr>
        <w:t xml:space="preserve"> precum și a rezultatelor activității de administrare a impozitelor și taxelor în raport cu sarcinile stabilite, pentru evalua</w:t>
      </w:r>
      <w:r w:rsidR="0037313F">
        <w:rPr>
          <w:rFonts w:ascii="Times New Roman" w:hAnsi="Times New Roman" w:cs="Times New Roman"/>
          <w:sz w:val="28"/>
          <w:szCs w:val="28"/>
        </w:rPr>
        <w:t>rea</w:t>
      </w:r>
      <w:r w:rsidRPr="001D0846">
        <w:rPr>
          <w:rFonts w:ascii="Times New Roman" w:hAnsi="Times New Roman" w:cs="Times New Roman"/>
          <w:sz w:val="28"/>
          <w:szCs w:val="28"/>
        </w:rPr>
        <w:t xml:space="preserve"> măsur</w:t>
      </w:r>
      <w:r w:rsidR="0037313F">
        <w:rPr>
          <w:rFonts w:ascii="Times New Roman" w:hAnsi="Times New Roman" w:cs="Times New Roman"/>
          <w:sz w:val="28"/>
          <w:szCs w:val="28"/>
        </w:rPr>
        <w:t>ii</w:t>
      </w:r>
      <w:r w:rsidRPr="001D0846">
        <w:rPr>
          <w:rFonts w:ascii="Times New Roman" w:hAnsi="Times New Roman" w:cs="Times New Roman"/>
          <w:sz w:val="28"/>
          <w:szCs w:val="28"/>
        </w:rPr>
        <w:t xml:space="preserve"> în care entitățile auditate au respectat în administrarea impozitelor și taxelor principiile performanței, inclusiv:</w:t>
      </w:r>
    </w:p>
    <w:p w:rsidR="00B40843" w:rsidRDefault="00B40843" w:rsidP="00B40843">
      <w:pPr>
        <w:tabs>
          <w:tab w:val="left" w:pos="540"/>
        </w:tabs>
        <w:spacing w:after="0" w:line="276" w:lineRule="auto"/>
        <w:jc w:val="both"/>
        <w:rPr>
          <w:rFonts w:ascii="Times New Roman" w:hAnsi="Times New Roman" w:cs="Times New Roman"/>
          <w:sz w:val="28"/>
          <w:szCs w:val="28"/>
        </w:rPr>
      </w:pPr>
      <w:r>
        <w:rPr>
          <w:rFonts w:ascii="Times New Roman" w:hAnsi="Times New Roman" w:cs="Times New Roman"/>
          <w:i/>
          <w:sz w:val="28"/>
          <w:szCs w:val="28"/>
        </w:rPr>
        <w:lastRenderedPageBreak/>
        <w:tab/>
        <w:t xml:space="preserve">1) </w:t>
      </w:r>
      <w:r w:rsidR="00982BF8" w:rsidRPr="00B40843">
        <w:rPr>
          <w:rFonts w:ascii="Times New Roman" w:hAnsi="Times New Roman" w:cs="Times New Roman"/>
          <w:i/>
          <w:sz w:val="28"/>
          <w:szCs w:val="28"/>
        </w:rPr>
        <w:t xml:space="preserve">eficiența – </w:t>
      </w:r>
      <w:r w:rsidR="00982BF8" w:rsidRPr="00B40843">
        <w:rPr>
          <w:rFonts w:ascii="Times New Roman" w:hAnsi="Times New Roman" w:cs="Times New Roman"/>
          <w:sz w:val="28"/>
          <w:szCs w:val="28"/>
        </w:rPr>
        <w:t>funcționalitatea mecanismelor și procedurilor interne ale SFS și SV în administrarea impozitelor și taxelor, precum și măsura în care se asigură minimizarea costului resurselor financiare utilizate în activitatea de administrare a impozitelor și taxelor</w:t>
      </w:r>
      <w:r w:rsidR="0037313F" w:rsidRPr="00B40843">
        <w:rPr>
          <w:rFonts w:ascii="Times New Roman" w:hAnsi="Times New Roman" w:cs="Times New Roman"/>
          <w:sz w:val="28"/>
          <w:szCs w:val="28"/>
        </w:rPr>
        <w:t>,</w:t>
      </w:r>
      <w:r w:rsidR="00982BF8" w:rsidRPr="00B40843">
        <w:rPr>
          <w:rFonts w:ascii="Times New Roman" w:hAnsi="Times New Roman" w:cs="Times New Roman"/>
          <w:sz w:val="28"/>
          <w:szCs w:val="28"/>
        </w:rPr>
        <w:t xml:space="preserve"> fără a compromite realizarea în bune condiții a obiectivelor asumate</w:t>
      </w:r>
      <w:r w:rsidR="0037313F" w:rsidRPr="00B40843">
        <w:rPr>
          <w:rFonts w:ascii="Times New Roman" w:hAnsi="Times New Roman" w:cs="Times New Roman"/>
          <w:sz w:val="28"/>
          <w:szCs w:val="28"/>
        </w:rPr>
        <w:t>;</w:t>
      </w:r>
    </w:p>
    <w:p w:rsidR="00B40843" w:rsidRDefault="00B40843" w:rsidP="00B40843">
      <w:pPr>
        <w:tabs>
          <w:tab w:val="left" w:pos="540"/>
        </w:tabs>
        <w:spacing w:after="0" w:line="276" w:lineRule="auto"/>
        <w:jc w:val="both"/>
        <w:rPr>
          <w:rFonts w:ascii="Times New Roman" w:hAnsi="Times New Roman" w:cs="Times New Roman"/>
          <w:sz w:val="28"/>
          <w:szCs w:val="28"/>
        </w:rPr>
      </w:pPr>
      <w:r>
        <w:rPr>
          <w:rFonts w:ascii="Times New Roman" w:hAnsi="Times New Roman" w:cs="Times New Roman"/>
          <w:i/>
          <w:sz w:val="28"/>
          <w:szCs w:val="28"/>
        </w:rPr>
        <w:tab/>
        <w:t xml:space="preserve">2) </w:t>
      </w:r>
      <w:r w:rsidR="00982BF8" w:rsidRPr="00B40843">
        <w:rPr>
          <w:rFonts w:ascii="Times New Roman" w:hAnsi="Times New Roman" w:cs="Times New Roman"/>
          <w:i/>
          <w:sz w:val="28"/>
          <w:szCs w:val="28"/>
        </w:rPr>
        <w:t xml:space="preserve">eficacitatea – </w:t>
      </w:r>
      <w:r w:rsidR="00982BF8" w:rsidRPr="00B40843">
        <w:rPr>
          <w:rFonts w:ascii="Times New Roman" w:hAnsi="Times New Roman" w:cs="Times New Roman"/>
          <w:sz w:val="28"/>
          <w:szCs w:val="28"/>
        </w:rPr>
        <w:t xml:space="preserve">gradul de </w:t>
      </w:r>
      <w:r w:rsidR="0037313F" w:rsidRPr="00B40843">
        <w:rPr>
          <w:rFonts w:ascii="Times New Roman" w:hAnsi="Times New Roman" w:cs="Times New Roman"/>
          <w:sz w:val="28"/>
          <w:szCs w:val="28"/>
        </w:rPr>
        <w:t>realizare</w:t>
      </w:r>
      <w:r w:rsidR="00982BF8" w:rsidRPr="00B40843">
        <w:rPr>
          <w:rFonts w:ascii="Times New Roman" w:hAnsi="Times New Roman" w:cs="Times New Roman"/>
          <w:sz w:val="28"/>
          <w:szCs w:val="28"/>
        </w:rPr>
        <w:t xml:space="preserve"> de către SFS și SV a obiectivelor și performanțelor stabilite în activitatea de administrare a impozitelor și taxelor, precum și raportul dintre sarcina stabilită și rezultatul efectiv realizat;</w:t>
      </w:r>
    </w:p>
    <w:p w:rsidR="00982BF8" w:rsidRPr="00B40843" w:rsidRDefault="00B40843" w:rsidP="00B40843">
      <w:pPr>
        <w:tabs>
          <w:tab w:val="left" w:pos="540"/>
        </w:tabs>
        <w:spacing w:after="0" w:line="276" w:lineRule="auto"/>
        <w:jc w:val="both"/>
        <w:rPr>
          <w:rFonts w:ascii="Times New Roman" w:hAnsi="Times New Roman" w:cs="Times New Roman"/>
          <w:sz w:val="28"/>
          <w:szCs w:val="28"/>
        </w:rPr>
      </w:pPr>
      <w:r>
        <w:rPr>
          <w:rFonts w:ascii="Times New Roman" w:hAnsi="Times New Roman" w:cs="Times New Roman"/>
          <w:i/>
          <w:sz w:val="28"/>
          <w:szCs w:val="28"/>
        </w:rPr>
        <w:tab/>
      </w:r>
      <w:r w:rsidRPr="00B40843">
        <w:rPr>
          <w:rFonts w:ascii="Times New Roman" w:hAnsi="Times New Roman" w:cs="Times New Roman"/>
          <w:i/>
          <w:sz w:val="28"/>
          <w:szCs w:val="28"/>
        </w:rPr>
        <w:t>3)</w:t>
      </w:r>
      <w:r w:rsidR="00982BF8" w:rsidRPr="00B40843">
        <w:rPr>
          <w:rFonts w:ascii="Times New Roman" w:hAnsi="Times New Roman" w:cs="Times New Roman"/>
          <w:i/>
          <w:sz w:val="28"/>
          <w:szCs w:val="28"/>
        </w:rPr>
        <w:t xml:space="preserve">economicitatea – </w:t>
      </w:r>
      <w:r w:rsidR="00982BF8" w:rsidRPr="00B40843">
        <w:rPr>
          <w:rFonts w:ascii="Times New Roman" w:hAnsi="Times New Roman" w:cs="Times New Roman"/>
          <w:sz w:val="28"/>
          <w:szCs w:val="28"/>
        </w:rPr>
        <w:t>raportuldintre rezultatele obținute de către SFS și SV în activitatea de administrare a impozitelor și taxelor și resursele financiare utilizate pentru obținerea acestora.</w:t>
      </w:r>
    </w:p>
    <w:p w:rsidR="005F28F4" w:rsidRPr="001D0846" w:rsidRDefault="005F28F4" w:rsidP="005F28F4">
      <w:pPr>
        <w:spacing w:after="0" w:line="240" w:lineRule="auto"/>
        <w:ind w:firstLine="567"/>
        <w:jc w:val="both"/>
        <w:rPr>
          <w:rFonts w:ascii="Times New Roman" w:eastAsia="Times New Roman" w:hAnsi="Times New Roman" w:cs="Times New Roman"/>
          <w:i/>
          <w:iCs/>
          <w:sz w:val="28"/>
          <w:szCs w:val="28"/>
        </w:rPr>
      </w:pPr>
      <w:r w:rsidRPr="001D0846">
        <w:rPr>
          <w:rFonts w:ascii="Times New Roman" w:eastAsia="Times New Roman" w:hAnsi="Times New Roman" w:cs="Times New Roman"/>
          <w:i/>
          <w:iCs/>
          <w:sz w:val="28"/>
          <w:szCs w:val="28"/>
        </w:rPr>
        <w:t>Domeniul de aplicare şi metodologia auditul</w:t>
      </w:r>
      <w:r w:rsidR="003E6C61" w:rsidRPr="001D0846">
        <w:rPr>
          <w:rFonts w:ascii="Times New Roman" w:eastAsia="Times New Roman" w:hAnsi="Times New Roman" w:cs="Times New Roman"/>
          <w:i/>
          <w:iCs/>
          <w:sz w:val="28"/>
          <w:szCs w:val="28"/>
        </w:rPr>
        <w:t>ui sunt prezentate în Anexa nr.2</w:t>
      </w:r>
      <w:r w:rsidRPr="001D0846">
        <w:rPr>
          <w:rFonts w:ascii="Times New Roman" w:eastAsia="Times New Roman" w:hAnsi="Times New Roman" w:cs="Times New Roman"/>
          <w:i/>
          <w:iCs/>
          <w:sz w:val="28"/>
          <w:szCs w:val="28"/>
        </w:rPr>
        <w:t xml:space="preserve"> la Raport</w:t>
      </w:r>
      <w:r w:rsidR="002835B6">
        <w:rPr>
          <w:rFonts w:ascii="Times New Roman" w:eastAsia="Times New Roman" w:hAnsi="Times New Roman" w:cs="Times New Roman"/>
          <w:i/>
          <w:iCs/>
          <w:sz w:val="28"/>
          <w:szCs w:val="28"/>
        </w:rPr>
        <w:t xml:space="preserve">ul de audit </w:t>
      </w:r>
      <w:r w:rsidRPr="001D0846">
        <w:rPr>
          <w:rFonts w:ascii="Times New Roman" w:eastAsia="Times New Roman" w:hAnsi="Times New Roman" w:cs="Times New Roman"/>
          <w:i/>
          <w:iCs/>
          <w:sz w:val="28"/>
          <w:szCs w:val="28"/>
        </w:rPr>
        <w:t>.</w:t>
      </w:r>
    </w:p>
    <w:p w:rsidR="005F28F4" w:rsidRPr="001D0846" w:rsidRDefault="005F28F4" w:rsidP="005F28F4">
      <w:pPr>
        <w:spacing w:after="0" w:line="240" w:lineRule="auto"/>
        <w:ind w:firstLine="567"/>
        <w:jc w:val="both"/>
        <w:rPr>
          <w:rFonts w:ascii="Times New Roman" w:eastAsia="Times New Roman" w:hAnsi="Times New Roman" w:cs="Times New Roman"/>
          <w:i/>
          <w:iCs/>
          <w:sz w:val="24"/>
          <w:szCs w:val="24"/>
        </w:rPr>
      </w:pPr>
    </w:p>
    <w:p w:rsidR="00A0239F" w:rsidRPr="001D0846" w:rsidRDefault="003A54B4" w:rsidP="003A54B4">
      <w:pPr>
        <w:pStyle w:val="Heading1"/>
        <w:spacing w:before="0" w:line="276" w:lineRule="auto"/>
        <w:jc w:val="center"/>
        <w:rPr>
          <w:rFonts w:ascii="Times New Roman" w:hAnsi="Times New Roman" w:cs="Times New Roman"/>
          <w:b/>
          <w:color w:val="auto"/>
        </w:rPr>
      </w:pPr>
      <w:bookmarkStart w:id="7" w:name="_Toc505603940"/>
      <w:bookmarkStart w:id="8" w:name="_Toc515894886"/>
      <w:r w:rsidRPr="001D0846">
        <w:rPr>
          <w:rFonts w:ascii="Times New Roman" w:hAnsi="Times New Roman" w:cs="Times New Roman"/>
          <w:b/>
          <w:color w:val="auto"/>
        </w:rPr>
        <w:t>III</w:t>
      </w:r>
      <w:r w:rsidR="00A0239F" w:rsidRPr="001D0846">
        <w:rPr>
          <w:rFonts w:ascii="Times New Roman" w:hAnsi="Times New Roman" w:cs="Times New Roman"/>
          <w:b/>
          <w:color w:val="auto"/>
        </w:rPr>
        <w:t xml:space="preserve">. </w:t>
      </w:r>
      <w:r w:rsidR="009F2555" w:rsidRPr="001D0846">
        <w:rPr>
          <w:rFonts w:ascii="Times New Roman" w:hAnsi="Times New Roman" w:cs="Times New Roman"/>
          <w:b/>
          <w:color w:val="auto"/>
        </w:rPr>
        <w:t xml:space="preserve">CONSTATĂRILE </w:t>
      </w:r>
      <w:r w:rsidR="00A0239F" w:rsidRPr="001D0846">
        <w:rPr>
          <w:rFonts w:ascii="Times New Roman" w:hAnsi="Times New Roman" w:cs="Times New Roman"/>
          <w:b/>
          <w:color w:val="auto"/>
        </w:rPr>
        <w:t>AUDIT</w:t>
      </w:r>
      <w:bookmarkEnd w:id="7"/>
      <w:r w:rsidR="009F2555" w:rsidRPr="001D0846">
        <w:rPr>
          <w:rFonts w:ascii="Times New Roman" w:hAnsi="Times New Roman" w:cs="Times New Roman"/>
          <w:b/>
          <w:color w:val="auto"/>
        </w:rPr>
        <w:t>ULUI</w:t>
      </w:r>
      <w:bookmarkEnd w:id="8"/>
    </w:p>
    <w:p w:rsidR="003A54B4" w:rsidRPr="001D0846" w:rsidRDefault="003A54B4" w:rsidP="00C77119">
      <w:pPr>
        <w:pStyle w:val="ListParagraph"/>
        <w:tabs>
          <w:tab w:val="left" w:pos="630"/>
        </w:tabs>
        <w:spacing w:after="0" w:line="276" w:lineRule="auto"/>
        <w:ind w:left="0" w:firstLine="709"/>
        <w:jc w:val="both"/>
        <w:rPr>
          <w:rFonts w:ascii="Times New Roman" w:hAnsi="Times New Roman" w:cs="Times New Roman"/>
          <w:i/>
          <w:sz w:val="28"/>
          <w:szCs w:val="28"/>
        </w:rPr>
      </w:pPr>
      <w:r w:rsidRPr="005A5243">
        <w:rPr>
          <w:rFonts w:ascii="Times New Roman" w:hAnsi="Times New Roman" w:cs="Times New Roman"/>
          <w:b/>
          <w:i/>
          <w:sz w:val="28"/>
          <w:szCs w:val="28"/>
        </w:rPr>
        <w:t>Obiectivul 1:</w:t>
      </w:r>
      <w:r w:rsidRPr="00D4753A">
        <w:rPr>
          <w:rFonts w:ascii="Times New Roman" w:hAnsi="Times New Roman" w:cs="Times New Roman"/>
          <w:i/>
          <w:sz w:val="28"/>
          <w:szCs w:val="28"/>
        </w:rPr>
        <w:t xml:space="preserve">Evaluarea managementului </w:t>
      </w:r>
      <w:r w:rsidR="00C97CC6">
        <w:rPr>
          <w:rFonts w:ascii="Times New Roman" w:hAnsi="Times New Roman" w:cs="Times New Roman"/>
          <w:i/>
          <w:sz w:val="28"/>
          <w:szCs w:val="28"/>
        </w:rPr>
        <w:t>organelor</w:t>
      </w:r>
      <w:r w:rsidR="00D4753A" w:rsidRPr="00D4753A">
        <w:rPr>
          <w:rFonts w:ascii="Times New Roman" w:hAnsi="Times New Roman" w:cs="Times New Roman"/>
          <w:i/>
          <w:sz w:val="28"/>
          <w:szCs w:val="28"/>
        </w:rPr>
        <w:t xml:space="preserve"> fiscale și vamale </w:t>
      </w:r>
      <w:r w:rsidRPr="00D4753A">
        <w:rPr>
          <w:rFonts w:ascii="Times New Roman" w:hAnsi="Times New Roman" w:cs="Times New Roman"/>
          <w:i/>
          <w:sz w:val="28"/>
          <w:szCs w:val="28"/>
        </w:rPr>
        <w:t xml:space="preserve">și a rezultatelor </w:t>
      </w:r>
      <w:r w:rsidR="00317602" w:rsidRPr="00D4753A">
        <w:rPr>
          <w:rFonts w:ascii="Times New Roman" w:hAnsi="Times New Roman" w:cs="Times New Roman"/>
          <w:i/>
          <w:sz w:val="28"/>
          <w:szCs w:val="28"/>
        </w:rPr>
        <w:t>administrării</w:t>
      </w:r>
      <w:r w:rsidRPr="00D4753A">
        <w:rPr>
          <w:rFonts w:ascii="Times New Roman" w:hAnsi="Times New Roman" w:cs="Times New Roman"/>
          <w:i/>
          <w:sz w:val="28"/>
          <w:szCs w:val="28"/>
        </w:rPr>
        <w:t xml:space="preserve"> impozitelor și taxelor </w:t>
      </w:r>
      <w:r w:rsidR="00C9749A" w:rsidRPr="00D4753A">
        <w:rPr>
          <w:rFonts w:ascii="Times New Roman" w:hAnsi="Times New Roman" w:cs="Times New Roman"/>
          <w:i/>
          <w:sz w:val="28"/>
          <w:szCs w:val="28"/>
        </w:rPr>
        <w:t>de către</w:t>
      </w:r>
      <w:r w:rsidR="00D4753A" w:rsidRPr="00D4753A">
        <w:rPr>
          <w:rFonts w:ascii="Times New Roman" w:hAnsi="Times New Roman" w:cs="Times New Roman"/>
          <w:i/>
          <w:sz w:val="28"/>
          <w:szCs w:val="28"/>
        </w:rPr>
        <w:t xml:space="preserve"> aceste organe.</w:t>
      </w:r>
    </w:p>
    <w:p w:rsidR="00C77119" w:rsidRDefault="00C77119" w:rsidP="00C77119">
      <w:pPr>
        <w:pStyle w:val="Heading1"/>
        <w:spacing w:before="0" w:line="276" w:lineRule="auto"/>
        <w:jc w:val="both"/>
        <w:rPr>
          <w:rFonts w:ascii="Times New Roman" w:hAnsi="Times New Roman" w:cs="Times New Roman"/>
          <w:b/>
          <w:color w:val="auto"/>
          <w:sz w:val="28"/>
          <w:szCs w:val="28"/>
        </w:rPr>
      </w:pPr>
    </w:p>
    <w:p w:rsidR="00DD4561" w:rsidRPr="00C77119" w:rsidRDefault="00B81D45" w:rsidP="003C4B9E">
      <w:pPr>
        <w:pStyle w:val="Heading1"/>
        <w:spacing w:before="0" w:line="276" w:lineRule="auto"/>
        <w:jc w:val="both"/>
        <w:rPr>
          <w:rFonts w:ascii="Times New Roman" w:hAnsi="Times New Roman" w:cs="Times New Roman"/>
          <w:b/>
          <w:color w:val="auto"/>
          <w:sz w:val="28"/>
          <w:szCs w:val="28"/>
        </w:rPr>
      </w:pPr>
      <w:bookmarkStart w:id="9" w:name="_Toc515894887"/>
      <w:r w:rsidRPr="00C77119">
        <w:rPr>
          <w:rFonts w:ascii="Times New Roman" w:hAnsi="Times New Roman" w:cs="Times New Roman"/>
          <w:b/>
          <w:color w:val="auto"/>
          <w:sz w:val="28"/>
          <w:szCs w:val="28"/>
        </w:rPr>
        <w:t>3</w:t>
      </w:r>
      <w:r w:rsidR="00C947DA" w:rsidRPr="00C77119">
        <w:rPr>
          <w:rFonts w:ascii="Times New Roman" w:hAnsi="Times New Roman" w:cs="Times New Roman"/>
          <w:b/>
          <w:color w:val="auto"/>
          <w:sz w:val="28"/>
          <w:szCs w:val="28"/>
        </w:rPr>
        <w:t>.1</w:t>
      </w:r>
      <w:r w:rsidR="00444DCB" w:rsidRPr="00C77119">
        <w:rPr>
          <w:rFonts w:ascii="Times New Roman" w:hAnsi="Times New Roman" w:cs="Times New Roman"/>
          <w:b/>
          <w:color w:val="auto"/>
          <w:sz w:val="28"/>
          <w:szCs w:val="28"/>
        </w:rPr>
        <w:t xml:space="preserve">. </w:t>
      </w:r>
      <w:r w:rsidR="00F7227C" w:rsidRPr="00C77119">
        <w:rPr>
          <w:rFonts w:ascii="Times New Roman" w:hAnsi="Times New Roman" w:cs="Times New Roman"/>
          <w:b/>
          <w:color w:val="auto"/>
          <w:sz w:val="28"/>
          <w:szCs w:val="28"/>
        </w:rPr>
        <w:t>Elaborarea</w:t>
      </w:r>
      <w:r w:rsidR="005B018C" w:rsidRPr="00C77119">
        <w:rPr>
          <w:rFonts w:ascii="Times New Roman" w:hAnsi="Times New Roman" w:cs="Times New Roman"/>
          <w:b/>
          <w:color w:val="auto"/>
          <w:sz w:val="28"/>
          <w:szCs w:val="28"/>
        </w:rPr>
        <w:t xml:space="preserve"> și realizarea </w:t>
      </w:r>
      <w:r w:rsidR="00DD4561" w:rsidRPr="00C77119">
        <w:rPr>
          <w:rFonts w:ascii="Times New Roman" w:hAnsi="Times New Roman" w:cs="Times New Roman"/>
          <w:b/>
          <w:color w:val="auto"/>
          <w:sz w:val="28"/>
          <w:szCs w:val="28"/>
        </w:rPr>
        <w:t>de către organele fiscale și vamale a</w:t>
      </w:r>
      <w:r w:rsidR="005B018C" w:rsidRPr="00C77119">
        <w:rPr>
          <w:rFonts w:ascii="Times New Roman" w:hAnsi="Times New Roman" w:cs="Times New Roman"/>
          <w:b/>
          <w:color w:val="auto"/>
          <w:sz w:val="28"/>
          <w:szCs w:val="28"/>
        </w:rPr>
        <w:t xml:space="preserve"> indicatori</w:t>
      </w:r>
      <w:r w:rsidR="00F7227C" w:rsidRPr="00C77119">
        <w:rPr>
          <w:rFonts w:ascii="Times New Roman" w:hAnsi="Times New Roman" w:cs="Times New Roman"/>
          <w:b/>
          <w:color w:val="auto"/>
          <w:sz w:val="28"/>
          <w:szCs w:val="28"/>
        </w:rPr>
        <w:t>lor</w:t>
      </w:r>
      <w:r w:rsidR="005B018C" w:rsidRPr="00C77119">
        <w:rPr>
          <w:rFonts w:ascii="Times New Roman" w:hAnsi="Times New Roman" w:cs="Times New Roman"/>
          <w:b/>
          <w:color w:val="auto"/>
          <w:sz w:val="28"/>
          <w:szCs w:val="28"/>
        </w:rPr>
        <w:t xml:space="preserve"> de performanță în administrarea impozitelor și taxelor</w:t>
      </w:r>
      <w:r w:rsidR="006621BE" w:rsidRPr="00C77119">
        <w:rPr>
          <w:rFonts w:ascii="Times New Roman" w:hAnsi="Times New Roman" w:cs="Times New Roman"/>
          <w:b/>
          <w:color w:val="auto"/>
          <w:sz w:val="28"/>
          <w:szCs w:val="28"/>
        </w:rPr>
        <w:t>.</w:t>
      </w:r>
      <w:bookmarkEnd w:id="9"/>
    </w:p>
    <w:p w:rsidR="006C5161" w:rsidRPr="001D0846" w:rsidRDefault="006C5161" w:rsidP="00771592">
      <w:pPr>
        <w:spacing w:after="0" w:line="276" w:lineRule="auto"/>
        <w:ind w:firstLine="709"/>
        <w:jc w:val="both"/>
        <w:rPr>
          <w:rFonts w:ascii="Times New Roman" w:hAnsi="Times New Roman" w:cs="Times New Roman"/>
          <w:i/>
          <w:sz w:val="28"/>
          <w:szCs w:val="28"/>
        </w:rPr>
      </w:pPr>
      <w:r w:rsidRPr="001D0846">
        <w:rPr>
          <w:rFonts w:ascii="Times New Roman" w:hAnsi="Times New Roman" w:cs="Times New Roman"/>
          <w:i/>
          <w:sz w:val="28"/>
          <w:szCs w:val="28"/>
        </w:rPr>
        <w:t>Conform documentelor de politici naționale și cadrului intern de reglementare, SFS și SV urmau să asigure realizarea obiectivelor strategice în domeniile de activitate, prin atingerea performanțelor stabilite în administrarea impozitelor și taxelor. Deși au fost întreprinse măsuri pentru atingerea rezultatelor planificate, fiind realizate unele performanțe în domeniu, auditul a identificat unel</w:t>
      </w:r>
      <w:r w:rsidR="007A379D" w:rsidRPr="001D0846">
        <w:rPr>
          <w:rFonts w:ascii="Times New Roman" w:hAnsi="Times New Roman" w:cs="Times New Roman"/>
          <w:i/>
          <w:sz w:val="28"/>
          <w:szCs w:val="28"/>
        </w:rPr>
        <w:t>e nerealizări/</w:t>
      </w:r>
      <w:r w:rsidRPr="001D0846">
        <w:rPr>
          <w:rFonts w:ascii="Times New Roman" w:hAnsi="Times New Roman" w:cs="Times New Roman"/>
          <w:i/>
          <w:sz w:val="28"/>
          <w:szCs w:val="28"/>
        </w:rPr>
        <w:t>realizări parțiale ale indicatorilor de performanță</w:t>
      </w:r>
      <w:r w:rsidR="007A379D" w:rsidRPr="001D0846">
        <w:rPr>
          <w:rFonts w:ascii="Times New Roman" w:hAnsi="Times New Roman" w:cs="Times New Roman"/>
          <w:i/>
          <w:sz w:val="28"/>
          <w:szCs w:val="28"/>
        </w:rPr>
        <w:t>,</w:t>
      </w:r>
      <w:r w:rsidRPr="001D0846">
        <w:rPr>
          <w:rFonts w:ascii="Times New Roman" w:hAnsi="Times New Roman" w:cs="Times New Roman"/>
          <w:i/>
          <w:sz w:val="28"/>
          <w:szCs w:val="28"/>
        </w:rPr>
        <w:t xml:space="preserve"> precum și alte problematici în acest domeniu</w:t>
      </w:r>
      <w:r w:rsidR="00BC0E32">
        <w:rPr>
          <w:rFonts w:ascii="Times New Roman" w:hAnsi="Times New Roman" w:cs="Times New Roman"/>
          <w:i/>
          <w:sz w:val="28"/>
          <w:szCs w:val="28"/>
        </w:rPr>
        <w:t>,</w:t>
      </w:r>
      <w:r w:rsidRPr="001D0846">
        <w:rPr>
          <w:rFonts w:ascii="Times New Roman" w:hAnsi="Times New Roman" w:cs="Times New Roman"/>
          <w:i/>
          <w:sz w:val="28"/>
          <w:szCs w:val="28"/>
        </w:rPr>
        <w:t xml:space="preserve"> care </w:t>
      </w:r>
      <w:r w:rsidR="00771592" w:rsidRPr="00771592">
        <w:rPr>
          <w:rFonts w:ascii="Times New Roman" w:hAnsi="Times New Roman" w:cs="Times New Roman"/>
          <w:i/>
          <w:sz w:val="28"/>
          <w:szCs w:val="28"/>
        </w:rPr>
        <w:t>au influențat</w:t>
      </w:r>
      <w:r w:rsidR="00BC0E32">
        <w:rPr>
          <w:rFonts w:ascii="Times New Roman" w:hAnsi="Times New Roman" w:cs="Times New Roman"/>
          <w:i/>
          <w:sz w:val="28"/>
          <w:szCs w:val="28"/>
        </w:rPr>
        <w:t>obținerea</w:t>
      </w:r>
      <w:r w:rsidR="00771592">
        <w:rPr>
          <w:rFonts w:ascii="Times New Roman" w:hAnsi="Times New Roman" w:cs="Times New Roman"/>
          <w:i/>
          <w:sz w:val="28"/>
          <w:szCs w:val="28"/>
        </w:rPr>
        <w:t xml:space="preserve"> rezultatelor </w:t>
      </w:r>
      <w:r w:rsidR="00BC0E32">
        <w:rPr>
          <w:rFonts w:ascii="Times New Roman" w:hAnsi="Times New Roman" w:cs="Times New Roman"/>
          <w:i/>
          <w:sz w:val="28"/>
          <w:szCs w:val="28"/>
        </w:rPr>
        <w:t>scontate</w:t>
      </w:r>
      <w:r w:rsidR="00771592">
        <w:rPr>
          <w:rFonts w:ascii="Times New Roman" w:hAnsi="Times New Roman" w:cs="Times New Roman"/>
          <w:i/>
          <w:sz w:val="28"/>
          <w:szCs w:val="28"/>
        </w:rPr>
        <w:t xml:space="preserve">. </w:t>
      </w:r>
      <w:r w:rsidRPr="001D0846">
        <w:rPr>
          <w:rFonts w:ascii="Times New Roman" w:hAnsi="Times New Roman" w:cs="Times New Roman"/>
          <w:i/>
          <w:sz w:val="28"/>
          <w:szCs w:val="28"/>
        </w:rPr>
        <w:t xml:space="preserve">Cele menționate au fost cauzate de </w:t>
      </w:r>
      <w:r w:rsidR="00816744" w:rsidRPr="001D0846">
        <w:rPr>
          <w:rFonts w:ascii="Times New Roman" w:hAnsi="Times New Roman" w:cs="Times New Roman"/>
          <w:i/>
          <w:sz w:val="28"/>
          <w:szCs w:val="28"/>
        </w:rPr>
        <w:t>unele rezerveîn</w:t>
      </w:r>
      <w:r w:rsidR="008A14B0" w:rsidRPr="001D0846">
        <w:rPr>
          <w:rFonts w:ascii="Times New Roman" w:hAnsi="Times New Roman" w:cs="Times New Roman"/>
          <w:i/>
          <w:sz w:val="28"/>
          <w:szCs w:val="28"/>
        </w:rPr>
        <w:t xml:space="preserve"> monitorizarea realizării</w:t>
      </w:r>
      <w:r w:rsidRPr="001D0846">
        <w:rPr>
          <w:rFonts w:ascii="Times New Roman" w:hAnsi="Times New Roman" w:cs="Times New Roman"/>
          <w:i/>
          <w:sz w:val="28"/>
          <w:szCs w:val="28"/>
        </w:rPr>
        <w:t xml:space="preserve"> unor performanțe în administrarea impozitelor și taxelor, </w:t>
      </w:r>
      <w:r w:rsidR="00BC0E32">
        <w:rPr>
          <w:rFonts w:ascii="Times New Roman" w:hAnsi="Times New Roman" w:cs="Times New Roman"/>
          <w:i/>
          <w:sz w:val="28"/>
          <w:szCs w:val="28"/>
        </w:rPr>
        <w:t xml:space="preserve">de </w:t>
      </w:r>
      <w:r w:rsidRPr="001D0846">
        <w:rPr>
          <w:rFonts w:ascii="Times New Roman" w:hAnsi="Times New Roman" w:cs="Times New Roman"/>
          <w:i/>
          <w:sz w:val="28"/>
          <w:szCs w:val="28"/>
        </w:rPr>
        <w:t xml:space="preserve">lipsa unor caracteristici definitorii ale obiectivelor stabilite, </w:t>
      </w:r>
      <w:r w:rsidR="00BC0E32">
        <w:rPr>
          <w:rFonts w:ascii="Times New Roman" w:hAnsi="Times New Roman" w:cs="Times New Roman"/>
          <w:i/>
          <w:sz w:val="28"/>
          <w:szCs w:val="28"/>
        </w:rPr>
        <w:t xml:space="preserve">de </w:t>
      </w:r>
      <w:r w:rsidRPr="001D0846">
        <w:rPr>
          <w:rFonts w:ascii="Times New Roman" w:hAnsi="Times New Roman" w:cs="Times New Roman"/>
          <w:i/>
          <w:sz w:val="28"/>
          <w:szCs w:val="28"/>
        </w:rPr>
        <w:t xml:space="preserve">elaborarea unor indicatori fără o fundamentare a modalității de calcul și a sursei de colectare a informației, </w:t>
      </w:r>
      <w:r w:rsidR="00BC0E32">
        <w:rPr>
          <w:rFonts w:ascii="Times New Roman" w:hAnsi="Times New Roman" w:cs="Times New Roman"/>
          <w:i/>
          <w:sz w:val="28"/>
          <w:szCs w:val="28"/>
        </w:rPr>
        <w:t xml:space="preserve">de </w:t>
      </w:r>
      <w:r w:rsidRPr="001D0846">
        <w:rPr>
          <w:rFonts w:ascii="Times New Roman" w:hAnsi="Times New Roman" w:cs="Times New Roman"/>
          <w:i/>
          <w:sz w:val="28"/>
          <w:szCs w:val="28"/>
        </w:rPr>
        <w:t xml:space="preserve">necorelarea în documentele de politici a </w:t>
      </w:r>
      <w:r w:rsidR="00BD7959" w:rsidRPr="001D0846">
        <w:rPr>
          <w:rFonts w:ascii="Times New Roman" w:hAnsi="Times New Roman" w:cs="Times New Roman"/>
          <w:i/>
          <w:sz w:val="28"/>
          <w:szCs w:val="28"/>
        </w:rPr>
        <w:t>unor indicatori de performanță</w:t>
      </w:r>
      <w:r w:rsidRPr="001D0846">
        <w:rPr>
          <w:rFonts w:ascii="Times New Roman" w:hAnsi="Times New Roman" w:cs="Times New Roman"/>
          <w:i/>
          <w:sz w:val="28"/>
          <w:szCs w:val="28"/>
        </w:rPr>
        <w:t>,</w:t>
      </w:r>
      <w:r w:rsidR="00BC0E32">
        <w:rPr>
          <w:rFonts w:ascii="Times New Roman" w:hAnsi="Times New Roman" w:cs="Times New Roman"/>
          <w:i/>
          <w:sz w:val="28"/>
          <w:szCs w:val="28"/>
        </w:rPr>
        <w:t>precum</w:t>
      </w:r>
      <w:r w:rsidR="005F31E0" w:rsidRPr="001D0846">
        <w:rPr>
          <w:rFonts w:ascii="Times New Roman" w:hAnsi="Times New Roman" w:cs="Times New Roman"/>
          <w:i/>
          <w:sz w:val="28"/>
          <w:szCs w:val="28"/>
        </w:rPr>
        <w:t xml:space="preserve"> și </w:t>
      </w:r>
      <w:r w:rsidR="00BC0E32">
        <w:rPr>
          <w:rFonts w:ascii="Times New Roman" w:hAnsi="Times New Roman" w:cs="Times New Roman"/>
          <w:i/>
          <w:sz w:val="28"/>
          <w:szCs w:val="28"/>
        </w:rPr>
        <w:t xml:space="preserve">de </w:t>
      </w:r>
      <w:r w:rsidR="005F31E0" w:rsidRPr="001D0846">
        <w:rPr>
          <w:rFonts w:ascii="Times New Roman" w:hAnsi="Times New Roman" w:cs="Times New Roman"/>
          <w:i/>
          <w:sz w:val="28"/>
          <w:szCs w:val="28"/>
        </w:rPr>
        <w:t>neestimarea resurselor/</w:t>
      </w:r>
      <w:r w:rsidRPr="001D0846">
        <w:rPr>
          <w:rFonts w:ascii="Times New Roman" w:hAnsi="Times New Roman" w:cs="Times New Roman"/>
          <w:i/>
          <w:sz w:val="28"/>
          <w:szCs w:val="28"/>
        </w:rPr>
        <w:t xml:space="preserve">costurilor necesare în vederea realizării obiectivelor strategice. </w:t>
      </w:r>
    </w:p>
    <w:p w:rsidR="006C5161" w:rsidRPr="001D0846" w:rsidRDefault="00A724F1" w:rsidP="006358AD">
      <w:pPr>
        <w:spacing w:after="0" w:line="276" w:lineRule="auto"/>
        <w:ind w:firstLine="709"/>
        <w:jc w:val="both"/>
        <w:rPr>
          <w:rFonts w:ascii="Times New Roman" w:hAnsi="Times New Roman" w:cs="Times New Roman"/>
          <w:sz w:val="28"/>
          <w:szCs w:val="28"/>
        </w:rPr>
      </w:pPr>
      <w:r w:rsidRPr="001D0846">
        <w:rPr>
          <w:rFonts w:ascii="Times New Roman" w:hAnsi="Times New Roman" w:cs="Times New Roman"/>
          <w:i/>
          <w:sz w:val="28"/>
          <w:szCs w:val="28"/>
        </w:rPr>
        <w:t>O</w:t>
      </w:r>
      <w:r w:rsidR="006C5161" w:rsidRPr="001D0846">
        <w:rPr>
          <w:rFonts w:ascii="Times New Roman" w:hAnsi="Times New Roman" w:cs="Times New Roman"/>
          <w:i/>
          <w:sz w:val="28"/>
          <w:szCs w:val="28"/>
        </w:rPr>
        <w:t>biectivele politicii de administrare fiscală din perioada 2015-2017</w:t>
      </w:r>
      <w:r w:rsidR="006C5161" w:rsidRPr="001D0846">
        <w:rPr>
          <w:rFonts w:ascii="Times New Roman" w:hAnsi="Times New Roman" w:cs="Times New Roman"/>
          <w:sz w:val="28"/>
          <w:szCs w:val="28"/>
        </w:rPr>
        <w:t xml:space="preserve"> derivă din programele/obiectivele naționale și alte strategii în domeniu</w:t>
      </w:r>
      <w:r w:rsidR="00BC0E32">
        <w:rPr>
          <w:rFonts w:ascii="Times New Roman" w:hAnsi="Times New Roman" w:cs="Times New Roman"/>
          <w:sz w:val="28"/>
          <w:szCs w:val="28"/>
        </w:rPr>
        <w:t>,</w:t>
      </w:r>
      <w:r w:rsidR="006C5161" w:rsidRPr="001D0846">
        <w:rPr>
          <w:rFonts w:ascii="Times New Roman" w:hAnsi="Times New Roman" w:cs="Times New Roman"/>
          <w:sz w:val="28"/>
          <w:szCs w:val="28"/>
        </w:rPr>
        <w:t xml:space="preserve"> având ca scop: </w:t>
      </w:r>
      <w:r w:rsidR="006C5161" w:rsidRPr="001D0846">
        <w:rPr>
          <w:rFonts w:ascii="Times New Roman" w:hAnsi="Times New Roman" w:cs="Times New Roman"/>
          <w:i/>
          <w:sz w:val="28"/>
          <w:szCs w:val="28"/>
        </w:rPr>
        <w:t>(i)</w:t>
      </w:r>
      <w:r w:rsidR="006C5161" w:rsidRPr="001D0846">
        <w:rPr>
          <w:rFonts w:ascii="Times New Roman" w:hAnsi="Times New Roman" w:cs="Times New Roman"/>
          <w:sz w:val="28"/>
          <w:szCs w:val="28"/>
        </w:rPr>
        <w:t xml:space="preserve"> promovarea continuă a spiritului de conformare voluntară a contribuabililor la declararea şi la plata obligațiilor fiscale; </w:t>
      </w:r>
      <w:r w:rsidR="006C5161" w:rsidRPr="001D0846">
        <w:rPr>
          <w:rFonts w:ascii="Times New Roman" w:hAnsi="Times New Roman" w:cs="Times New Roman"/>
          <w:i/>
          <w:sz w:val="28"/>
          <w:szCs w:val="28"/>
        </w:rPr>
        <w:t>(ii)</w:t>
      </w:r>
      <w:r w:rsidR="006C5161" w:rsidRPr="001D0846">
        <w:rPr>
          <w:rFonts w:ascii="Times New Roman" w:hAnsi="Times New Roman" w:cs="Times New Roman"/>
          <w:sz w:val="28"/>
          <w:szCs w:val="28"/>
        </w:rPr>
        <w:t xml:space="preserve">îmbunătăţirea și modernizarea </w:t>
      </w:r>
      <w:r w:rsidR="006C5161" w:rsidRPr="001D0846">
        <w:rPr>
          <w:rFonts w:ascii="Times New Roman" w:hAnsi="Times New Roman" w:cs="Times New Roman"/>
          <w:sz w:val="28"/>
          <w:szCs w:val="28"/>
        </w:rPr>
        <w:lastRenderedPageBreak/>
        <w:t xml:space="preserve">administrării fiscale în vederea oferirii </w:t>
      </w:r>
      <w:r w:rsidR="00FA3E16">
        <w:rPr>
          <w:rFonts w:ascii="Times New Roman" w:hAnsi="Times New Roman" w:cs="Times New Roman"/>
          <w:sz w:val="28"/>
          <w:szCs w:val="28"/>
        </w:rPr>
        <w:t xml:space="preserve">către </w:t>
      </w:r>
      <w:r w:rsidR="006C5161" w:rsidRPr="001D0846">
        <w:rPr>
          <w:rFonts w:ascii="Times New Roman" w:hAnsi="Times New Roman" w:cs="Times New Roman"/>
          <w:sz w:val="28"/>
          <w:szCs w:val="28"/>
        </w:rPr>
        <w:t xml:space="preserve">contribuabili a unor servicii de calitate, în conformitate cu standardele recunoscute la nivel internaţional și </w:t>
      </w:r>
      <w:r w:rsidR="00FA3E16">
        <w:rPr>
          <w:rFonts w:ascii="Times New Roman" w:hAnsi="Times New Roman" w:cs="Times New Roman"/>
          <w:sz w:val="28"/>
          <w:szCs w:val="28"/>
        </w:rPr>
        <w:t xml:space="preserve">cu </w:t>
      </w:r>
      <w:r w:rsidR="006C5161" w:rsidRPr="001D0846">
        <w:rPr>
          <w:rFonts w:ascii="Times New Roman" w:hAnsi="Times New Roman" w:cs="Times New Roman"/>
          <w:sz w:val="28"/>
          <w:szCs w:val="28"/>
        </w:rPr>
        <w:t>bunele practici europene aferente serviciilor fiscale.</w:t>
      </w:r>
    </w:p>
    <w:p w:rsidR="006C5161" w:rsidRPr="001D0846" w:rsidRDefault="006C5161" w:rsidP="006358AD">
      <w:pPr>
        <w:spacing w:after="0" w:line="276" w:lineRule="auto"/>
        <w:ind w:firstLine="708"/>
        <w:jc w:val="both"/>
        <w:rPr>
          <w:rFonts w:ascii="Times New Roman" w:hAnsi="Times New Roman" w:cs="Times New Roman"/>
          <w:sz w:val="28"/>
          <w:szCs w:val="28"/>
        </w:rPr>
      </w:pPr>
      <w:r w:rsidRPr="001D0846">
        <w:rPr>
          <w:rFonts w:ascii="Times New Roman" w:hAnsi="Times New Roman" w:cs="Times New Roman"/>
          <w:i/>
          <w:sz w:val="28"/>
          <w:szCs w:val="28"/>
        </w:rPr>
        <w:t>Obiectivele politicii de administrare vamală din perioada 2015-2017</w:t>
      </w:r>
      <w:r w:rsidRPr="001D0846">
        <w:rPr>
          <w:rFonts w:ascii="Times New Roman" w:hAnsi="Times New Roman" w:cs="Times New Roman"/>
          <w:sz w:val="28"/>
          <w:szCs w:val="28"/>
        </w:rPr>
        <w:t xml:space="preserve"> derivă din programele/obiectivele naționale și alte strategii în domeniu, fiind orientate spre simplificarea şi eficientizarea administrării vamale</w:t>
      </w:r>
      <w:r w:rsidR="00371C8A" w:rsidRPr="001D0846">
        <w:rPr>
          <w:rFonts w:ascii="Times New Roman" w:hAnsi="Times New Roman" w:cs="Times New Roman"/>
          <w:sz w:val="28"/>
          <w:szCs w:val="28"/>
        </w:rPr>
        <w:t xml:space="preserve">, având drept scop: </w:t>
      </w:r>
      <w:r w:rsidRPr="001D0846">
        <w:rPr>
          <w:rFonts w:ascii="Times New Roman" w:hAnsi="Times New Roman" w:cs="Times New Roman"/>
          <w:i/>
          <w:sz w:val="28"/>
          <w:szCs w:val="28"/>
        </w:rPr>
        <w:t>(i)</w:t>
      </w:r>
      <w:r w:rsidRPr="001D0846">
        <w:rPr>
          <w:rFonts w:ascii="Times New Roman" w:hAnsi="Times New Roman" w:cs="Times New Roman"/>
          <w:sz w:val="28"/>
          <w:szCs w:val="28"/>
        </w:rPr>
        <w:t xml:space="preserve"> promovarea conformării voluntare la plata drepturilor de import/export prin implementarea procedurilor vamale moderne, care facilitează comerțul extern şi asigură securitatea lanțului de aprovizionare internațională; </w:t>
      </w:r>
      <w:r w:rsidRPr="001D0846">
        <w:rPr>
          <w:rFonts w:ascii="Times New Roman" w:hAnsi="Times New Roman" w:cs="Times New Roman"/>
          <w:i/>
          <w:sz w:val="28"/>
          <w:szCs w:val="28"/>
        </w:rPr>
        <w:t>(ii)</w:t>
      </w:r>
      <w:r w:rsidRPr="001D0846">
        <w:rPr>
          <w:rFonts w:ascii="Times New Roman" w:hAnsi="Times New Roman" w:cs="Times New Roman"/>
          <w:sz w:val="28"/>
          <w:szCs w:val="28"/>
        </w:rPr>
        <w:t xml:space="preserve"> sporirea nivelului de securitate economică a statului şi de securizare a frontierei de s</w:t>
      </w:r>
      <w:r w:rsidR="00371C8A" w:rsidRPr="001D0846">
        <w:rPr>
          <w:rFonts w:ascii="Times New Roman" w:hAnsi="Times New Roman" w:cs="Times New Roman"/>
          <w:sz w:val="28"/>
          <w:szCs w:val="28"/>
        </w:rPr>
        <w:t xml:space="preserve">tat; </w:t>
      </w:r>
      <w:r w:rsidRPr="001D0846">
        <w:rPr>
          <w:rFonts w:ascii="Times New Roman" w:hAnsi="Times New Roman" w:cs="Times New Roman"/>
          <w:i/>
          <w:sz w:val="28"/>
          <w:szCs w:val="28"/>
        </w:rPr>
        <w:t>(iii)</w:t>
      </w:r>
      <w:r w:rsidRPr="001D0846">
        <w:rPr>
          <w:rFonts w:ascii="Times New Roman" w:hAnsi="Times New Roman" w:cs="Times New Roman"/>
          <w:sz w:val="28"/>
          <w:szCs w:val="28"/>
        </w:rPr>
        <w:t xml:space="preserve"> asigurarea dezvoltării profesionale continue a colaboratorilor vamali prin utilizarea eficientă şi eficace a capacităților centrului de instruire şi a</w:t>
      </w:r>
      <w:r w:rsidR="00FA3E16">
        <w:rPr>
          <w:rFonts w:ascii="Times New Roman" w:hAnsi="Times New Roman" w:cs="Times New Roman"/>
          <w:sz w:val="28"/>
          <w:szCs w:val="28"/>
        </w:rPr>
        <w:t>le</w:t>
      </w:r>
      <w:r w:rsidRPr="001D0846">
        <w:rPr>
          <w:rFonts w:ascii="Times New Roman" w:hAnsi="Times New Roman" w:cs="Times New Roman"/>
          <w:sz w:val="28"/>
          <w:szCs w:val="28"/>
        </w:rPr>
        <w:t xml:space="preserve"> partenerilor externi. </w:t>
      </w:r>
    </w:p>
    <w:p w:rsidR="006C5161" w:rsidRPr="001D0846" w:rsidRDefault="00554FB1" w:rsidP="006358AD">
      <w:pPr>
        <w:spacing w:after="0" w:line="276" w:lineRule="auto"/>
        <w:ind w:firstLine="720"/>
        <w:jc w:val="both"/>
        <w:rPr>
          <w:rFonts w:ascii="Times New Roman" w:hAnsi="Times New Roman" w:cs="Times New Roman"/>
          <w:sz w:val="28"/>
          <w:szCs w:val="28"/>
        </w:rPr>
      </w:pPr>
      <w:r w:rsidRPr="001D0846">
        <w:rPr>
          <w:rFonts w:ascii="Times New Roman" w:hAnsi="Times New Roman" w:cs="Times New Roman"/>
          <w:sz w:val="28"/>
          <w:szCs w:val="28"/>
        </w:rPr>
        <w:t>Evaluările efectuate</w:t>
      </w:r>
      <w:r w:rsidR="006C5161" w:rsidRPr="001D0846">
        <w:rPr>
          <w:rFonts w:ascii="Times New Roman" w:hAnsi="Times New Roman" w:cs="Times New Roman"/>
          <w:sz w:val="28"/>
          <w:szCs w:val="28"/>
        </w:rPr>
        <w:t xml:space="preserve"> de audit relevă că SFS și SV au elaborat strategii de dezvoltare pe termen lung și mediu, prin care au fost stabilite direcțiile de acțiune și definite obiectivele strategice în domeniul administrării impozitelor și taxelor</w:t>
      </w:r>
      <w:r w:rsidR="00FA3E16">
        <w:rPr>
          <w:rFonts w:ascii="Times New Roman" w:hAnsi="Times New Roman" w:cs="Times New Roman"/>
          <w:sz w:val="28"/>
          <w:szCs w:val="28"/>
        </w:rPr>
        <w:t>,</w:t>
      </w:r>
      <w:r w:rsidR="006C5161" w:rsidRPr="001D0846">
        <w:rPr>
          <w:rFonts w:ascii="Times New Roman" w:hAnsi="Times New Roman" w:cs="Times New Roman"/>
          <w:sz w:val="28"/>
          <w:szCs w:val="28"/>
        </w:rPr>
        <w:t xml:space="preserve"> care să asigure dezvoltarea și performanțele instituționale.</w:t>
      </w:r>
    </w:p>
    <w:p w:rsidR="006C5161" w:rsidRPr="001D0846" w:rsidRDefault="00BF7779" w:rsidP="006358AD">
      <w:pPr>
        <w:spacing w:after="0" w:line="276" w:lineRule="auto"/>
        <w:ind w:firstLine="709"/>
        <w:jc w:val="both"/>
        <w:rPr>
          <w:rFonts w:ascii="Times New Roman" w:eastAsia="Calibri" w:hAnsi="Times New Roman" w:cs="Times New Roman"/>
          <w:sz w:val="28"/>
          <w:szCs w:val="28"/>
        </w:rPr>
      </w:pPr>
      <w:r w:rsidRPr="001D0846">
        <w:rPr>
          <w:rFonts w:ascii="Times New Roman" w:eastAsia="Calibri" w:hAnsi="Times New Roman" w:cs="Times New Roman"/>
          <w:sz w:val="28"/>
          <w:szCs w:val="28"/>
        </w:rPr>
        <w:t>Astfel, o</w:t>
      </w:r>
      <w:r w:rsidR="006C5161" w:rsidRPr="001D0846">
        <w:rPr>
          <w:rFonts w:ascii="Times New Roman" w:eastAsia="Calibri" w:hAnsi="Times New Roman" w:cs="Times New Roman"/>
          <w:sz w:val="28"/>
          <w:szCs w:val="28"/>
        </w:rPr>
        <w:t xml:space="preserve">biectivele strategice ale SFS </w:t>
      </w:r>
      <w:r w:rsidR="00FA3E16">
        <w:rPr>
          <w:rFonts w:ascii="Times New Roman" w:eastAsia="Calibri" w:hAnsi="Times New Roman" w:cs="Times New Roman"/>
          <w:sz w:val="28"/>
          <w:szCs w:val="28"/>
        </w:rPr>
        <w:t>s-</w:t>
      </w:r>
      <w:r w:rsidR="006C5161" w:rsidRPr="001D0846">
        <w:rPr>
          <w:rFonts w:ascii="Times New Roman" w:eastAsia="Calibri" w:hAnsi="Times New Roman" w:cs="Times New Roman"/>
          <w:sz w:val="28"/>
          <w:szCs w:val="28"/>
        </w:rPr>
        <w:t xml:space="preserve">au stabilit prin Planul de dezvoltare a </w:t>
      </w:r>
      <w:r w:rsidR="00554FB1" w:rsidRPr="001D0846">
        <w:rPr>
          <w:rFonts w:ascii="Times New Roman" w:eastAsia="Calibri" w:hAnsi="Times New Roman" w:cs="Times New Roman"/>
          <w:sz w:val="28"/>
          <w:szCs w:val="28"/>
        </w:rPr>
        <w:t>SFS</w:t>
      </w:r>
      <w:r w:rsidR="006C5161" w:rsidRPr="001D0846">
        <w:rPr>
          <w:rFonts w:ascii="Times New Roman" w:eastAsia="Calibri" w:hAnsi="Times New Roman" w:cs="Times New Roman"/>
          <w:sz w:val="28"/>
          <w:szCs w:val="28"/>
        </w:rPr>
        <w:t xml:space="preserve"> pentru anii 2011-2015, aprobat prin Hotărârea Guvernului nr.1141 din 16.12.2010</w:t>
      </w:r>
      <w:r w:rsidR="00FA3E16">
        <w:rPr>
          <w:rFonts w:ascii="Times New Roman" w:eastAsia="Calibri" w:hAnsi="Times New Roman" w:cs="Times New Roman"/>
          <w:sz w:val="28"/>
          <w:szCs w:val="28"/>
        </w:rPr>
        <w:t>,</w:t>
      </w:r>
      <w:r w:rsidR="006C5161" w:rsidRPr="001D0846">
        <w:rPr>
          <w:rFonts w:ascii="Times New Roman" w:eastAsia="Calibri" w:hAnsi="Times New Roman" w:cs="Times New Roman"/>
          <w:sz w:val="28"/>
          <w:szCs w:val="28"/>
        </w:rPr>
        <w:t xml:space="preserve"> și Strategia de dezvoltare a </w:t>
      </w:r>
      <w:r w:rsidR="00554FB1" w:rsidRPr="001D0846">
        <w:rPr>
          <w:rFonts w:ascii="Times New Roman" w:eastAsia="Calibri" w:hAnsi="Times New Roman" w:cs="Times New Roman"/>
          <w:sz w:val="28"/>
          <w:szCs w:val="28"/>
        </w:rPr>
        <w:t>SFS</w:t>
      </w:r>
      <w:r w:rsidR="006C5161" w:rsidRPr="001D0846">
        <w:rPr>
          <w:rFonts w:ascii="Times New Roman" w:eastAsia="Calibri" w:hAnsi="Times New Roman" w:cs="Times New Roman"/>
          <w:sz w:val="28"/>
          <w:szCs w:val="28"/>
        </w:rPr>
        <w:t xml:space="preserve"> pentru anii </w:t>
      </w:r>
      <w:r w:rsidR="006C5161" w:rsidRPr="00771592">
        <w:rPr>
          <w:rFonts w:ascii="Times New Roman" w:eastAsia="Calibri" w:hAnsi="Times New Roman" w:cs="Times New Roman"/>
          <w:sz w:val="28"/>
          <w:szCs w:val="28"/>
        </w:rPr>
        <w:t>2016-2020</w:t>
      </w:r>
      <w:r w:rsidR="00D31413">
        <w:rPr>
          <w:rStyle w:val="FootnoteReference"/>
          <w:rFonts w:ascii="Times New Roman" w:eastAsia="Calibri" w:hAnsi="Times New Roman" w:cs="Times New Roman"/>
          <w:sz w:val="28"/>
          <w:szCs w:val="28"/>
        </w:rPr>
        <w:footnoteReference w:id="7"/>
      </w:r>
      <w:r w:rsidR="006C5161" w:rsidRPr="00771592">
        <w:rPr>
          <w:rFonts w:ascii="Times New Roman" w:eastAsia="Calibri" w:hAnsi="Times New Roman" w:cs="Times New Roman"/>
          <w:sz w:val="28"/>
          <w:szCs w:val="28"/>
        </w:rPr>
        <w:t xml:space="preserve">, </w:t>
      </w:r>
      <w:r w:rsidR="006C5161" w:rsidRPr="001D0846">
        <w:rPr>
          <w:rFonts w:ascii="Times New Roman" w:eastAsia="Calibri" w:hAnsi="Times New Roman" w:cs="Times New Roman"/>
          <w:sz w:val="28"/>
          <w:szCs w:val="28"/>
        </w:rPr>
        <w:t xml:space="preserve">care au fost transpuse în planuri </w:t>
      </w:r>
      <w:r w:rsidR="00554FB1" w:rsidRPr="001D0846">
        <w:rPr>
          <w:rFonts w:ascii="Times New Roman" w:eastAsia="Calibri" w:hAnsi="Times New Roman" w:cs="Times New Roman"/>
          <w:sz w:val="28"/>
          <w:szCs w:val="28"/>
        </w:rPr>
        <w:t xml:space="preserve">anuale </w:t>
      </w:r>
      <w:r w:rsidR="006C5161" w:rsidRPr="001D0846">
        <w:rPr>
          <w:rFonts w:ascii="Times New Roman" w:eastAsia="Calibri" w:hAnsi="Times New Roman" w:cs="Times New Roman"/>
          <w:sz w:val="28"/>
          <w:szCs w:val="28"/>
        </w:rPr>
        <w:t>de activitate. Totodată, SFS</w:t>
      </w:r>
      <w:r w:rsidR="000A131D">
        <w:rPr>
          <w:rFonts w:ascii="Times New Roman" w:eastAsia="Calibri" w:hAnsi="Times New Roman" w:cs="Times New Roman"/>
          <w:sz w:val="28"/>
          <w:szCs w:val="28"/>
        </w:rPr>
        <w:t>,</w:t>
      </w:r>
      <w:r w:rsidR="006C5161" w:rsidRPr="001D0846">
        <w:rPr>
          <w:rFonts w:ascii="Times New Roman" w:eastAsia="Calibri" w:hAnsi="Times New Roman" w:cs="Times New Roman"/>
          <w:sz w:val="28"/>
          <w:szCs w:val="28"/>
        </w:rPr>
        <w:t xml:space="preserve"> în </w:t>
      </w:r>
      <w:r w:rsidR="000A131D">
        <w:rPr>
          <w:rFonts w:ascii="Times New Roman" w:eastAsia="Calibri" w:hAnsi="Times New Roman" w:cs="Times New Roman"/>
          <w:sz w:val="28"/>
          <w:szCs w:val="28"/>
        </w:rPr>
        <w:t>anii</w:t>
      </w:r>
      <w:r w:rsidR="006C5161" w:rsidRPr="001D0846">
        <w:rPr>
          <w:rFonts w:ascii="Times New Roman" w:eastAsia="Calibri" w:hAnsi="Times New Roman" w:cs="Times New Roman"/>
          <w:sz w:val="28"/>
          <w:szCs w:val="28"/>
        </w:rPr>
        <w:t xml:space="preserve"> 2015-2017</w:t>
      </w:r>
      <w:r w:rsidR="000A131D">
        <w:rPr>
          <w:rFonts w:ascii="Times New Roman" w:eastAsia="Calibri" w:hAnsi="Times New Roman" w:cs="Times New Roman"/>
          <w:sz w:val="28"/>
          <w:szCs w:val="28"/>
        </w:rPr>
        <w:t xml:space="preserve">, </w:t>
      </w:r>
      <w:r w:rsidR="006C5161" w:rsidRPr="001D0846">
        <w:rPr>
          <w:rFonts w:ascii="Times New Roman" w:eastAsia="Calibri" w:hAnsi="Times New Roman" w:cs="Times New Roman"/>
          <w:sz w:val="28"/>
          <w:szCs w:val="28"/>
        </w:rPr>
        <w:t xml:space="preserve"> urma să asigure </w:t>
      </w:r>
      <w:r w:rsidR="006C5161" w:rsidRPr="001D0846">
        <w:rPr>
          <w:rFonts w:ascii="Times New Roman" w:hAnsi="Times New Roman" w:cs="Times New Roman"/>
          <w:color w:val="000000"/>
          <w:sz w:val="28"/>
          <w:szCs w:val="28"/>
        </w:rPr>
        <w:t>realizarea</w:t>
      </w:r>
      <w:r w:rsidR="00D4753A">
        <w:rPr>
          <w:rFonts w:ascii="Times New Roman" w:hAnsi="Times New Roman" w:cs="Times New Roman"/>
          <w:color w:val="000000"/>
          <w:sz w:val="28"/>
          <w:szCs w:val="28"/>
        </w:rPr>
        <w:t xml:space="preserve">obiectivelor </w:t>
      </w:r>
      <w:r w:rsidR="006C5161" w:rsidRPr="001D0846">
        <w:rPr>
          <w:rFonts w:ascii="Times New Roman" w:hAnsi="Times New Roman" w:cs="Times New Roman"/>
          <w:color w:val="000000"/>
          <w:sz w:val="28"/>
          <w:szCs w:val="28"/>
        </w:rPr>
        <w:t xml:space="preserve">din </w:t>
      </w:r>
      <w:r w:rsidR="006C5161" w:rsidRPr="001D0846">
        <w:rPr>
          <w:rFonts w:ascii="Times New Roman" w:hAnsi="Times New Roman" w:cs="Times New Roman"/>
          <w:bCs/>
          <w:sz w:val="28"/>
          <w:szCs w:val="28"/>
        </w:rPr>
        <w:t xml:space="preserve">Strategia de dezvoltare a managementului </w:t>
      </w:r>
      <w:r w:rsidR="006C5161" w:rsidRPr="000A131D">
        <w:rPr>
          <w:rFonts w:ascii="Times New Roman" w:hAnsi="Times New Roman" w:cs="Times New Roman"/>
          <w:bCs/>
          <w:sz w:val="28"/>
          <w:szCs w:val="28"/>
        </w:rPr>
        <w:t>finanțelor publice 2013-</w:t>
      </w:r>
      <w:r w:rsidR="006C5161" w:rsidRPr="001D0846">
        <w:rPr>
          <w:rFonts w:ascii="Times New Roman" w:hAnsi="Times New Roman" w:cs="Times New Roman"/>
          <w:bCs/>
          <w:sz w:val="28"/>
          <w:szCs w:val="28"/>
        </w:rPr>
        <w:t xml:space="preserve">2020, aprobată prin </w:t>
      </w:r>
      <w:r w:rsidR="006C5161" w:rsidRPr="001D0846">
        <w:rPr>
          <w:rFonts w:ascii="Times New Roman" w:hAnsi="Times New Roman" w:cs="Times New Roman"/>
          <w:sz w:val="28"/>
          <w:szCs w:val="28"/>
        </w:rPr>
        <w:t>Hotărârea Guvernului nr.573 din 06.08.2013</w:t>
      </w:r>
      <w:r w:rsidR="000A131D">
        <w:rPr>
          <w:rFonts w:ascii="Times New Roman" w:hAnsi="Times New Roman" w:cs="Times New Roman"/>
          <w:sz w:val="28"/>
          <w:szCs w:val="28"/>
        </w:rPr>
        <w:t>,</w:t>
      </w:r>
      <w:r w:rsidR="006C5161" w:rsidRPr="001D0846">
        <w:rPr>
          <w:rFonts w:ascii="Times New Roman" w:hAnsi="Times New Roman" w:cs="Times New Roman"/>
          <w:sz w:val="28"/>
          <w:szCs w:val="28"/>
        </w:rPr>
        <w:t xml:space="preserve"> și </w:t>
      </w:r>
      <w:r w:rsidR="000A131D">
        <w:rPr>
          <w:rFonts w:ascii="Times New Roman" w:hAnsi="Times New Roman" w:cs="Times New Roman"/>
          <w:sz w:val="28"/>
          <w:szCs w:val="28"/>
        </w:rPr>
        <w:t xml:space="preserve">din </w:t>
      </w:r>
      <w:r w:rsidR="006C5161" w:rsidRPr="001D0846">
        <w:rPr>
          <w:rFonts w:ascii="Times New Roman" w:hAnsi="Times New Roman" w:cs="Times New Roman"/>
          <w:color w:val="000000"/>
          <w:sz w:val="28"/>
          <w:szCs w:val="28"/>
        </w:rPr>
        <w:t>Programul de dezvoltare a controlului financiar public intern pentru anii 2014-2017, aprobat prin Hotărârea Guvernului nr.1041 din 20.12.2013.</w:t>
      </w:r>
    </w:p>
    <w:p w:rsidR="006C5161" w:rsidRPr="00D4753A" w:rsidRDefault="00D4753A" w:rsidP="00D4753A">
      <w:pPr>
        <w:spacing w:after="0" w:line="276"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În acelaș</w:t>
      </w:r>
      <w:r w:rsidR="00933D8E" w:rsidRPr="001D0846">
        <w:rPr>
          <w:rFonts w:ascii="Times New Roman" w:eastAsia="Calibri" w:hAnsi="Times New Roman" w:cs="Times New Roman"/>
          <w:sz w:val="28"/>
          <w:szCs w:val="28"/>
        </w:rPr>
        <w:t>i timp, o</w:t>
      </w:r>
      <w:r w:rsidR="006C5161" w:rsidRPr="001D0846">
        <w:rPr>
          <w:rFonts w:ascii="Times New Roman" w:eastAsia="Calibri" w:hAnsi="Times New Roman" w:cs="Times New Roman"/>
          <w:sz w:val="28"/>
          <w:szCs w:val="28"/>
        </w:rPr>
        <w:t xml:space="preserve">biectivele strategice ale SV au fost </w:t>
      </w:r>
      <w:r w:rsidR="006C5161" w:rsidRPr="00D4753A">
        <w:rPr>
          <w:rFonts w:ascii="Times New Roman" w:eastAsia="Calibri" w:hAnsi="Times New Roman" w:cs="Times New Roman"/>
          <w:sz w:val="28"/>
          <w:szCs w:val="28"/>
        </w:rPr>
        <w:t>stabilite</w:t>
      </w:r>
      <w:r w:rsidR="006C5161" w:rsidRPr="00D4753A">
        <w:rPr>
          <w:rFonts w:ascii="Times New Roman" w:hAnsi="Times New Roman" w:cs="Times New Roman"/>
          <w:sz w:val="28"/>
          <w:szCs w:val="28"/>
        </w:rPr>
        <w:t xml:space="preserve"> în </w:t>
      </w:r>
      <w:r>
        <w:rPr>
          <w:rFonts w:ascii="Times New Roman" w:hAnsi="Times New Roman" w:cs="Times New Roman"/>
          <w:sz w:val="28"/>
          <w:szCs w:val="28"/>
        </w:rPr>
        <w:t xml:space="preserve">Programul Strategic </w:t>
      </w:r>
      <w:r w:rsidR="001245DF" w:rsidRPr="00D4753A">
        <w:rPr>
          <w:rFonts w:ascii="Times New Roman" w:hAnsi="Times New Roman" w:cs="Times New Roman"/>
          <w:sz w:val="28"/>
          <w:szCs w:val="28"/>
        </w:rPr>
        <w:t>VAMA 2020</w:t>
      </w:r>
      <w:r>
        <w:rPr>
          <w:rStyle w:val="FootnoteReference"/>
          <w:rFonts w:ascii="Times New Roman" w:hAnsi="Times New Roman" w:cs="Times New Roman"/>
          <w:sz w:val="28"/>
          <w:szCs w:val="28"/>
        </w:rPr>
        <w:footnoteReference w:id="8"/>
      </w:r>
      <w:r w:rsidR="001245DF" w:rsidRPr="00D4753A">
        <w:rPr>
          <w:rFonts w:ascii="Times New Roman" w:hAnsi="Times New Roman" w:cs="Times New Roman"/>
          <w:sz w:val="28"/>
          <w:szCs w:val="28"/>
        </w:rPr>
        <w:t>,</w:t>
      </w:r>
      <w:r w:rsidR="006C5161" w:rsidRPr="00D4753A">
        <w:rPr>
          <w:rFonts w:ascii="Times New Roman" w:hAnsi="Times New Roman" w:cs="Times New Roman"/>
          <w:sz w:val="28"/>
          <w:szCs w:val="28"/>
        </w:rPr>
        <w:t>care reprezintă documentul princip</w:t>
      </w:r>
      <w:r w:rsidR="006C5161" w:rsidRPr="00771592">
        <w:rPr>
          <w:rFonts w:ascii="Times New Roman" w:hAnsi="Times New Roman" w:cs="Times New Roman"/>
          <w:sz w:val="28"/>
          <w:szCs w:val="28"/>
        </w:rPr>
        <w:t xml:space="preserve">al de planificare strategică şi un instrument de comunicare </w:t>
      </w:r>
      <w:r w:rsidR="006C5161" w:rsidRPr="001D0846">
        <w:rPr>
          <w:rFonts w:ascii="Times New Roman" w:hAnsi="Times New Roman" w:cs="Times New Roman"/>
          <w:sz w:val="28"/>
          <w:szCs w:val="28"/>
        </w:rPr>
        <w:t xml:space="preserve">atât pe intern, cât și pe extern cu toate părţile interesate. </w:t>
      </w:r>
      <w:r w:rsidR="007E19F9">
        <w:rPr>
          <w:rFonts w:ascii="Times New Roman" w:hAnsi="Times New Roman" w:cs="Times New Roman"/>
          <w:sz w:val="28"/>
          <w:szCs w:val="28"/>
        </w:rPr>
        <w:t xml:space="preserve">Programul </w:t>
      </w:r>
      <w:r w:rsidR="006C5161" w:rsidRPr="001D0846">
        <w:rPr>
          <w:rFonts w:ascii="Times New Roman" w:hAnsi="Times New Roman" w:cs="Times New Roman"/>
          <w:sz w:val="28"/>
          <w:szCs w:val="28"/>
        </w:rPr>
        <w:t>definește obiectivele SV pentru anii 2017-2020, identifică acţi</w:t>
      </w:r>
      <w:r w:rsidR="007E19F9">
        <w:rPr>
          <w:rFonts w:ascii="Times New Roman" w:hAnsi="Times New Roman" w:cs="Times New Roman"/>
          <w:sz w:val="28"/>
          <w:szCs w:val="28"/>
        </w:rPr>
        <w:t xml:space="preserve">unile pentru realizarea </w:t>
      </w:r>
      <w:r w:rsidR="006C5161" w:rsidRPr="001D0846">
        <w:rPr>
          <w:rFonts w:ascii="Times New Roman" w:hAnsi="Times New Roman" w:cs="Times New Roman"/>
          <w:sz w:val="28"/>
          <w:szCs w:val="28"/>
        </w:rPr>
        <w:t>obiective</w:t>
      </w:r>
      <w:r w:rsidR="007E19F9">
        <w:rPr>
          <w:rFonts w:ascii="Times New Roman" w:hAnsi="Times New Roman" w:cs="Times New Roman"/>
          <w:sz w:val="28"/>
          <w:szCs w:val="28"/>
        </w:rPr>
        <w:t>lor preconizate</w:t>
      </w:r>
      <w:r w:rsidR="006C5161" w:rsidRPr="001D0846">
        <w:rPr>
          <w:rFonts w:ascii="Times New Roman" w:hAnsi="Times New Roman" w:cs="Times New Roman"/>
          <w:sz w:val="28"/>
          <w:szCs w:val="28"/>
        </w:rPr>
        <w:t xml:space="preserve">, precum şi indicatorii de performanţă, pentru evaluarea impactului şieficienţei măsurilor planificate. </w:t>
      </w:r>
      <w:r w:rsidR="006C5161" w:rsidRPr="001D0846">
        <w:rPr>
          <w:rFonts w:ascii="Times New Roman" w:eastAsia="Calibri" w:hAnsi="Times New Roman" w:cs="Times New Roman"/>
          <w:sz w:val="28"/>
          <w:szCs w:val="28"/>
        </w:rPr>
        <w:t>Totodată, SV</w:t>
      </w:r>
      <w:r w:rsidR="007C066E">
        <w:rPr>
          <w:rFonts w:ascii="Times New Roman" w:eastAsia="Calibri" w:hAnsi="Times New Roman" w:cs="Times New Roman"/>
          <w:sz w:val="28"/>
          <w:szCs w:val="28"/>
        </w:rPr>
        <w:t>,</w:t>
      </w:r>
      <w:r w:rsidR="006C5161" w:rsidRPr="001D0846">
        <w:rPr>
          <w:rFonts w:ascii="Times New Roman" w:eastAsia="Calibri" w:hAnsi="Times New Roman" w:cs="Times New Roman"/>
          <w:sz w:val="28"/>
          <w:szCs w:val="28"/>
        </w:rPr>
        <w:t xml:space="preserve"> în perioada 2015-2017</w:t>
      </w:r>
      <w:r w:rsidR="007C066E">
        <w:rPr>
          <w:rFonts w:ascii="Times New Roman" w:eastAsia="Calibri" w:hAnsi="Times New Roman" w:cs="Times New Roman"/>
          <w:sz w:val="28"/>
          <w:szCs w:val="28"/>
        </w:rPr>
        <w:t>,</w:t>
      </w:r>
      <w:r w:rsidR="006C5161" w:rsidRPr="001D0846">
        <w:rPr>
          <w:rFonts w:ascii="Times New Roman" w:eastAsia="Calibri" w:hAnsi="Times New Roman" w:cs="Times New Roman"/>
          <w:sz w:val="28"/>
          <w:szCs w:val="28"/>
        </w:rPr>
        <w:t xml:space="preserve"> urma să asigure </w:t>
      </w:r>
      <w:r w:rsidR="006C5161" w:rsidRPr="001D0846">
        <w:rPr>
          <w:rFonts w:ascii="Times New Roman" w:hAnsi="Times New Roman" w:cs="Times New Roman"/>
          <w:color w:val="000000"/>
          <w:sz w:val="28"/>
          <w:szCs w:val="28"/>
        </w:rPr>
        <w:t xml:space="preserve">realizarea </w:t>
      </w:r>
      <w:r w:rsidR="007C066E">
        <w:rPr>
          <w:rFonts w:ascii="Times New Roman" w:hAnsi="Times New Roman" w:cs="Times New Roman"/>
          <w:color w:val="000000"/>
          <w:sz w:val="28"/>
          <w:szCs w:val="28"/>
        </w:rPr>
        <w:t>atâ</w:t>
      </w:r>
      <w:r w:rsidR="007C066E" w:rsidRPr="001D0846">
        <w:rPr>
          <w:rFonts w:ascii="Times New Roman" w:hAnsi="Times New Roman" w:cs="Times New Roman"/>
          <w:color w:val="000000"/>
          <w:sz w:val="28"/>
          <w:szCs w:val="28"/>
        </w:rPr>
        <w:t xml:space="preserve">t </w:t>
      </w:r>
      <w:r w:rsidR="007C066E">
        <w:rPr>
          <w:rFonts w:ascii="Times New Roman" w:hAnsi="Times New Roman" w:cs="Times New Roman"/>
          <w:color w:val="000000"/>
          <w:sz w:val="28"/>
          <w:szCs w:val="28"/>
        </w:rPr>
        <w:t xml:space="preserve">a </w:t>
      </w:r>
      <w:r w:rsidR="006C5161" w:rsidRPr="001D0846">
        <w:rPr>
          <w:rFonts w:ascii="Times New Roman" w:hAnsi="Times New Roman" w:cs="Times New Roman"/>
          <w:color w:val="000000"/>
          <w:sz w:val="28"/>
          <w:szCs w:val="28"/>
        </w:rPr>
        <w:t>obiectivelor pe termen lung, cîtşi a celor pe termen scurt din</w:t>
      </w:r>
      <w:r w:rsidR="006C5161" w:rsidRPr="001D0846">
        <w:rPr>
          <w:rFonts w:ascii="Times New Roman" w:hAnsi="Times New Roman" w:cs="Times New Roman"/>
          <w:bCs/>
          <w:sz w:val="28"/>
          <w:szCs w:val="28"/>
        </w:rPr>
        <w:t xml:space="preserve">Strategia de dezvoltare a managementului finanțelor publice 2013-2020, aprobată prin </w:t>
      </w:r>
      <w:r w:rsidR="006C5161" w:rsidRPr="001D0846">
        <w:rPr>
          <w:rFonts w:ascii="Times New Roman" w:hAnsi="Times New Roman" w:cs="Times New Roman"/>
          <w:sz w:val="28"/>
          <w:szCs w:val="28"/>
        </w:rPr>
        <w:t>Hotărârea Guvernului nr.573 din 06.08.2013</w:t>
      </w:r>
      <w:r w:rsidR="007C066E">
        <w:rPr>
          <w:rFonts w:ascii="Times New Roman" w:hAnsi="Times New Roman" w:cs="Times New Roman"/>
          <w:sz w:val="28"/>
          <w:szCs w:val="28"/>
        </w:rPr>
        <w:t>,</w:t>
      </w:r>
      <w:r w:rsidR="006C5161" w:rsidRPr="001D0846">
        <w:rPr>
          <w:rFonts w:ascii="Times New Roman" w:hAnsi="Times New Roman" w:cs="Times New Roman"/>
          <w:sz w:val="28"/>
          <w:szCs w:val="28"/>
        </w:rPr>
        <w:t xml:space="preserve"> și </w:t>
      </w:r>
      <w:r w:rsidR="007C066E">
        <w:rPr>
          <w:rFonts w:ascii="Times New Roman" w:hAnsi="Times New Roman" w:cs="Times New Roman"/>
          <w:sz w:val="28"/>
          <w:szCs w:val="28"/>
        </w:rPr>
        <w:t xml:space="preserve">din </w:t>
      </w:r>
      <w:r w:rsidR="006C5161" w:rsidRPr="001D0846">
        <w:rPr>
          <w:rFonts w:ascii="Times New Roman" w:hAnsi="Times New Roman" w:cs="Times New Roman"/>
          <w:color w:val="000000"/>
          <w:sz w:val="28"/>
          <w:szCs w:val="28"/>
        </w:rPr>
        <w:t xml:space="preserve">Programul de dezvoltare a controlului financiar </w:t>
      </w:r>
      <w:r w:rsidR="006C5161" w:rsidRPr="001D0846">
        <w:rPr>
          <w:rFonts w:ascii="Times New Roman" w:hAnsi="Times New Roman" w:cs="Times New Roman"/>
          <w:color w:val="000000"/>
          <w:sz w:val="28"/>
          <w:szCs w:val="28"/>
        </w:rPr>
        <w:lastRenderedPageBreak/>
        <w:t>public intern pentru anii 2014-2017, aprobat prin Hotărârea Guvernului nr.1041 din 20.12.2013.</w:t>
      </w:r>
    </w:p>
    <w:p w:rsidR="006C5161" w:rsidRPr="001D0846" w:rsidRDefault="006C5161" w:rsidP="00771592">
      <w:pPr>
        <w:spacing w:after="0" w:line="276" w:lineRule="auto"/>
        <w:ind w:firstLine="709"/>
        <w:jc w:val="both"/>
        <w:rPr>
          <w:rFonts w:ascii="Times New Roman" w:hAnsi="Times New Roman" w:cs="Times New Roman"/>
          <w:sz w:val="28"/>
          <w:szCs w:val="28"/>
        </w:rPr>
      </w:pPr>
      <w:r w:rsidRPr="001D0846">
        <w:rPr>
          <w:rFonts w:ascii="Times New Roman" w:hAnsi="Times New Roman" w:cs="Times New Roman"/>
          <w:sz w:val="28"/>
          <w:szCs w:val="28"/>
        </w:rPr>
        <w:t xml:space="preserve">În vederea realizării obiectivelor strategice și evaluării </w:t>
      </w:r>
      <w:r w:rsidR="00771592">
        <w:rPr>
          <w:rFonts w:ascii="Times New Roman" w:hAnsi="Times New Roman" w:cs="Times New Roman"/>
          <w:sz w:val="28"/>
          <w:szCs w:val="28"/>
        </w:rPr>
        <w:t>gradului/</w:t>
      </w:r>
      <w:r w:rsidRPr="001D0846">
        <w:rPr>
          <w:rFonts w:ascii="Times New Roman" w:hAnsi="Times New Roman" w:cs="Times New Roman"/>
          <w:sz w:val="28"/>
          <w:szCs w:val="28"/>
        </w:rPr>
        <w:t>nivelului de implementare, SFS și SV au elaborat și aprobat planuri și rapoarte anuale</w:t>
      </w:r>
      <w:r w:rsidR="007C066E">
        <w:rPr>
          <w:rFonts w:ascii="Times New Roman" w:hAnsi="Times New Roman" w:cs="Times New Roman"/>
          <w:sz w:val="28"/>
          <w:szCs w:val="28"/>
        </w:rPr>
        <w:t>,</w:t>
      </w:r>
      <w:r w:rsidRPr="001D0846">
        <w:rPr>
          <w:rFonts w:ascii="Times New Roman" w:hAnsi="Times New Roman" w:cs="Times New Roman"/>
          <w:sz w:val="28"/>
          <w:szCs w:val="28"/>
        </w:rPr>
        <w:t xml:space="preserve"> în care</w:t>
      </w:r>
      <w:r w:rsidR="00771592">
        <w:rPr>
          <w:rFonts w:ascii="Times New Roman" w:hAnsi="Times New Roman" w:cs="Times New Roman"/>
          <w:sz w:val="28"/>
          <w:szCs w:val="28"/>
        </w:rPr>
        <w:t xml:space="preserve"> au fost stabilite obiectivele generale și specifice, </w:t>
      </w:r>
      <w:r w:rsidR="00771592" w:rsidRPr="00771592">
        <w:rPr>
          <w:rFonts w:ascii="Times New Roman" w:hAnsi="Times New Roman" w:cs="Times New Roman"/>
          <w:sz w:val="28"/>
          <w:szCs w:val="28"/>
        </w:rPr>
        <w:t xml:space="preserve">activitățile, </w:t>
      </w:r>
      <w:r w:rsidR="00771592">
        <w:rPr>
          <w:rFonts w:ascii="Times New Roman" w:hAnsi="Times New Roman" w:cs="Times New Roman"/>
          <w:sz w:val="28"/>
          <w:szCs w:val="28"/>
        </w:rPr>
        <w:t>termen</w:t>
      </w:r>
      <w:r w:rsidR="007C066E">
        <w:rPr>
          <w:rFonts w:ascii="Times New Roman" w:hAnsi="Times New Roman" w:cs="Times New Roman"/>
          <w:sz w:val="28"/>
          <w:szCs w:val="28"/>
        </w:rPr>
        <w:t>ele</w:t>
      </w:r>
      <w:r w:rsidR="00771592">
        <w:rPr>
          <w:rFonts w:ascii="Times New Roman" w:hAnsi="Times New Roman" w:cs="Times New Roman"/>
          <w:sz w:val="28"/>
          <w:szCs w:val="28"/>
        </w:rPr>
        <w:t xml:space="preserve">, </w:t>
      </w:r>
      <w:r w:rsidR="00771592" w:rsidRPr="00771592">
        <w:rPr>
          <w:rFonts w:ascii="Times New Roman" w:hAnsi="Times New Roman" w:cs="Times New Roman"/>
          <w:sz w:val="28"/>
          <w:szCs w:val="28"/>
        </w:rPr>
        <w:t xml:space="preserve">indicatorii de </w:t>
      </w:r>
      <w:r w:rsidR="00771592">
        <w:rPr>
          <w:rFonts w:ascii="Times New Roman" w:hAnsi="Times New Roman" w:cs="Times New Roman"/>
          <w:sz w:val="28"/>
          <w:szCs w:val="28"/>
        </w:rPr>
        <w:t>performanță</w:t>
      </w:r>
      <w:r w:rsidR="00771592" w:rsidRPr="00771592">
        <w:rPr>
          <w:rFonts w:ascii="Times New Roman" w:hAnsi="Times New Roman" w:cs="Times New Roman"/>
          <w:sz w:val="28"/>
          <w:szCs w:val="28"/>
        </w:rPr>
        <w:t xml:space="preserve"> și nivelul de realizare</w:t>
      </w:r>
      <w:r w:rsidR="00771592">
        <w:rPr>
          <w:rFonts w:ascii="Times New Roman" w:hAnsi="Times New Roman" w:cs="Times New Roman"/>
          <w:sz w:val="28"/>
          <w:szCs w:val="28"/>
        </w:rPr>
        <w:t xml:space="preserve"> a acestora. </w:t>
      </w:r>
      <w:r w:rsidRPr="00054276">
        <w:rPr>
          <w:rFonts w:ascii="Times New Roman" w:hAnsi="Times New Roman" w:cs="Times New Roman"/>
          <w:sz w:val="28"/>
          <w:szCs w:val="28"/>
        </w:rPr>
        <w:t>Totodată, s-a constatat că planurile și rapoartele elaborate au fost structurate pe obiective strategice, iar în cadrul fiecărui obiectiv au fost stabilite activități, acțiuni și subacțiuni pentru implementare.</w:t>
      </w:r>
    </w:p>
    <w:p w:rsidR="00BB1301" w:rsidRPr="001D0846" w:rsidRDefault="006C5161" w:rsidP="006358AD">
      <w:pPr>
        <w:spacing w:after="0" w:line="276" w:lineRule="auto"/>
        <w:jc w:val="both"/>
        <w:rPr>
          <w:rFonts w:ascii="Times New Roman" w:hAnsi="Times New Roman" w:cs="Times New Roman"/>
          <w:sz w:val="28"/>
          <w:szCs w:val="28"/>
        </w:rPr>
      </w:pPr>
      <w:r w:rsidRPr="001D0846">
        <w:rPr>
          <w:rFonts w:ascii="Times New Roman" w:hAnsi="Times New Roman" w:cs="Times New Roman"/>
          <w:sz w:val="28"/>
          <w:szCs w:val="28"/>
        </w:rPr>
        <w:tab/>
        <w:t xml:space="preserve">Analiza nivelului de realizare de către SFS </w:t>
      </w:r>
      <w:r w:rsidRPr="005A5243">
        <w:rPr>
          <w:rFonts w:ascii="Times New Roman" w:hAnsi="Times New Roman" w:cs="Times New Roman"/>
          <w:sz w:val="28"/>
          <w:szCs w:val="28"/>
        </w:rPr>
        <w:t>a obiectivelor și indicatorilor de performanță transpu</w:t>
      </w:r>
      <w:r w:rsidR="007C066E" w:rsidRPr="005A5243">
        <w:rPr>
          <w:rFonts w:ascii="Times New Roman" w:hAnsi="Times New Roman" w:cs="Times New Roman"/>
          <w:sz w:val="28"/>
          <w:szCs w:val="28"/>
        </w:rPr>
        <w:t>și</w:t>
      </w:r>
      <w:r w:rsidRPr="005A5243">
        <w:rPr>
          <w:rFonts w:ascii="Times New Roman" w:hAnsi="Times New Roman" w:cs="Times New Roman"/>
          <w:sz w:val="28"/>
          <w:szCs w:val="28"/>
        </w:rPr>
        <w:t xml:space="preserve"> în Planurile de activitate pentr</w:t>
      </w:r>
      <w:r w:rsidRPr="001D0846">
        <w:rPr>
          <w:rFonts w:ascii="Times New Roman" w:hAnsi="Times New Roman" w:cs="Times New Roman"/>
          <w:sz w:val="28"/>
          <w:szCs w:val="28"/>
        </w:rPr>
        <w:t>u anii 2015-2017denotă că</w:t>
      </w:r>
      <w:r w:rsidR="007C066E">
        <w:rPr>
          <w:rFonts w:ascii="Times New Roman" w:hAnsi="Times New Roman" w:cs="Times New Roman"/>
          <w:sz w:val="28"/>
          <w:szCs w:val="28"/>
        </w:rPr>
        <w:t>,</w:t>
      </w:r>
      <w:r w:rsidRPr="001D0846">
        <w:rPr>
          <w:rFonts w:ascii="Times New Roman" w:hAnsi="Times New Roman" w:cs="Times New Roman"/>
          <w:sz w:val="28"/>
          <w:szCs w:val="28"/>
        </w:rPr>
        <w:t xml:space="preserve"> în unele cazuri</w:t>
      </w:r>
      <w:r w:rsidR="007C066E">
        <w:rPr>
          <w:rFonts w:ascii="Times New Roman" w:hAnsi="Times New Roman" w:cs="Times New Roman"/>
          <w:sz w:val="28"/>
          <w:szCs w:val="28"/>
        </w:rPr>
        <w:t>,</w:t>
      </w:r>
      <w:r w:rsidRPr="007C066E">
        <w:rPr>
          <w:rFonts w:ascii="Times New Roman" w:hAnsi="Times New Roman" w:cs="Times New Roman"/>
          <w:sz w:val="28"/>
          <w:szCs w:val="28"/>
        </w:rPr>
        <w:t xml:space="preserve">subactivitățile nu au fost realizate/implementate corespunzător la nivelul planurilor aprobate, auditul </w:t>
      </w:r>
      <w:r w:rsidR="007C066E" w:rsidRPr="007C066E">
        <w:rPr>
          <w:rFonts w:ascii="Times New Roman" w:hAnsi="Times New Roman" w:cs="Times New Roman"/>
          <w:sz w:val="28"/>
          <w:szCs w:val="28"/>
        </w:rPr>
        <w:t>constatând</w:t>
      </w:r>
      <w:r w:rsidRPr="007C066E">
        <w:rPr>
          <w:rFonts w:ascii="Times New Roman" w:hAnsi="Times New Roman" w:cs="Times New Roman"/>
          <w:sz w:val="28"/>
          <w:szCs w:val="28"/>
        </w:rPr>
        <w:t xml:space="preserve"> nerealizări sau realizări parțiale ale indicatorilor. </w:t>
      </w:r>
      <w:r w:rsidRPr="007C066E">
        <w:rPr>
          <w:rFonts w:ascii="Times New Roman" w:hAnsi="Times New Roman" w:cs="Times New Roman"/>
          <w:i/>
          <w:sz w:val="28"/>
          <w:szCs w:val="28"/>
        </w:rPr>
        <w:t>Situația privind nivelul de realizare a subactivităților</w:t>
      </w:r>
      <w:r w:rsidR="007B393C" w:rsidRPr="007C066E">
        <w:rPr>
          <w:rFonts w:ascii="Times New Roman" w:hAnsi="Times New Roman" w:cs="Times New Roman"/>
          <w:i/>
          <w:sz w:val="28"/>
          <w:szCs w:val="28"/>
        </w:rPr>
        <w:t xml:space="preserve">de către SFS </w:t>
      </w:r>
      <w:r w:rsidR="007C066E" w:rsidRPr="007C066E">
        <w:rPr>
          <w:rFonts w:ascii="Times New Roman" w:hAnsi="Times New Roman" w:cs="Times New Roman"/>
          <w:i/>
          <w:sz w:val="28"/>
          <w:szCs w:val="28"/>
        </w:rPr>
        <w:t xml:space="preserve">este </w:t>
      </w:r>
      <w:r w:rsidRPr="007C066E">
        <w:rPr>
          <w:rFonts w:ascii="Times New Roman" w:hAnsi="Times New Roman" w:cs="Times New Roman"/>
          <w:i/>
          <w:sz w:val="28"/>
          <w:szCs w:val="28"/>
        </w:rPr>
        <w:t xml:space="preserve"> prez</w:t>
      </w:r>
      <w:r w:rsidR="007C066E" w:rsidRPr="007C066E">
        <w:rPr>
          <w:rFonts w:ascii="Times New Roman" w:hAnsi="Times New Roman" w:cs="Times New Roman"/>
          <w:i/>
          <w:sz w:val="28"/>
          <w:szCs w:val="28"/>
        </w:rPr>
        <w:t>enta</w:t>
      </w:r>
      <w:r w:rsidRPr="007C066E">
        <w:rPr>
          <w:rFonts w:ascii="Times New Roman" w:hAnsi="Times New Roman" w:cs="Times New Roman"/>
          <w:i/>
          <w:sz w:val="28"/>
          <w:szCs w:val="28"/>
        </w:rPr>
        <w:t xml:space="preserve">tă în Diagrama </w:t>
      </w:r>
      <w:r w:rsidR="00BB1301" w:rsidRPr="007C066E">
        <w:rPr>
          <w:rFonts w:ascii="Times New Roman" w:hAnsi="Times New Roman" w:cs="Times New Roman"/>
          <w:i/>
          <w:sz w:val="28"/>
          <w:szCs w:val="28"/>
        </w:rPr>
        <w:t>nr.1.</w:t>
      </w:r>
    </w:p>
    <w:p w:rsidR="00AB38EF" w:rsidRPr="001D0846" w:rsidRDefault="00AB38EF" w:rsidP="002506A5">
      <w:pPr>
        <w:pStyle w:val="ListParagraph"/>
        <w:tabs>
          <w:tab w:val="left" w:pos="0"/>
        </w:tabs>
        <w:spacing w:after="0" w:line="276" w:lineRule="auto"/>
        <w:ind w:left="0" w:right="-6" w:firstLine="709"/>
        <w:jc w:val="right"/>
        <w:rPr>
          <w:rFonts w:ascii="Times New Roman" w:hAnsi="Times New Roman" w:cs="Times New Roman"/>
          <w:b/>
          <w:i/>
          <w:sz w:val="28"/>
          <w:szCs w:val="28"/>
        </w:rPr>
      </w:pPr>
      <w:r w:rsidRPr="001D0846">
        <w:rPr>
          <w:rFonts w:ascii="Times New Roman" w:hAnsi="Times New Roman" w:cs="Times New Roman"/>
          <w:b/>
          <w:i/>
          <w:sz w:val="28"/>
          <w:szCs w:val="28"/>
        </w:rPr>
        <w:t>Diagrama nr.1</w:t>
      </w:r>
    </w:p>
    <w:p w:rsidR="00AB38EF" w:rsidRPr="001D0846" w:rsidRDefault="00AB38EF" w:rsidP="00AB38EF">
      <w:pPr>
        <w:pStyle w:val="ListParagraph"/>
        <w:tabs>
          <w:tab w:val="left" w:pos="0"/>
        </w:tabs>
        <w:spacing w:after="0" w:line="276" w:lineRule="auto"/>
        <w:ind w:left="0"/>
        <w:jc w:val="center"/>
        <w:rPr>
          <w:rFonts w:ascii="Times New Roman" w:hAnsi="Times New Roman" w:cs="Times New Roman"/>
          <w:i/>
          <w:sz w:val="28"/>
          <w:szCs w:val="28"/>
        </w:rPr>
      </w:pPr>
      <w:r w:rsidRPr="001D0846">
        <w:rPr>
          <w:rFonts w:ascii="Times New Roman" w:hAnsi="Times New Roman" w:cs="Times New Roman"/>
          <w:i/>
          <w:noProof/>
          <w:sz w:val="28"/>
          <w:szCs w:val="28"/>
          <w:lang w:val="en-GB" w:eastAsia="en-GB"/>
        </w:rPr>
        <w:drawing>
          <wp:inline distT="0" distB="0" distL="0" distR="0">
            <wp:extent cx="5897880" cy="2636520"/>
            <wp:effectExtent l="0" t="0" r="7620" b="1143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B393C" w:rsidRPr="001D0846" w:rsidRDefault="00AB38EF" w:rsidP="006522E0">
      <w:pPr>
        <w:pStyle w:val="ListParagraph"/>
        <w:tabs>
          <w:tab w:val="left" w:pos="0"/>
        </w:tabs>
        <w:spacing w:after="0" w:line="276" w:lineRule="auto"/>
        <w:ind w:left="0"/>
        <w:rPr>
          <w:rFonts w:ascii="Times New Roman" w:hAnsi="Times New Roman" w:cs="Times New Roman"/>
          <w:i/>
          <w:sz w:val="20"/>
          <w:szCs w:val="20"/>
        </w:rPr>
      </w:pPr>
      <w:r w:rsidRPr="001D0846">
        <w:rPr>
          <w:rFonts w:ascii="Times New Roman" w:hAnsi="Times New Roman" w:cs="Times New Roman"/>
          <w:b/>
          <w:i/>
          <w:sz w:val="20"/>
          <w:szCs w:val="20"/>
        </w:rPr>
        <w:t>Sursă:</w:t>
      </w:r>
      <w:r w:rsidRPr="001D0846">
        <w:rPr>
          <w:rFonts w:ascii="Times New Roman" w:hAnsi="Times New Roman" w:cs="Times New Roman"/>
          <w:i/>
          <w:sz w:val="20"/>
          <w:szCs w:val="20"/>
        </w:rPr>
        <w:t xml:space="preserve"> Rapoartele privind implementarea Planului de activitate al SFS pentru anii 2015-2017.</w:t>
      </w:r>
    </w:p>
    <w:p w:rsidR="008B6C26" w:rsidRPr="001D0846" w:rsidRDefault="006C5161" w:rsidP="006358AD">
      <w:pPr>
        <w:spacing w:after="0" w:line="276" w:lineRule="auto"/>
        <w:jc w:val="both"/>
        <w:rPr>
          <w:rFonts w:ascii="Times New Roman" w:hAnsi="Times New Roman" w:cs="Times New Roman"/>
          <w:sz w:val="28"/>
          <w:szCs w:val="28"/>
        </w:rPr>
      </w:pPr>
      <w:r w:rsidRPr="001D0846">
        <w:rPr>
          <w:rFonts w:ascii="Times New Roman" w:hAnsi="Times New Roman" w:cs="Times New Roman"/>
          <w:sz w:val="28"/>
          <w:szCs w:val="28"/>
        </w:rPr>
        <w:tab/>
      </w:r>
    </w:p>
    <w:p w:rsidR="00A56B71" w:rsidRPr="001D0846" w:rsidRDefault="00BB1301" w:rsidP="00A56B71">
      <w:pPr>
        <w:spacing w:after="0" w:line="276" w:lineRule="auto"/>
        <w:ind w:firstLine="720"/>
        <w:jc w:val="both"/>
        <w:rPr>
          <w:rFonts w:ascii="Times New Roman" w:hAnsi="Times New Roman" w:cs="Times New Roman"/>
          <w:sz w:val="28"/>
          <w:szCs w:val="28"/>
        </w:rPr>
      </w:pPr>
      <w:r w:rsidRPr="001D0846">
        <w:rPr>
          <w:rFonts w:ascii="Times New Roman" w:hAnsi="Times New Roman" w:cs="Times New Roman"/>
          <w:sz w:val="28"/>
          <w:szCs w:val="28"/>
        </w:rPr>
        <w:t xml:space="preserve">Analiza datelor </w:t>
      </w:r>
      <w:r w:rsidR="006C5161" w:rsidRPr="001D0846">
        <w:rPr>
          <w:rFonts w:ascii="Times New Roman" w:hAnsi="Times New Roman" w:cs="Times New Roman"/>
          <w:sz w:val="28"/>
          <w:szCs w:val="28"/>
        </w:rPr>
        <w:t xml:space="preserve">prezentate în Diagramă relevă că în </w:t>
      </w:r>
      <w:r w:rsidR="007C066E">
        <w:rPr>
          <w:rFonts w:ascii="Times New Roman" w:hAnsi="Times New Roman" w:cs="Times New Roman"/>
          <w:sz w:val="28"/>
          <w:szCs w:val="28"/>
        </w:rPr>
        <w:t>anul</w:t>
      </w:r>
      <w:r w:rsidR="006C5161" w:rsidRPr="001D0846">
        <w:rPr>
          <w:rFonts w:ascii="Times New Roman" w:hAnsi="Times New Roman" w:cs="Times New Roman"/>
          <w:sz w:val="28"/>
          <w:szCs w:val="28"/>
        </w:rPr>
        <w:t xml:space="preserve"> 2015, din numărul total de 130 de subactivități prevăzute în </w:t>
      </w:r>
      <w:r w:rsidR="007C066E">
        <w:rPr>
          <w:rFonts w:ascii="Times New Roman" w:hAnsi="Times New Roman" w:cs="Times New Roman"/>
          <w:sz w:val="28"/>
          <w:szCs w:val="28"/>
        </w:rPr>
        <w:t>P</w:t>
      </w:r>
      <w:r w:rsidR="006C5161" w:rsidRPr="001D0846">
        <w:rPr>
          <w:rFonts w:ascii="Times New Roman" w:hAnsi="Times New Roman" w:cs="Times New Roman"/>
          <w:sz w:val="28"/>
          <w:szCs w:val="28"/>
        </w:rPr>
        <w:t>lanul anual de activit</w:t>
      </w:r>
      <w:r w:rsidR="002B1C64" w:rsidRPr="001D0846">
        <w:rPr>
          <w:rFonts w:ascii="Times New Roman" w:hAnsi="Times New Roman" w:cs="Times New Roman"/>
          <w:sz w:val="28"/>
          <w:szCs w:val="28"/>
        </w:rPr>
        <w:t>ate al SFS, au fost realizate 98 de subactivități, 29 – parțial realizate</w:t>
      </w:r>
      <w:r w:rsidR="007C066E">
        <w:rPr>
          <w:rFonts w:ascii="Times New Roman" w:hAnsi="Times New Roman" w:cs="Times New Roman"/>
          <w:sz w:val="28"/>
          <w:szCs w:val="28"/>
        </w:rPr>
        <w:t>,</w:t>
      </w:r>
      <w:r w:rsidR="002B1C64" w:rsidRPr="001D0846">
        <w:rPr>
          <w:rFonts w:ascii="Times New Roman" w:hAnsi="Times New Roman" w:cs="Times New Roman"/>
          <w:sz w:val="28"/>
          <w:szCs w:val="28"/>
        </w:rPr>
        <w:t xml:space="preserve"> și 3</w:t>
      </w:r>
      <w:r w:rsidR="006C5161" w:rsidRPr="001D0846">
        <w:rPr>
          <w:rFonts w:ascii="Times New Roman" w:hAnsi="Times New Roman" w:cs="Times New Roman"/>
          <w:sz w:val="28"/>
          <w:szCs w:val="28"/>
        </w:rPr>
        <w:t xml:space="preserve"> – nerealizate, ceea ce </w:t>
      </w:r>
      <w:r w:rsidR="007C066E">
        <w:rPr>
          <w:rFonts w:ascii="Times New Roman" w:hAnsi="Times New Roman" w:cs="Times New Roman"/>
          <w:sz w:val="28"/>
          <w:szCs w:val="28"/>
        </w:rPr>
        <w:t xml:space="preserve">atestă </w:t>
      </w:r>
      <w:r w:rsidR="006C5161" w:rsidRPr="001D0846">
        <w:rPr>
          <w:rFonts w:ascii="Times New Roman" w:hAnsi="Times New Roman" w:cs="Times New Roman"/>
          <w:sz w:val="28"/>
          <w:szCs w:val="28"/>
        </w:rPr>
        <w:t xml:space="preserve"> un nivel de realizare a planului d</w:t>
      </w:r>
      <w:r w:rsidR="002B1C64" w:rsidRPr="001D0846">
        <w:rPr>
          <w:rFonts w:ascii="Times New Roman" w:hAnsi="Times New Roman" w:cs="Times New Roman"/>
          <w:sz w:val="28"/>
          <w:szCs w:val="28"/>
        </w:rPr>
        <w:t>e activitate de circa 75,4</w:t>
      </w:r>
      <w:r w:rsidR="006C5161" w:rsidRPr="001D0846">
        <w:rPr>
          <w:rFonts w:ascii="Times New Roman" w:hAnsi="Times New Roman" w:cs="Times New Roman"/>
          <w:sz w:val="28"/>
          <w:szCs w:val="28"/>
        </w:rPr>
        <w:t xml:space="preserve"> %. Totodată, se remarcă că</w:t>
      </w:r>
      <w:r w:rsidR="003F7601">
        <w:rPr>
          <w:rFonts w:ascii="Times New Roman" w:hAnsi="Times New Roman" w:cs="Times New Roman"/>
          <w:sz w:val="28"/>
          <w:szCs w:val="28"/>
        </w:rPr>
        <w:t>,</w:t>
      </w:r>
      <w:r w:rsidR="006C5161" w:rsidRPr="001D0846">
        <w:rPr>
          <w:rFonts w:ascii="Times New Roman" w:hAnsi="Times New Roman" w:cs="Times New Roman"/>
          <w:sz w:val="28"/>
          <w:szCs w:val="28"/>
        </w:rPr>
        <w:t xml:space="preserve"> la Prioritatea I ,,Exercitarea controlului asupra respectării legislației fiscale, asupra calculării corecte, vărsării depline și la timp la buget a sumelor obligațiilor fiscale”din </w:t>
      </w:r>
      <w:r w:rsidR="003F7601">
        <w:rPr>
          <w:rFonts w:ascii="Times New Roman" w:hAnsi="Times New Roman" w:cs="Times New Roman"/>
          <w:sz w:val="28"/>
          <w:szCs w:val="28"/>
        </w:rPr>
        <w:t>p</w:t>
      </w:r>
      <w:r w:rsidR="006C5161" w:rsidRPr="001D0846">
        <w:rPr>
          <w:rFonts w:ascii="Times New Roman" w:hAnsi="Times New Roman" w:cs="Times New Roman"/>
          <w:sz w:val="28"/>
          <w:szCs w:val="28"/>
        </w:rPr>
        <w:t>lanul de activitate</w:t>
      </w:r>
      <w:r w:rsidR="003F7601">
        <w:rPr>
          <w:rFonts w:ascii="Times New Roman" w:hAnsi="Times New Roman" w:cs="Times New Roman"/>
          <w:sz w:val="28"/>
          <w:szCs w:val="28"/>
        </w:rPr>
        <w:t>,</w:t>
      </w:r>
      <w:r w:rsidR="006C5161" w:rsidRPr="001D0846">
        <w:rPr>
          <w:rFonts w:ascii="Times New Roman" w:hAnsi="Times New Roman" w:cs="Times New Roman"/>
          <w:sz w:val="28"/>
          <w:szCs w:val="28"/>
        </w:rPr>
        <w:t xml:space="preserve">SFSa realizat pe deplin </w:t>
      </w:r>
      <w:r w:rsidR="00882744" w:rsidRPr="001D0846">
        <w:rPr>
          <w:rFonts w:ascii="Times New Roman" w:hAnsi="Times New Roman" w:cs="Times New Roman"/>
          <w:sz w:val="28"/>
          <w:szCs w:val="28"/>
        </w:rPr>
        <w:t>doar 5</w:t>
      </w:r>
      <w:r w:rsidR="006C5161" w:rsidRPr="001D0846">
        <w:rPr>
          <w:rFonts w:ascii="Times New Roman" w:hAnsi="Times New Roman" w:cs="Times New Roman"/>
          <w:sz w:val="28"/>
          <w:szCs w:val="28"/>
        </w:rPr>
        <w:t xml:space="preserve"> indicator</w:t>
      </w:r>
      <w:r w:rsidR="00882744" w:rsidRPr="001D0846">
        <w:rPr>
          <w:rFonts w:ascii="Times New Roman" w:hAnsi="Times New Roman" w:cs="Times New Roman"/>
          <w:sz w:val="28"/>
          <w:szCs w:val="28"/>
        </w:rPr>
        <w:t>i</w:t>
      </w:r>
      <w:r w:rsidR="006C5161" w:rsidRPr="001D0846">
        <w:rPr>
          <w:rFonts w:ascii="Times New Roman" w:hAnsi="Times New Roman" w:cs="Times New Roman"/>
          <w:sz w:val="28"/>
          <w:szCs w:val="28"/>
        </w:rPr>
        <w:t xml:space="preserve"> de rezultat</w:t>
      </w:r>
      <w:r w:rsidR="003F7601">
        <w:rPr>
          <w:rFonts w:ascii="Times New Roman" w:hAnsi="Times New Roman" w:cs="Times New Roman"/>
          <w:sz w:val="28"/>
          <w:szCs w:val="28"/>
        </w:rPr>
        <w:t>,</w:t>
      </w:r>
      <w:r w:rsidR="00882744" w:rsidRPr="001D0846">
        <w:rPr>
          <w:rFonts w:ascii="Times New Roman" w:hAnsi="Times New Roman" w:cs="Times New Roman"/>
          <w:sz w:val="28"/>
          <w:szCs w:val="28"/>
        </w:rPr>
        <w:t xml:space="preserve"> din 16 stabiliți</w:t>
      </w:r>
      <w:r w:rsidR="006C5161" w:rsidRPr="001D0846">
        <w:rPr>
          <w:rFonts w:ascii="Times New Roman" w:hAnsi="Times New Roman" w:cs="Times New Roman"/>
          <w:sz w:val="28"/>
          <w:szCs w:val="28"/>
        </w:rPr>
        <w:t xml:space="preserve">. În acest context, pentru a raporta realizarea integrală a indicatorilor din </w:t>
      </w:r>
      <w:r w:rsidR="003F7601">
        <w:rPr>
          <w:rFonts w:ascii="Times New Roman" w:hAnsi="Times New Roman" w:cs="Times New Roman"/>
          <w:sz w:val="28"/>
          <w:szCs w:val="28"/>
        </w:rPr>
        <w:t>P</w:t>
      </w:r>
      <w:r w:rsidR="006C5161" w:rsidRPr="001D0846">
        <w:rPr>
          <w:rFonts w:ascii="Times New Roman" w:hAnsi="Times New Roman" w:cs="Times New Roman"/>
          <w:sz w:val="28"/>
          <w:szCs w:val="28"/>
        </w:rPr>
        <w:t>lanul de activitate</w:t>
      </w:r>
      <w:r w:rsidR="00BB69D1" w:rsidRPr="001D0846">
        <w:rPr>
          <w:rFonts w:ascii="Times New Roman" w:hAnsi="Times New Roman" w:cs="Times New Roman"/>
          <w:sz w:val="28"/>
          <w:szCs w:val="28"/>
        </w:rPr>
        <w:t xml:space="preserve"> pentru anul 2015</w:t>
      </w:r>
      <w:r w:rsidR="006C5161" w:rsidRPr="001D0846">
        <w:rPr>
          <w:rFonts w:ascii="Times New Roman" w:hAnsi="Times New Roman" w:cs="Times New Roman"/>
          <w:sz w:val="28"/>
          <w:szCs w:val="28"/>
        </w:rPr>
        <w:t xml:space="preserve">, SFS a modificat indicatorii inițial </w:t>
      </w:r>
      <w:r w:rsidR="006C5161" w:rsidRPr="001D0846">
        <w:rPr>
          <w:rFonts w:ascii="Times New Roman" w:hAnsi="Times New Roman" w:cs="Times New Roman"/>
          <w:sz w:val="28"/>
          <w:szCs w:val="28"/>
        </w:rPr>
        <w:lastRenderedPageBreak/>
        <w:t xml:space="preserve">stabiliți, fiind ajustați la nivelul rezultatului efectiv realizat, </w:t>
      </w:r>
      <w:r w:rsidR="003F7601" w:rsidRPr="001D0846">
        <w:rPr>
          <w:rFonts w:ascii="Times New Roman" w:hAnsi="Times New Roman" w:cs="Times New Roman"/>
          <w:sz w:val="28"/>
          <w:szCs w:val="28"/>
        </w:rPr>
        <w:t xml:space="preserve">astfel </w:t>
      </w:r>
      <w:r w:rsidR="006C5161" w:rsidRPr="001D0846">
        <w:rPr>
          <w:rFonts w:ascii="Times New Roman" w:hAnsi="Times New Roman" w:cs="Times New Roman"/>
          <w:sz w:val="28"/>
          <w:szCs w:val="28"/>
        </w:rPr>
        <w:t xml:space="preserve">raportându-se un nivel maxim de realizare a indicatorilor. </w:t>
      </w:r>
      <w:r w:rsidR="00A56B71" w:rsidRPr="001D0846">
        <w:rPr>
          <w:rFonts w:ascii="Times New Roman" w:hAnsi="Times New Roman" w:cs="Times New Roman"/>
          <w:sz w:val="28"/>
          <w:szCs w:val="28"/>
        </w:rPr>
        <w:t xml:space="preserve">Potrivit motivației persoanelor responsabile din cadrul SFS, </w:t>
      </w:r>
      <w:r w:rsidR="003F7601">
        <w:rPr>
          <w:rFonts w:ascii="Times New Roman" w:hAnsi="Times New Roman" w:cs="Times New Roman"/>
          <w:sz w:val="28"/>
          <w:szCs w:val="28"/>
        </w:rPr>
        <w:t>P</w:t>
      </w:r>
      <w:r w:rsidR="00A56B71" w:rsidRPr="001D0846">
        <w:rPr>
          <w:rFonts w:ascii="Times New Roman" w:hAnsi="Times New Roman" w:cs="Times New Roman"/>
          <w:sz w:val="28"/>
          <w:szCs w:val="28"/>
        </w:rPr>
        <w:t xml:space="preserve">lanul de activitate </w:t>
      </w:r>
      <w:r w:rsidR="00363558" w:rsidRPr="001D0846">
        <w:rPr>
          <w:rFonts w:ascii="Times New Roman" w:hAnsi="Times New Roman" w:cs="Times New Roman"/>
          <w:sz w:val="28"/>
          <w:szCs w:val="28"/>
        </w:rPr>
        <w:t>pentru anul 2015</w:t>
      </w:r>
      <w:r w:rsidR="00A56B71" w:rsidRPr="001D0846">
        <w:rPr>
          <w:rFonts w:ascii="Times New Roman" w:hAnsi="Times New Roman" w:cs="Times New Roman"/>
          <w:sz w:val="28"/>
          <w:szCs w:val="28"/>
        </w:rPr>
        <w:t>al SFS a suferit modificări și ajustări a</w:t>
      </w:r>
      <w:r w:rsidR="003F7601">
        <w:rPr>
          <w:rFonts w:ascii="Times New Roman" w:hAnsi="Times New Roman" w:cs="Times New Roman"/>
          <w:sz w:val="28"/>
          <w:szCs w:val="28"/>
        </w:rPr>
        <w:t>le</w:t>
      </w:r>
      <w:r w:rsidR="00A56B71" w:rsidRPr="001D0846">
        <w:rPr>
          <w:rFonts w:ascii="Times New Roman" w:hAnsi="Times New Roman" w:cs="Times New Roman"/>
          <w:sz w:val="28"/>
          <w:szCs w:val="28"/>
        </w:rPr>
        <w:t xml:space="preserve"> indicatorilor</w:t>
      </w:r>
      <w:r w:rsidR="003F7601">
        <w:rPr>
          <w:rFonts w:ascii="Times New Roman" w:hAnsi="Times New Roman" w:cs="Times New Roman"/>
          <w:sz w:val="28"/>
          <w:szCs w:val="28"/>
        </w:rPr>
        <w:t>,</w:t>
      </w:r>
      <w:r w:rsidR="00A56B71" w:rsidRPr="001D0846">
        <w:rPr>
          <w:rFonts w:ascii="Times New Roman" w:hAnsi="Times New Roman" w:cs="Times New Roman"/>
          <w:sz w:val="28"/>
          <w:szCs w:val="28"/>
        </w:rPr>
        <w:t xml:space="preserve"> în scopul atingerii unor performanțe reale.</w:t>
      </w:r>
    </w:p>
    <w:p w:rsidR="00A56B71" w:rsidRPr="001D0846" w:rsidRDefault="006C5161" w:rsidP="006358AD">
      <w:pPr>
        <w:pStyle w:val="ListParagraph"/>
        <w:tabs>
          <w:tab w:val="left" w:pos="0"/>
        </w:tabs>
        <w:spacing w:after="0" w:line="276" w:lineRule="auto"/>
        <w:ind w:left="0"/>
        <w:jc w:val="both"/>
        <w:rPr>
          <w:rFonts w:ascii="Times New Roman" w:hAnsi="Times New Roman" w:cs="Times New Roman"/>
          <w:sz w:val="28"/>
          <w:szCs w:val="28"/>
        </w:rPr>
      </w:pPr>
      <w:r w:rsidRPr="001D0846">
        <w:rPr>
          <w:rFonts w:ascii="Times New Roman" w:hAnsi="Times New Roman" w:cs="Times New Roman"/>
          <w:sz w:val="28"/>
          <w:szCs w:val="28"/>
        </w:rPr>
        <w:tab/>
        <w:t xml:space="preserve">În </w:t>
      </w:r>
      <w:r w:rsidR="003F7601">
        <w:rPr>
          <w:rFonts w:ascii="Times New Roman" w:hAnsi="Times New Roman" w:cs="Times New Roman"/>
          <w:sz w:val="28"/>
          <w:szCs w:val="28"/>
        </w:rPr>
        <w:t>anul</w:t>
      </w:r>
      <w:r w:rsidRPr="001D0846">
        <w:rPr>
          <w:rFonts w:ascii="Times New Roman" w:hAnsi="Times New Roman" w:cs="Times New Roman"/>
          <w:sz w:val="28"/>
          <w:szCs w:val="28"/>
        </w:rPr>
        <w:t xml:space="preserve"> 2016, din numărul total de 46 de subactivități</w:t>
      </w:r>
      <w:r w:rsidR="003F7601">
        <w:rPr>
          <w:rFonts w:ascii="Times New Roman" w:hAnsi="Times New Roman" w:cs="Times New Roman"/>
          <w:sz w:val="28"/>
          <w:szCs w:val="28"/>
        </w:rPr>
        <w:t>,</w:t>
      </w:r>
      <w:r w:rsidRPr="001D0846">
        <w:rPr>
          <w:rFonts w:ascii="Times New Roman" w:hAnsi="Times New Roman" w:cs="Times New Roman"/>
          <w:sz w:val="28"/>
          <w:szCs w:val="28"/>
        </w:rPr>
        <w:t xml:space="preserve"> au fost realizate </w:t>
      </w:r>
      <w:r w:rsidR="00E0099B" w:rsidRPr="001D0846">
        <w:rPr>
          <w:rFonts w:ascii="Times New Roman" w:hAnsi="Times New Roman" w:cs="Times New Roman"/>
          <w:sz w:val="28"/>
          <w:szCs w:val="28"/>
        </w:rPr>
        <w:t>39 de subactivități, 4</w:t>
      </w:r>
      <w:r w:rsidRPr="001D0846">
        <w:rPr>
          <w:rFonts w:ascii="Times New Roman" w:hAnsi="Times New Roman" w:cs="Times New Roman"/>
          <w:sz w:val="28"/>
          <w:szCs w:val="28"/>
        </w:rPr>
        <w:t xml:space="preserve"> – realizate parțial</w:t>
      </w:r>
      <w:r w:rsidR="003F7601">
        <w:rPr>
          <w:rFonts w:ascii="Times New Roman" w:hAnsi="Times New Roman" w:cs="Times New Roman"/>
          <w:sz w:val="28"/>
          <w:szCs w:val="28"/>
        </w:rPr>
        <w:t>,</w:t>
      </w:r>
      <w:r w:rsidRPr="001D0846">
        <w:rPr>
          <w:rFonts w:ascii="Times New Roman" w:hAnsi="Times New Roman" w:cs="Times New Roman"/>
          <w:sz w:val="28"/>
          <w:szCs w:val="28"/>
        </w:rPr>
        <w:t xml:space="preserve"> și 3 – nerealizate, ceea ce reprezintă un nivel de realizare a planului de activitate de circa </w:t>
      </w:r>
      <w:r w:rsidR="0065429B" w:rsidRPr="001D0846">
        <w:rPr>
          <w:rFonts w:ascii="Times New Roman" w:hAnsi="Times New Roman" w:cs="Times New Roman"/>
          <w:sz w:val="28"/>
          <w:szCs w:val="28"/>
        </w:rPr>
        <w:t>85</w:t>
      </w:r>
      <w:r w:rsidRPr="001D0846">
        <w:rPr>
          <w:rFonts w:ascii="Times New Roman" w:hAnsi="Times New Roman" w:cs="Times New Roman"/>
          <w:sz w:val="28"/>
          <w:szCs w:val="28"/>
        </w:rPr>
        <w:t xml:space="preserve"> %.</w:t>
      </w:r>
    </w:p>
    <w:p w:rsidR="006C5161" w:rsidRPr="001D0846" w:rsidRDefault="006C5161" w:rsidP="006358AD">
      <w:pPr>
        <w:pStyle w:val="ListParagraph"/>
        <w:tabs>
          <w:tab w:val="left" w:pos="0"/>
        </w:tabs>
        <w:spacing w:after="0" w:line="276" w:lineRule="auto"/>
        <w:ind w:left="0"/>
        <w:jc w:val="both"/>
        <w:rPr>
          <w:rFonts w:ascii="Times New Roman" w:hAnsi="Times New Roman" w:cs="Times New Roman"/>
          <w:sz w:val="28"/>
          <w:szCs w:val="28"/>
        </w:rPr>
      </w:pPr>
      <w:r w:rsidRPr="001D0846">
        <w:rPr>
          <w:rFonts w:ascii="Times New Roman" w:hAnsi="Times New Roman" w:cs="Times New Roman"/>
          <w:sz w:val="28"/>
          <w:szCs w:val="28"/>
        </w:rPr>
        <w:tab/>
        <w:t xml:space="preserve">În </w:t>
      </w:r>
      <w:r w:rsidR="003F7601">
        <w:rPr>
          <w:rFonts w:ascii="Times New Roman" w:hAnsi="Times New Roman" w:cs="Times New Roman"/>
          <w:sz w:val="28"/>
          <w:szCs w:val="28"/>
        </w:rPr>
        <w:t>anul</w:t>
      </w:r>
      <w:r w:rsidRPr="001D0846">
        <w:rPr>
          <w:rFonts w:ascii="Times New Roman" w:hAnsi="Times New Roman" w:cs="Times New Roman"/>
          <w:sz w:val="28"/>
          <w:szCs w:val="28"/>
        </w:rPr>
        <w:t xml:space="preserve"> 2017</w:t>
      </w:r>
      <w:r w:rsidR="003F7601">
        <w:rPr>
          <w:rFonts w:ascii="Times New Roman" w:hAnsi="Times New Roman" w:cs="Times New Roman"/>
          <w:sz w:val="28"/>
          <w:szCs w:val="28"/>
        </w:rPr>
        <w:t>,</w:t>
      </w:r>
      <w:r w:rsidRPr="001D0846">
        <w:rPr>
          <w:rFonts w:ascii="Times New Roman" w:hAnsi="Times New Roman" w:cs="Times New Roman"/>
          <w:sz w:val="28"/>
          <w:szCs w:val="28"/>
        </w:rPr>
        <w:t xml:space="preserve"> din numărul total de 73 de subactivități</w:t>
      </w:r>
      <w:r w:rsidR="003F7601">
        <w:rPr>
          <w:rFonts w:ascii="Times New Roman" w:hAnsi="Times New Roman" w:cs="Times New Roman"/>
          <w:sz w:val="28"/>
          <w:szCs w:val="28"/>
        </w:rPr>
        <w:t>,</w:t>
      </w:r>
      <w:r w:rsidRPr="001D0846">
        <w:rPr>
          <w:rFonts w:ascii="Times New Roman" w:hAnsi="Times New Roman" w:cs="Times New Roman"/>
          <w:sz w:val="28"/>
          <w:szCs w:val="28"/>
        </w:rPr>
        <w:t xml:space="preserve"> au fost realizate 64 de subactivități, 8 – parțial realizate</w:t>
      </w:r>
      <w:r w:rsidR="003F7601">
        <w:rPr>
          <w:rFonts w:ascii="Times New Roman" w:hAnsi="Times New Roman" w:cs="Times New Roman"/>
          <w:sz w:val="28"/>
          <w:szCs w:val="28"/>
        </w:rPr>
        <w:t>,</w:t>
      </w:r>
      <w:r w:rsidRPr="001D0846">
        <w:rPr>
          <w:rFonts w:ascii="Times New Roman" w:hAnsi="Times New Roman" w:cs="Times New Roman"/>
          <w:sz w:val="28"/>
          <w:szCs w:val="28"/>
        </w:rPr>
        <w:t xml:space="preserve"> și 1 – nerealizată, ceea ce reprezintă un nivel de realizare a planului de activitate de circa 87 %. </w:t>
      </w:r>
      <w:r w:rsidRPr="00363558">
        <w:rPr>
          <w:rFonts w:ascii="Times New Roman" w:hAnsi="Times New Roman" w:cs="Times New Roman"/>
          <w:sz w:val="28"/>
          <w:szCs w:val="28"/>
        </w:rPr>
        <w:t xml:space="preserve">Examinările </w:t>
      </w:r>
      <w:r w:rsidR="00962360">
        <w:rPr>
          <w:rFonts w:ascii="Times New Roman" w:hAnsi="Times New Roman" w:cs="Times New Roman"/>
          <w:sz w:val="28"/>
          <w:szCs w:val="28"/>
        </w:rPr>
        <w:t>ef</w:t>
      </w:r>
      <w:r w:rsidR="003F7601">
        <w:rPr>
          <w:rFonts w:ascii="Times New Roman" w:hAnsi="Times New Roman" w:cs="Times New Roman"/>
          <w:sz w:val="28"/>
          <w:szCs w:val="28"/>
        </w:rPr>
        <w:t xml:space="preserve">ectuate de </w:t>
      </w:r>
      <w:r w:rsidRPr="00363558">
        <w:rPr>
          <w:rFonts w:ascii="Times New Roman" w:hAnsi="Times New Roman" w:cs="Times New Roman"/>
          <w:sz w:val="28"/>
          <w:szCs w:val="28"/>
        </w:rPr>
        <w:t xml:space="preserve">audit </w:t>
      </w:r>
      <w:r w:rsidR="003F7601">
        <w:rPr>
          <w:rFonts w:ascii="Times New Roman" w:hAnsi="Times New Roman" w:cs="Times New Roman"/>
          <w:sz w:val="28"/>
          <w:szCs w:val="28"/>
        </w:rPr>
        <w:t>denotă</w:t>
      </w:r>
      <w:r w:rsidRPr="00363558">
        <w:rPr>
          <w:rFonts w:ascii="Times New Roman" w:hAnsi="Times New Roman" w:cs="Times New Roman"/>
          <w:sz w:val="28"/>
          <w:szCs w:val="28"/>
        </w:rPr>
        <w:t xml:space="preserve"> că printre activitățile parțial realizate în anul 2017</w:t>
      </w:r>
      <w:r w:rsidR="00962360">
        <w:rPr>
          <w:rFonts w:ascii="Times New Roman" w:hAnsi="Times New Roman" w:cs="Times New Roman"/>
          <w:sz w:val="28"/>
          <w:szCs w:val="28"/>
        </w:rPr>
        <w:t>,</w:t>
      </w:r>
      <w:r w:rsidRPr="00363558">
        <w:rPr>
          <w:rFonts w:ascii="Times New Roman" w:hAnsi="Times New Roman" w:cs="Times New Roman"/>
          <w:sz w:val="28"/>
          <w:szCs w:val="28"/>
        </w:rPr>
        <w:t xml:space="preserve"> specifice administrării impozitelor și taxelor</w:t>
      </w:r>
      <w:r w:rsidR="00962360">
        <w:rPr>
          <w:rFonts w:ascii="Times New Roman" w:hAnsi="Times New Roman" w:cs="Times New Roman"/>
          <w:sz w:val="28"/>
          <w:szCs w:val="28"/>
        </w:rPr>
        <w:t>,</w:t>
      </w:r>
      <w:r w:rsidRPr="00363558">
        <w:rPr>
          <w:rFonts w:ascii="Times New Roman" w:hAnsi="Times New Roman" w:cs="Times New Roman"/>
          <w:sz w:val="28"/>
          <w:szCs w:val="28"/>
        </w:rPr>
        <w:t xml:space="preserve"> se enumeră reducerea restanței la BPN, care nu a fost realizată conform indicatoului stabilit, </w:t>
      </w:r>
      <w:r w:rsidR="00CB1450" w:rsidRPr="00363558">
        <w:rPr>
          <w:rFonts w:ascii="Times New Roman" w:hAnsi="Times New Roman" w:cs="Times New Roman"/>
          <w:sz w:val="28"/>
          <w:szCs w:val="28"/>
        </w:rPr>
        <w:t xml:space="preserve">precum și </w:t>
      </w:r>
      <w:r w:rsidRPr="00363558">
        <w:rPr>
          <w:rFonts w:ascii="Times New Roman" w:hAnsi="Times New Roman" w:cs="Times New Roman"/>
          <w:sz w:val="28"/>
          <w:szCs w:val="28"/>
        </w:rPr>
        <w:t xml:space="preserve">executarea planului de controale </w:t>
      </w:r>
      <w:r w:rsidR="00CB1450" w:rsidRPr="00363558">
        <w:rPr>
          <w:rFonts w:ascii="Times New Roman" w:hAnsi="Times New Roman" w:cs="Times New Roman"/>
          <w:sz w:val="28"/>
          <w:szCs w:val="28"/>
        </w:rPr>
        <w:t>la nivelul planificat</w:t>
      </w:r>
      <w:r w:rsidRPr="00363558">
        <w:rPr>
          <w:rFonts w:ascii="Times New Roman" w:hAnsi="Times New Roman" w:cs="Times New Roman"/>
          <w:sz w:val="28"/>
          <w:szCs w:val="28"/>
        </w:rPr>
        <w:t xml:space="preserve"> pentru anul 2017 etc.</w:t>
      </w:r>
    </w:p>
    <w:p w:rsidR="006C5161" w:rsidRPr="001D0846" w:rsidRDefault="006C5161" w:rsidP="006358AD">
      <w:pPr>
        <w:pStyle w:val="ListParagraph"/>
        <w:tabs>
          <w:tab w:val="left" w:pos="0"/>
        </w:tabs>
        <w:spacing w:after="0" w:line="276" w:lineRule="auto"/>
        <w:ind w:left="0" w:firstLine="709"/>
        <w:jc w:val="both"/>
        <w:rPr>
          <w:rFonts w:ascii="Times New Roman" w:hAnsi="Times New Roman" w:cs="Times New Roman"/>
          <w:sz w:val="28"/>
          <w:szCs w:val="28"/>
        </w:rPr>
      </w:pPr>
      <w:r w:rsidRPr="001D0846">
        <w:rPr>
          <w:rFonts w:ascii="Times New Roman" w:hAnsi="Times New Roman" w:cs="Times New Roman"/>
          <w:sz w:val="28"/>
          <w:szCs w:val="28"/>
        </w:rPr>
        <w:t>Pe lângă obiectivele și indicatorii prevăzu</w:t>
      </w:r>
      <w:r w:rsidR="00962360">
        <w:rPr>
          <w:rFonts w:ascii="Times New Roman" w:hAnsi="Times New Roman" w:cs="Times New Roman"/>
          <w:sz w:val="28"/>
          <w:szCs w:val="28"/>
        </w:rPr>
        <w:t>ți</w:t>
      </w:r>
      <w:r w:rsidRPr="001D0846">
        <w:rPr>
          <w:rFonts w:ascii="Times New Roman" w:hAnsi="Times New Roman" w:cs="Times New Roman"/>
          <w:sz w:val="28"/>
          <w:szCs w:val="28"/>
        </w:rPr>
        <w:t xml:space="preserve"> în strategiile și planurile de activitate, SFS și SV anual urmau să întocmească programe fundamentate pe performanță și rapoarte de evaluare a executării acestora.</w:t>
      </w:r>
    </w:p>
    <w:p w:rsidR="006C5161" w:rsidRPr="001D0846" w:rsidRDefault="006C5161" w:rsidP="006358AD">
      <w:pPr>
        <w:pStyle w:val="ListParagraph"/>
        <w:tabs>
          <w:tab w:val="left" w:pos="0"/>
        </w:tabs>
        <w:spacing w:after="0" w:line="276" w:lineRule="auto"/>
        <w:ind w:left="0" w:firstLine="709"/>
        <w:jc w:val="both"/>
        <w:rPr>
          <w:rFonts w:ascii="Times New Roman" w:hAnsi="Times New Roman" w:cs="Times New Roman"/>
          <w:sz w:val="28"/>
          <w:szCs w:val="28"/>
        </w:rPr>
      </w:pPr>
      <w:r w:rsidRPr="001D0846">
        <w:rPr>
          <w:rFonts w:ascii="Times New Roman" w:hAnsi="Times New Roman" w:cs="Times New Roman"/>
          <w:sz w:val="28"/>
          <w:szCs w:val="28"/>
        </w:rPr>
        <w:t xml:space="preserve">Analiza efectuată de audit relevă că, în </w:t>
      </w:r>
      <w:r w:rsidR="00962360">
        <w:rPr>
          <w:rFonts w:ascii="Times New Roman" w:hAnsi="Times New Roman" w:cs="Times New Roman"/>
          <w:sz w:val="28"/>
          <w:szCs w:val="28"/>
        </w:rPr>
        <w:t>anul</w:t>
      </w:r>
      <w:r w:rsidRPr="001D0846">
        <w:rPr>
          <w:rFonts w:ascii="Times New Roman" w:hAnsi="Times New Roman" w:cs="Times New Roman"/>
          <w:sz w:val="28"/>
          <w:szCs w:val="28"/>
        </w:rPr>
        <w:t xml:space="preserve"> 2017</w:t>
      </w:r>
      <w:r w:rsidR="00962360">
        <w:rPr>
          <w:rFonts w:ascii="Times New Roman" w:hAnsi="Times New Roman" w:cs="Times New Roman"/>
          <w:sz w:val="28"/>
          <w:szCs w:val="28"/>
        </w:rPr>
        <w:t>,</w:t>
      </w:r>
      <w:r w:rsidRPr="001D0846">
        <w:rPr>
          <w:rFonts w:ascii="Times New Roman" w:hAnsi="Times New Roman" w:cs="Times New Roman"/>
          <w:sz w:val="28"/>
          <w:szCs w:val="28"/>
        </w:rPr>
        <w:t xml:space="preserve"> în cadrul </w:t>
      </w:r>
      <w:r w:rsidR="00962360">
        <w:rPr>
          <w:rFonts w:ascii="Times New Roman" w:hAnsi="Times New Roman" w:cs="Times New Roman"/>
          <w:sz w:val="28"/>
          <w:szCs w:val="28"/>
        </w:rPr>
        <w:t>P</w:t>
      </w:r>
      <w:r w:rsidRPr="001D0846">
        <w:rPr>
          <w:rFonts w:ascii="Times New Roman" w:hAnsi="Times New Roman" w:cs="Times New Roman"/>
          <w:sz w:val="28"/>
          <w:szCs w:val="28"/>
        </w:rPr>
        <w:t>rogramului ,,Managementul finanțelor publice”</w:t>
      </w:r>
      <w:r w:rsidR="00962360">
        <w:rPr>
          <w:rFonts w:ascii="Times New Roman" w:hAnsi="Times New Roman" w:cs="Times New Roman"/>
          <w:sz w:val="28"/>
          <w:szCs w:val="28"/>
        </w:rPr>
        <w:t>,</w:t>
      </w:r>
      <w:r w:rsidRPr="001D0846">
        <w:rPr>
          <w:rFonts w:ascii="Times New Roman" w:hAnsi="Times New Roman" w:cs="Times New Roman"/>
          <w:sz w:val="28"/>
          <w:szCs w:val="28"/>
        </w:rPr>
        <w:t xml:space="preserve"> a fost aprobat subprogramul ,,Administrarea veniturilor publice”</w:t>
      </w:r>
      <w:r w:rsidR="00962360">
        <w:rPr>
          <w:rFonts w:ascii="Times New Roman" w:hAnsi="Times New Roman" w:cs="Times New Roman"/>
          <w:sz w:val="28"/>
          <w:szCs w:val="28"/>
        </w:rPr>
        <w:t>,</w:t>
      </w:r>
      <w:r w:rsidRPr="001D0846">
        <w:rPr>
          <w:rFonts w:ascii="Times New Roman" w:hAnsi="Times New Roman" w:cs="Times New Roman"/>
          <w:sz w:val="28"/>
          <w:szCs w:val="28"/>
        </w:rPr>
        <w:t xml:space="preserve"> care are ca scop asigurarea colectării transparente, integrale și în timp util a veniturilor bugetare, prin sporirea conformării voluntare a contribuabililor și combaterea fraudei și a traficului ilicit de mărfuri. În cadrul programului, MF a stabilit și </w:t>
      </w:r>
      <w:r w:rsidR="00270BFD">
        <w:rPr>
          <w:rFonts w:ascii="Times New Roman" w:hAnsi="Times New Roman" w:cs="Times New Roman"/>
          <w:sz w:val="28"/>
          <w:szCs w:val="28"/>
        </w:rPr>
        <w:t xml:space="preserve">a </w:t>
      </w:r>
      <w:r w:rsidRPr="001D0846">
        <w:rPr>
          <w:rFonts w:ascii="Times New Roman" w:hAnsi="Times New Roman" w:cs="Times New Roman"/>
          <w:sz w:val="28"/>
          <w:szCs w:val="28"/>
        </w:rPr>
        <w:t>aprobat atât pentru SFS</w:t>
      </w:r>
      <w:r w:rsidR="00270BFD">
        <w:rPr>
          <w:rFonts w:ascii="Times New Roman" w:hAnsi="Times New Roman" w:cs="Times New Roman"/>
          <w:sz w:val="28"/>
          <w:szCs w:val="28"/>
        </w:rPr>
        <w:t>,</w:t>
      </w:r>
      <w:r w:rsidRPr="001D0846">
        <w:rPr>
          <w:rFonts w:ascii="Times New Roman" w:hAnsi="Times New Roman" w:cs="Times New Roman"/>
          <w:sz w:val="28"/>
          <w:szCs w:val="28"/>
        </w:rPr>
        <w:t xml:space="preserve"> c</w:t>
      </w:r>
      <w:r w:rsidR="00270BFD">
        <w:rPr>
          <w:rFonts w:ascii="Times New Roman" w:hAnsi="Times New Roman" w:cs="Times New Roman"/>
          <w:sz w:val="28"/>
          <w:szCs w:val="28"/>
        </w:rPr>
        <w:t>â</w:t>
      </w:r>
      <w:r w:rsidRPr="001D0846">
        <w:rPr>
          <w:rFonts w:ascii="Times New Roman" w:hAnsi="Times New Roman" w:cs="Times New Roman"/>
          <w:sz w:val="28"/>
          <w:szCs w:val="28"/>
        </w:rPr>
        <w:t xml:space="preserve">t și </w:t>
      </w:r>
      <w:r w:rsidR="00270BFD">
        <w:rPr>
          <w:rFonts w:ascii="Times New Roman" w:hAnsi="Times New Roman" w:cs="Times New Roman"/>
          <w:sz w:val="28"/>
          <w:szCs w:val="28"/>
        </w:rPr>
        <w:t xml:space="preserve">pentru </w:t>
      </w:r>
      <w:r w:rsidRPr="001D0846">
        <w:rPr>
          <w:rFonts w:ascii="Times New Roman" w:hAnsi="Times New Roman" w:cs="Times New Roman"/>
          <w:sz w:val="28"/>
          <w:szCs w:val="28"/>
        </w:rPr>
        <w:t xml:space="preserve">SV obiective în administrarea impozitelor și taxelor.  </w:t>
      </w:r>
    </w:p>
    <w:p w:rsidR="006C5161" w:rsidRPr="001D0846" w:rsidRDefault="006C5161" w:rsidP="004E6757">
      <w:pPr>
        <w:pStyle w:val="ListParagraph"/>
        <w:tabs>
          <w:tab w:val="left" w:pos="0"/>
        </w:tabs>
        <w:spacing w:after="0" w:line="276" w:lineRule="auto"/>
        <w:ind w:left="0" w:firstLine="709"/>
        <w:jc w:val="both"/>
        <w:rPr>
          <w:rFonts w:ascii="Times New Roman" w:hAnsi="Times New Roman" w:cs="Times New Roman"/>
          <w:sz w:val="28"/>
          <w:szCs w:val="28"/>
        </w:rPr>
      </w:pPr>
      <w:r w:rsidRPr="001D0846">
        <w:rPr>
          <w:rFonts w:ascii="Times New Roman" w:hAnsi="Times New Roman" w:cs="Times New Roman"/>
          <w:sz w:val="28"/>
          <w:szCs w:val="28"/>
        </w:rPr>
        <w:t>Astfel, pentru administrarea fiscală</w:t>
      </w:r>
      <w:r w:rsidR="00270BFD">
        <w:rPr>
          <w:rFonts w:ascii="Times New Roman" w:hAnsi="Times New Roman" w:cs="Times New Roman"/>
          <w:sz w:val="28"/>
          <w:szCs w:val="28"/>
        </w:rPr>
        <w:t>,</w:t>
      </w:r>
      <w:r w:rsidRPr="001D0846">
        <w:rPr>
          <w:rFonts w:ascii="Times New Roman" w:hAnsi="Times New Roman" w:cs="Times New Roman"/>
          <w:sz w:val="28"/>
          <w:szCs w:val="28"/>
        </w:rPr>
        <w:t xml:space="preserve"> MF a stabilit următoarele obiective:</w:t>
      </w:r>
      <w:r w:rsidRPr="001D0846">
        <w:rPr>
          <w:rFonts w:ascii="Times New Roman" w:hAnsi="Times New Roman" w:cs="Times New Roman"/>
          <w:i/>
          <w:sz w:val="28"/>
          <w:szCs w:val="28"/>
        </w:rPr>
        <w:t>(1)</w:t>
      </w:r>
      <w:r w:rsidRPr="001D0846">
        <w:rPr>
          <w:rFonts w:ascii="Times New Roman" w:hAnsi="Times New Roman" w:cs="Times New Roman"/>
          <w:sz w:val="28"/>
          <w:szCs w:val="28"/>
        </w:rPr>
        <w:t xml:space="preserve"> Executarea planului de venituri pentru toate bugetele componente ale BPN la nivel de 100%; </w:t>
      </w:r>
      <w:r w:rsidRPr="001D0846">
        <w:rPr>
          <w:rFonts w:ascii="Times New Roman" w:hAnsi="Times New Roman" w:cs="Times New Roman"/>
          <w:i/>
          <w:sz w:val="28"/>
          <w:szCs w:val="28"/>
        </w:rPr>
        <w:t>(2)</w:t>
      </w:r>
      <w:r w:rsidRPr="001D0846">
        <w:rPr>
          <w:rFonts w:ascii="Times New Roman" w:hAnsi="Times New Roman" w:cs="Times New Roman"/>
          <w:sz w:val="28"/>
          <w:szCs w:val="28"/>
        </w:rPr>
        <w:t xml:space="preserve">Creșterea calității serviciilor fiscale pentru asigurarea eficientizării administrării fiscale; </w:t>
      </w:r>
      <w:r w:rsidRPr="001D0846">
        <w:rPr>
          <w:rFonts w:ascii="Times New Roman" w:hAnsi="Times New Roman" w:cs="Times New Roman"/>
          <w:i/>
          <w:sz w:val="28"/>
          <w:szCs w:val="28"/>
        </w:rPr>
        <w:t>(3)</w:t>
      </w:r>
      <w:r w:rsidRPr="001D0846">
        <w:rPr>
          <w:rFonts w:ascii="Times New Roman" w:hAnsi="Times New Roman" w:cs="Times New Roman"/>
          <w:sz w:val="28"/>
          <w:szCs w:val="28"/>
        </w:rPr>
        <w:t xml:space="preserve"> Consolidarea managementului de conformare fiscală, prin elaborarea și implementarea documentației specifice (metodologii, strategii, programe, studii); </w:t>
      </w:r>
      <w:r w:rsidRPr="001D0846">
        <w:rPr>
          <w:rFonts w:ascii="Times New Roman" w:hAnsi="Times New Roman" w:cs="Times New Roman"/>
          <w:i/>
          <w:sz w:val="28"/>
          <w:szCs w:val="28"/>
        </w:rPr>
        <w:t>(4)</w:t>
      </w:r>
      <w:r w:rsidRPr="001D0846">
        <w:rPr>
          <w:rFonts w:ascii="Times New Roman" w:hAnsi="Times New Roman" w:cs="Times New Roman"/>
          <w:sz w:val="28"/>
          <w:szCs w:val="28"/>
        </w:rPr>
        <w:t xml:space="preserve"> Modernizarea co</w:t>
      </w:r>
      <w:r w:rsidR="00056CF6" w:rsidRPr="001D0846">
        <w:rPr>
          <w:rFonts w:ascii="Times New Roman" w:hAnsi="Times New Roman" w:cs="Times New Roman"/>
          <w:sz w:val="28"/>
          <w:szCs w:val="28"/>
        </w:rPr>
        <w:t xml:space="preserve">ntrolului fiscal; </w:t>
      </w:r>
      <w:r w:rsidRPr="001D0846">
        <w:rPr>
          <w:rFonts w:ascii="Times New Roman" w:hAnsi="Times New Roman" w:cs="Times New Roman"/>
          <w:i/>
          <w:sz w:val="28"/>
          <w:szCs w:val="28"/>
        </w:rPr>
        <w:t>(5)</w:t>
      </w:r>
      <w:r w:rsidRPr="001D0846">
        <w:rPr>
          <w:rFonts w:ascii="Times New Roman" w:hAnsi="Times New Roman" w:cs="Times New Roman"/>
          <w:sz w:val="28"/>
          <w:szCs w:val="28"/>
        </w:rPr>
        <w:t xml:space="preserve"> Dezvoltarea unui sistem eficient de gestionare a restanțelor; </w:t>
      </w:r>
      <w:r w:rsidRPr="001D0846">
        <w:rPr>
          <w:rFonts w:ascii="Times New Roman" w:hAnsi="Times New Roman" w:cs="Times New Roman"/>
          <w:i/>
          <w:sz w:val="28"/>
          <w:szCs w:val="28"/>
        </w:rPr>
        <w:t>(6)</w:t>
      </w:r>
      <w:r w:rsidRPr="001D0846">
        <w:rPr>
          <w:rFonts w:ascii="Times New Roman" w:hAnsi="Times New Roman" w:cs="Times New Roman"/>
          <w:sz w:val="28"/>
          <w:szCs w:val="28"/>
        </w:rPr>
        <w:t xml:space="preserve"> Modernizarea infrastructurii tehnice și adaptarea acesteia la noua structu</w:t>
      </w:r>
      <w:r w:rsidR="00056CF6" w:rsidRPr="001D0846">
        <w:rPr>
          <w:rFonts w:ascii="Times New Roman" w:hAnsi="Times New Roman" w:cs="Times New Roman"/>
          <w:sz w:val="28"/>
          <w:szCs w:val="28"/>
        </w:rPr>
        <w:t xml:space="preserve">ră organizatorică; </w:t>
      </w:r>
      <w:r w:rsidRPr="001D0846">
        <w:rPr>
          <w:rFonts w:ascii="Times New Roman" w:hAnsi="Times New Roman" w:cs="Times New Roman"/>
          <w:i/>
          <w:sz w:val="28"/>
          <w:szCs w:val="28"/>
        </w:rPr>
        <w:t>(7)</w:t>
      </w:r>
      <w:r w:rsidRPr="001D0846">
        <w:rPr>
          <w:rFonts w:ascii="Times New Roman" w:hAnsi="Times New Roman" w:cs="Times New Roman"/>
          <w:sz w:val="28"/>
          <w:szCs w:val="28"/>
        </w:rPr>
        <w:t xml:space="preserve">Implementarea sistemului informațional integrat; </w:t>
      </w:r>
      <w:r w:rsidRPr="001D0846">
        <w:rPr>
          <w:rFonts w:ascii="Times New Roman" w:hAnsi="Times New Roman" w:cs="Times New Roman"/>
          <w:i/>
          <w:sz w:val="28"/>
          <w:szCs w:val="28"/>
        </w:rPr>
        <w:t>(8)</w:t>
      </w:r>
      <w:r w:rsidRPr="001D0846">
        <w:rPr>
          <w:rFonts w:ascii="Times New Roman" w:hAnsi="Times New Roman" w:cs="Times New Roman"/>
          <w:sz w:val="28"/>
          <w:szCs w:val="28"/>
        </w:rPr>
        <w:t xml:space="preserve"> Optimizarea procedurilor de administrare fiscală a contribuabililor mari.</w:t>
      </w:r>
    </w:p>
    <w:p w:rsidR="006C5161" w:rsidRPr="001D0846" w:rsidRDefault="006C5161" w:rsidP="006358AD">
      <w:pPr>
        <w:tabs>
          <w:tab w:val="left" w:pos="0"/>
        </w:tabs>
        <w:spacing w:after="0" w:line="276" w:lineRule="auto"/>
        <w:jc w:val="both"/>
        <w:rPr>
          <w:rFonts w:ascii="Times New Roman" w:hAnsi="Times New Roman" w:cs="Times New Roman"/>
          <w:sz w:val="20"/>
          <w:szCs w:val="20"/>
        </w:rPr>
      </w:pPr>
      <w:r w:rsidRPr="001D0846">
        <w:rPr>
          <w:rFonts w:ascii="Times New Roman" w:hAnsi="Times New Roman" w:cs="Times New Roman"/>
          <w:sz w:val="28"/>
          <w:szCs w:val="28"/>
        </w:rPr>
        <w:tab/>
      </w:r>
      <w:r w:rsidRPr="00363558">
        <w:rPr>
          <w:rFonts w:ascii="Times New Roman" w:hAnsi="Times New Roman" w:cs="Times New Roman"/>
          <w:sz w:val="28"/>
          <w:szCs w:val="28"/>
        </w:rPr>
        <w:t xml:space="preserve">Evaluările </w:t>
      </w:r>
      <w:r w:rsidR="00445C98">
        <w:rPr>
          <w:rFonts w:ascii="Times New Roman" w:hAnsi="Times New Roman" w:cs="Times New Roman"/>
          <w:sz w:val="28"/>
          <w:szCs w:val="28"/>
        </w:rPr>
        <w:t xml:space="preserve">efectuate de </w:t>
      </w:r>
      <w:r w:rsidRPr="00363558">
        <w:rPr>
          <w:rFonts w:ascii="Times New Roman" w:hAnsi="Times New Roman" w:cs="Times New Roman"/>
          <w:sz w:val="28"/>
          <w:szCs w:val="28"/>
        </w:rPr>
        <w:t xml:space="preserve">audit asupra realizării obiectivelor aprobate și raportării rezultatelor atinse relevă că SFS a </w:t>
      </w:r>
      <w:r w:rsidR="00363558" w:rsidRPr="00363558">
        <w:rPr>
          <w:rFonts w:ascii="Times New Roman" w:hAnsi="Times New Roman" w:cs="Times New Roman"/>
          <w:sz w:val="28"/>
          <w:szCs w:val="28"/>
        </w:rPr>
        <w:t xml:space="preserve">raportat </w:t>
      </w:r>
      <w:r w:rsidRPr="00363558">
        <w:rPr>
          <w:rFonts w:ascii="Times New Roman" w:hAnsi="Times New Roman" w:cs="Times New Roman"/>
          <w:sz w:val="28"/>
          <w:szCs w:val="28"/>
        </w:rPr>
        <w:t xml:space="preserve">realizarea doar a 5 obiective din totalul </w:t>
      </w:r>
      <w:r w:rsidR="00445C98">
        <w:rPr>
          <w:rFonts w:ascii="Times New Roman" w:hAnsi="Times New Roman" w:cs="Times New Roman"/>
          <w:sz w:val="28"/>
          <w:szCs w:val="28"/>
        </w:rPr>
        <w:t>de</w:t>
      </w:r>
      <w:r w:rsidRPr="00363558">
        <w:rPr>
          <w:rFonts w:ascii="Times New Roman" w:hAnsi="Times New Roman" w:cs="Times New Roman"/>
          <w:sz w:val="28"/>
          <w:szCs w:val="28"/>
        </w:rPr>
        <w:t xml:space="preserve"> 8</w:t>
      </w:r>
      <w:r w:rsidR="00445C98">
        <w:rPr>
          <w:rFonts w:ascii="Times New Roman" w:hAnsi="Times New Roman" w:cs="Times New Roman"/>
          <w:sz w:val="28"/>
          <w:szCs w:val="28"/>
        </w:rPr>
        <w:t xml:space="preserve"> obiective</w:t>
      </w:r>
      <w:r w:rsidRPr="00363558">
        <w:rPr>
          <w:rFonts w:ascii="Times New Roman" w:hAnsi="Times New Roman" w:cs="Times New Roman"/>
          <w:sz w:val="28"/>
          <w:szCs w:val="28"/>
        </w:rPr>
        <w:t xml:space="preserve"> aprobate</w:t>
      </w:r>
      <w:r w:rsidR="00363558" w:rsidRPr="00363558">
        <w:rPr>
          <w:rFonts w:ascii="Times New Roman" w:hAnsi="Times New Roman" w:cs="Times New Roman"/>
          <w:sz w:val="28"/>
          <w:szCs w:val="28"/>
        </w:rPr>
        <w:t xml:space="preserve"> de către MF</w:t>
      </w:r>
      <w:r w:rsidRPr="00363558">
        <w:rPr>
          <w:rFonts w:ascii="Times New Roman" w:hAnsi="Times New Roman" w:cs="Times New Roman"/>
          <w:sz w:val="28"/>
          <w:szCs w:val="28"/>
        </w:rPr>
        <w:t xml:space="preserve">, </w:t>
      </w:r>
      <w:r w:rsidRPr="00363558">
        <w:rPr>
          <w:rFonts w:ascii="Times New Roman" w:hAnsi="Times New Roman" w:cs="Times New Roman"/>
          <w:i/>
          <w:sz w:val="28"/>
          <w:szCs w:val="28"/>
        </w:rPr>
        <w:t xml:space="preserve">situație care </w:t>
      </w:r>
      <w:r w:rsidR="00445C98">
        <w:rPr>
          <w:rFonts w:ascii="Times New Roman" w:hAnsi="Times New Roman" w:cs="Times New Roman"/>
          <w:i/>
          <w:sz w:val="28"/>
          <w:szCs w:val="28"/>
        </w:rPr>
        <w:t>este</w:t>
      </w:r>
      <w:r w:rsidRPr="00363558">
        <w:rPr>
          <w:rFonts w:ascii="Times New Roman" w:hAnsi="Times New Roman" w:cs="Times New Roman"/>
          <w:i/>
          <w:sz w:val="28"/>
          <w:szCs w:val="28"/>
        </w:rPr>
        <w:t xml:space="preserve"> prez</w:t>
      </w:r>
      <w:r w:rsidR="00445C98">
        <w:rPr>
          <w:rFonts w:ascii="Times New Roman" w:hAnsi="Times New Roman" w:cs="Times New Roman"/>
          <w:i/>
          <w:sz w:val="28"/>
          <w:szCs w:val="28"/>
        </w:rPr>
        <w:t>enta</w:t>
      </w:r>
      <w:r w:rsidRPr="00363558">
        <w:rPr>
          <w:rFonts w:ascii="Times New Roman" w:hAnsi="Times New Roman" w:cs="Times New Roman"/>
          <w:i/>
          <w:sz w:val="28"/>
          <w:szCs w:val="28"/>
        </w:rPr>
        <w:t xml:space="preserve">tă în Tabelul </w:t>
      </w:r>
      <w:r w:rsidR="00D1260C" w:rsidRPr="00363558">
        <w:rPr>
          <w:rFonts w:ascii="Times New Roman" w:hAnsi="Times New Roman" w:cs="Times New Roman"/>
          <w:i/>
          <w:sz w:val="28"/>
          <w:szCs w:val="28"/>
        </w:rPr>
        <w:t>nr.1</w:t>
      </w:r>
      <w:r w:rsidR="007D6FA0" w:rsidRPr="00363558">
        <w:rPr>
          <w:rFonts w:ascii="Times New Roman" w:hAnsi="Times New Roman" w:cs="Times New Roman"/>
          <w:i/>
          <w:sz w:val="28"/>
          <w:szCs w:val="28"/>
        </w:rPr>
        <w:t xml:space="preserve"> din Anexa nr.3</w:t>
      </w:r>
      <w:r w:rsidR="00BB1301" w:rsidRPr="00363558">
        <w:rPr>
          <w:rFonts w:ascii="Times New Roman" w:hAnsi="Times New Roman" w:cs="Times New Roman"/>
          <w:i/>
          <w:sz w:val="28"/>
          <w:szCs w:val="28"/>
        </w:rPr>
        <w:t xml:space="preserve"> la Raport</w:t>
      </w:r>
      <w:r w:rsidR="00445C98">
        <w:rPr>
          <w:rFonts w:ascii="Times New Roman" w:hAnsi="Times New Roman" w:cs="Times New Roman"/>
          <w:i/>
          <w:sz w:val="28"/>
          <w:szCs w:val="28"/>
        </w:rPr>
        <w:t>ul</w:t>
      </w:r>
      <w:r w:rsidR="00BB1301" w:rsidRPr="00363558">
        <w:rPr>
          <w:rFonts w:ascii="Times New Roman" w:hAnsi="Times New Roman" w:cs="Times New Roman"/>
          <w:i/>
          <w:sz w:val="28"/>
          <w:szCs w:val="28"/>
        </w:rPr>
        <w:t xml:space="preserve"> de audit.</w:t>
      </w:r>
    </w:p>
    <w:p w:rsidR="006C5161" w:rsidRPr="001D0846" w:rsidRDefault="006C5161" w:rsidP="000A421F">
      <w:pPr>
        <w:tabs>
          <w:tab w:val="left" w:pos="0"/>
        </w:tabs>
        <w:spacing w:after="0" w:line="276" w:lineRule="auto"/>
        <w:ind w:right="-2"/>
        <w:jc w:val="both"/>
        <w:rPr>
          <w:rFonts w:ascii="Times New Roman" w:hAnsi="Times New Roman" w:cs="Times New Roman"/>
          <w:sz w:val="28"/>
          <w:szCs w:val="28"/>
        </w:rPr>
      </w:pPr>
      <w:r w:rsidRPr="001D0846">
        <w:rPr>
          <w:rFonts w:ascii="Times New Roman" w:hAnsi="Times New Roman" w:cs="Times New Roman"/>
          <w:sz w:val="28"/>
          <w:szCs w:val="28"/>
        </w:rPr>
        <w:lastRenderedPageBreak/>
        <w:tab/>
      </w:r>
      <w:r w:rsidR="00BB1301" w:rsidRPr="001D0846">
        <w:rPr>
          <w:rFonts w:ascii="Times New Roman" w:hAnsi="Times New Roman" w:cs="Times New Roman"/>
          <w:sz w:val="28"/>
          <w:szCs w:val="28"/>
        </w:rPr>
        <w:t xml:space="preserve">Analiza </w:t>
      </w:r>
      <w:r w:rsidR="00445C98">
        <w:rPr>
          <w:rFonts w:ascii="Times New Roman" w:hAnsi="Times New Roman" w:cs="Times New Roman"/>
          <w:sz w:val="28"/>
          <w:szCs w:val="28"/>
        </w:rPr>
        <w:t xml:space="preserve">efectuată de </w:t>
      </w:r>
      <w:r w:rsidR="00056CF6" w:rsidRPr="001D0846">
        <w:rPr>
          <w:rFonts w:ascii="Times New Roman" w:hAnsi="Times New Roman" w:cs="Times New Roman"/>
          <w:sz w:val="28"/>
          <w:szCs w:val="28"/>
        </w:rPr>
        <w:t xml:space="preserve">audit denotă că, </w:t>
      </w:r>
      <w:r w:rsidRPr="001D0846">
        <w:rPr>
          <w:rFonts w:ascii="Times New Roman" w:hAnsi="Times New Roman" w:cs="Times New Roman"/>
          <w:sz w:val="28"/>
          <w:szCs w:val="28"/>
        </w:rPr>
        <w:t>din cele 5 obiective raportate</w:t>
      </w:r>
      <w:r w:rsidR="00445C98">
        <w:rPr>
          <w:rFonts w:ascii="Times New Roman" w:hAnsi="Times New Roman" w:cs="Times New Roman"/>
          <w:sz w:val="28"/>
          <w:szCs w:val="28"/>
        </w:rPr>
        <w:t>,</w:t>
      </w:r>
      <w:r w:rsidRPr="001D0846">
        <w:rPr>
          <w:rFonts w:ascii="Times New Roman" w:hAnsi="Times New Roman" w:cs="Times New Roman"/>
          <w:sz w:val="28"/>
          <w:szCs w:val="28"/>
        </w:rPr>
        <w:t xml:space="preserve"> doar 2  coincid integral cu cele aprobate de MF, celelalte 3 </w:t>
      </w:r>
      <w:r w:rsidRPr="00363558">
        <w:rPr>
          <w:rFonts w:ascii="Times New Roman" w:hAnsi="Times New Roman" w:cs="Times New Roman"/>
          <w:sz w:val="28"/>
          <w:szCs w:val="28"/>
        </w:rPr>
        <w:t xml:space="preserve">obiective au fost modificate, fiind stabilită o arie mai îngustă a activității în vederea raportării pozitive a rezultatelor efectiv realizate. Astfel, </w:t>
      </w:r>
      <w:r w:rsidR="00C20F11" w:rsidRPr="00363558">
        <w:rPr>
          <w:rFonts w:ascii="Times New Roman" w:hAnsi="Times New Roman" w:cs="Times New Roman"/>
          <w:sz w:val="28"/>
          <w:szCs w:val="28"/>
        </w:rPr>
        <w:t>exemplificăm că</w:t>
      </w:r>
      <w:r w:rsidR="00C87B63" w:rsidRPr="00363558">
        <w:rPr>
          <w:rFonts w:ascii="Times New Roman" w:hAnsi="Times New Roman" w:cs="Times New Roman"/>
          <w:sz w:val="28"/>
          <w:szCs w:val="28"/>
        </w:rPr>
        <w:t xml:space="preserve">obiectivul </w:t>
      </w:r>
      <w:r w:rsidR="00363558">
        <w:rPr>
          <w:rFonts w:ascii="Times New Roman" w:hAnsi="Times New Roman" w:cs="Times New Roman"/>
          <w:sz w:val="28"/>
          <w:szCs w:val="28"/>
        </w:rPr>
        <w:t>,,</w:t>
      </w:r>
      <w:r w:rsidRPr="00363558">
        <w:rPr>
          <w:rFonts w:ascii="Times New Roman" w:hAnsi="Times New Roman" w:cs="Times New Roman"/>
          <w:sz w:val="28"/>
          <w:szCs w:val="28"/>
        </w:rPr>
        <w:t xml:space="preserve">Dezvoltarea unui sistem eficient de gestionare a </w:t>
      </w:r>
      <w:r w:rsidR="00C20F11" w:rsidRPr="00363558">
        <w:rPr>
          <w:rFonts w:ascii="Times New Roman" w:hAnsi="Times New Roman" w:cs="Times New Roman"/>
          <w:sz w:val="28"/>
          <w:szCs w:val="28"/>
        </w:rPr>
        <w:t>restanțelor”</w:t>
      </w:r>
      <w:r w:rsidR="00445C98">
        <w:rPr>
          <w:rFonts w:ascii="Times New Roman" w:hAnsi="Times New Roman" w:cs="Times New Roman"/>
          <w:sz w:val="28"/>
          <w:szCs w:val="28"/>
        </w:rPr>
        <w:t>,</w:t>
      </w:r>
      <w:r w:rsidR="00C20F11" w:rsidRPr="00363558">
        <w:rPr>
          <w:rFonts w:ascii="Times New Roman" w:hAnsi="Times New Roman" w:cs="Times New Roman"/>
          <w:sz w:val="28"/>
          <w:szCs w:val="28"/>
        </w:rPr>
        <w:t xml:space="preserve"> aprobat de MF</w:t>
      </w:r>
      <w:r w:rsidR="00445C98">
        <w:rPr>
          <w:rFonts w:ascii="Times New Roman" w:hAnsi="Times New Roman" w:cs="Times New Roman"/>
          <w:sz w:val="28"/>
          <w:szCs w:val="28"/>
        </w:rPr>
        <w:t>,</w:t>
      </w:r>
      <w:r w:rsidRPr="00363558">
        <w:rPr>
          <w:rFonts w:ascii="Times New Roman" w:hAnsi="Times New Roman" w:cs="Times New Roman"/>
          <w:sz w:val="28"/>
          <w:szCs w:val="28"/>
        </w:rPr>
        <w:t xml:space="preserve"> a fost substituit de către SFS cu obiectivul ,,Diminuarea arieratelor la BPN (cu cel puțin 10% faț</w:t>
      </w:r>
      <w:r w:rsidR="00363558">
        <w:rPr>
          <w:rFonts w:ascii="Times New Roman" w:hAnsi="Times New Roman" w:cs="Times New Roman"/>
          <w:sz w:val="28"/>
          <w:szCs w:val="28"/>
        </w:rPr>
        <w:t>ă de perioada precedentă)”</w:t>
      </w:r>
      <w:r w:rsidR="00445C98">
        <w:rPr>
          <w:rFonts w:ascii="Times New Roman" w:hAnsi="Times New Roman" w:cs="Times New Roman"/>
          <w:sz w:val="28"/>
          <w:szCs w:val="28"/>
        </w:rPr>
        <w:t>,</w:t>
      </w:r>
      <w:r w:rsidRPr="00363558">
        <w:rPr>
          <w:rFonts w:ascii="Times New Roman" w:hAnsi="Times New Roman" w:cs="Times New Roman"/>
          <w:sz w:val="28"/>
          <w:szCs w:val="28"/>
        </w:rPr>
        <w:t>care a fost raport</w:t>
      </w:r>
      <w:r w:rsidR="00363558">
        <w:rPr>
          <w:rFonts w:ascii="Times New Roman" w:hAnsi="Times New Roman" w:cs="Times New Roman"/>
          <w:sz w:val="28"/>
          <w:szCs w:val="28"/>
        </w:rPr>
        <w:t xml:space="preserve">at ca fiind realizat. Analogic, </w:t>
      </w:r>
      <w:r w:rsidRPr="00363558">
        <w:rPr>
          <w:rFonts w:ascii="Times New Roman" w:hAnsi="Times New Roman" w:cs="Times New Roman"/>
          <w:sz w:val="28"/>
          <w:szCs w:val="28"/>
        </w:rPr>
        <w:t>obiectivul</w:t>
      </w:r>
      <w:r w:rsidR="00363558">
        <w:rPr>
          <w:rFonts w:ascii="Times New Roman" w:hAnsi="Times New Roman" w:cs="Times New Roman"/>
          <w:sz w:val="28"/>
          <w:szCs w:val="28"/>
        </w:rPr>
        <w:t>,,</w:t>
      </w:r>
      <w:r w:rsidRPr="00363558">
        <w:rPr>
          <w:rFonts w:ascii="Times New Roman" w:hAnsi="Times New Roman" w:cs="Times New Roman"/>
          <w:sz w:val="28"/>
          <w:szCs w:val="28"/>
        </w:rPr>
        <w:t>Implementarea sistemului informațional integrat” a fost substituit cu obiectivul ,,Dezvoltarea sistemului de declarare fiscală prin utilizarea tehnologiilor informaționale”</w:t>
      </w:r>
      <w:r w:rsidR="00445C98">
        <w:rPr>
          <w:rFonts w:ascii="Times New Roman" w:hAnsi="Times New Roman" w:cs="Times New Roman"/>
          <w:sz w:val="28"/>
          <w:szCs w:val="28"/>
        </w:rPr>
        <w:t>,</w:t>
      </w:r>
      <w:r w:rsidRPr="00363558">
        <w:rPr>
          <w:rFonts w:ascii="Times New Roman" w:hAnsi="Times New Roman" w:cs="Times New Roman"/>
          <w:sz w:val="28"/>
          <w:szCs w:val="28"/>
        </w:rPr>
        <w:t xml:space="preserve"> care</w:t>
      </w:r>
      <w:r w:rsidR="00445C98">
        <w:rPr>
          <w:rFonts w:ascii="Times New Roman" w:hAnsi="Times New Roman" w:cs="Times New Roman"/>
          <w:sz w:val="28"/>
          <w:szCs w:val="28"/>
        </w:rPr>
        <w:t>,</w:t>
      </w:r>
      <w:r w:rsidRPr="00363558">
        <w:rPr>
          <w:rFonts w:ascii="Times New Roman" w:hAnsi="Times New Roman" w:cs="Times New Roman"/>
          <w:sz w:val="28"/>
          <w:szCs w:val="28"/>
        </w:rPr>
        <w:t xml:space="preserve"> de asemenea</w:t>
      </w:r>
      <w:r w:rsidR="00445C98">
        <w:rPr>
          <w:rFonts w:ascii="Times New Roman" w:hAnsi="Times New Roman" w:cs="Times New Roman"/>
          <w:sz w:val="28"/>
          <w:szCs w:val="28"/>
        </w:rPr>
        <w:t xml:space="preserve">, </w:t>
      </w:r>
      <w:r w:rsidRPr="00363558">
        <w:rPr>
          <w:rFonts w:ascii="Times New Roman" w:hAnsi="Times New Roman" w:cs="Times New Roman"/>
          <w:sz w:val="28"/>
          <w:szCs w:val="28"/>
        </w:rPr>
        <w:t xml:space="preserve">a fost raportat ca fiind </w:t>
      </w:r>
      <w:r w:rsidR="00C20F11" w:rsidRPr="00363558">
        <w:rPr>
          <w:rFonts w:ascii="Times New Roman" w:hAnsi="Times New Roman" w:cs="Times New Roman"/>
          <w:sz w:val="28"/>
          <w:szCs w:val="28"/>
        </w:rPr>
        <w:t xml:space="preserve">integral </w:t>
      </w:r>
      <w:r w:rsidRPr="00363558">
        <w:rPr>
          <w:rFonts w:ascii="Times New Roman" w:hAnsi="Times New Roman" w:cs="Times New Roman"/>
          <w:sz w:val="28"/>
          <w:szCs w:val="28"/>
        </w:rPr>
        <w:t xml:space="preserve">realizat.  </w:t>
      </w:r>
      <w:r w:rsidR="00815D3E" w:rsidRPr="00363558">
        <w:rPr>
          <w:rFonts w:ascii="Times New Roman" w:hAnsi="Times New Roman" w:cs="Times New Roman"/>
          <w:sz w:val="28"/>
          <w:szCs w:val="28"/>
        </w:rPr>
        <w:t xml:space="preserve"> Potrivit explicațiilor prezentate auditului de către entitate, </w:t>
      </w:r>
      <w:r w:rsidR="00815D3E" w:rsidRPr="00363558">
        <w:rPr>
          <w:rFonts w:ascii="Times New Roman" w:hAnsi="Times New Roman" w:cs="Times New Roman"/>
          <w:sz w:val="28"/>
          <w:szCs w:val="28"/>
          <w:lang w:eastAsia="zh-CN"/>
        </w:rPr>
        <w:t xml:space="preserve">SFS a asigurat raportarea executării indicatorilor de performanță pentru anii respectivi în corespundere cu formatul solicitat de către MF. Astfel,deși este posibilă existența unor neconcordanțe în denumirea </w:t>
      </w:r>
      <w:r w:rsidR="00815D3E" w:rsidRPr="007E19F9">
        <w:rPr>
          <w:rFonts w:ascii="Times New Roman" w:hAnsi="Times New Roman" w:cs="Times New Roman"/>
          <w:sz w:val="28"/>
          <w:szCs w:val="28"/>
          <w:lang w:eastAsia="zh-CN"/>
        </w:rPr>
        <w:t>obiectivelor, menționăm că aceasta este o eroare tehnică</w:t>
      </w:r>
      <w:r w:rsidR="00445C98" w:rsidRPr="007E19F9">
        <w:rPr>
          <w:rFonts w:ascii="Times New Roman" w:hAnsi="Times New Roman" w:cs="Times New Roman"/>
          <w:sz w:val="28"/>
          <w:szCs w:val="28"/>
          <w:lang w:eastAsia="zh-CN"/>
        </w:rPr>
        <w:t>,</w:t>
      </w:r>
      <w:r w:rsidR="00815D3E" w:rsidRPr="007E19F9">
        <w:rPr>
          <w:rFonts w:ascii="Times New Roman" w:hAnsi="Times New Roman" w:cs="Times New Roman"/>
          <w:sz w:val="28"/>
          <w:szCs w:val="28"/>
          <w:lang w:eastAsia="zh-CN"/>
        </w:rPr>
        <w:t xml:space="preserve"> c</w:t>
      </w:r>
      <w:r w:rsidR="00445C98" w:rsidRPr="007E19F9">
        <w:rPr>
          <w:rFonts w:ascii="Times New Roman" w:hAnsi="Times New Roman" w:cs="Times New Roman"/>
          <w:sz w:val="28"/>
          <w:szCs w:val="28"/>
          <w:lang w:eastAsia="zh-CN"/>
        </w:rPr>
        <w:t>ar</w:t>
      </w:r>
      <w:r w:rsidR="00815D3E" w:rsidRPr="007E19F9">
        <w:rPr>
          <w:rFonts w:ascii="Times New Roman" w:hAnsi="Times New Roman" w:cs="Times New Roman"/>
          <w:sz w:val="28"/>
          <w:szCs w:val="28"/>
          <w:lang w:eastAsia="zh-CN"/>
        </w:rPr>
        <w:t>e nu ține de competența SFS</w:t>
      </w:r>
      <w:r w:rsidR="00445C98" w:rsidRPr="007E19F9">
        <w:rPr>
          <w:rFonts w:ascii="Times New Roman" w:hAnsi="Times New Roman" w:cs="Times New Roman"/>
          <w:sz w:val="28"/>
          <w:szCs w:val="28"/>
          <w:lang w:eastAsia="zh-CN"/>
        </w:rPr>
        <w:t>,</w:t>
      </w:r>
      <w:r w:rsidR="00815D3E" w:rsidRPr="007E19F9">
        <w:rPr>
          <w:rFonts w:ascii="Times New Roman" w:hAnsi="Times New Roman" w:cs="Times New Roman"/>
          <w:sz w:val="28"/>
          <w:szCs w:val="28"/>
          <w:lang w:eastAsia="zh-CN"/>
        </w:rPr>
        <w:t xml:space="preserve"> și</w:t>
      </w:r>
      <w:r w:rsidR="00445C98" w:rsidRPr="007E19F9">
        <w:rPr>
          <w:rFonts w:ascii="Times New Roman" w:hAnsi="Times New Roman" w:cs="Times New Roman"/>
          <w:sz w:val="28"/>
          <w:szCs w:val="28"/>
          <w:lang w:eastAsia="zh-CN"/>
        </w:rPr>
        <w:t xml:space="preserve"> că</w:t>
      </w:r>
      <w:r w:rsidR="00815D3E" w:rsidRPr="007E19F9">
        <w:rPr>
          <w:rFonts w:ascii="Times New Roman" w:hAnsi="Times New Roman" w:cs="Times New Roman"/>
          <w:sz w:val="28"/>
          <w:szCs w:val="28"/>
          <w:lang w:eastAsia="zh-CN"/>
        </w:rPr>
        <w:t xml:space="preserve"> acest fapt nu a influențat asupra corectitudinii și veridicității rezultatelor raportate </w:t>
      </w:r>
      <w:r w:rsidR="00445C98" w:rsidRPr="007E19F9">
        <w:rPr>
          <w:rFonts w:ascii="Times New Roman" w:hAnsi="Times New Roman" w:cs="Times New Roman"/>
          <w:sz w:val="28"/>
          <w:szCs w:val="28"/>
          <w:lang w:eastAsia="zh-CN"/>
        </w:rPr>
        <w:t xml:space="preserve">privind </w:t>
      </w:r>
      <w:r w:rsidR="007E19F9" w:rsidRPr="007E19F9">
        <w:rPr>
          <w:rFonts w:ascii="Times New Roman" w:hAnsi="Times New Roman" w:cs="Times New Roman"/>
          <w:sz w:val="28"/>
          <w:szCs w:val="28"/>
          <w:lang w:eastAsia="zh-CN"/>
        </w:rPr>
        <w:t>indicatorii</w:t>
      </w:r>
      <w:r w:rsidR="00815D3E" w:rsidRPr="007E19F9">
        <w:rPr>
          <w:rFonts w:ascii="Times New Roman" w:hAnsi="Times New Roman" w:cs="Times New Roman"/>
          <w:sz w:val="28"/>
          <w:szCs w:val="28"/>
          <w:lang w:eastAsia="zh-CN"/>
        </w:rPr>
        <w:t xml:space="preserve"> de performanță stabiliți.</w:t>
      </w:r>
    </w:p>
    <w:p w:rsidR="006C5161" w:rsidRPr="001D0846" w:rsidRDefault="006C5161" w:rsidP="006358AD">
      <w:pPr>
        <w:spacing w:after="0" w:line="276" w:lineRule="auto"/>
        <w:ind w:firstLine="720"/>
        <w:jc w:val="both"/>
        <w:rPr>
          <w:rFonts w:ascii="Times New Roman" w:hAnsi="Times New Roman" w:cs="Times New Roman"/>
          <w:sz w:val="28"/>
          <w:szCs w:val="28"/>
        </w:rPr>
      </w:pPr>
      <w:r w:rsidRPr="001D0846">
        <w:rPr>
          <w:rFonts w:ascii="Times New Roman" w:hAnsi="Times New Roman" w:cs="Times New Roman"/>
          <w:sz w:val="28"/>
          <w:szCs w:val="28"/>
        </w:rPr>
        <w:t>Reieșind din obiectivele stabilite de MF, au fost aprobați 13 indicatori de performanță (7 – de rezultat, 4 – de produs</w:t>
      </w:r>
      <w:r w:rsidR="00445C98">
        <w:rPr>
          <w:rFonts w:ascii="Times New Roman" w:hAnsi="Times New Roman" w:cs="Times New Roman"/>
          <w:sz w:val="28"/>
          <w:szCs w:val="28"/>
        </w:rPr>
        <w:t>,</w:t>
      </w:r>
      <w:r w:rsidRPr="001D0846">
        <w:rPr>
          <w:rFonts w:ascii="Times New Roman" w:hAnsi="Times New Roman" w:cs="Times New Roman"/>
          <w:sz w:val="28"/>
          <w:szCs w:val="28"/>
        </w:rPr>
        <w:t xml:space="preserve"> și 2 – de eficiență) pentru măsurarea progresului în realizarea obiectivelor programului/subprogramului. </w:t>
      </w:r>
    </w:p>
    <w:p w:rsidR="006C5161" w:rsidRPr="001D0846" w:rsidRDefault="006C5161" w:rsidP="006358AD">
      <w:pPr>
        <w:spacing w:after="0" w:line="276" w:lineRule="auto"/>
        <w:ind w:firstLine="720"/>
        <w:jc w:val="both"/>
        <w:rPr>
          <w:rFonts w:ascii="Times New Roman" w:hAnsi="Times New Roman" w:cs="Times New Roman"/>
          <w:color w:val="000000"/>
          <w:spacing w:val="3"/>
          <w:sz w:val="28"/>
          <w:szCs w:val="28"/>
        </w:rPr>
      </w:pPr>
      <w:r w:rsidRPr="001D0846">
        <w:rPr>
          <w:rFonts w:ascii="Times New Roman" w:hAnsi="Times New Roman" w:cs="Times New Roman"/>
          <w:sz w:val="28"/>
          <w:szCs w:val="28"/>
        </w:rPr>
        <w:t>Analiza efectuată de audit asupra modului de elaborare a indicatorilor de performanță</w:t>
      </w:r>
      <w:r w:rsidR="00011621" w:rsidRPr="001D0846">
        <w:rPr>
          <w:rStyle w:val="FootnoteReference"/>
          <w:rFonts w:ascii="Times New Roman" w:hAnsi="Times New Roman" w:cs="Times New Roman"/>
          <w:color w:val="000000"/>
          <w:spacing w:val="3"/>
          <w:sz w:val="28"/>
          <w:szCs w:val="28"/>
        </w:rPr>
        <w:footnoteReference w:id="9"/>
      </w:r>
      <w:r w:rsidRPr="001D0846">
        <w:rPr>
          <w:rFonts w:ascii="Times New Roman" w:hAnsi="Times New Roman" w:cs="Times New Roman"/>
          <w:sz w:val="28"/>
          <w:szCs w:val="28"/>
        </w:rPr>
        <w:t xml:space="preserve"> relevă că unii indicatori pot limita performanța instituțională și rezultativitatea admini</w:t>
      </w:r>
      <w:r w:rsidR="007E19F9">
        <w:rPr>
          <w:rFonts w:ascii="Times New Roman" w:hAnsi="Times New Roman" w:cs="Times New Roman"/>
          <w:sz w:val="28"/>
          <w:szCs w:val="28"/>
        </w:rPr>
        <w:t>strării impozitelor și taxelor,</w:t>
      </w:r>
      <w:r w:rsidRPr="001D0846">
        <w:rPr>
          <w:rFonts w:ascii="Times New Roman" w:hAnsi="Times New Roman" w:cs="Times New Roman"/>
          <w:sz w:val="28"/>
          <w:szCs w:val="28"/>
        </w:rPr>
        <w:t>fiind stabiliți fără o fundamentare a</w:t>
      </w:r>
      <w:r w:rsidRPr="001D0846">
        <w:rPr>
          <w:rFonts w:ascii="Times New Roman" w:hAnsi="Times New Roman" w:cs="Times New Roman"/>
          <w:color w:val="000000"/>
          <w:spacing w:val="3"/>
          <w:sz w:val="28"/>
          <w:szCs w:val="28"/>
        </w:rPr>
        <w:t xml:space="preserve"> modalității de calcul şi a sursei de colectare a informaţiei. Astfel, </w:t>
      </w:r>
      <w:r w:rsidR="00007E56" w:rsidRPr="001D0846">
        <w:rPr>
          <w:rFonts w:ascii="Times New Roman" w:hAnsi="Times New Roman" w:cs="Times New Roman"/>
          <w:color w:val="000000"/>
          <w:spacing w:val="3"/>
          <w:sz w:val="28"/>
          <w:szCs w:val="28"/>
        </w:rPr>
        <w:t>exemplificăm</w:t>
      </w:r>
      <w:r w:rsidRPr="001D0846">
        <w:rPr>
          <w:rFonts w:ascii="Times New Roman" w:hAnsi="Times New Roman" w:cs="Times New Roman"/>
          <w:color w:val="000000"/>
          <w:spacing w:val="3"/>
          <w:sz w:val="28"/>
          <w:szCs w:val="28"/>
        </w:rPr>
        <w:t xml:space="preserve"> indicatorul ,,Gradul de reducere a restanței </w:t>
      </w:r>
      <w:r w:rsidR="00CF27FB" w:rsidRPr="007E19F9">
        <w:rPr>
          <w:rFonts w:ascii="Times New Roman" w:hAnsi="Times New Roman" w:cs="Times New Roman"/>
          <w:color w:val="000000"/>
          <w:spacing w:val="3"/>
          <w:sz w:val="28"/>
          <w:szCs w:val="28"/>
        </w:rPr>
        <w:t>la</w:t>
      </w:r>
      <w:r w:rsidRPr="007E19F9">
        <w:rPr>
          <w:rFonts w:ascii="Times New Roman" w:hAnsi="Times New Roman" w:cs="Times New Roman"/>
          <w:color w:val="000000"/>
          <w:spacing w:val="3"/>
          <w:sz w:val="28"/>
          <w:szCs w:val="28"/>
        </w:rPr>
        <w:t xml:space="preserve"> B</w:t>
      </w:r>
      <w:r w:rsidRPr="001D0846">
        <w:rPr>
          <w:rFonts w:ascii="Times New Roman" w:hAnsi="Times New Roman" w:cs="Times New Roman"/>
          <w:color w:val="000000"/>
          <w:spacing w:val="3"/>
          <w:sz w:val="28"/>
          <w:szCs w:val="28"/>
        </w:rPr>
        <w:t>PN în baza măsurilor de executare silită a obligațiilor fiscale”</w:t>
      </w:r>
      <w:r w:rsidR="00CF27FB">
        <w:rPr>
          <w:rFonts w:ascii="Times New Roman" w:hAnsi="Times New Roman" w:cs="Times New Roman"/>
          <w:color w:val="000000"/>
          <w:spacing w:val="3"/>
          <w:sz w:val="28"/>
          <w:szCs w:val="28"/>
        </w:rPr>
        <w:t>,</w:t>
      </w:r>
      <w:r w:rsidRPr="001D0846">
        <w:rPr>
          <w:rFonts w:ascii="Times New Roman" w:hAnsi="Times New Roman" w:cs="Times New Roman"/>
          <w:color w:val="000000"/>
          <w:spacing w:val="3"/>
          <w:sz w:val="28"/>
          <w:szCs w:val="28"/>
        </w:rPr>
        <w:t xml:space="preserve"> care a fost aprobat în cuantum de 32 % pentru anul 2017, în condițiile în care sarcina SFS este de a asigura colectarea deplină (maximă) și la termen a impozitelor și taxelor. Concomitent, se remarcă că stabilirea unui astfel de indicator </w:t>
      </w:r>
      <w:r w:rsidR="00001C7B" w:rsidRPr="001D0846">
        <w:rPr>
          <w:rFonts w:ascii="Times New Roman" w:hAnsi="Times New Roman" w:cs="Times New Roman"/>
          <w:color w:val="000000"/>
          <w:spacing w:val="3"/>
          <w:sz w:val="28"/>
          <w:szCs w:val="28"/>
        </w:rPr>
        <w:t>limitează gradul</w:t>
      </w:r>
      <w:r w:rsidRPr="001D0846">
        <w:rPr>
          <w:rFonts w:ascii="Times New Roman" w:hAnsi="Times New Roman" w:cs="Times New Roman"/>
          <w:color w:val="000000"/>
          <w:spacing w:val="3"/>
          <w:sz w:val="28"/>
          <w:szCs w:val="28"/>
        </w:rPr>
        <w:t xml:space="preserve"> de încasare a restanțelor la BPN, fapt care duce la formarea/majorarea continuă a restanțelor.</w:t>
      </w:r>
    </w:p>
    <w:p w:rsidR="006C5161" w:rsidRPr="001D0846" w:rsidRDefault="006C5161" w:rsidP="006358AD">
      <w:pPr>
        <w:spacing w:after="0" w:line="276" w:lineRule="auto"/>
        <w:ind w:firstLine="720"/>
        <w:jc w:val="both"/>
        <w:rPr>
          <w:rFonts w:ascii="Times New Roman" w:hAnsi="Times New Roman" w:cs="Times New Roman"/>
          <w:sz w:val="28"/>
          <w:szCs w:val="28"/>
        </w:rPr>
      </w:pPr>
      <w:r w:rsidRPr="001D0846">
        <w:rPr>
          <w:rFonts w:ascii="Times New Roman" w:hAnsi="Times New Roman" w:cs="Times New Roman"/>
          <w:color w:val="000000"/>
          <w:spacing w:val="3"/>
          <w:sz w:val="28"/>
          <w:szCs w:val="28"/>
        </w:rPr>
        <w:t>Situații similare se atestă și în cazul indicatorilor de rezultat ,,</w:t>
      </w:r>
      <w:r w:rsidRPr="001D0846">
        <w:rPr>
          <w:rFonts w:ascii="Times New Roman" w:hAnsi="Times New Roman" w:cs="Times New Roman"/>
          <w:sz w:val="28"/>
          <w:szCs w:val="28"/>
        </w:rPr>
        <w:t>Nivelul de conformare voluntară a contribuabililor (ponderea impozitelor și taxelor la un leu de vânzări)”</w:t>
      </w:r>
      <w:r w:rsidR="00CF27FB">
        <w:rPr>
          <w:rFonts w:ascii="Times New Roman" w:hAnsi="Times New Roman" w:cs="Times New Roman"/>
          <w:sz w:val="28"/>
          <w:szCs w:val="28"/>
        </w:rPr>
        <w:t>,</w:t>
      </w:r>
      <w:r w:rsidRPr="001D0846">
        <w:rPr>
          <w:rFonts w:ascii="Times New Roman" w:hAnsi="Times New Roman" w:cs="Times New Roman"/>
          <w:sz w:val="28"/>
          <w:szCs w:val="28"/>
        </w:rPr>
        <w:t xml:space="preserve"> stabilit în cuantum d</w:t>
      </w:r>
      <w:r w:rsidR="0036545C" w:rsidRPr="001D0846">
        <w:rPr>
          <w:rFonts w:ascii="Times New Roman" w:hAnsi="Times New Roman" w:cs="Times New Roman"/>
          <w:sz w:val="28"/>
          <w:szCs w:val="28"/>
        </w:rPr>
        <w:t>e 15</w:t>
      </w:r>
      <w:r w:rsidRPr="001D0846">
        <w:rPr>
          <w:rFonts w:ascii="Times New Roman" w:hAnsi="Times New Roman" w:cs="Times New Roman"/>
          <w:sz w:val="28"/>
          <w:szCs w:val="28"/>
        </w:rPr>
        <w:t>%</w:t>
      </w:r>
      <w:r w:rsidR="00CF27FB">
        <w:rPr>
          <w:rFonts w:ascii="Times New Roman" w:hAnsi="Times New Roman" w:cs="Times New Roman"/>
          <w:sz w:val="28"/>
          <w:szCs w:val="28"/>
        </w:rPr>
        <w:t>,</w:t>
      </w:r>
      <w:r w:rsidRPr="001D0846">
        <w:rPr>
          <w:rFonts w:ascii="Times New Roman" w:hAnsi="Times New Roman" w:cs="Times New Roman"/>
          <w:sz w:val="28"/>
          <w:szCs w:val="28"/>
        </w:rPr>
        <w:t xml:space="preserve"> și ,,Reducerea decalajului fiscal (prin diminuarea economiei tenebre și majorarea nivelului de conformare voluntară) față de perioada similară a anului precedent”</w:t>
      </w:r>
      <w:r w:rsidR="00CF27FB">
        <w:rPr>
          <w:rFonts w:ascii="Times New Roman" w:hAnsi="Times New Roman" w:cs="Times New Roman"/>
          <w:sz w:val="28"/>
          <w:szCs w:val="28"/>
        </w:rPr>
        <w:t>,</w:t>
      </w:r>
      <w:r w:rsidRPr="001D0846">
        <w:rPr>
          <w:rFonts w:ascii="Times New Roman" w:hAnsi="Times New Roman" w:cs="Times New Roman"/>
          <w:sz w:val="28"/>
          <w:szCs w:val="28"/>
        </w:rPr>
        <w:t xml:space="preserve"> stabilit în cuantum de 1,5 %.</w:t>
      </w:r>
    </w:p>
    <w:p w:rsidR="006C5161" w:rsidRPr="001D0846" w:rsidRDefault="006C5161" w:rsidP="006358AD">
      <w:pPr>
        <w:spacing w:after="0" w:line="276" w:lineRule="auto"/>
        <w:ind w:firstLine="720"/>
        <w:jc w:val="both"/>
        <w:rPr>
          <w:rFonts w:ascii="Times New Roman" w:hAnsi="Times New Roman" w:cs="Times New Roman"/>
          <w:sz w:val="28"/>
          <w:szCs w:val="28"/>
        </w:rPr>
      </w:pPr>
      <w:r w:rsidRPr="001D0846">
        <w:rPr>
          <w:rFonts w:ascii="Times New Roman" w:hAnsi="Times New Roman" w:cs="Times New Roman"/>
          <w:sz w:val="28"/>
          <w:szCs w:val="28"/>
        </w:rPr>
        <w:lastRenderedPageBreak/>
        <w:t>Analiza efectuată de audit asupra executării indicatorilor de performanță de către SFS</w:t>
      </w:r>
      <w:r w:rsidR="00001C7B" w:rsidRPr="001D0846">
        <w:rPr>
          <w:rFonts w:ascii="Times New Roman" w:hAnsi="Times New Roman" w:cs="Times New Roman"/>
          <w:sz w:val="28"/>
          <w:szCs w:val="28"/>
        </w:rPr>
        <w:t xml:space="preserve"> relevă că n-au fost realizați 3</w:t>
      </w:r>
      <w:r w:rsidRPr="001D0846">
        <w:rPr>
          <w:rFonts w:ascii="Times New Roman" w:hAnsi="Times New Roman" w:cs="Times New Roman"/>
          <w:sz w:val="28"/>
          <w:szCs w:val="28"/>
        </w:rPr>
        <w:t xml:space="preserve"> indicatori, inclusiv 1– de rezultat ,,Ponderea sumelor încasate din totalul sumelor calculate în rezultatul controalelor fiscale” (-4,38 %), 1– de produs ,,Sistem informațional integr</w:t>
      </w:r>
      <w:r w:rsidR="00001C7B" w:rsidRPr="001D0846">
        <w:rPr>
          <w:rFonts w:ascii="Times New Roman" w:hAnsi="Times New Roman" w:cs="Times New Roman"/>
          <w:sz w:val="28"/>
          <w:szCs w:val="28"/>
        </w:rPr>
        <w:t>at procurat și implementat” și 1</w:t>
      </w:r>
      <w:r w:rsidRPr="001D0846">
        <w:rPr>
          <w:rFonts w:ascii="Times New Roman" w:hAnsi="Times New Roman" w:cs="Times New Roman"/>
          <w:sz w:val="28"/>
          <w:szCs w:val="28"/>
        </w:rPr>
        <w:t xml:space="preserve"> – de eficiență ,,Gradul de reducere a restanței recuperabile, comparativ cu începutul anului”. </w:t>
      </w:r>
      <w:r w:rsidRPr="001D0846">
        <w:rPr>
          <w:rFonts w:ascii="Times New Roman" w:hAnsi="Times New Roman" w:cs="Times New Roman"/>
          <w:i/>
          <w:sz w:val="28"/>
          <w:szCs w:val="28"/>
        </w:rPr>
        <w:t xml:space="preserve">Informația privind nivelul de realizare </w:t>
      </w:r>
      <w:r w:rsidR="00BE46F1" w:rsidRPr="001D0846">
        <w:rPr>
          <w:rFonts w:ascii="Times New Roman" w:hAnsi="Times New Roman" w:cs="Times New Roman"/>
          <w:i/>
          <w:sz w:val="28"/>
          <w:szCs w:val="28"/>
        </w:rPr>
        <w:t xml:space="preserve">de către SFS </w:t>
      </w:r>
      <w:r w:rsidRPr="001D0846">
        <w:rPr>
          <w:rFonts w:ascii="Times New Roman" w:hAnsi="Times New Roman" w:cs="Times New Roman"/>
          <w:i/>
          <w:sz w:val="28"/>
          <w:szCs w:val="28"/>
        </w:rPr>
        <w:t xml:space="preserve">a indicatorilor de performanță </w:t>
      </w:r>
      <w:r w:rsidR="00BE46F1" w:rsidRPr="001D0846">
        <w:rPr>
          <w:rFonts w:ascii="Times New Roman" w:hAnsi="Times New Roman" w:cs="Times New Roman"/>
          <w:i/>
          <w:sz w:val="28"/>
          <w:szCs w:val="28"/>
        </w:rPr>
        <w:t xml:space="preserve">în activitatea de administrare fiscală </w:t>
      </w:r>
      <w:r w:rsidR="00CF27FB">
        <w:rPr>
          <w:rFonts w:ascii="Times New Roman" w:hAnsi="Times New Roman" w:cs="Times New Roman"/>
          <w:i/>
          <w:sz w:val="28"/>
          <w:szCs w:val="28"/>
        </w:rPr>
        <w:t>este</w:t>
      </w:r>
      <w:r w:rsidRPr="001D0846">
        <w:rPr>
          <w:rFonts w:ascii="Times New Roman" w:hAnsi="Times New Roman" w:cs="Times New Roman"/>
          <w:i/>
          <w:sz w:val="28"/>
          <w:szCs w:val="28"/>
        </w:rPr>
        <w:t xml:space="preserve"> prez</w:t>
      </w:r>
      <w:r w:rsidR="00CF27FB">
        <w:rPr>
          <w:rFonts w:ascii="Times New Roman" w:hAnsi="Times New Roman" w:cs="Times New Roman"/>
          <w:i/>
          <w:sz w:val="28"/>
          <w:szCs w:val="28"/>
        </w:rPr>
        <w:t>enta</w:t>
      </w:r>
      <w:r w:rsidRPr="001D0846">
        <w:rPr>
          <w:rFonts w:ascii="Times New Roman" w:hAnsi="Times New Roman" w:cs="Times New Roman"/>
          <w:i/>
          <w:sz w:val="28"/>
          <w:szCs w:val="28"/>
        </w:rPr>
        <w:t xml:space="preserve">tă în Tabelul </w:t>
      </w:r>
      <w:r w:rsidR="00BC4A84" w:rsidRPr="001D0846">
        <w:rPr>
          <w:rFonts w:ascii="Times New Roman" w:hAnsi="Times New Roman" w:cs="Times New Roman"/>
          <w:i/>
          <w:sz w:val="28"/>
          <w:szCs w:val="28"/>
        </w:rPr>
        <w:t>nr.2 din Anexa nr.3</w:t>
      </w:r>
      <w:r w:rsidR="00D1260C" w:rsidRPr="001D0846">
        <w:rPr>
          <w:rFonts w:ascii="Times New Roman" w:hAnsi="Times New Roman" w:cs="Times New Roman"/>
          <w:i/>
          <w:sz w:val="28"/>
          <w:szCs w:val="28"/>
        </w:rPr>
        <w:t xml:space="preserve"> la Raport</w:t>
      </w:r>
      <w:r w:rsidR="00CF27FB">
        <w:rPr>
          <w:rFonts w:ascii="Times New Roman" w:hAnsi="Times New Roman" w:cs="Times New Roman"/>
          <w:i/>
          <w:sz w:val="28"/>
          <w:szCs w:val="28"/>
        </w:rPr>
        <w:t>ul</w:t>
      </w:r>
      <w:r w:rsidR="00D1260C" w:rsidRPr="001D0846">
        <w:rPr>
          <w:rFonts w:ascii="Times New Roman" w:hAnsi="Times New Roman" w:cs="Times New Roman"/>
          <w:i/>
          <w:sz w:val="28"/>
          <w:szCs w:val="28"/>
        </w:rPr>
        <w:t xml:space="preserve"> de audit</w:t>
      </w:r>
      <w:r w:rsidRPr="001D0846">
        <w:rPr>
          <w:rFonts w:ascii="Times New Roman" w:hAnsi="Times New Roman" w:cs="Times New Roman"/>
          <w:i/>
          <w:sz w:val="28"/>
          <w:szCs w:val="28"/>
        </w:rPr>
        <w:t>.</w:t>
      </w:r>
    </w:p>
    <w:p w:rsidR="00056CF6" w:rsidRPr="001D0846" w:rsidRDefault="00056CF6" w:rsidP="006358AD">
      <w:pPr>
        <w:spacing w:after="0" w:line="276" w:lineRule="auto"/>
        <w:ind w:firstLine="720"/>
        <w:jc w:val="both"/>
        <w:rPr>
          <w:rFonts w:ascii="Times New Roman" w:hAnsi="Times New Roman" w:cs="Times New Roman"/>
          <w:sz w:val="28"/>
          <w:szCs w:val="28"/>
        </w:rPr>
      </w:pPr>
      <w:r w:rsidRPr="001D0846">
        <w:rPr>
          <w:rFonts w:ascii="Times New Roman" w:hAnsi="Times New Roman" w:cs="Times New Roman"/>
          <w:sz w:val="28"/>
          <w:szCs w:val="28"/>
        </w:rPr>
        <w:t>Pentru administrarea vamală</w:t>
      </w:r>
      <w:r w:rsidR="00CF27FB">
        <w:rPr>
          <w:rFonts w:ascii="Times New Roman" w:hAnsi="Times New Roman" w:cs="Times New Roman"/>
          <w:sz w:val="28"/>
          <w:szCs w:val="28"/>
        </w:rPr>
        <w:t>,</w:t>
      </w:r>
      <w:r w:rsidRPr="001D0846">
        <w:rPr>
          <w:rFonts w:ascii="Times New Roman" w:hAnsi="Times New Roman" w:cs="Times New Roman"/>
          <w:sz w:val="28"/>
          <w:szCs w:val="28"/>
        </w:rPr>
        <w:t xml:space="preserve"> MF a stabilit următoarele obiective: </w:t>
      </w:r>
      <w:r w:rsidRPr="001D0846">
        <w:rPr>
          <w:rFonts w:ascii="Times New Roman" w:hAnsi="Times New Roman" w:cs="Times New Roman"/>
          <w:i/>
          <w:sz w:val="28"/>
          <w:szCs w:val="28"/>
        </w:rPr>
        <w:t>(1)</w:t>
      </w:r>
      <w:r w:rsidRPr="001D0846">
        <w:rPr>
          <w:rFonts w:ascii="Times New Roman" w:hAnsi="Times New Roman" w:cs="Times New Roman"/>
          <w:sz w:val="28"/>
          <w:szCs w:val="28"/>
        </w:rPr>
        <w:t xml:space="preserve"> Asigurarea colectării eficiente a veniturilor la buget; </w:t>
      </w:r>
      <w:r w:rsidRPr="001D0846">
        <w:rPr>
          <w:rFonts w:ascii="Times New Roman" w:hAnsi="Times New Roman" w:cs="Times New Roman"/>
          <w:i/>
          <w:sz w:val="28"/>
          <w:szCs w:val="28"/>
        </w:rPr>
        <w:t>(2)</w:t>
      </w:r>
      <w:r w:rsidRPr="001D0846">
        <w:rPr>
          <w:rFonts w:ascii="Times New Roman" w:hAnsi="Times New Roman" w:cs="Times New Roman"/>
          <w:sz w:val="28"/>
          <w:szCs w:val="28"/>
        </w:rPr>
        <w:t xml:space="preserve"> Facilitarea traficului de mărfuri și simplificarea procedurilor vamale; </w:t>
      </w:r>
      <w:r w:rsidRPr="001D0846">
        <w:rPr>
          <w:rFonts w:ascii="Times New Roman" w:hAnsi="Times New Roman" w:cs="Times New Roman"/>
          <w:i/>
          <w:sz w:val="28"/>
          <w:szCs w:val="28"/>
        </w:rPr>
        <w:t>(3)</w:t>
      </w:r>
      <w:r w:rsidRPr="001D0846">
        <w:rPr>
          <w:rFonts w:ascii="Times New Roman" w:hAnsi="Times New Roman" w:cs="Times New Roman"/>
          <w:sz w:val="28"/>
          <w:szCs w:val="28"/>
        </w:rPr>
        <w:t xml:space="preserve"> Prevenirea și combaterea tentativelor de introducere în țară a mărfurilor suspecte a fi contrafăcute și a operelor pirat; </w:t>
      </w:r>
      <w:r w:rsidRPr="001D0846">
        <w:rPr>
          <w:rFonts w:ascii="Times New Roman" w:hAnsi="Times New Roman" w:cs="Times New Roman"/>
          <w:i/>
          <w:sz w:val="28"/>
          <w:szCs w:val="28"/>
        </w:rPr>
        <w:t>(4)</w:t>
      </w:r>
      <w:r w:rsidRPr="001D0846">
        <w:rPr>
          <w:rFonts w:ascii="Times New Roman" w:hAnsi="Times New Roman" w:cs="Times New Roman"/>
          <w:sz w:val="28"/>
          <w:szCs w:val="28"/>
        </w:rPr>
        <w:t xml:space="preserve"> Perfecționarea sistemului de management al personalului și asigurarea unui comportament integru a</w:t>
      </w:r>
      <w:r w:rsidR="00CF27FB">
        <w:rPr>
          <w:rFonts w:ascii="Times New Roman" w:hAnsi="Times New Roman" w:cs="Times New Roman"/>
          <w:sz w:val="28"/>
          <w:szCs w:val="28"/>
        </w:rPr>
        <w:t>l</w:t>
      </w:r>
      <w:r w:rsidRPr="001D0846">
        <w:rPr>
          <w:rFonts w:ascii="Times New Roman" w:hAnsi="Times New Roman" w:cs="Times New Roman"/>
          <w:sz w:val="28"/>
          <w:szCs w:val="28"/>
        </w:rPr>
        <w:t xml:space="preserve"> colaboratorilor vamali.</w:t>
      </w:r>
    </w:p>
    <w:p w:rsidR="00BE46F1" w:rsidRPr="001D0846" w:rsidRDefault="00D1260C" w:rsidP="006358AD">
      <w:pPr>
        <w:spacing w:after="0" w:line="276" w:lineRule="auto"/>
        <w:ind w:firstLine="720"/>
        <w:jc w:val="both"/>
        <w:rPr>
          <w:rFonts w:ascii="Times New Roman" w:hAnsi="Times New Roman" w:cs="Times New Roman"/>
          <w:sz w:val="28"/>
          <w:szCs w:val="28"/>
        </w:rPr>
      </w:pPr>
      <w:r w:rsidRPr="001D0846">
        <w:rPr>
          <w:rFonts w:ascii="Times New Roman" w:hAnsi="Times New Roman" w:cs="Times New Roman"/>
          <w:sz w:val="28"/>
          <w:szCs w:val="28"/>
        </w:rPr>
        <w:t xml:space="preserve">Examinările </w:t>
      </w:r>
      <w:r w:rsidR="00CF27FB">
        <w:rPr>
          <w:rFonts w:ascii="Times New Roman" w:hAnsi="Times New Roman" w:cs="Times New Roman"/>
          <w:sz w:val="28"/>
          <w:szCs w:val="28"/>
        </w:rPr>
        <w:t xml:space="preserve">efectuate de </w:t>
      </w:r>
      <w:r w:rsidRPr="001D0846">
        <w:rPr>
          <w:rFonts w:ascii="Times New Roman" w:hAnsi="Times New Roman" w:cs="Times New Roman"/>
          <w:sz w:val="28"/>
          <w:szCs w:val="28"/>
        </w:rPr>
        <w:t>audit</w:t>
      </w:r>
      <w:r w:rsidR="006C5161" w:rsidRPr="001D0846">
        <w:rPr>
          <w:rFonts w:ascii="Times New Roman" w:hAnsi="Times New Roman" w:cs="Times New Roman"/>
          <w:sz w:val="28"/>
          <w:szCs w:val="28"/>
        </w:rPr>
        <w:t xml:space="preserve"> asupra executării indicatorilor de performanță de către SV relevă că</w:t>
      </w:r>
      <w:r w:rsidR="00CF27FB">
        <w:rPr>
          <w:rFonts w:ascii="Times New Roman" w:hAnsi="Times New Roman" w:cs="Times New Roman"/>
          <w:sz w:val="28"/>
          <w:szCs w:val="28"/>
        </w:rPr>
        <w:t>,</w:t>
      </w:r>
      <w:r w:rsidR="006C5161" w:rsidRPr="001D0846">
        <w:rPr>
          <w:rFonts w:ascii="Times New Roman" w:hAnsi="Times New Roman" w:cs="Times New Roman"/>
          <w:sz w:val="28"/>
          <w:szCs w:val="28"/>
        </w:rPr>
        <w:t xml:space="preserve"> din numărul total de 9 indicatori de performanță</w:t>
      </w:r>
      <w:r w:rsidR="00CF27FB">
        <w:rPr>
          <w:rFonts w:ascii="Times New Roman" w:hAnsi="Times New Roman" w:cs="Times New Roman"/>
          <w:sz w:val="28"/>
          <w:szCs w:val="28"/>
        </w:rPr>
        <w:t>,</w:t>
      </w:r>
      <w:r w:rsidR="006C5161" w:rsidRPr="001D0846">
        <w:rPr>
          <w:rFonts w:ascii="Times New Roman" w:hAnsi="Times New Roman" w:cs="Times New Roman"/>
          <w:sz w:val="28"/>
          <w:szCs w:val="28"/>
        </w:rPr>
        <w:t xml:space="preserve"> stabil</w:t>
      </w:r>
      <w:r w:rsidR="00E854F2" w:rsidRPr="001D0846">
        <w:rPr>
          <w:rFonts w:ascii="Times New Roman" w:hAnsi="Times New Roman" w:cs="Times New Roman"/>
          <w:sz w:val="28"/>
          <w:szCs w:val="28"/>
        </w:rPr>
        <w:t>iți de MF, n-au fost realizați 3 indicatori, inclusiv</w:t>
      </w:r>
      <w:r w:rsidR="006C5161" w:rsidRPr="001D0846">
        <w:rPr>
          <w:rFonts w:ascii="Times New Roman" w:hAnsi="Times New Roman" w:cs="Times New Roman"/>
          <w:sz w:val="28"/>
          <w:szCs w:val="28"/>
        </w:rPr>
        <w:t xml:space="preserve"> 1– de produs ,,Numărul de cazuri de reținere a mărfurilor suspecte a fi contrafăcute” (-9 %) și 2– de eficiență ,,Durata medie a procedurii de vămuire la import” (-20%) și ,,Durata medie a procedurii de vămuire la export” (-15%).</w:t>
      </w:r>
      <w:r w:rsidR="00C15F45" w:rsidRPr="001D0846">
        <w:rPr>
          <w:rFonts w:ascii="Times New Roman" w:hAnsi="Times New Roman" w:cs="Times New Roman"/>
          <w:sz w:val="28"/>
          <w:szCs w:val="28"/>
        </w:rPr>
        <w:t>Potrivit motivației persoanelor responsabile din cadrul SV, nerealizarea indicatorului de produs ,,Numărul de cazuri de reținere a mărfurilor suspectea fi contrafăcute” se datorează activității de informare a agenților economici și</w:t>
      </w:r>
      <w:r w:rsidR="006D6642">
        <w:rPr>
          <w:rFonts w:ascii="Times New Roman" w:hAnsi="Times New Roman" w:cs="Times New Roman"/>
          <w:sz w:val="28"/>
          <w:szCs w:val="28"/>
        </w:rPr>
        <w:t>,</w:t>
      </w:r>
      <w:r w:rsidR="00C15F45" w:rsidRPr="001D0846">
        <w:rPr>
          <w:rFonts w:ascii="Times New Roman" w:hAnsi="Times New Roman" w:cs="Times New Roman"/>
          <w:sz w:val="28"/>
          <w:szCs w:val="28"/>
        </w:rPr>
        <w:t xml:space="preserve"> respectiv</w:t>
      </w:r>
      <w:r w:rsidR="006D6642">
        <w:rPr>
          <w:rFonts w:ascii="Times New Roman" w:hAnsi="Times New Roman" w:cs="Times New Roman"/>
          <w:sz w:val="28"/>
          <w:szCs w:val="28"/>
        </w:rPr>
        <w:t>,</w:t>
      </w:r>
      <w:r w:rsidR="00C15F45" w:rsidRPr="001D0846">
        <w:rPr>
          <w:rFonts w:ascii="Times New Roman" w:hAnsi="Times New Roman" w:cs="Times New Roman"/>
          <w:sz w:val="28"/>
          <w:szCs w:val="28"/>
        </w:rPr>
        <w:t xml:space="preserve"> conform</w:t>
      </w:r>
      <w:r w:rsidR="006D6642">
        <w:rPr>
          <w:rFonts w:ascii="Times New Roman" w:hAnsi="Times New Roman" w:cs="Times New Roman"/>
          <w:sz w:val="28"/>
          <w:szCs w:val="28"/>
        </w:rPr>
        <w:t>ării</w:t>
      </w:r>
      <w:r w:rsidR="00C15F45" w:rsidRPr="001D0846">
        <w:rPr>
          <w:rFonts w:ascii="Times New Roman" w:hAnsi="Times New Roman" w:cs="Times New Roman"/>
          <w:sz w:val="28"/>
          <w:szCs w:val="28"/>
        </w:rPr>
        <w:t xml:space="preserve"> acestora la prevederile legale</w:t>
      </w:r>
      <w:r w:rsidR="00363558">
        <w:rPr>
          <w:rFonts w:ascii="Times New Roman" w:hAnsi="Times New Roman" w:cs="Times New Roman"/>
          <w:sz w:val="28"/>
          <w:szCs w:val="28"/>
        </w:rPr>
        <w:t>,</w:t>
      </w:r>
      <w:r w:rsidR="00C15F45" w:rsidRPr="001D0846">
        <w:rPr>
          <w:rFonts w:ascii="Times New Roman" w:hAnsi="Times New Roman" w:cs="Times New Roman"/>
          <w:sz w:val="28"/>
          <w:szCs w:val="28"/>
        </w:rPr>
        <w:t xml:space="preserve"> ceea ce a redus numărul de rețineri a</w:t>
      </w:r>
      <w:r w:rsidR="006D6642">
        <w:rPr>
          <w:rFonts w:ascii="Times New Roman" w:hAnsi="Times New Roman" w:cs="Times New Roman"/>
          <w:sz w:val="28"/>
          <w:szCs w:val="28"/>
        </w:rPr>
        <w:t>le</w:t>
      </w:r>
      <w:r w:rsidR="00C15F45" w:rsidRPr="001D0846">
        <w:rPr>
          <w:rFonts w:ascii="Times New Roman" w:hAnsi="Times New Roman" w:cs="Times New Roman"/>
          <w:sz w:val="28"/>
          <w:szCs w:val="28"/>
        </w:rPr>
        <w:t xml:space="preserve"> mărfurilor contrafăcute.</w:t>
      </w:r>
    </w:p>
    <w:p w:rsidR="006C5161" w:rsidRPr="001D0846" w:rsidRDefault="006C5161" w:rsidP="006358AD">
      <w:pPr>
        <w:spacing w:after="0" w:line="276" w:lineRule="auto"/>
        <w:ind w:firstLine="720"/>
        <w:jc w:val="both"/>
        <w:rPr>
          <w:rFonts w:ascii="Times New Roman" w:hAnsi="Times New Roman" w:cs="Times New Roman"/>
          <w:i/>
          <w:sz w:val="28"/>
          <w:szCs w:val="28"/>
        </w:rPr>
      </w:pPr>
      <w:r w:rsidRPr="001D0846">
        <w:rPr>
          <w:rFonts w:ascii="Times New Roman" w:hAnsi="Times New Roman" w:cs="Times New Roman"/>
          <w:sz w:val="28"/>
          <w:szCs w:val="28"/>
        </w:rPr>
        <w:t xml:space="preserve">Informația privind nivelul de realizare </w:t>
      </w:r>
      <w:r w:rsidR="00BE46F1" w:rsidRPr="001D0846">
        <w:rPr>
          <w:rFonts w:ascii="Times New Roman" w:hAnsi="Times New Roman" w:cs="Times New Roman"/>
          <w:sz w:val="28"/>
          <w:szCs w:val="28"/>
        </w:rPr>
        <w:t xml:space="preserve">de către SV </w:t>
      </w:r>
      <w:r w:rsidRPr="001D0846">
        <w:rPr>
          <w:rFonts w:ascii="Times New Roman" w:hAnsi="Times New Roman" w:cs="Times New Roman"/>
          <w:sz w:val="28"/>
          <w:szCs w:val="28"/>
        </w:rPr>
        <w:t xml:space="preserve">a indicatorilor de performanță </w:t>
      </w:r>
      <w:r w:rsidR="00BE46F1" w:rsidRPr="001D0846">
        <w:rPr>
          <w:rFonts w:ascii="Times New Roman" w:hAnsi="Times New Roman" w:cs="Times New Roman"/>
          <w:sz w:val="28"/>
          <w:szCs w:val="28"/>
        </w:rPr>
        <w:t xml:space="preserve">în activitatea de administrare vamală </w:t>
      </w:r>
      <w:r w:rsidR="006D6642">
        <w:rPr>
          <w:rFonts w:ascii="Times New Roman" w:hAnsi="Times New Roman" w:cs="Times New Roman"/>
          <w:i/>
          <w:sz w:val="28"/>
          <w:szCs w:val="28"/>
        </w:rPr>
        <w:t>este</w:t>
      </w:r>
      <w:r w:rsidRPr="001D0846">
        <w:rPr>
          <w:rFonts w:ascii="Times New Roman" w:hAnsi="Times New Roman" w:cs="Times New Roman"/>
          <w:i/>
          <w:sz w:val="28"/>
          <w:szCs w:val="28"/>
        </w:rPr>
        <w:t xml:space="preserve"> prez</w:t>
      </w:r>
      <w:r w:rsidR="006D6642">
        <w:rPr>
          <w:rFonts w:ascii="Times New Roman" w:hAnsi="Times New Roman" w:cs="Times New Roman"/>
          <w:i/>
          <w:sz w:val="28"/>
          <w:szCs w:val="28"/>
        </w:rPr>
        <w:t>enta</w:t>
      </w:r>
      <w:r w:rsidRPr="001D0846">
        <w:rPr>
          <w:rFonts w:ascii="Times New Roman" w:hAnsi="Times New Roman" w:cs="Times New Roman"/>
          <w:i/>
          <w:sz w:val="28"/>
          <w:szCs w:val="28"/>
        </w:rPr>
        <w:t xml:space="preserve">tă în Tabelul </w:t>
      </w:r>
      <w:r w:rsidR="00D1260C" w:rsidRPr="001D0846">
        <w:rPr>
          <w:rFonts w:ascii="Times New Roman" w:hAnsi="Times New Roman" w:cs="Times New Roman"/>
          <w:i/>
          <w:sz w:val="28"/>
          <w:szCs w:val="28"/>
        </w:rPr>
        <w:t>nr.</w:t>
      </w:r>
      <w:r w:rsidR="00BC4A84" w:rsidRPr="001D0846">
        <w:rPr>
          <w:rFonts w:ascii="Times New Roman" w:hAnsi="Times New Roman" w:cs="Times New Roman"/>
          <w:i/>
          <w:sz w:val="28"/>
          <w:szCs w:val="28"/>
        </w:rPr>
        <w:t>3 din Anexa nr.3</w:t>
      </w:r>
      <w:r w:rsidR="00D1260C" w:rsidRPr="001D0846">
        <w:rPr>
          <w:rFonts w:ascii="Times New Roman" w:hAnsi="Times New Roman" w:cs="Times New Roman"/>
          <w:i/>
          <w:sz w:val="28"/>
          <w:szCs w:val="28"/>
        </w:rPr>
        <w:t xml:space="preserve"> la Raport</w:t>
      </w:r>
      <w:r w:rsidR="006D6642">
        <w:rPr>
          <w:rFonts w:ascii="Times New Roman" w:hAnsi="Times New Roman" w:cs="Times New Roman"/>
          <w:i/>
          <w:sz w:val="28"/>
          <w:szCs w:val="28"/>
        </w:rPr>
        <w:t>ul</w:t>
      </w:r>
      <w:r w:rsidR="00D1260C" w:rsidRPr="001D0846">
        <w:rPr>
          <w:rFonts w:ascii="Times New Roman" w:hAnsi="Times New Roman" w:cs="Times New Roman"/>
          <w:i/>
          <w:sz w:val="28"/>
          <w:szCs w:val="28"/>
        </w:rPr>
        <w:t xml:space="preserve"> de audit</w:t>
      </w:r>
      <w:r w:rsidRPr="001D0846">
        <w:rPr>
          <w:rFonts w:ascii="Times New Roman" w:hAnsi="Times New Roman" w:cs="Times New Roman"/>
          <w:i/>
          <w:sz w:val="28"/>
          <w:szCs w:val="28"/>
        </w:rPr>
        <w:t>.</w:t>
      </w:r>
    </w:p>
    <w:p w:rsidR="00743411" w:rsidRDefault="00D1260C" w:rsidP="006358AD">
      <w:pPr>
        <w:pStyle w:val="ListParagraph"/>
        <w:tabs>
          <w:tab w:val="left" w:pos="0"/>
        </w:tabs>
        <w:spacing w:after="0" w:line="276" w:lineRule="auto"/>
        <w:ind w:left="0"/>
        <w:jc w:val="both"/>
        <w:rPr>
          <w:rFonts w:ascii="Times New Roman" w:hAnsi="Times New Roman" w:cs="Times New Roman"/>
          <w:sz w:val="28"/>
          <w:szCs w:val="28"/>
        </w:rPr>
      </w:pPr>
      <w:r w:rsidRPr="001D0846">
        <w:rPr>
          <w:rFonts w:ascii="Times New Roman" w:hAnsi="Times New Roman" w:cs="Times New Roman"/>
          <w:sz w:val="28"/>
          <w:szCs w:val="28"/>
        </w:rPr>
        <w:tab/>
        <w:t xml:space="preserve">În viziunea auditului, </w:t>
      </w:r>
      <w:r w:rsidR="00916C86" w:rsidRPr="00363558">
        <w:rPr>
          <w:rFonts w:ascii="Times New Roman" w:hAnsi="Times New Roman" w:cs="Times New Roman"/>
          <w:sz w:val="28"/>
          <w:szCs w:val="28"/>
        </w:rPr>
        <w:t>situațiile constatate</w:t>
      </w:r>
      <w:r w:rsidRPr="001D0846">
        <w:rPr>
          <w:rFonts w:ascii="Times New Roman" w:hAnsi="Times New Roman" w:cs="Times New Roman"/>
          <w:sz w:val="28"/>
          <w:szCs w:val="28"/>
        </w:rPr>
        <w:t>sunt o consecință a monitorizării insuficie</w:t>
      </w:r>
      <w:r w:rsidR="00B714E2" w:rsidRPr="001D0846">
        <w:rPr>
          <w:rFonts w:ascii="Times New Roman" w:hAnsi="Times New Roman" w:cs="Times New Roman"/>
          <w:sz w:val="28"/>
          <w:szCs w:val="28"/>
        </w:rPr>
        <w:t xml:space="preserve">nte asupra modului de elaborareși </w:t>
      </w:r>
      <w:r w:rsidR="00363558">
        <w:rPr>
          <w:rFonts w:ascii="Times New Roman" w:hAnsi="Times New Roman" w:cs="Times New Roman"/>
          <w:sz w:val="28"/>
          <w:szCs w:val="28"/>
        </w:rPr>
        <w:t>realizare</w:t>
      </w:r>
      <w:r w:rsidR="00B714E2" w:rsidRPr="001D0846">
        <w:rPr>
          <w:rFonts w:ascii="Times New Roman" w:hAnsi="Times New Roman" w:cs="Times New Roman"/>
          <w:sz w:val="28"/>
          <w:szCs w:val="28"/>
        </w:rPr>
        <w:t xml:space="preserve"> a indicatorilor de performanță</w:t>
      </w:r>
      <w:r w:rsidRPr="001D0846">
        <w:rPr>
          <w:rFonts w:ascii="Times New Roman" w:hAnsi="Times New Roman" w:cs="Times New Roman"/>
          <w:sz w:val="28"/>
          <w:szCs w:val="28"/>
        </w:rPr>
        <w:t xml:space="preserve"> atât de către managementul organelor fiscale și vamale</w:t>
      </w:r>
      <w:r w:rsidR="006D6642">
        <w:rPr>
          <w:rFonts w:ascii="Times New Roman" w:hAnsi="Times New Roman" w:cs="Times New Roman"/>
          <w:sz w:val="28"/>
          <w:szCs w:val="28"/>
        </w:rPr>
        <w:t>,</w:t>
      </w:r>
      <w:r w:rsidRPr="001D0846">
        <w:rPr>
          <w:rFonts w:ascii="Times New Roman" w:hAnsi="Times New Roman" w:cs="Times New Roman"/>
          <w:sz w:val="28"/>
          <w:szCs w:val="28"/>
        </w:rPr>
        <w:t xml:space="preserve"> cât și </w:t>
      </w:r>
      <w:r w:rsidR="006D6642">
        <w:rPr>
          <w:rFonts w:ascii="Times New Roman" w:hAnsi="Times New Roman" w:cs="Times New Roman"/>
          <w:sz w:val="28"/>
          <w:szCs w:val="28"/>
        </w:rPr>
        <w:t xml:space="preserve">de către </w:t>
      </w:r>
      <w:r w:rsidR="00456909">
        <w:rPr>
          <w:rFonts w:ascii="Times New Roman" w:hAnsi="Times New Roman" w:cs="Times New Roman"/>
          <w:sz w:val="28"/>
          <w:szCs w:val="28"/>
        </w:rPr>
        <w:t>administratorul bugetului de stat.</w:t>
      </w:r>
    </w:p>
    <w:p w:rsidR="006C5161" w:rsidRPr="00743411" w:rsidRDefault="00743411" w:rsidP="006358AD">
      <w:pPr>
        <w:pStyle w:val="ListParagraph"/>
        <w:tabs>
          <w:tab w:val="left" w:pos="0"/>
        </w:tabs>
        <w:spacing w:after="0" w:line="276" w:lineRule="auto"/>
        <w:ind w:left="0"/>
        <w:jc w:val="both"/>
        <w:rPr>
          <w:rFonts w:ascii="Times New Roman" w:hAnsi="Times New Roman" w:cs="Times New Roman"/>
          <w:sz w:val="28"/>
          <w:szCs w:val="28"/>
        </w:rPr>
      </w:pPr>
      <w:r>
        <w:rPr>
          <w:rFonts w:ascii="Times New Roman" w:hAnsi="Times New Roman" w:cs="Times New Roman"/>
          <w:sz w:val="28"/>
          <w:szCs w:val="28"/>
        </w:rPr>
        <w:tab/>
      </w:r>
      <w:r w:rsidR="006C5161" w:rsidRPr="001D0846">
        <w:rPr>
          <w:rFonts w:ascii="Times New Roman" w:hAnsi="Times New Roman" w:cs="Times New Roman"/>
          <w:sz w:val="28"/>
          <w:szCs w:val="28"/>
        </w:rPr>
        <w:t>Analiza efectuată de audit asupra activităţilor stabilite în planurile anuale</w:t>
      </w:r>
      <w:r w:rsidR="006D6642">
        <w:rPr>
          <w:rFonts w:ascii="Times New Roman" w:hAnsi="Times New Roman" w:cs="Times New Roman"/>
          <w:sz w:val="28"/>
          <w:szCs w:val="28"/>
        </w:rPr>
        <w:t xml:space="preserve">, </w:t>
      </w:r>
      <w:r w:rsidR="006C5161" w:rsidRPr="001D0846">
        <w:rPr>
          <w:rFonts w:ascii="Times New Roman" w:hAnsi="Times New Roman" w:cs="Times New Roman"/>
          <w:sz w:val="28"/>
          <w:szCs w:val="28"/>
        </w:rPr>
        <w:t xml:space="preserve"> comparativ cu cele stabilite în rapoartele privind </w:t>
      </w:r>
      <w:r w:rsidR="006C5161" w:rsidRPr="00141114">
        <w:rPr>
          <w:rFonts w:ascii="Times New Roman" w:hAnsi="Times New Roman" w:cs="Times New Roman"/>
          <w:sz w:val="28"/>
          <w:szCs w:val="28"/>
        </w:rPr>
        <w:t>performanța pe programe/subprograme</w:t>
      </w:r>
      <w:r>
        <w:rPr>
          <w:rFonts w:ascii="Times New Roman" w:hAnsi="Times New Roman" w:cs="Times New Roman"/>
          <w:sz w:val="28"/>
          <w:szCs w:val="28"/>
        </w:rPr>
        <w:t xml:space="preserve"> și</w:t>
      </w:r>
      <w:r w:rsidR="006D6642">
        <w:rPr>
          <w:rFonts w:ascii="Times New Roman" w:hAnsi="Times New Roman" w:cs="Times New Roman"/>
          <w:sz w:val="28"/>
          <w:szCs w:val="28"/>
        </w:rPr>
        <w:t xml:space="preserve">în </w:t>
      </w:r>
      <w:r w:rsidR="006C5161" w:rsidRPr="00141114">
        <w:rPr>
          <w:rFonts w:ascii="Times New Roman" w:hAnsi="Times New Roman" w:cs="Times New Roman"/>
          <w:sz w:val="28"/>
          <w:szCs w:val="28"/>
        </w:rPr>
        <w:t>rapoarte</w:t>
      </w:r>
      <w:r>
        <w:rPr>
          <w:rFonts w:ascii="Times New Roman" w:hAnsi="Times New Roman" w:cs="Times New Roman"/>
          <w:sz w:val="28"/>
          <w:szCs w:val="28"/>
        </w:rPr>
        <w:t xml:space="preserve">le subdiviziunilor teritoriale, </w:t>
      </w:r>
      <w:r w:rsidR="006C5161" w:rsidRPr="00141114">
        <w:rPr>
          <w:rFonts w:ascii="Times New Roman" w:hAnsi="Times New Roman" w:cs="Times New Roman"/>
          <w:sz w:val="28"/>
          <w:szCs w:val="28"/>
        </w:rPr>
        <w:t xml:space="preserve">denotă că </w:t>
      </w:r>
      <w:r w:rsidRPr="001D0846">
        <w:rPr>
          <w:rFonts w:ascii="Times New Roman" w:hAnsi="Times New Roman" w:cs="Times New Roman"/>
          <w:sz w:val="28"/>
          <w:szCs w:val="28"/>
        </w:rPr>
        <w:t>unii indicatori din planul de activitate diferă de cei incluși în raportul privind performanța pe programe/ subprograme</w:t>
      </w:r>
      <w:r w:rsidR="006D6642">
        <w:rPr>
          <w:rFonts w:ascii="Times New Roman" w:hAnsi="Times New Roman" w:cs="Times New Roman"/>
          <w:sz w:val="28"/>
          <w:szCs w:val="28"/>
        </w:rPr>
        <w:t>,</w:t>
      </w:r>
      <w:r w:rsidRPr="001D0846">
        <w:rPr>
          <w:rFonts w:ascii="Times New Roman" w:hAnsi="Times New Roman" w:cs="Times New Roman"/>
          <w:sz w:val="28"/>
          <w:szCs w:val="28"/>
        </w:rPr>
        <w:t xml:space="preserve"> prezentat anual MF</w:t>
      </w:r>
      <w:r>
        <w:rPr>
          <w:rFonts w:ascii="Times New Roman" w:hAnsi="Times New Roman" w:cs="Times New Roman"/>
          <w:sz w:val="28"/>
          <w:szCs w:val="28"/>
        </w:rPr>
        <w:t xml:space="preserve">, iar </w:t>
      </w:r>
      <w:r w:rsidR="006C5161" w:rsidRPr="00141114">
        <w:rPr>
          <w:rFonts w:ascii="Times New Roman" w:hAnsi="Times New Roman" w:cs="Times New Roman"/>
          <w:sz w:val="28"/>
          <w:szCs w:val="28"/>
        </w:rPr>
        <w:t>unele activităţidefinite în planurile anuale nu se regăsesc la nivelul subdiviziunilor teritoriale</w:t>
      </w:r>
      <w:r>
        <w:rPr>
          <w:rFonts w:ascii="Times New Roman" w:hAnsi="Times New Roman" w:cs="Times New Roman"/>
          <w:sz w:val="28"/>
          <w:szCs w:val="28"/>
        </w:rPr>
        <w:t>.</w:t>
      </w:r>
      <w:r w:rsidR="00902AB1" w:rsidRPr="001D0846">
        <w:rPr>
          <w:rFonts w:ascii="Times New Roman" w:hAnsi="Times New Roman" w:cs="Times New Roman"/>
          <w:sz w:val="28"/>
          <w:szCs w:val="28"/>
        </w:rPr>
        <w:t xml:space="preserve"> Situațiile menționate</w:t>
      </w:r>
      <w:r w:rsidR="006C5161" w:rsidRPr="001D0846">
        <w:rPr>
          <w:rFonts w:ascii="Times New Roman" w:hAnsi="Times New Roman" w:cs="Times New Roman"/>
          <w:sz w:val="28"/>
          <w:szCs w:val="28"/>
        </w:rPr>
        <w:t xml:space="preserve"> generează raportări diferite ale performanțelor în </w:t>
      </w:r>
      <w:r w:rsidR="006C5161" w:rsidRPr="001D0846">
        <w:rPr>
          <w:rFonts w:ascii="Times New Roman" w:hAnsi="Times New Roman" w:cs="Times New Roman"/>
          <w:sz w:val="28"/>
          <w:szCs w:val="28"/>
        </w:rPr>
        <w:lastRenderedPageBreak/>
        <w:t xml:space="preserve">baza acelorași indicatori stabiliți </w:t>
      </w:r>
      <w:r w:rsidR="00902AB1" w:rsidRPr="001D0846">
        <w:rPr>
          <w:rFonts w:ascii="Times New Roman" w:hAnsi="Times New Roman" w:cs="Times New Roman"/>
          <w:sz w:val="28"/>
          <w:szCs w:val="28"/>
        </w:rPr>
        <w:t>pentru</w:t>
      </w:r>
      <w:r w:rsidR="006C5161" w:rsidRPr="001D0846">
        <w:rPr>
          <w:rFonts w:ascii="Times New Roman" w:hAnsi="Times New Roman" w:cs="Times New Roman"/>
          <w:sz w:val="28"/>
          <w:szCs w:val="28"/>
        </w:rPr>
        <w:t xml:space="preserve"> administrarea impozitelor și taxelor. Astfel, se exemplifică indicatorul ,,Cota declarațiilor vamale perfectate electronic”</w:t>
      </w:r>
      <w:r w:rsidR="006D6642">
        <w:rPr>
          <w:rFonts w:ascii="Times New Roman" w:hAnsi="Times New Roman" w:cs="Times New Roman"/>
          <w:sz w:val="28"/>
          <w:szCs w:val="28"/>
        </w:rPr>
        <w:t>,</w:t>
      </w:r>
      <w:r w:rsidR="006C5161" w:rsidRPr="001D0846">
        <w:rPr>
          <w:rFonts w:ascii="Times New Roman" w:hAnsi="Times New Roman" w:cs="Times New Roman"/>
          <w:sz w:val="28"/>
          <w:szCs w:val="28"/>
        </w:rPr>
        <w:t xml:space="preserve"> care în Raportul de activitate al SV pentru anul 2016 constituia 20% (planificat), iar în Raportul privind performanț</w:t>
      </w:r>
      <w:r w:rsidR="00902AB1" w:rsidRPr="001D0846">
        <w:rPr>
          <w:rFonts w:ascii="Times New Roman" w:hAnsi="Times New Roman" w:cs="Times New Roman"/>
          <w:sz w:val="28"/>
          <w:szCs w:val="28"/>
        </w:rPr>
        <w:t>a pe programe/subprograme – 25</w:t>
      </w:r>
      <w:r w:rsidR="006C5161" w:rsidRPr="001D0846">
        <w:rPr>
          <w:rFonts w:ascii="Times New Roman" w:hAnsi="Times New Roman" w:cs="Times New Roman"/>
          <w:sz w:val="28"/>
          <w:szCs w:val="28"/>
        </w:rPr>
        <w:t>%. Analogic, indicatorul ,,Rezultativitatea efectuării controlului ulterior” în Raportul de activitate al SV pentru anul 2017 constituia 55%, pe c</w:t>
      </w:r>
      <w:r w:rsidR="006D6642">
        <w:rPr>
          <w:rFonts w:ascii="Times New Roman" w:hAnsi="Times New Roman" w:cs="Times New Roman"/>
          <w:sz w:val="28"/>
          <w:szCs w:val="28"/>
        </w:rPr>
        <w:t>â</w:t>
      </w:r>
      <w:r w:rsidR="006C5161" w:rsidRPr="001D0846">
        <w:rPr>
          <w:rFonts w:ascii="Times New Roman" w:hAnsi="Times New Roman" w:cs="Times New Roman"/>
          <w:sz w:val="28"/>
          <w:szCs w:val="28"/>
        </w:rPr>
        <w:t xml:space="preserve">nd în Raportul privind performanța pe programe/subprograme – 75 %. </w:t>
      </w:r>
    </w:p>
    <w:p w:rsidR="006C5161" w:rsidRPr="001D0846" w:rsidRDefault="006C5161" w:rsidP="006358AD">
      <w:pPr>
        <w:spacing w:after="0" w:line="276" w:lineRule="auto"/>
        <w:ind w:firstLine="709"/>
        <w:jc w:val="both"/>
        <w:rPr>
          <w:rFonts w:ascii="Times New Roman" w:hAnsi="Times New Roman" w:cs="Times New Roman"/>
          <w:sz w:val="28"/>
          <w:szCs w:val="28"/>
        </w:rPr>
      </w:pPr>
      <w:r w:rsidRPr="00743411">
        <w:rPr>
          <w:rFonts w:ascii="Times New Roman" w:hAnsi="Times New Roman" w:cs="Times New Roman"/>
          <w:sz w:val="28"/>
          <w:szCs w:val="28"/>
        </w:rPr>
        <w:t>De asemenea, în Raportul de activitate al SV pentru anul 2017 a fost inclus indicatorul ,,Sporirea randamentului acțiunilor de executare silită”, care nu se regăsește în Raportul privind performanța pe programe/subprograme, deși</w:t>
      </w:r>
      <w:r w:rsidR="006D6642">
        <w:rPr>
          <w:rFonts w:ascii="Times New Roman" w:hAnsi="Times New Roman" w:cs="Times New Roman"/>
          <w:sz w:val="28"/>
          <w:szCs w:val="28"/>
        </w:rPr>
        <w:t>,</w:t>
      </w:r>
      <w:r w:rsidRPr="00743411">
        <w:rPr>
          <w:rFonts w:ascii="Times New Roman" w:hAnsi="Times New Roman" w:cs="Times New Roman"/>
          <w:sz w:val="28"/>
          <w:szCs w:val="28"/>
        </w:rPr>
        <w:t xml:space="preserve"> în viziunea auditului</w:t>
      </w:r>
      <w:r w:rsidR="006D6642">
        <w:rPr>
          <w:rFonts w:ascii="Times New Roman" w:hAnsi="Times New Roman" w:cs="Times New Roman"/>
          <w:sz w:val="28"/>
          <w:szCs w:val="28"/>
        </w:rPr>
        <w:t>,</w:t>
      </w:r>
      <w:r w:rsidRPr="00743411">
        <w:rPr>
          <w:rFonts w:ascii="Times New Roman" w:hAnsi="Times New Roman" w:cs="Times New Roman"/>
          <w:sz w:val="28"/>
          <w:szCs w:val="28"/>
        </w:rPr>
        <w:t xml:space="preserve"> acesta reprezintă unul din</w:t>
      </w:r>
      <w:r w:rsidR="006D6642">
        <w:rPr>
          <w:rFonts w:ascii="Times New Roman" w:hAnsi="Times New Roman" w:cs="Times New Roman"/>
          <w:sz w:val="28"/>
          <w:szCs w:val="28"/>
        </w:rPr>
        <w:t>tre</w:t>
      </w:r>
      <w:r w:rsidRPr="00743411">
        <w:rPr>
          <w:rFonts w:ascii="Times New Roman" w:hAnsi="Times New Roman" w:cs="Times New Roman"/>
          <w:sz w:val="28"/>
          <w:szCs w:val="28"/>
        </w:rPr>
        <w:t xml:space="preserve"> cei mai importanți indicatori în administrarea restanțelor la plățile vamale.</w:t>
      </w:r>
    </w:p>
    <w:p w:rsidR="00596E0B" w:rsidRPr="001D0846" w:rsidRDefault="00E46F63" w:rsidP="00E46F63">
      <w:pPr>
        <w:spacing w:after="0" w:line="276" w:lineRule="auto"/>
        <w:ind w:firstLine="709"/>
        <w:jc w:val="both"/>
        <w:rPr>
          <w:rFonts w:ascii="Times New Roman" w:hAnsi="Times New Roman" w:cs="Times New Roman"/>
          <w:sz w:val="28"/>
          <w:szCs w:val="28"/>
        </w:rPr>
      </w:pPr>
      <w:r w:rsidRPr="001D0846">
        <w:rPr>
          <w:rFonts w:ascii="Times New Roman" w:hAnsi="Times New Roman" w:cs="Times New Roman"/>
          <w:sz w:val="28"/>
          <w:szCs w:val="28"/>
        </w:rPr>
        <w:t>Analiza modului de definire de către SV a obiectivelor strategice relevă că acestea nu în toate cazurile întrunesc în totalitate caracteristicile definitorii, astfel încât prinimplementarea lor să se asigure realizarea direcţiilor de acţiune ale entităţii. În unele cazuri</w:t>
      </w:r>
      <w:r w:rsidR="006D6642">
        <w:rPr>
          <w:rFonts w:ascii="Times New Roman" w:hAnsi="Times New Roman" w:cs="Times New Roman"/>
          <w:sz w:val="28"/>
          <w:szCs w:val="28"/>
        </w:rPr>
        <w:t>,</w:t>
      </w:r>
      <w:r w:rsidRPr="007E19F9">
        <w:rPr>
          <w:rFonts w:ascii="Times New Roman" w:hAnsi="Times New Roman" w:cs="Times New Roman"/>
          <w:sz w:val="28"/>
          <w:szCs w:val="28"/>
        </w:rPr>
        <w:t>indicatorii stabiliți nu sunt comesurabili/cuantificabili, activitățile prevăzute fiind mai mult de ordin general</w:t>
      </w:r>
      <w:r w:rsidR="006D6642" w:rsidRPr="007E19F9">
        <w:rPr>
          <w:rFonts w:ascii="Times New Roman" w:hAnsi="Times New Roman" w:cs="Times New Roman"/>
          <w:sz w:val="28"/>
          <w:szCs w:val="28"/>
        </w:rPr>
        <w:t>. A</w:t>
      </w:r>
      <w:r w:rsidRPr="007E19F9">
        <w:rPr>
          <w:rFonts w:ascii="Times New Roman" w:hAnsi="Times New Roman" w:cs="Times New Roman"/>
          <w:sz w:val="28"/>
          <w:szCs w:val="28"/>
        </w:rPr>
        <w:t>stfel, prin modul în care au fost definite unele activități, indicatori</w:t>
      </w:r>
      <w:r w:rsidR="006D6642" w:rsidRPr="007E19F9">
        <w:rPr>
          <w:rFonts w:ascii="Times New Roman" w:hAnsi="Times New Roman" w:cs="Times New Roman"/>
          <w:sz w:val="28"/>
          <w:szCs w:val="28"/>
        </w:rPr>
        <w:t>i</w:t>
      </w:r>
      <w:r w:rsidR="007E19F9" w:rsidRPr="007E19F9">
        <w:rPr>
          <w:rFonts w:ascii="Times New Roman" w:hAnsi="Times New Roman" w:cs="Times New Roman"/>
          <w:sz w:val="28"/>
          <w:szCs w:val="28"/>
        </w:rPr>
        <w:t>realizați</w:t>
      </w:r>
      <w:r w:rsidRPr="007E19F9">
        <w:rPr>
          <w:rFonts w:ascii="Times New Roman" w:hAnsi="Times New Roman" w:cs="Times New Roman"/>
          <w:sz w:val="28"/>
          <w:szCs w:val="28"/>
        </w:rPr>
        <w:t xml:space="preserve">nu permit evaluarea nivelului de </w:t>
      </w:r>
      <w:r w:rsidR="007E19F9" w:rsidRPr="007E19F9">
        <w:rPr>
          <w:rFonts w:ascii="Times New Roman" w:hAnsi="Times New Roman" w:cs="Times New Roman"/>
          <w:sz w:val="28"/>
          <w:szCs w:val="28"/>
        </w:rPr>
        <w:t>implementare</w:t>
      </w:r>
      <w:r w:rsidRPr="007E19F9">
        <w:rPr>
          <w:rFonts w:ascii="Times New Roman" w:hAnsi="Times New Roman" w:cs="Times New Roman"/>
          <w:sz w:val="28"/>
          <w:szCs w:val="28"/>
        </w:rPr>
        <w:t xml:space="preserve"> a obiectivului final. Totodată, în procesul de</w:t>
      </w:r>
      <w:r w:rsidRPr="001D0846">
        <w:rPr>
          <w:rFonts w:ascii="Times New Roman" w:hAnsi="Times New Roman" w:cs="Times New Roman"/>
          <w:sz w:val="28"/>
          <w:szCs w:val="28"/>
        </w:rPr>
        <w:t xml:space="preserve"> elaborare și realizare a obiectivelor strategice nu s-au luat în calcul resursele (costurile) și posibilitățile efective de realizare, fapt care a generat nerealizarea unor activități planificate, </w:t>
      </w:r>
      <w:r w:rsidR="008268DA" w:rsidRPr="001D0846">
        <w:rPr>
          <w:rFonts w:ascii="Times New Roman" w:hAnsi="Times New Roman" w:cs="Times New Roman"/>
          <w:sz w:val="28"/>
          <w:szCs w:val="28"/>
        </w:rPr>
        <w:t xml:space="preserve">astfel </w:t>
      </w:r>
      <w:r w:rsidRPr="001D0846">
        <w:rPr>
          <w:rFonts w:ascii="Times New Roman" w:hAnsi="Times New Roman" w:cs="Times New Roman"/>
          <w:sz w:val="28"/>
          <w:szCs w:val="28"/>
        </w:rPr>
        <w:t>nefiind atinse unele performanțe instituționale.</w:t>
      </w:r>
    </w:p>
    <w:p w:rsidR="006A0D87" w:rsidRPr="001D0846" w:rsidRDefault="00E46F63" w:rsidP="00743411">
      <w:pPr>
        <w:spacing w:after="0" w:line="276" w:lineRule="auto"/>
        <w:ind w:firstLine="709"/>
        <w:jc w:val="both"/>
        <w:rPr>
          <w:rFonts w:ascii="Times New Roman" w:hAnsi="Times New Roman"/>
          <w:sz w:val="28"/>
          <w:szCs w:val="28"/>
        </w:rPr>
      </w:pPr>
      <w:r w:rsidRPr="001D0846">
        <w:rPr>
          <w:rFonts w:ascii="Times New Roman" w:hAnsi="Times New Roman" w:cs="Times New Roman"/>
          <w:sz w:val="28"/>
          <w:szCs w:val="28"/>
        </w:rPr>
        <w:t>Potrivit explicațiilor persoanelor responsabile din cadrul SV,</w:t>
      </w:r>
      <w:r w:rsidR="00446ECA" w:rsidRPr="001D0846">
        <w:rPr>
          <w:rFonts w:ascii="Times New Roman" w:hAnsi="Times New Roman"/>
          <w:sz w:val="28"/>
          <w:szCs w:val="28"/>
        </w:rPr>
        <w:t xml:space="preserve"> obiectivele strategice au fost elaborate conform practicilor comunitare, acestea fiind dezvoltate prin obiectivele generale care au fost propuse spre realizare prin acțiuni în Planurile</w:t>
      </w:r>
      <w:r w:rsidR="006522E0">
        <w:rPr>
          <w:rFonts w:ascii="Times New Roman" w:hAnsi="Times New Roman"/>
          <w:sz w:val="28"/>
          <w:szCs w:val="28"/>
        </w:rPr>
        <w:t xml:space="preserve"> anuale de activitate ale SV. </w:t>
      </w:r>
      <w:r w:rsidR="00446ECA" w:rsidRPr="007E19F9">
        <w:rPr>
          <w:rFonts w:ascii="Times New Roman" w:hAnsi="Times New Roman"/>
          <w:sz w:val="28"/>
          <w:szCs w:val="28"/>
        </w:rPr>
        <w:t>C</w:t>
      </w:r>
      <w:r w:rsidR="00596E0B" w:rsidRPr="007E19F9">
        <w:rPr>
          <w:rFonts w:ascii="Times New Roman" w:hAnsi="Times New Roman"/>
          <w:sz w:val="28"/>
          <w:szCs w:val="28"/>
        </w:rPr>
        <w:t xml:space="preserve">auza </w:t>
      </w:r>
      <w:r w:rsidR="008268DA" w:rsidRPr="007E19F9">
        <w:rPr>
          <w:rFonts w:ascii="Times New Roman" w:hAnsi="Times New Roman"/>
          <w:sz w:val="28"/>
          <w:szCs w:val="28"/>
        </w:rPr>
        <w:t xml:space="preserve">stabilirii </w:t>
      </w:r>
      <w:r w:rsidR="00596E0B" w:rsidRPr="007E19F9">
        <w:rPr>
          <w:rFonts w:ascii="Times New Roman" w:hAnsi="Times New Roman"/>
          <w:sz w:val="28"/>
          <w:szCs w:val="28"/>
        </w:rPr>
        <w:t>indicatorilor car</w:t>
      </w:r>
      <w:r w:rsidR="00596E0B" w:rsidRPr="001D0846">
        <w:rPr>
          <w:rFonts w:ascii="Times New Roman" w:hAnsi="Times New Roman"/>
          <w:sz w:val="28"/>
          <w:szCs w:val="28"/>
        </w:rPr>
        <w:t>e nu sunt come</w:t>
      </w:r>
      <w:r w:rsidR="00C9412C">
        <w:rPr>
          <w:rFonts w:ascii="Times New Roman" w:hAnsi="Times New Roman"/>
          <w:sz w:val="28"/>
          <w:szCs w:val="28"/>
        </w:rPr>
        <w:t>n</w:t>
      </w:r>
      <w:r w:rsidR="00596E0B" w:rsidRPr="001D0846">
        <w:rPr>
          <w:rFonts w:ascii="Times New Roman" w:hAnsi="Times New Roman"/>
          <w:sz w:val="28"/>
          <w:szCs w:val="28"/>
        </w:rPr>
        <w:t>surabili/cuantificabili parvine prin prisma diverselor documente de politici la care SV este parte. Documente</w:t>
      </w:r>
      <w:r w:rsidR="008268DA">
        <w:rPr>
          <w:rFonts w:ascii="Times New Roman" w:hAnsi="Times New Roman"/>
          <w:sz w:val="28"/>
          <w:szCs w:val="28"/>
        </w:rPr>
        <w:t>le</w:t>
      </w:r>
      <w:r w:rsidR="00596E0B" w:rsidRPr="001D0846">
        <w:rPr>
          <w:rFonts w:ascii="Times New Roman" w:hAnsi="Times New Roman"/>
          <w:sz w:val="28"/>
          <w:szCs w:val="28"/>
        </w:rPr>
        <w:t xml:space="preserve"> de politici au fost a</w:t>
      </w:r>
      <w:r w:rsidR="00446ECA" w:rsidRPr="001D0846">
        <w:rPr>
          <w:rFonts w:ascii="Times New Roman" w:hAnsi="Times New Roman"/>
          <w:sz w:val="28"/>
          <w:szCs w:val="28"/>
        </w:rPr>
        <w:t>probate în perioade diferite</w:t>
      </w:r>
      <w:r w:rsidR="008268DA">
        <w:rPr>
          <w:rFonts w:ascii="Times New Roman" w:hAnsi="Times New Roman"/>
          <w:sz w:val="28"/>
          <w:szCs w:val="28"/>
        </w:rPr>
        <w:t xml:space="preserve">, </w:t>
      </w:r>
      <w:r w:rsidR="00446ECA" w:rsidRPr="001D0846">
        <w:rPr>
          <w:rFonts w:ascii="Times New Roman" w:hAnsi="Times New Roman"/>
          <w:sz w:val="28"/>
          <w:szCs w:val="28"/>
        </w:rPr>
        <w:t xml:space="preserve"> av</w:t>
      </w:r>
      <w:r w:rsidR="008268DA">
        <w:rPr>
          <w:rFonts w:ascii="Times New Roman" w:hAnsi="Times New Roman"/>
          <w:sz w:val="28"/>
          <w:szCs w:val="28"/>
        </w:rPr>
        <w:t>â</w:t>
      </w:r>
      <w:r w:rsidR="00446ECA" w:rsidRPr="001D0846">
        <w:rPr>
          <w:rFonts w:ascii="Times New Roman" w:hAnsi="Times New Roman"/>
          <w:sz w:val="28"/>
          <w:szCs w:val="28"/>
        </w:rPr>
        <w:t>nd formulate aceleaș</w:t>
      </w:r>
      <w:r w:rsidR="00596E0B" w:rsidRPr="001D0846">
        <w:rPr>
          <w:rFonts w:ascii="Times New Roman" w:hAnsi="Times New Roman"/>
          <w:sz w:val="28"/>
          <w:szCs w:val="28"/>
        </w:rPr>
        <w:t>i acțiuni, dar cu indicatori</w:t>
      </w:r>
      <w:r w:rsidR="00743411">
        <w:rPr>
          <w:rFonts w:ascii="Times New Roman" w:hAnsi="Times New Roman"/>
          <w:sz w:val="28"/>
          <w:szCs w:val="28"/>
        </w:rPr>
        <w:t xml:space="preserve"> diferiț</w:t>
      </w:r>
      <w:r w:rsidR="00446ECA" w:rsidRPr="001D0846">
        <w:rPr>
          <w:rFonts w:ascii="Times New Roman" w:hAnsi="Times New Roman"/>
          <w:sz w:val="28"/>
          <w:szCs w:val="28"/>
        </w:rPr>
        <w:t>i prestabiliț</w:t>
      </w:r>
      <w:r w:rsidR="00596E0B" w:rsidRPr="001D0846">
        <w:rPr>
          <w:rFonts w:ascii="Times New Roman" w:hAnsi="Times New Roman"/>
          <w:sz w:val="28"/>
          <w:szCs w:val="28"/>
        </w:rPr>
        <w:t>i.</w:t>
      </w:r>
      <w:r w:rsidR="00743411">
        <w:rPr>
          <w:rFonts w:ascii="Times New Roman" w:hAnsi="Times New Roman"/>
          <w:sz w:val="28"/>
          <w:szCs w:val="28"/>
        </w:rPr>
        <w:t xml:space="preserve"> Totodată, în cadrul p</w:t>
      </w:r>
      <w:r w:rsidR="006A0D87" w:rsidRPr="001D0846">
        <w:rPr>
          <w:rFonts w:ascii="Times New Roman" w:hAnsi="Times New Roman"/>
          <w:sz w:val="28"/>
          <w:szCs w:val="28"/>
        </w:rPr>
        <w:t xml:space="preserve">lanurilor de acțiuni anuale ale SV, la rubrica </w:t>
      </w:r>
      <w:r w:rsidR="00743411">
        <w:rPr>
          <w:rFonts w:ascii="Times New Roman" w:hAnsi="Times New Roman"/>
          <w:sz w:val="28"/>
          <w:szCs w:val="28"/>
        </w:rPr>
        <w:t>costuri</w:t>
      </w:r>
      <w:r w:rsidR="005A5243">
        <w:rPr>
          <w:rFonts w:ascii="Times New Roman" w:hAnsi="Times New Roman"/>
          <w:sz w:val="28"/>
          <w:szCs w:val="28"/>
        </w:rPr>
        <w:t>,</w:t>
      </w:r>
      <w:r w:rsidR="00743411">
        <w:rPr>
          <w:rFonts w:ascii="Times New Roman" w:hAnsi="Times New Roman"/>
          <w:sz w:val="28"/>
          <w:szCs w:val="28"/>
        </w:rPr>
        <w:t xml:space="preserve"> au fost trecute </w:t>
      </w:r>
      <w:r w:rsidR="00743411" w:rsidRPr="007E19F9">
        <w:rPr>
          <w:rFonts w:ascii="Times New Roman" w:hAnsi="Times New Roman"/>
          <w:sz w:val="28"/>
          <w:szCs w:val="28"/>
        </w:rPr>
        <w:t>informaț</w:t>
      </w:r>
      <w:r w:rsidR="006A0D87" w:rsidRPr="007E19F9">
        <w:rPr>
          <w:rFonts w:ascii="Times New Roman" w:hAnsi="Times New Roman"/>
          <w:sz w:val="28"/>
          <w:szCs w:val="28"/>
        </w:rPr>
        <w:t>ii,</w:t>
      </w:r>
      <w:r w:rsidR="00312282" w:rsidRPr="007E19F9">
        <w:rPr>
          <w:rFonts w:ascii="Times New Roman" w:hAnsi="Times New Roman"/>
          <w:sz w:val="28"/>
          <w:szCs w:val="28"/>
        </w:rPr>
        <w:t xml:space="preserve"> în</w:t>
      </w:r>
      <w:r w:rsidR="006A0D87" w:rsidRPr="007E19F9">
        <w:rPr>
          <w:rFonts w:ascii="Times New Roman" w:hAnsi="Times New Roman"/>
          <w:sz w:val="28"/>
          <w:szCs w:val="28"/>
        </w:rPr>
        <w:t xml:space="preserve"> cazuri </w:t>
      </w:r>
      <w:r w:rsidR="007E19F9">
        <w:rPr>
          <w:rFonts w:ascii="Times New Roman" w:hAnsi="Times New Roman"/>
          <w:sz w:val="28"/>
          <w:szCs w:val="28"/>
        </w:rPr>
        <w:t>în care</w:t>
      </w:r>
      <w:r w:rsidR="006A0D87" w:rsidRPr="007E19F9">
        <w:rPr>
          <w:rFonts w:ascii="Times New Roman" w:hAnsi="Times New Roman"/>
          <w:sz w:val="28"/>
          <w:szCs w:val="28"/>
        </w:rPr>
        <w:t xml:space="preserve"> se cunoștea bugetul proiectului de asi</w:t>
      </w:r>
      <w:r w:rsidR="00312282" w:rsidRPr="007E19F9">
        <w:rPr>
          <w:rFonts w:ascii="Times New Roman" w:hAnsi="Times New Roman"/>
          <w:sz w:val="28"/>
          <w:szCs w:val="28"/>
        </w:rPr>
        <w:t>s</w:t>
      </w:r>
      <w:r w:rsidR="006A0D87" w:rsidRPr="007E19F9">
        <w:rPr>
          <w:rFonts w:ascii="Times New Roman" w:hAnsi="Times New Roman"/>
          <w:sz w:val="28"/>
          <w:szCs w:val="28"/>
        </w:rPr>
        <w:t xml:space="preserve">tență. </w:t>
      </w:r>
      <w:r w:rsidR="0056768B" w:rsidRPr="007E19F9">
        <w:rPr>
          <w:rFonts w:ascii="Times New Roman" w:hAnsi="Times New Roman"/>
          <w:sz w:val="28"/>
          <w:szCs w:val="28"/>
        </w:rPr>
        <w:t>Deasemenea</w:t>
      </w:r>
      <w:r w:rsidR="008268DA" w:rsidRPr="007E19F9">
        <w:rPr>
          <w:rFonts w:ascii="Times New Roman" w:hAnsi="Times New Roman"/>
          <w:sz w:val="28"/>
          <w:szCs w:val="28"/>
        </w:rPr>
        <w:t>,</w:t>
      </w:r>
      <w:r w:rsidR="0056768B" w:rsidRPr="007E19F9">
        <w:rPr>
          <w:rFonts w:ascii="Times New Roman" w:hAnsi="Times New Roman"/>
          <w:sz w:val="28"/>
          <w:szCs w:val="28"/>
        </w:rPr>
        <w:t xml:space="preserve"> SV menționează</w:t>
      </w:r>
      <w:r w:rsidR="0056768B" w:rsidRPr="001D0846">
        <w:rPr>
          <w:rFonts w:ascii="Times New Roman" w:hAnsi="Times New Roman"/>
          <w:sz w:val="28"/>
          <w:szCs w:val="28"/>
        </w:rPr>
        <w:t xml:space="preserve"> despre</w:t>
      </w:r>
      <w:r w:rsidR="006A0D87" w:rsidRPr="001D0846">
        <w:rPr>
          <w:rFonts w:ascii="Times New Roman" w:hAnsi="Times New Roman"/>
          <w:sz w:val="28"/>
          <w:szCs w:val="28"/>
        </w:rPr>
        <w:t xml:space="preserve"> dificultatea estimării unor costuri c</w:t>
      </w:r>
      <w:r w:rsidR="008268DA">
        <w:rPr>
          <w:rFonts w:ascii="Times New Roman" w:hAnsi="Times New Roman"/>
          <w:sz w:val="28"/>
          <w:szCs w:val="28"/>
        </w:rPr>
        <w:t>â</w:t>
      </w:r>
      <w:r w:rsidR="006A0D87" w:rsidRPr="001D0846">
        <w:rPr>
          <w:rFonts w:ascii="Times New Roman" w:hAnsi="Times New Roman"/>
          <w:sz w:val="28"/>
          <w:szCs w:val="28"/>
        </w:rPr>
        <w:t>nd obiec</w:t>
      </w:r>
      <w:r w:rsidR="0056768B" w:rsidRPr="001D0846">
        <w:rPr>
          <w:rFonts w:ascii="Times New Roman" w:hAnsi="Times New Roman"/>
          <w:sz w:val="28"/>
          <w:szCs w:val="28"/>
        </w:rPr>
        <w:t>tivele generale sunt</w:t>
      </w:r>
      <w:r w:rsidR="008268DA">
        <w:rPr>
          <w:rFonts w:ascii="Times New Roman" w:hAnsi="Times New Roman"/>
          <w:sz w:val="28"/>
          <w:szCs w:val="28"/>
        </w:rPr>
        <w:t>:</w:t>
      </w:r>
      <w:r w:rsidR="0056768B" w:rsidRPr="001D0846">
        <w:rPr>
          <w:rFonts w:ascii="Times New Roman" w:hAnsi="Times New Roman"/>
          <w:sz w:val="28"/>
          <w:szCs w:val="28"/>
        </w:rPr>
        <w:t xml:space="preserve"> facilitare</w:t>
      </w:r>
      <w:r w:rsidR="00A30F86" w:rsidRPr="001D0846">
        <w:rPr>
          <w:rFonts w:ascii="Times New Roman" w:hAnsi="Times New Roman"/>
          <w:sz w:val="28"/>
          <w:szCs w:val="28"/>
        </w:rPr>
        <w:t>a</w:t>
      </w:r>
      <w:r w:rsidR="0056768B" w:rsidRPr="001D0846">
        <w:rPr>
          <w:rFonts w:ascii="Times New Roman" w:hAnsi="Times New Roman"/>
          <w:sz w:val="28"/>
          <w:szCs w:val="28"/>
        </w:rPr>
        <w:t xml:space="preserve"> comerțului internaț</w:t>
      </w:r>
      <w:r w:rsidR="006A0D87" w:rsidRPr="001D0846">
        <w:rPr>
          <w:rFonts w:ascii="Times New Roman" w:hAnsi="Times New Roman"/>
          <w:sz w:val="28"/>
          <w:szCs w:val="28"/>
        </w:rPr>
        <w:t>ional, simplificarea proceduri</w:t>
      </w:r>
      <w:r w:rsidR="0056768B" w:rsidRPr="001D0846">
        <w:rPr>
          <w:rFonts w:ascii="Times New Roman" w:hAnsi="Times New Roman"/>
          <w:sz w:val="28"/>
          <w:szCs w:val="28"/>
        </w:rPr>
        <w:t>lor vamale, conformarea benevolă</w:t>
      </w:r>
      <w:r w:rsidR="006A0D87" w:rsidRPr="001D0846">
        <w:rPr>
          <w:rFonts w:ascii="Times New Roman" w:hAnsi="Times New Roman"/>
          <w:sz w:val="28"/>
          <w:szCs w:val="28"/>
        </w:rPr>
        <w:t xml:space="preserve"> a </w:t>
      </w:r>
      <w:r w:rsidR="00312282" w:rsidRPr="001D0846">
        <w:rPr>
          <w:rFonts w:ascii="Times New Roman" w:hAnsi="Times New Roman"/>
          <w:sz w:val="28"/>
          <w:szCs w:val="28"/>
        </w:rPr>
        <w:t>contribuabililor la norma legală</w:t>
      </w:r>
      <w:r w:rsidR="006A0D87" w:rsidRPr="001D0846">
        <w:rPr>
          <w:rFonts w:ascii="Times New Roman" w:hAnsi="Times New Roman"/>
          <w:sz w:val="28"/>
          <w:szCs w:val="28"/>
        </w:rPr>
        <w:t>.</w:t>
      </w:r>
    </w:p>
    <w:p w:rsidR="00743411" w:rsidRDefault="00743411" w:rsidP="00743411">
      <w:pPr>
        <w:pStyle w:val="Heading1"/>
        <w:spacing w:before="0" w:line="276" w:lineRule="auto"/>
        <w:rPr>
          <w:rFonts w:ascii="Times New Roman" w:hAnsi="Times New Roman" w:cs="Times New Roman"/>
          <w:b/>
          <w:color w:val="auto"/>
          <w:sz w:val="28"/>
          <w:szCs w:val="28"/>
        </w:rPr>
      </w:pPr>
    </w:p>
    <w:p w:rsidR="007E56FE" w:rsidRPr="00C77119" w:rsidRDefault="001434B0" w:rsidP="003C4B9E">
      <w:pPr>
        <w:pStyle w:val="Heading1"/>
        <w:spacing w:before="0" w:line="276" w:lineRule="auto"/>
        <w:rPr>
          <w:rFonts w:ascii="Times New Roman" w:hAnsi="Times New Roman" w:cs="Times New Roman"/>
          <w:b/>
          <w:color w:val="auto"/>
          <w:sz w:val="28"/>
          <w:szCs w:val="28"/>
        </w:rPr>
      </w:pPr>
      <w:bookmarkStart w:id="10" w:name="_Toc515894888"/>
      <w:r w:rsidRPr="00C9412C">
        <w:rPr>
          <w:rFonts w:ascii="Times New Roman" w:hAnsi="Times New Roman" w:cs="Times New Roman"/>
          <w:b/>
          <w:color w:val="auto"/>
          <w:sz w:val="28"/>
          <w:szCs w:val="28"/>
        </w:rPr>
        <w:t>3</w:t>
      </w:r>
      <w:r w:rsidR="00C947DA" w:rsidRPr="00C9412C">
        <w:rPr>
          <w:rFonts w:ascii="Times New Roman" w:hAnsi="Times New Roman" w:cs="Times New Roman"/>
          <w:b/>
          <w:color w:val="auto"/>
          <w:sz w:val="28"/>
          <w:szCs w:val="28"/>
        </w:rPr>
        <w:t>.2</w:t>
      </w:r>
      <w:r w:rsidR="00BE46F1" w:rsidRPr="00C9412C">
        <w:rPr>
          <w:rFonts w:ascii="Times New Roman" w:hAnsi="Times New Roman" w:cs="Times New Roman"/>
          <w:b/>
          <w:color w:val="auto"/>
          <w:sz w:val="28"/>
          <w:szCs w:val="28"/>
        </w:rPr>
        <w:t xml:space="preserve">. </w:t>
      </w:r>
      <w:r w:rsidR="00C77119" w:rsidRPr="00C9412C">
        <w:rPr>
          <w:rFonts w:ascii="Times New Roman" w:hAnsi="Times New Roman" w:cs="Times New Roman"/>
          <w:b/>
          <w:color w:val="auto"/>
          <w:sz w:val="28"/>
          <w:szCs w:val="28"/>
        </w:rPr>
        <w:t>Procesul</w:t>
      </w:r>
      <w:r w:rsidR="00C77119" w:rsidRPr="00C77119">
        <w:rPr>
          <w:rFonts w:ascii="Times New Roman" w:hAnsi="Times New Roman" w:cs="Times New Roman"/>
          <w:b/>
          <w:color w:val="auto"/>
          <w:sz w:val="28"/>
          <w:szCs w:val="28"/>
        </w:rPr>
        <w:t xml:space="preserve"> de e</w:t>
      </w:r>
      <w:r w:rsidR="000128B3" w:rsidRPr="00C77119">
        <w:rPr>
          <w:rFonts w:ascii="Times New Roman" w:hAnsi="Times New Roman" w:cs="Times New Roman"/>
          <w:b/>
          <w:color w:val="auto"/>
          <w:sz w:val="28"/>
          <w:szCs w:val="28"/>
        </w:rPr>
        <w:t>stim</w:t>
      </w:r>
      <w:r w:rsidR="00F7227C" w:rsidRPr="00C77119">
        <w:rPr>
          <w:rFonts w:ascii="Times New Roman" w:hAnsi="Times New Roman" w:cs="Times New Roman"/>
          <w:b/>
          <w:color w:val="auto"/>
          <w:sz w:val="28"/>
          <w:szCs w:val="28"/>
        </w:rPr>
        <w:t>are/prognozarea</w:t>
      </w:r>
      <w:r w:rsidR="00B319DD" w:rsidRPr="00C77119">
        <w:rPr>
          <w:rFonts w:ascii="Times New Roman" w:hAnsi="Times New Roman" w:cs="Times New Roman"/>
          <w:b/>
          <w:color w:val="auto"/>
          <w:sz w:val="28"/>
          <w:szCs w:val="28"/>
        </w:rPr>
        <w:t xml:space="preserve"> venituri</w:t>
      </w:r>
      <w:r w:rsidR="00F7227C" w:rsidRPr="00C77119">
        <w:rPr>
          <w:rFonts w:ascii="Times New Roman" w:hAnsi="Times New Roman" w:cs="Times New Roman"/>
          <w:b/>
          <w:color w:val="auto"/>
          <w:sz w:val="28"/>
          <w:szCs w:val="28"/>
        </w:rPr>
        <w:t>lor</w:t>
      </w:r>
      <w:r w:rsidR="00B319DD" w:rsidRPr="00C77119">
        <w:rPr>
          <w:rFonts w:ascii="Times New Roman" w:hAnsi="Times New Roman" w:cs="Times New Roman"/>
          <w:b/>
          <w:color w:val="auto"/>
          <w:sz w:val="28"/>
          <w:szCs w:val="28"/>
        </w:rPr>
        <w:t xml:space="preserve"> fiscale și vamale</w:t>
      </w:r>
      <w:r w:rsidR="00F7227C" w:rsidRPr="00C77119">
        <w:rPr>
          <w:rFonts w:ascii="Times New Roman" w:hAnsi="Times New Roman" w:cs="Times New Roman"/>
          <w:b/>
          <w:color w:val="auto"/>
          <w:sz w:val="28"/>
          <w:szCs w:val="28"/>
        </w:rPr>
        <w:t>.</w:t>
      </w:r>
      <w:bookmarkEnd w:id="10"/>
    </w:p>
    <w:p w:rsidR="00BE46F1" w:rsidRPr="006522E0" w:rsidRDefault="00BE46F1" w:rsidP="006522E0">
      <w:pPr>
        <w:spacing w:after="0" w:line="276" w:lineRule="auto"/>
        <w:ind w:firstLine="720"/>
        <w:jc w:val="both"/>
        <w:rPr>
          <w:rFonts w:ascii="Times New Roman" w:hAnsi="Times New Roman" w:cs="Times New Roman"/>
          <w:i/>
          <w:sz w:val="28"/>
          <w:szCs w:val="28"/>
        </w:rPr>
      </w:pPr>
      <w:r w:rsidRPr="001D0846">
        <w:rPr>
          <w:rFonts w:ascii="Times New Roman" w:hAnsi="Times New Roman" w:cs="Times New Roman"/>
          <w:i/>
          <w:sz w:val="28"/>
          <w:szCs w:val="28"/>
        </w:rPr>
        <w:t>Potrivit funcțiilor și atribuțiilor în domeniul administrării impozitelor și taxelor, organele fiscale și vamale</w:t>
      </w:r>
      <w:r w:rsidRPr="001D0846">
        <w:rPr>
          <w:rFonts w:ascii="Times New Roman" w:hAnsi="Times New Roman" w:cs="Times New Roman"/>
          <w:i/>
          <w:color w:val="000000"/>
          <w:sz w:val="28"/>
          <w:szCs w:val="28"/>
        </w:rPr>
        <w:t xml:space="preserve">participă la elaborarea Cadrului bugetar pe </w:t>
      </w:r>
      <w:r w:rsidRPr="001D0846">
        <w:rPr>
          <w:rFonts w:ascii="Times New Roman" w:hAnsi="Times New Roman" w:cs="Times New Roman"/>
          <w:i/>
          <w:color w:val="000000"/>
          <w:sz w:val="28"/>
          <w:szCs w:val="28"/>
        </w:rPr>
        <w:lastRenderedPageBreak/>
        <w:t>termen mediu şi a proiectelor legilor bugetare anuale</w:t>
      </w:r>
      <w:r w:rsidR="004E6717">
        <w:rPr>
          <w:rFonts w:ascii="Times New Roman" w:hAnsi="Times New Roman" w:cs="Times New Roman"/>
          <w:i/>
          <w:color w:val="000000"/>
          <w:sz w:val="28"/>
          <w:szCs w:val="28"/>
        </w:rPr>
        <w:t>,</w:t>
      </w:r>
      <w:r w:rsidRPr="001D0846">
        <w:rPr>
          <w:rFonts w:ascii="Times New Roman" w:hAnsi="Times New Roman" w:cs="Times New Roman"/>
          <w:i/>
          <w:color w:val="000000"/>
          <w:sz w:val="28"/>
          <w:szCs w:val="28"/>
        </w:rPr>
        <w:t xml:space="preserve"> prin prezentarea propunerilor la obiectivele politicii de administrare fiscală şi a estimărilor pe termen mediu privind veniturile administrate.</w:t>
      </w:r>
      <w:r w:rsidRPr="001D0846">
        <w:rPr>
          <w:rFonts w:ascii="Times New Roman" w:hAnsi="Times New Roman" w:cs="Times New Roman"/>
          <w:i/>
          <w:spacing w:val="3"/>
          <w:sz w:val="28"/>
          <w:szCs w:val="28"/>
        </w:rPr>
        <w:t xml:space="preserve"> Având în vedere importanța esențială a prognozelor de venituri la elaborarea planului de încasări a</w:t>
      </w:r>
      <w:r w:rsidR="004E6717">
        <w:rPr>
          <w:rFonts w:ascii="Times New Roman" w:hAnsi="Times New Roman" w:cs="Times New Roman"/>
          <w:i/>
          <w:spacing w:val="3"/>
          <w:sz w:val="28"/>
          <w:szCs w:val="28"/>
        </w:rPr>
        <w:t>le</w:t>
      </w:r>
      <w:r w:rsidRPr="001D0846">
        <w:rPr>
          <w:rFonts w:ascii="Times New Roman" w:hAnsi="Times New Roman" w:cs="Times New Roman"/>
          <w:i/>
          <w:spacing w:val="3"/>
          <w:sz w:val="28"/>
          <w:szCs w:val="28"/>
        </w:rPr>
        <w:t xml:space="preserve"> impozitelor și taxelor care sunt destinate implementării priorităților de politici economice și sociale ale statului,</w:t>
      </w:r>
      <w:r w:rsidR="006522E0">
        <w:rPr>
          <w:rFonts w:ascii="Times New Roman" w:hAnsi="Times New Roman" w:cs="Times New Roman"/>
          <w:i/>
          <w:spacing w:val="3"/>
          <w:sz w:val="28"/>
          <w:szCs w:val="28"/>
        </w:rPr>
        <w:t xml:space="preserve"> administratorii de venituri și administratorul </w:t>
      </w:r>
      <w:r w:rsidR="00456909">
        <w:rPr>
          <w:rFonts w:ascii="Times New Roman" w:hAnsi="Times New Roman" w:cs="Times New Roman"/>
          <w:i/>
          <w:spacing w:val="3"/>
          <w:sz w:val="28"/>
          <w:szCs w:val="28"/>
        </w:rPr>
        <w:t>bugetului de stat</w:t>
      </w:r>
      <w:r w:rsidRPr="001D0846">
        <w:rPr>
          <w:rFonts w:ascii="Times New Roman" w:hAnsi="Times New Roman" w:cs="Times New Roman"/>
          <w:i/>
          <w:spacing w:val="3"/>
          <w:sz w:val="28"/>
          <w:szCs w:val="28"/>
        </w:rPr>
        <w:t xml:space="preserve"> urmau să asigure elaborarea unor estimări exacte și fiabile</w:t>
      </w:r>
      <w:r w:rsidR="004E6717">
        <w:rPr>
          <w:rFonts w:ascii="Times New Roman" w:hAnsi="Times New Roman" w:cs="Times New Roman"/>
          <w:i/>
          <w:spacing w:val="3"/>
          <w:sz w:val="28"/>
          <w:szCs w:val="28"/>
        </w:rPr>
        <w:t>,</w:t>
      </w:r>
      <w:r w:rsidRPr="001D0846">
        <w:rPr>
          <w:rFonts w:ascii="Times New Roman" w:hAnsi="Times New Roman" w:cs="Times New Roman"/>
          <w:i/>
          <w:spacing w:val="3"/>
          <w:sz w:val="28"/>
          <w:szCs w:val="28"/>
        </w:rPr>
        <w:t xml:space="preserve"> care să ofere o bază rezonabilă pentru fundamentarea veniturilor bugetare. Analiza efectuată de audit relevă că </w:t>
      </w:r>
      <w:r w:rsidRPr="001D0846">
        <w:rPr>
          <w:rFonts w:ascii="Times New Roman" w:hAnsi="Times New Roman" w:cs="Times New Roman"/>
          <w:i/>
          <w:sz w:val="28"/>
          <w:szCs w:val="28"/>
        </w:rPr>
        <w:t xml:space="preserve">estimările elaborate de către administratorii de venituri prezintă diferențieri substanțiale în raport cu proiecțiile bugetare </w:t>
      </w:r>
      <w:r w:rsidRPr="006522E0">
        <w:rPr>
          <w:rFonts w:ascii="Times New Roman" w:hAnsi="Times New Roman" w:cs="Times New Roman"/>
          <w:i/>
          <w:sz w:val="28"/>
          <w:szCs w:val="28"/>
        </w:rPr>
        <w:t>elaborate de către administratorul buget</w:t>
      </w:r>
      <w:r w:rsidR="00456909">
        <w:rPr>
          <w:rFonts w:ascii="Times New Roman" w:hAnsi="Times New Roman" w:cs="Times New Roman"/>
          <w:i/>
          <w:sz w:val="28"/>
          <w:szCs w:val="28"/>
        </w:rPr>
        <w:t>ului de stat</w:t>
      </w:r>
      <w:r w:rsidRPr="006522E0">
        <w:rPr>
          <w:rFonts w:ascii="Times New Roman" w:hAnsi="Times New Roman" w:cs="Times New Roman"/>
          <w:i/>
          <w:sz w:val="28"/>
          <w:szCs w:val="28"/>
        </w:rPr>
        <w:t>, situație influențată</w:t>
      </w:r>
      <w:r w:rsidR="004E6717">
        <w:rPr>
          <w:rFonts w:ascii="Times New Roman" w:hAnsi="Times New Roman" w:cs="Times New Roman"/>
          <w:i/>
          <w:sz w:val="28"/>
          <w:szCs w:val="28"/>
        </w:rPr>
        <w:t>,</w:t>
      </w:r>
      <w:r w:rsidRPr="006522E0">
        <w:rPr>
          <w:rFonts w:ascii="Times New Roman" w:hAnsi="Times New Roman" w:cs="Times New Roman"/>
          <w:i/>
          <w:sz w:val="28"/>
          <w:szCs w:val="28"/>
        </w:rPr>
        <w:t xml:space="preserve"> în special</w:t>
      </w:r>
      <w:r w:rsidR="004E6717">
        <w:rPr>
          <w:rFonts w:ascii="Times New Roman" w:hAnsi="Times New Roman" w:cs="Times New Roman"/>
          <w:i/>
          <w:sz w:val="28"/>
          <w:szCs w:val="28"/>
        </w:rPr>
        <w:t>,</w:t>
      </w:r>
      <w:r w:rsidRPr="006522E0">
        <w:rPr>
          <w:rFonts w:ascii="Times New Roman" w:hAnsi="Times New Roman" w:cs="Times New Roman"/>
          <w:i/>
          <w:sz w:val="28"/>
          <w:szCs w:val="28"/>
        </w:rPr>
        <w:t xml:space="preserve"> de impreciziile</w:t>
      </w:r>
      <w:r w:rsidRPr="001D0846">
        <w:rPr>
          <w:rFonts w:ascii="Times New Roman" w:hAnsi="Times New Roman" w:cs="Times New Roman"/>
          <w:i/>
          <w:sz w:val="28"/>
          <w:szCs w:val="28"/>
        </w:rPr>
        <w:t xml:space="preserve"> estimărilor de venituri, </w:t>
      </w:r>
      <w:r w:rsidR="004E6717">
        <w:rPr>
          <w:rFonts w:ascii="Times New Roman" w:hAnsi="Times New Roman" w:cs="Times New Roman"/>
          <w:i/>
          <w:sz w:val="28"/>
          <w:szCs w:val="28"/>
        </w:rPr>
        <w:t xml:space="preserve">de </w:t>
      </w:r>
      <w:r w:rsidRPr="001D0846">
        <w:rPr>
          <w:rFonts w:ascii="Times New Roman" w:hAnsi="Times New Roman" w:cs="Times New Roman"/>
          <w:i/>
          <w:sz w:val="28"/>
          <w:szCs w:val="28"/>
        </w:rPr>
        <w:t xml:space="preserve">aplicarea diferitor reglementări de estimare, </w:t>
      </w:r>
      <w:r w:rsidR="004E6717">
        <w:rPr>
          <w:rFonts w:ascii="Times New Roman" w:hAnsi="Times New Roman" w:cs="Times New Roman"/>
          <w:i/>
          <w:sz w:val="28"/>
          <w:szCs w:val="28"/>
        </w:rPr>
        <w:t xml:space="preserve">de </w:t>
      </w:r>
      <w:r w:rsidR="006522E0" w:rsidRPr="001D0846">
        <w:rPr>
          <w:rFonts w:ascii="Times New Roman" w:hAnsi="Times New Roman" w:cs="Times New Roman"/>
          <w:i/>
          <w:sz w:val="28"/>
          <w:szCs w:val="28"/>
        </w:rPr>
        <w:t xml:space="preserve">lipsa mecanismelor de estimare a gradului de conformare voluntară, </w:t>
      </w:r>
      <w:r w:rsidR="005A5243">
        <w:rPr>
          <w:rFonts w:ascii="Times New Roman" w:hAnsi="Times New Roman" w:cs="Times New Roman"/>
          <w:i/>
          <w:sz w:val="28"/>
          <w:szCs w:val="28"/>
        </w:rPr>
        <w:t xml:space="preserve">de </w:t>
      </w:r>
      <w:r w:rsidR="006522E0" w:rsidRPr="001D0846">
        <w:rPr>
          <w:rFonts w:ascii="Times New Roman" w:hAnsi="Times New Roman" w:cs="Times New Roman"/>
          <w:i/>
          <w:sz w:val="28"/>
          <w:szCs w:val="28"/>
        </w:rPr>
        <w:t xml:space="preserve">imprevizibilitatea modificărilor politicilor fiscale și vamale, precum și </w:t>
      </w:r>
      <w:r w:rsidR="006522E0" w:rsidRPr="005A5243">
        <w:rPr>
          <w:rFonts w:ascii="Times New Roman" w:hAnsi="Times New Roman" w:cs="Times New Roman"/>
          <w:i/>
          <w:sz w:val="28"/>
          <w:szCs w:val="28"/>
        </w:rPr>
        <w:t>a</w:t>
      </w:r>
      <w:r w:rsidR="006522E0" w:rsidRPr="001D0846">
        <w:rPr>
          <w:rFonts w:ascii="Times New Roman" w:hAnsi="Times New Roman" w:cs="Times New Roman"/>
          <w:i/>
          <w:sz w:val="28"/>
          <w:szCs w:val="28"/>
        </w:rPr>
        <w:t xml:space="preserve"> numărului contribuabililor</w:t>
      </w:r>
      <w:r w:rsidR="006522E0">
        <w:rPr>
          <w:rFonts w:ascii="Times New Roman" w:hAnsi="Times New Roman" w:cs="Times New Roman"/>
          <w:i/>
          <w:sz w:val="28"/>
          <w:szCs w:val="28"/>
        </w:rPr>
        <w:t>,</w:t>
      </w:r>
      <w:r w:rsidR="005A5243">
        <w:rPr>
          <w:rFonts w:ascii="Times New Roman" w:hAnsi="Times New Roman" w:cs="Times New Roman"/>
          <w:i/>
          <w:sz w:val="28"/>
          <w:szCs w:val="28"/>
        </w:rPr>
        <w:t xml:space="preserve"> de</w:t>
      </w:r>
      <w:r w:rsidRPr="001D0846">
        <w:rPr>
          <w:rFonts w:ascii="Times New Roman" w:hAnsi="Times New Roman" w:cs="Times New Roman"/>
          <w:i/>
          <w:sz w:val="28"/>
          <w:szCs w:val="28"/>
        </w:rPr>
        <w:t xml:space="preserve">variația indicatorilor macroeconomici, </w:t>
      </w:r>
      <w:r w:rsidR="004E6717">
        <w:rPr>
          <w:rFonts w:ascii="Times New Roman" w:hAnsi="Times New Roman" w:cs="Times New Roman"/>
          <w:i/>
          <w:sz w:val="28"/>
          <w:szCs w:val="28"/>
        </w:rPr>
        <w:t xml:space="preserve"> toate acestea având</w:t>
      </w:r>
      <w:r w:rsidRPr="001D0846">
        <w:rPr>
          <w:rFonts w:ascii="Times New Roman" w:hAnsi="Times New Roman" w:cs="Times New Roman"/>
          <w:i/>
          <w:sz w:val="28"/>
          <w:szCs w:val="28"/>
        </w:rPr>
        <w:t xml:space="preserve"> un impact major asupra  estimărilor bugetare. </w:t>
      </w:r>
    </w:p>
    <w:p w:rsidR="00BE46F1" w:rsidRPr="001D0846" w:rsidRDefault="00BE46F1" w:rsidP="006358AD">
      <w:pPr>
        <w:spacing w:after="0" w:line="276" w:lineRule="auto"/>
        <w:ind w:firstLine="720"/>
        <w:jc w:val="both"/>
        <w:rPr>
          <w:rFonts w:ascii="Times New Roman" w:hAnsi="Times New Roman" w:cs="Times New Roman"/>
          <w:spacing w:val="3"/>
          <w:sz w:val="28"/>
          <w:szCs w:val="28"/>
        </w:rPr>
      </w:pPr>
      <w:r w:rsidRPr="001D0846">
        <w:rPr>
          <w:rFonts w:ascii="Times New Roman" w:hAnsi="Times New Roman" w:cs="Times New Roman"/>
          <w:spacing w:val="3"/>
          <w:sz w:val="28"/>
          <w:szCs w:val="28"/>
        </w:rPr>
        <w:t>În vederea stabilirii sarcinii de colectare a veniturilor la BPN, organele fiscale și vamale asigură elaborarea prognozelor/estimărilor pe termen mediu a</w:t>
      </w:r>
      <w:r w:rsidR="004E6717">
        <w:rPr>
          <w:rFonts w:ascii="Times New Roman" w:hAnsi="Times New Roman" w:cs="Times New Roman"/>
          <w:spacing w:val="3"/>
          <w:sz w:val="28"/>
          <w:szCs w:val="28"/>
        </w:rPr>
        <w:t xml:space="preserve">le </w:t>
      </w:r>
      <w:r w:rsidRPr="001D0846">
        <w:rPr>
          <w:rFonts w:ascii="Times New Roman" w:hAnsi="Times New Roman" w:cs="Times New Roman"/>
          <w:spacing w:val="3"/>
          <w:sz w:val="28"/>
          <w:szCs w:val="28"/>
        </w:rPr>
        <w:t xml:space="preserve"> veniturilor</w:t>
      </w:r>
      <w:r w:rsidR="004E6717">
        <w:rPr>
          <w:rFonts w:ascii="Times New Roman" w:hAnsi="Times New Roman" w:cs="Times New Roman"/>
          <w:spacing w:val="3"/>
          <w:sz w:val="28"/>
          <w:szCs w:val="28"/>
        </w:rPr>
        <w:t>,</w:t>
      </w:r>
      <w:r w:rsidRPr="001D0846">
        <w:rPr>
          <w:rFonts w:ascii="Times New Roman" w:hAnsi="Times New Roman" w:cs="Times New Roman"/>
          <w:spacing w:val="3"/>
          <w:sz w:val="28"/>
          <w:szCs w:val="28"/>
        </w:rPr>
        <w:t xml:space="preserve"> pe tipuri de impozite și taxe. Competențele și responsabilitățile organelor fiscale și vamale în domeniul elaborării estimărilor privind veniturile administrate</w:t>
      </w:r>
      <w:r w:rsidR="006B51ED">
        <w:rPr>
          <w:rFonts w:ascii="Times New Roman" w:hAnsi="Times New Roman" w:cs="Times New Roman"/>
          <w:spacing w:val="3"/>
          <w:sz w:val="28"/>
          <w:szCs w:val="28"/>
        </w:rPr>
        <w:t>,pentru</w:t>
      </w:r>
      <w:r w:rsidRPr="001D0846">
        <w:rPr>
          <w:rFonts w:ascii="Times New Roman" w:hAnsi="Times New Roman" w:cs="Times New Roman"/>
          <w:spacing w:val="3"/>
          <w:sz w:val="28"/>
          <w:szCs w:val="28"/>
        </w:rPr>
        <w:t xml:space="preserve"> elabor</w:t>
      </w:r>
      <w:r w:rsidR="006B51ED">
        <w:rPr>
          <w:rFonts w:ascii="Times New Roman" w:hAnsi="Times New Roman" w:cs="Times New Roman"/>
          <w:spacing w:val="3"/>
          <w:sz w:val="28"/>
          <w:szCs w:val="28"/>
        </w:rPr>
        <w:t>area</w:t>
      </w:r>
      <w:r w:rsidRPr="001D0846">
        <w:rPr>
          <w:rFonts w:ascii="Times New Roman" w:hAnsi="Times New Roman" w:cs="Times New Roman"/>
          <w:color w:val="000000"/>
          <w:sz w:val="28"/>
          <w:szCs w:val="28"/>
        </w:rPr>
        <w:t>cadrului bugetar pe termen mediu şi a proiectului legii bugetului de stat</w:t>
      </w:r>
      <w:r w:rsidR="006B51ED">
        <w:rPr>
          <w:rFonts w:ascii="Times New Roman" w:hAnsi="Times New Roman" w:cs="Times New Roman"/>
          <w:color w:val="000000"/>
          <w:sz w:val="28"/>
          <w:szCs w:val="28"/>
        </w:rPr>
        <w:t>,</w:t>
      </w:r>
      <w:r w:rsidRPr="001D0846">
        <w:rPr>
          <w:rFonts w:ascii="Times New Roman" w:hAnsi="Times New Roman" w:cs="Times New Roman"/>
          <w:color w:val="000000"/>
          <w:sz w:val="28"/>
          <w:szCs w:val="28"/>
        </w:rPr>
        <w:t xml:space="preserve"> sunt reglementate de prevederile Legii nr.181 din 25.07.2014</w:t>
      </w:r>
      <w:r w:rsidRPr="001D0846">
        <w:rPr>
          <w:rStyle w:val="FootnoteReference"/>
          <w:rFonts w:ascii="Times New Roman" w:hAnsi="Times New Roman" w:cs="Times New Roman"/>
          <w:color w:val="000000"/>
          <w:sz w:val="28"/>
          <w:szCs w:val="28"/>
        </w:rPr>
        <w:footnoteReference w:id="10"/>
      </w:r>
      <w:r w:rsidRPr="001D0846">
        <w:rPr>
          <w:rFonts w:ascii="Times New Roman" w:hAnsi="Times New Roman" w:cs="Times New Roman"/>
          <w:color w:val="000000"/>
          <w:sz w:val="28"/>
          <w:szCs w:val="28"/>
        </w:rPr>
        <w:t xml:space="preserve"> și a</w:t>
      </w:r>
      <w:r w:rsidR="006B51ED">
        <w:rPr>
          <w:rFonts w:ascii="Times New Roman" w:hAnsi="Times New Roman" w:cs="Times New Roman"/>
          <w:color w:val="000000"/>
          <w:sz w:val="28"/>
          <w:szCs w:val="28"/>
        </w:rPr>
        <w:t xml:space="preserve">le </w:t>
      </w:r>
      <w:r w:rsidRPr="001D0846">
        <w:rPr>
          <w:rFonts w:ascii="Times New Roman" w:hAnsi="Times New Roman" w:cs="Times New Roman"/>
          <w:color w:val="000000"/>
          <w:sz w:val="28"/>
          <w:szCs w:val="28"/>
        </w:rPr>
        <w:t xml:space="preserve"> Ordinului </w:t>
      </w:r>
      <w:r w:rsidR="006B51ED">
        <w:rPr>
          <w:rFonts w:ascii="Times New Roman" w:hAnsi="Times New Roman" w:cs="Times New Roman"/>
          <w:color w:val="000000"/>
          <w:sz w:val="28"/>
          <w:szCs w:val="28"/>
        </w:rPr>
        <w:t>m</w:t>
      </w:r>
      <w:r w:rsidRPr="001D0846">
        <w:rPr>
          <w:rFonts w:ascii="Times New Roman" w:hAnsi="Times New Roman" w:cs="Times New Roman"/>
          <w:color w:val="000000"/>
          <w:sz w:val="28"/>
          <w:szCs w:val="28"/>
        </w:rPr>
        <w:t xml:space="preserve">inistrului </w:t>
      </w:r>
      <w:r w:rsidR="006B51ED">
        <w:rPr>
          <w:rFonts w:ascii="Times New Roman" w:hAnsi="Times New Roman" w:cs="Times New Roman"/>
          <w:color w:val="000000"/>
          <w:sz w:val="28"/>
          <w:szCs w:val="28"/>
        </w:rPr>
        <w:t>f</w:t>
      </w:r>
      <w:r w:rsidRPr="001D0846">
        <w:rPr>
          <w:rFonts w:ascii="Times New Roman" w:hAnsi="Times New Roman" w:cs="Times New Roman"/>
          <w:color w:val="000000"/>
          <w:sz w:val="28"/>
          <w:szCs w:val="28"/>
        </w:rPr>
        <w:t>inanțelor nr.209 din 24.</w:t>
      </w:r>
      <w:r w:rsidR="009007F1" w:rsidRPr="001D0846">
        <w:rPr>
          <w:rFonts w:ascii="Times New Roman" w:hAnsi="Times New Roman" w:cs="Times New Roman"/>
          <w:color w:val="000000"/>
          <w:sz w:val="28"/>
          <w:szCs w:val="28"/>
        </w:rPr>
        <w:t>0</w:t>
      </w:r>
      <w:r w:rsidRPr="001D0846">
        <w:rPr>
          <w:rFonts w:ascii="Times New Roman" w:hAnsi="Times New Roman" w:cs="Times New Roman"/>
          <w:color w:val="000000"/>
          <w:sz w:val="28"/>
          <w:szCs w:val="28"/>
        </w:rPr>
        <w:t>1.2015</w:t>
      </w:r>
      <w:r w:rsidRPr="001D0846">
        <w:rPr>
          <w:rStyle w:val="FootnoteReference"/>
          <w:rFonts w:ascii="Times New Roman" w:hAnsi="Times New Roman" w:cs="Times New Roman"/>
          <w:color w:val="000000"/>
          <w:sz w:val="28"/>
          <w:szCs w:val="28"/>
        </w:rPr>
        <w:footnoteReference w:id="11"/>
      </w:r>
      <w:r w:rsidRPr="001D0846">
        <w:rPr>
          <w:rFonts w:ascii="Times New Roman" w:hAnsi="Times New Roman" w:cs="Times New Roman"/>
          <w:color w:val="000000"/>
          <w:sz w:val="28"/>
          <w:szCs w:val="28"/>
        </w:rPr>
        <w:t>.</w:t>
      </w:r>
    </w:p>
    <w:p w:rsidR="00BE46F1" w:rsidRPr="001D0846" w:rsidRDefault="00BE46F1" w:rsidP="006358AD">
      <w:pPr>
        <w:spacing w:after="0" w:line="276" w:lineRule="auto"/>
        <w:ind w:firstLine="709"/>
        <w:jc w:val="both"/>
        <w:rPr>
          <w:rFonts w:ascii="Times New Roman" w:hAnsi="Times New Roman" w:cs="Times New Roman"/>
          <w:color w:val="000000"/>
          <w:sz w:val="28"/>
          <w:szCs w:val="28"/>
        </w:rPr>
      </w:pPr>
      <w:r w:rsidRPr="001D0846">
        <w:rPr>
          <w:rFonts w:ascii="Times New Roman" w:hAnsi="Times New Roman" w:cs="Times New Roman"/>
          <w:color w:val="000000"/>
          <w:sz w:val="28"/>
          <w:szCs w:val="28"/>
        </w:rPr>
        <w:t xml:space="preserve">În scopul reglementării interne a procesului de </w:t>
      </w:r>
      <w:r w:rsidRPr="00975002">
        <w:rPr>
          <w:rFonts w:ascii="Times New Roman" w:hAnsi="Times New Roman" w:cs="Times New Roman"/>
          <w:color w:val="000000"/>
          <w:sz w:val="28"/>
          <w:szCs w:val="28"/>
        </w:rPr>
        <w:t xml:space="preserve">prognozare, </w:t>
      </w:r>
      <w:r w:rsidR="00637A81" w:rsidRPr="00975002">
        <w:rPr>
          <w:rFonts w:ascii="Times New Roman" w:hAnsi="Times New Roman" w:cs="Times New Roman"/>
          <w:color w:val="000000"/>
          <w:sz w:val="28"/>
          <w:szCs w:val="28"/>
        </w:rPr>
        <w:t xml:space="preserve">stabilirii </w:t>
      </w:r>
      <w:r w:rsidRPr="00975002">
        <w:rPr>
          <w:rFonts w:ascii="Times New Roman" w:hAnsi="Times New Roman" w:cs="Times New Roman"/>
          <w:color w:val="000000"/>
          <w:sz w:val="28"/>
          <w:szCs w:val="28"/>
        </w:rPr>
        <w:t xml:space="preserve">sarcinilor de </w:t>
      </w:r>
      <w:r w:rsidR="00555B62" w:rsidRPr="00975002">
        <w:rPr>
          <w:rFonts w:ascii="Times New Roman" w:hAnsi="Times New Roman" w:cs="Times New Roman"/>
          <w:color w:val="000000"/>
          <w:sz w:val="28"/>
          <w:szCs w:val="28"/>
        </w:rPr>
        <w:t xml:space="preserve">colectare a </w:t>
      </w:r>
      <w:r w:rsidRPr="00975002">
        <w:rPr>
          <w:rFonts w:ascii="Times New Roman" w:hAnsi="Times New Roman" w:cs="Times New Roman"/>
          <w:color w:val="000000"/>
          <w:sz w:val="28"/>
          <w:szCs w:val="28"/>
        </w:rPr>
        <w:t>venituri</w:t>
      </w:r>
      <w:r w:rsidR="00555B62" w:rsidRPr="00975002">
        <w:rPr>
          <w:rFonts w:ascii="Times New Roman" w:hAnsi="Times New Roman" w:cs="Times New Roman"/>
          <w:color w:val="000000"/>
          <w:sz w:val="28"/>
          <w:szCs w:val="28"/>
        </w:rPr>
        <w:t>lor</w:t>
      </w:r>
      <w:r w:rsidRPr="00975002">
        <w:rPr>
          <w:rFonts w:ascii="Times New Roman" w:hAnsi="Times New Roman" w:cs="Times New Roman"/>
          <w:color w:val="000000"/>
          <w:sz w:val="28"/>
          <w:szCs w:val="28"/>
        </w:rPr>
        <w:t xml:space="preserve"> și </w:t>
      </w:r>
      <w:r w:rsidR="00975002" w:rsidRPr="00975002">
        <w:rPr>
          <w:rFonts w:ascii="Times New Roman" w:hAnsi="Times New Roman" w:cs="Times New Roman"/>
          <w:color w:val="000000"/>
          <w:sz w:val="28"/>
          <w:szCs w:val="28"/>
        </w:rPr>
        <w:t>îmbunătățirii</w:t>
      </w:r>
      <w:r w:rsidRPr="00975002">
        <w:rPr>
          <w:rFonts w:ascii="Times New Roman" w:hAnsi="Times New Roman" w:cs="Times New Roman"/>
          <w:color w:val="000000"/>
          <w:sz w:val="28"/>
          <w:szCs w:val="28"/>
        </w:rPr>
        <w:t xml:space="preserve"> administrării fiscale, SFS a elaborat și </w:t>
      </w:r>
      <w:r w:rsidR="006B51ED" w:rsidRPr="00975002">
        <w:rPr>
          <w:rFonts w:ascii="Times New Roman" w:hAnsi="Times New Roman" w:cs="Times New Roman"/>
          <w:color w:val="000000"/>
          <w:sz w:val="28"/>
          <w:szCs w:val="28"/>
        </w:rPr>
        <w:t xml:space="preserve">a </w:t>
      </w:r>
      <w:r w:rsidRPr="00975002">
        <w:rPr>
          <w:rFonts w:ascii="Times New Roman" w:hAnsi="Times New Roman" w:cs="Times New Roman"/>
          <w:color w:val="000000"/>
          <w:sz w:val="28"/>
          <w:szCs w:val="28"/>
        </w:rPr>
        <w:t>aprobat</w:t>
      </w:r>
      <w:r w:rsidRPr="00975002">
        <w:rPr>
          <w:rStyle w:val="FootnoteReference"/>
          <w:rFonts w:ascii="Times New Roman" w:hAnsi="Times New Roman" w:cs="Times New Roman"/>
          <w:color w:val="000000"/>
          <w:sz w:val="28"/>
          <w:szCs w:val="28"/>
        </w:rPr>
        <w:footnoteReference w:id="12"/>
      </w:r>
      <w:r w:rsidRPr="00975002">
        <w:rPr>
          <w:rFonts w:ascii="Times New Roman" w:hAnsi="Times New Roman" w:cs="Times New Roman"/>
          <w:color w:val="000000"/>
          <w:sz w:val="28"/>
          <w:szCs w:val="28"/>
        </w:rPr>
        <w:t xml:space="preserve"> Recomandări</w:t>
      </w:r>
      <w:r w:rsidR="00637A81" w:rsidRPr="00975002">
        <w:rPr>
          <w:rFonts w:ascii="Times New Roman" w:hAnsi="Times New Roman" w:cs="Times New Roman"/>
          <w:color w:val="000000"/>
          <w:sz w:val="28"/>
          <w:szCs w:val="28"/>
        </w:rPr>
        <w:t>le</w:t>
      </w:r>
      <w:r w:rsidRPr="00975002">
        <w:rPr>
          <w:rFonts w:ascii="Times New Roman" w:hAnsi="Times New Roman" w:cs="Times New Roman"/>
          <w:color w:val="000000"/>
          <w:sz w:val="28"/>
          <w:szCs w:val="28"/>
        </w:rPr>
        <w:t xml:space="preserve"> metodice privind prognozarea veniturilor și stabilirea sarcinilor de venituri la BPN, care includ metode recomandabile</w:t>
      </w:r>
      <w:r w:rsidRPr="001D0846">
        <w:rPr>
          <w:rFonts w:ascii="Times New Roman" w:hAnsi="Times New Roman" w:cs="Times New Roman"/>
          <w:color w:val="000000"/>
          <w:sz w:val="28"/>
          <w:szCs w:val="28"/>
        </w:rPr>
        <w:t xml:space="preserve"> la elaborarea prognozelor de venituri pe tipuri de impozite și taxe, precum și acțiuni de monitorizare a executării prognozelor de venituri în raport cu sarcinile stabilite. Concomitent, se remarcă că SV nu dispune de metodologii de prognozare a veniturilor vamale, </w:t>
      </w:r>
      <w:r w:rsidR="00563BB7">
        <w:rPr>
          <w:rFonts w:ascii="Times New Roman" w:hAnsi="Times New Roman" w:cs="Times New Roman"/>
          <w:color w:val="000000"/>
          <w:sz w:val="28"/>
          <w:szCs w:val="28"/>
        </w:rPr>
        <w:t xml:space="preserve">dar </w:t>
      </w:r>
      <w:r w:rsidRPr="001D0846">
        <w:rPr>
          <w:rFonts w:ascii="Times New Roman" w:hAnsi="Times New Roman" w:cs="Times New Roman"/>
          <w:color w:val="000000"/>
          <w:sz w:val="28"/>
          <w:szCs w:val="28"/>
        </w:rPr>
        <w:t>utiliz</w:t>
      </w:r>
      <w:r w:rsidR="00563BB7">
        <w:rPr>
          <w:rFonts w:ascii="Times New Roman" w:hAnsi="Times New Roman" w:cs="Times New Roman"/>
          <w:color w:val="000000"/>
          <w:sz w:val="28"/>
          <w:szCs w:val="28"/>
        </w:rPr>
        <w:t>ează</w:t>
      </w:r>
      <w:r w:rsidRPr="001D0846">
        <w:rPr>
          <w:rFonts w:ascii="Times New Roman" w:hAnsi="Times New Roman" w:cs="Times New Roman"/>
          <w:color w:val="000000"/>
          <w:sz w:val="28"/>
          <w:szCs w:val="28"/>
        </w:rPr>
        <w:t xml:space="preserve"> în procesul de estimare/prognozare </w:t>
      </w:r>
      <w:r w:rsidRPr="001D0846">
        <w:rPr>
          <w:rFonts w:ascii="Times New Roman" w:hAnsi="Times New Roman" w:cs="Times New Roman"/>
          <w:sz w:val="28"/>
          <w:szCs w:val="28"/>
        </w:rPr>
        <w:t xml:space="preserve">analiza tendințelor recente ale încasărilor de venituri la BS (ultimii 2-3 ani), </w:t>
      </w:r>
      <w:r w:rsidRPr="001D0846">
        <w:rPr>
          <w:rFonts w:ascii="Times New Roman" w:hAnsi="Times New Roman" w:cs="Times New Roman"/>
          <w:color w:val="000000"/>
          <w:sz w:val="28"/>
          <w:szCs w:val="28"/>
          <w:lang w:val="it-IT"/>
        </w:rPr>
        <w:t xml:space="preserve">indicatorii </w:t>
      </w:r>
      <w:r w:rsidRPr="001D0846">
        <w:rPr>
          <w:rFonts w:ascii="Times New Roman" w:hAnsi="Times New Roman" w:cs="Times New Roman"/>
          <w:color w:val="000000"/>
          <w:sz w:val="28"/>
          <w:szCs w:val="28"/>
          <w:lang w:val="it-IT"/>
        </w:rPr>
        <w:lastRenderedPageBreak/>
        <w:t>macroeconomici, obiectivele</w:t>
      </w:r>
      <w:r w:rsidRPr="001D0846">
        <w:rPr>
          <w:rFonts w:ascii="Times New Roman" w:hAnsi="Times New Roman" w:cs="Times New Roman"/>
          <w:sz w:val="28"/>
          <w:szCs w:val="28"/>
        </w:rPr>
        <w:t>politicii fiscale şi vamale, precum şi obiectivele politicii de administrare fiscală şi vamală.</w:t>
      </w:r>
    </w:p>
    <w:p w:rsidR="00BE46F1" w:rsidRPr="001D0846" w:rsidRDefault="00BE46F1" w:rsidP="006358AD">
      <w:pPr>
        <w:spacing w:after="0" w:line="276" w:lineRule="auto"/>
        <w:ind w:firstLine="709"/>
        <w:jc w:val="both"/>
        <w:rPr>
          <w:rFonts w:ascii="Times New Roman" w:hAnsi="Times New Roman" w:cs="Times New Roman"/>
          <w:sz w:val="28"/>
          <w:szCs w:val="28"/>
        </w:rPr>
      </w:pPr>
      <w:r w:rsidRPr="001D0846">
        <w:rPr>
          <w:rFonts w:ascii="Times New Roman" w:hAnsi="Times New Roman" w:cs="Times New Roman"/>
          <w:sz w:val="28"/>
          <w:szCs w:val="28"/>
        </w:rPr>
        <w:t>Conform Recomandărilor metodice, la elaborarea estimărilor/ prognozelor privind veniturile administrate pe tipuri de  impozite și taxe SFS urmează să aplice următoarele metode reglementate: 1) Metoda cotei efective de impozitare, 2) Metoda automată, 3) Metoda majorării (diminuării) sau metoda trendurilor, 4) Metoda opiniei de expert. Metodele stabilite sunt diferențiate la elaborarea prognozelor</w:t>
      </w:r>
      <w:r w:rsidR="00563BB7">
        <w:rPr>
          <w:rFonts w:ascii="Times New Roman" w:hAnsi="Times New Roman" w:cs="Times New Roman"/>
          <w:sz w:val="28"/>
          <w:szCs w:val="28"/>
        </w:rPr>
        <w:t xml:space="preserve">, </w:t>
      </w:r>
      <w:r w:rsidRPr="001D0846">
        <w:rPr>
          <w:rFonts w:ascii="Times New Roman" w:hAnsi="Times New Roman" w:cs="Times New Roman"/>
          <w:sz w:val="28"/>
          <w:szCs w:val="28"/>
        </w:rPr>
        <w:t xml:space="preserve"> ținând</w:t>
      </w:r>
      <w:r w:rsidR="00563BB7">
        <w:rPr>
          <w:rFonts w:ascii="Times New Roman" w:hAnsi="Times New Roman" w:cs="Times New Roman"/>
          <w:sz w:val="28"/>
          <w:szCs w:val="28"/>
        </w:rPr>
        <w:t>u-se</w:t>
      </w:r>
      <w:r w:rsidRPr="001D0846">
        <w:rPr>
          <w:rFonts w:ascii="Times New Roman" w:hAnsi="Times New Roman" w:cs="Times New Roman"/>
          <w:sz w:val="28"/>
          <w:szCs w:val="28"/>
        </w:rPr>
        <w:t xml:space="preserve"> cont de tipul impozitelor și taxelor, fiind utilizate formule matematico-statistice</w:t>
      </w:r>
      <w:r w:rsidR="00563BB7">
        <w:rPr>
          <w:rFonts w:ascii="Times New Roman" w:hAnsi="Times New Roman" w:cs="Times New Roman"/>
          <w:sz w:val="28"/>
          <w:szCs w:val="28"/>
        </w:rPr>
        <w:t xml:space="preserve"> ce</w:t>
      </w:r>
      <w:r w:rsidRPr="001D0846">
        <w:rPr>
          <w:rFonts w:ascii="Times New Roman" w:hAnsi="Times New Roman" w:cs="Times New Roman"/>
          <w:sz w:val="28"/>
          <w:szCs w:val="28"/>
        </w:rPr>
        <w:t xml:space="preserve"> reie</w:t>
      </w:r>
      <w:r w:rsidR="00563BB7">
        <w:rPr>
          <w:rFonts w:ascii="Times New Roman" w:hAnsi="Times New Roman" w:cs="Times New Roman"/>
          <w:sz w:val="28"/>
          <w:szCs w:val="28"/>
        </w:rPr>
        <w:t>s</w:t>
      </w:r>
      <w:r w:rsidRPr="001D0846">
        <w:rPr>
          <w:rFonts w:ascii="Times New Roman" w:hAnsi="Times New Roman" w:cs="Times New Roman"/>
          <w:sz w:val="28"/>
          <w:szCs w:val="28"/>
        </w:rPr>
        <w:t xml:space="preserve"> din metodele selectate.</w:t>
      </w:r>
    </w:p>
    <w:p w:rsidR="00BE46F1" w:rsidRPr="001D0846" w:rsidRDefault="00BE46F1" w:rsidP="006358AD">
      <w:pPr>
        <w:spacing w:after="0" w:line="276" w:lineRule="auto"/>
        <w:ind w:firstLine="709"/>
        <w:jc w:val="both"/>
        <w:rPr>
          <w:rFonts w:ascii="Times New Roman" w:hAnsi="Times New Roman" w:cs="Times New Roman"/>
          <w:sz w:val="28"/>
          <w:szCs w:val="28"/>
        </w:rPr>
      </w:pPr>
      <w:r w:rsidRPr="001D0846">
        <w:rPr>
          <w:rFonts w:ascii="Times New Roman" w:hAnsi="Times New Roman" w:cs="Times New Roman"/>
          <w:sz w:val="28"/>
          <w:szCs w:val="28"/>
        </w:rPr>
        <w:t>Audit</w:t>
      </w:r>
      <w:r w:rsidR="00FA74CB">
        <w:rPr>
          <w:rFonts w:ascii="Times New Roman" w:hAnsi="Times New Roman" w:cs="Times New Roman"/>
          <w:sz w:val="28"/>
          <w:szCs w:val="28"/>
        </w:rPr>
        <w:t>ul</w:t>
      </w:r>
      <w:r w:rsidRPr="001D0846">
        <w:rPr>
          <w:rFonts w:ascii="Times New Roman" w:hAnsi="Times New Roman" w:cs="Times New Roman"/>
          <w:sz w:val="28"/>
          <w:szCs w:val="28"/>
        </w:rPr>
        <w:t xml:space="preserve"> relevă că elaborarea estimărilor/prognozelor pe tipuri de impozite și taxe de către organele fiscale s-a efectuat în perioada 2015-2017 reieșind din încasările de facto înregistrate pe parcursul ultimilor 3 ani</w:t>
      </w:r>
      <w:r w:rsidRPr="00555B62">
        <w:rPr>
          <w:rFonts w:ascii="Times New Roman" w:hAnsi="Times New Roman" w:cs="Times New Roman"/>
          <w:sz w:val="28"/>
          <w:szCs w:val="28"/>
        </w:rPr>
        <w:t>, care au fost prezentate</w:t>
      </w:r>
      <w:r w:rsidRPr="001D0846">
        <w:rPr>
          <w:rFonts w:ascii="Times New Roman" w:hAnsi="Times New Roman" w:cs="Times New Roman"/>
          <w:sz w:val="28"/>
          <w:szCs w:val="28"/>
        </w:rPr>
        <w:t xml:space="preserve">admnistratorului de buget. Totodată, examinările </w:t>
      </w:r>
      <w:r w:rsidR="00FA74CB">
        <w:rPr>
          <w:rFonts w:ascii="Times New Roman" w:hAnsi="Times New Roman" w:cs="Times New Roman"/>
          <w:sz w:val="28"/>
          <w:szCs w:val="28"/>
        </w:rPr>
        <w:t xml:space="preserve">efectuate de </w:t>
      </w:r>
      <w:r w:rsidRPr="001D0846">
        <w:rPr>
          <w:rFonts w:ascii="Times New Roman" w:hAnsi="Times New Roman" w:cs="Times New Roman"/>
          <w:sz w:val="28"/>
          <w:szCs w:val="28"/>
        </w:rPr>
        <w:t>audit</w:t>
      </w:r>
      <w:r w:rsidR="00FA74CB">
        <w:rPr>
          <w:rFonts w:ascii="Times New Roman" w:hAnsi="Times New Roman" w:cs="Times New Roman"/>
          <w:spacing w:val="3"/>
          <w:sz w:val="28"/>
          <w:szCs w:val="28"/>
        </w:rPr>
        <w:t xml:space="preserve"> denotă</w:t>
      </w:r>
      <w:r w:rsidRPr="001D0846">
        <w:rPr>
          <w:rFonts w:ascii="Times New Roman" w:hAnsi="Times New Roman" w:cs="Times New Roman"/>
          <w:spacing w:val="3"/>
          <w:sz w:val="28"/>
          <w:szCs w:val="28"/>
        </w:rPr>
        <w:t xml:space="preserve"> că SFS a asigurat elaborarea și prezentarea către MF a estimărilor privind veniturile BUAT, deși</w:t>
      </w:r>
      <w:r w:rsidR="00FA74CB">
        <w:rPr>
          <w:rFonts w:ascii="Times New Roman" w:hAnsi="Times New Roman" w:cs="Times New Roman"/>
          <w:spacing w:val="3"/>
          <w:sz w:val="28"/>
          <w:szCs w:val="28"/>
        </w:rPr>
        <w:t>,</w:t>
      </w:r>
      <w:r w:rsidRPr="001D0846">
        <w:rPr>
          <w:rFonts w:ascii="Times New Roman" w:hAnsi="Times New Roman" w:cs="Times New Roman"/>
          <w:spacing w:val="3"/>
          <w:sz w:val="28"/>
          <w:szCs w:val="28"/>
        </w:rPr>
        <w:t xml:space="preserve"> prin prisma </w:t>
      </w:r>
      <w:r w:rsidRPr="001D0846">
        <w:rPr>
          <w:rFonts w:ascii="Times New Roman" w:hAnsi="Times New Roman" w:cs="Times New Roman"/>
          <w:sz w:val="28"/>
          <w:szCs w:val="28"/>
        </w:rPr>
        <w:t xml:space="preserve">Legii nr.181 din 25.07.2014, rolul în elaborarea prognozelor </w:t>
      </w:r>
      <w:r w:rsidRPr="001D0846">
        <w:rPr>
          <w:rFonts w:ascii="Times New Roman" w:hAnsi="Times New Roman" w:cs="Times New Roman"/>
          <w:color w:val="000000"/>
          <w:sz w:val="28"/>
          <w:szCs w:val="28"/>
        </w:rPr>
        <w:t xml:space="preserve">bugetelor locale pe termen mediu şi lung le revine AAPL. </w:t>
      </w:r>
      <w:r w:rsidRPr="001D0846">
        <w:rPr>
          <w:rFonts w:ascii="Times New Roman" w:hAnsi="Times New Roman" w:cs="Times New Roman"/>
          <w:spacing w:val="3"/>
          <w:sz w:val="28"/>
          <w:szCs w:val="28"/>
        </w:rPr>
        <w:t xml:space="preserve">Concomitent, se remarcă că AAPL </w:t>
      </w:r>
      <w:r w:rsidRPr="001D0846">
        <w:rPr>
          <w:rFonts w:ascii="Times New Roman" w:hAnsi="Times New Roman" w:cs="Times New Roman"/>
          <w:color w:val="000000"/>
          <w:sz w:val="28"/>
          <w:szCs w:val="28"/>
        </w:rPr>
        <w:t>nu au prezentat SFS informații cu privire la estimările venituri</w:t>
      </w:r>
      <w:r w:rsidR="00FA74CB">
        <w:rPr>
          <w:rFonts w:ascii="Times New Roman" w:hAnsi="Times New Roman" w:cs="Times New Roman"/>
          <w:color w:val="000000"/>
          <w:sz w:val="28"/>
          <w:szCs w:val="28"/>
        </w:rPr>
        <w:t>lor</w:t>
      </w:r>
      <w:r w:rsidRPr="001D0846">
        <w:rPr>
          <w:rFonts w:ascii="Times New Roman" w:hAnsi="Times New Roman" w:cs="Times New Roman"/>
          <w:color w:val="000000"/>
          <w:sz w:val="28"/>
          <w:szCs w:val="28"/>
        </w:rPr>
        <w:t xml:space="preserve"> pe tipuri de impozite și taxe reieșind din baza impozabilă, obiectele impunerii și numărul de contribuabili administrați.</w:t>
      </w:r>
    </w:p>
    <w:p w:rsidR="00BE46F1" w:rsidRPr="001D0846" w:rsidRDefault="00BE46F1" w:rsidP="006358AD">
      <w:pPr>
        <w:spacing w:after="0" w:line="276" w:lineRule="auto"/>
        <w:ind w:firstLine="720"/>
        <w:jc w:val="both"/>
        <w:rPr>
          <w:rFonts w:ascii="Times New Roman" w:hAnsi="Times New Roman" w:cs="Times New Roman"/>
          <w:sz w:val="28"/>
          <w:szCs w:val="28"/>
          <w:lang w:val="it-IT"/>
        </w:rPr>
      </w:pPr>
      <w:r w:rsidRPr="001D0846">
        <w:rPr>
          <w:rFonts w:ascii="Times New Roman" w:hAnsi="Times New Roman" w:cs="Times New Roman"/>
          <w:sz w:val="28"/>
          <w:szCs w:val="28"/>
          <w:lang w:val="it-IT"/>
        </w:rPr>
        <w:t xml:space="preserve">Propunerile SFS și </w:t>
      </w:r>
      <w:r w:rsidR="00FB3F97">
        <w:rPr>
          <w:rFonts w:ascii="Times New Roman" w:hAnsi="Times New Roman" w:cs="Times New Roman"/>
          <w:sz w:val="28"/>
          <w:szCs w:val="28"/>
          <w:lang w:val="it-IT"/>
        </w:rPr>
        <w:t xml:space="preserve">ale </w:t>
      </w:r>
      <w:r w:rsidRPr="001D0846">
        <w:rPr>
          <w:rFonts w:ascii="Times New Roman" w:hAnsi="Times New Roman" w:cs="Times New Roman"/>
          <w:sz w:val="28"/>
          <w:szCs w:val="28"/>
          <w:lang w:val="it-IT"/>
        </w:rPr>
        <w:t>SV privind estimarea/prognozarea anuală a impozitelor și taxelor s</w:t>
      </w:r>
      <w:r w:rsidR="00FB3F97">
        <w:rPr>
          <w:rFonts w:ascii="Times New Roman" w:hAnsi="Times New Roman" w:cs="Times New Roman"/>
          <w:sz w:val="28"/>
          <w:szCs w:val="28"/>
          <w:lang w:val="it-IT"/>
        </w:rPr>
        <w:t>unt</w:t>
      </w:r>
      <w:r w:rsidRPr="001D0846">
        <w:rPr>
          <w:rFonts w:ascii="Times New Roman" w:hAnsi="Times New Roman" w:cs="Times New Roman"/>
          <w:sz w:val="28"/>
          <w:szCs w:val="28"/>
          <w:lang w:val="it-IT"/>
        </w:rPr>
        <w:t xml:space="preserve"> prez</w:t>
      </w:r>
      <w:r w:rsidR="00FB3F97">
        <w:rPr>
          <w:rFonts w:ascii="Times New Roman" w:hAnsi="Times New Roman" w:cs="Times New Roman"/>
          <w:sz w:val="28"/>
          <w:szCs w:val="28"/>
          <w:lang w:val="it-IT"/>
        </w:rPr>
        <w:t>enta</w:t>
      </w:r>
      <w:r w:rsidRPr="001D0846">
        <w:rPr>
          <w:rFonts w:ascii="Times New Roman" w:hAnsi="Times New Roman" w:cs="Times New Roman"/>
          <w:sz w:val="28"/>
          <w:szCs w:val="28"/>
          <w:lang w:val="it-IT"/>
        </w:rPr>
        <w:t>t</w:t>
      </w:r>
      <w:r w:rsidR="00FB3F97">
        <w:rPr>
          <w:rFonts w:ascii="Times New Roman" w:hAnsi="Times New Roman" w:cs="Times New Roman"/>
          <w:sz w:val="28"/>
          <w:szCs w:val="28"/>
          <w:lang w:val="it-IT"/>
        </w:rPr>
        <w:t>e</w:t>
      </w:r>
      <w:r w:rsidRPr="001D0846">
        <w:rPr>
          <w:rFonts w:ascii="Times New Roman" w:hAnsi="Times New Roman" w:cs="Times New Roman"/>
          <w:sz w:val="28"/>
          <w:szCs w:val="28"/>
          <w:lang w:val="it-IT"/>
        </w:rPr>
        <w:t xml:space="preserve"> MF, care</w:t>
      </w:r>
      <w:r w:rsidR="00FB3F97">
        <w:rPr>
          <w:rFonts w:ascii="Times New Roman" w:hAnsi="Times New Roman" w:cs="Times New Roman"/>
          <w:sz w:val="28"/>
          <w:szCs w:val="28"/>
          <w:lang w:val="it-IT"/>
        </w:rPr>
        <w:t>,</w:t>
      </w:r>
      <w:r w:rsidRPr="001D0846">
        <w:rPr>
          <w:rFonts w:ascii="Times New Roman" w:hAnsi="Times New Roman" w:cs="Times New Roman"/>
          <w:sz w:val="28"/>
          <w:szCs w:val="28"/>
          <w:lang w:val="it-IT"/>
        </w:rPr>
        <w:t xml:space="preserve">  în calitate de administrator de buget, asigură elaborarea propunerilor de buget pentru veniturile generale ale BPN. Astfel, MF</w:t>
      </w:r>
      <w:r w:rsidR="00FB3F97">
        <w:rPr>
          <w:rFonts w:ascii="Times New Roman" w:hAnsi="Times New Roman" w:cs="Times New Roman"/>
          <w:sz w:val="28"/>
          <w:szCs w:val="28"/>
          <w:lang w:val="it-IT"/>
        </w:rPr>
        <w:t>,</w:t>
      </w:r>
      <w:r w:rsidRPr="001D0846">
        <w:rPr>
          <w:rFonts w:ascii="Times New Roman" w:hAnsi="Times New Roman" w:cs="Times New Roman"/>
          <w:sz w:val="28"/>
          <w:szCs w:val="28"/>
          <w:lang w:val="it-IT"/>
        </w:rPr>
        <w:t xml:space="preserve"> în limita competențelor sale, examinează și verifică datele prezentate de către administratorii de venituri, totodată</w:t>
      </w:r>
      <w:r w:rsidR="00FB3F97">
        <w:rPr>
          <w:rFonts w:ascii="Times New Roman" w:hAnsi="Times New Roman" w:cs="Times New Roman"/>
          <w:sz w:val="28"/>
          <w:szCs w:val="28"/>
          <w:lang w:val="it-IT"/>
        </w:rPr>
        <w:t>,</w:t>
      </w:r>
      <w:r w:rsidRPr="001D0846">
        <w:rPr>
          <w:rFonts w:ascii="Times New Roman" w:hAnsi="Times New Roman" w:cs="Times New Roman"/>
          <w:sz w:val="28"/>
          <w:szCs w:val="28"/>
          <w:lang w:val="it-IT"/>
        </w:rPr>
        <w:t xml:space="preserve"> elabor</w:t>
      </w:r>
      <w:r w:rsidR="00FB3F97">
        <w:rPr>
          <w:rFonts w:ascii="Times New Roman" w:hAnsi="Times New Roman" w:cs="Times New Roman"/>
          <w:sz w:val="28"/>
          <w:szCs w:val="28"/>
          <w:lang w:val="it-IT"/>
        </w:rPr>
        <w:t>â</w:t>
      </w:r>
      <w:r w:rsidRPr="001D0846">
        <w:rPr>
          <w:rFonts w:ascii="Times New Roman" w:hAnsi="Times New Roman" w:cs="Times New Roman"/>
          <w:sz w:val="28"/>
          <w:szCs w:val="28"/>
          <w:lang w:val="it-IT"/>
        </w:rPr>
        <w:t xml:space="preserve">nd și propriile estimări ale veniturilor BS. </w:t>
      </w:r>
      <w:r w:rsidRPr="001D0846">
        <w:rPr>
          <w:rFonts w:ascii="Times New Roman" w:hAnsi="Times New Roman" w:cs="Times New Roman"/>
          <w:color w:val="000000"/>
          <w:spacing w:val="3"/>
          <w:sz w:val="28"/>
          <w:szCs w:val="28"/>
        </w:rPr>
        <w:t>La estimarea veniturilor bugetare, inclu</w:t>
      </w:r>
      <w:r w:rsidR="003B0641" w:rsidRPr="001D0846">
        <w:rPr>
          <w:rFonts w:ascii="Times New Roman" w:hAnsi="Times New Roman" w:cs="Times New Roman"/>
          <w:color w:val="000000"/>
          <w:spacing w:val="3"/>
          <w:sz w:val="28"/>
          <w:szCs w:val="28"/>
        </w:rPr>
        <w:t>siv în cadrul modelului, sunt</w:t>
      </w:r>
      <w:r w:rsidRPr="001D0846">
        <w:rPr>
          <w:rFonts w:ascii="Times New Roman" w:hAnsi="Times New Roman" w:cs="Times New Roman"/>
          <w:color w:val="000000"/>
          <w:spacing w:val="3"/>
          <w:sz w:val="28"/>
          <w:szCs w:val="28"/>
        </w:rPr>
        <w:t xml:space="preserve"> aplicate diferite metode</w:t>
      </w:r>
      <w:r w:rsidRPr="001D0846">
        <w:rPr>
          <w:rFonts w:ascii="Times New Roman" w:hAnsi="Times New Roman" w:cs="Times New Roman"/>
          <w:sz w:val="28"/>
          <w:szCs w:val="28"/>
          <w:lang w:val="it-IT"/>
        </w:rPr>
        <w:t xml:space="preserve"> enunțate în Setul metodologic aprobat prin Ordinul </w:t>
      </w:r>
      <w:r w:rsidR="00FB3F97">
        <w:rPr>
          <w:rFonts w:ascii="Times New Roman" w:hAnsi="Times New Roman" w:cs="Times New Roman"/>
          <w:sz w:val="28"/>
          <w:szCs w:val="28"/>
          <w:lang w:val="it-IT"/>
        </w:rPr>
        <w:t>ministrului finanțelor</w:t>
      </w:r>
      <w:r w:rsidRPr="001D0846">
        <w:rPr>
          <w:rFonts w:ascii="Times New Roman" w:hAnsi="Times New Roman" w:cs="Times New Roman"/>
          <w:sz w:val="28"/>
          <w:szCs w:val="28"/>
          <w:lang w:val="it-IT"/>
        </w:rPr>
        <w:t xml:space="preserve"> nr.209 din 24.12.2015</w:t>
      </w:r>
      <w:r w:rsidRPr="001D0846">
        <w:rPr>
          <w:rFonts w:ascii="Times New Roman" w:hAnsi="Times New Roman" w:cs="Times New Roman"/>
          <w:color w:val="000000"/>
          <w:spacing w:val="3"/>
          <w:sz w:val="28"/>
          <w:szCs w:val="28"/>
        </w:rPr>
        <w:t>, în funcţie de specificul veniturilor şi</w:t>
      </w:r>
      <w:r w:rsidR="00FB3F97">
        <w:rPr>
          <w:rFonts w:ascii="Times New Roman" w:hAnsi="Times New Roman" w:cs="Times New Roman"/>
          <w:color w:val="000000"/>
          <w:spacing w:val="3"/>
          <w:sz w:val="28"/>
          <w:szCs w:val="28"/>
        </w:rPr>
        <w:t xml:space="preserve">de </w:t>
      </w:r>
      <w:r w:rsidRPr="001D0846">
        <w:rPr>
          <w:rFonts w:ascii="Times New Roman" w:hAnsi="Times New Roman" w:cs="Times New Roman"/>
          <w:color w:val="000000"/>
          <w:spacing w:val="3"/>
          <w:sz w:val="28"/>
          <w:szCs w:val="28"/>
        </w:rPr>
        <w:t>relaţia acestora cu diferite variabile macroeconomice</w:t>
      </w:r>
      <w:r w:rsidRPr="001D0846">
        <w:rPr>
          <w:rFonts w:ascii="Times New Roman" w:hAnsi="Times New Roman" w:cs="Times New Roman"/>
          <w:sz w:val="28"/>
          <w:szCs w:val="28"/>
          <w:lang w:val="it-IT"/>
        </w:rPr>
        <w:t xml:space="preserve">. Se remarcă că decizia finală privind stabilirea indicatorilor de venituri pe tipuri de impozite și taxe administrate de către SFS și SV aparține MF. </w:t>
      </w:r>
      <w:r w:rsidRPr="001D0846">
        <w:rPr>
          <w:rFonts w:ascii="Times New Roman" w:hAnsi="Times New Roman" w:cs="Times New Roman"/>
          <w:sz w:val="28"/>
          <w:szCs w:val="28"/>
        </w:rPr>
        <w:t>Din momentul adoptării legilor și deciziilor bugetare anuale, administratorii de bugete prezintă administratorilor de venituri, inclusiv SFS și SV, sarcinile de venituri stabilite pentru anul bugetar, pe componentele BPN.</w:t>
      </w:r>
    </w:p>
    <w:p w:rsidR="001D5C0E" w:rsidRDefault="00BE46F1" w:rsidP="001D5C0E">
      <w:pPr>
        <w:spacing w:after="0" w:line="276" w:lineRule="auto"/>
        <w:ind w:firstLine="720"/>
        <w:jc w:val="both"/>
        <w:rPr>
          <w:rFonts w:ascii="Times New Roman" w:hAnsi="Times New Roman" w:cs="Times New Roman"/>
          <w:i/>
          <w:sz w:val="28"/>
          <w:szCs w:val="28"/>
        </w:rPr>
      </w:pPr>
      <w:r w:rsidRPr="00E6707D">
        <w:rPr>
          <w:rFonts w:ascii="Times New Roman" w:hAnsi="Times New Roman" w:cs="Times New Roman"/>
          <w:sz w:val="28"/>
          <w:szCs w:val="28"/>
        </w:rPr>
        <w:t>Analiza efectuată de audit asupra estimărilor</w:t>
      </w:r>
      <w:r w:rsidR="00B35FF4">
        <w:rPr>
          <w:rFonts w:ascii="Times New Roman" w:hAnsi="Times New Roman" w:cs="Times New Roman"/>
          <w:sz w:val="28"/>
          <w:szCs w:val="28"/>
        </w:rPr>
        <w:t>/prognozelor</w:t>
      </w:r>
      <w:r w:rsidRPr="00E6707D">
        <w:rPr>
          <w:rFonts w:ascii="Times New Roman" w:hAnsi="Times New Roman" w:cs="Times New Roman"/>
          <w:sz w:val="28"/>
          <w:szCs w:val="28"/>
        </w:rPr>
        <w:t xml:space="preserve"> elaborate de către administratorii de venituri </w:t>
      </w:r>
      <w:r w:rsidR="00C9010E" w:rsidRPr="00E6707D">
        <w:rPr>
          <w:rFonts w:ascii="Times New Roman" w:hAnsi="Times New Roman" w:cs="Times New Roman"/>
          <w:sz w:val="28"/>
          <w:szCs w:val="28"/>
        </w:rPr>
        <w:t xml:space="preserve">și MF </w:t>
      </w:r>
      <w:r w:rsidR="00FB3F97">
        <w:rPr>
          <w:rFonts w:ascii="Times New Roman" w:hAnsi="Times New Roman" w:cs="Times New Roman"/>
          <w:sz w:val="28"/>
          <w:szCs w:val="28"/>
        </w:rPr>
        <w:t>indică</w:t>
      </w:r>
      <w:r w:rsidRPr="00E6707D">
        <w:rPr>
          <w:rFonts w:ascii="Times New Roman" w:hAnsi="Times New Roman" w:cs="Times New Roman"/>
          <w:sz w:val="28"/>
          <w:szCs w:val="28"/>
        </w:rPr>
        <w:t xml:space="preserve"> unele </w:t>
      </w:r>
      <w:r w:rsidR="00C9010E" w:rsidRPr="00E6707D">
        <w:rPr>
          <w:rFonts w:ascii="Times New Roman" w:hAnsi="Times New Roman" w:cs="Times New Roman"/>
          <w:sz w:val="28"/>
          <w:szCs w:val="28"/>
        </w:rPr>
        <w:t>imprecizii</w:t>
      </w:r>
      <w:r w:rsidRPr="00E6707D">
        <w:rPr>
          <w:rFonts w:ascii="Times New Roman" w:hAnsi="Times New Roman" w:cs="Times New Roman"/>
          <w:sz w:val="28"/>
          <w:szCs w:val="28"/>
        </w:rPr>
        <w:t xml:space="preserve">, fapt ce denotă </w:t>
      </w:r>
      <w:r w:rsidR="00FB3F97">
        <w:rPr>
          <w:rFonts w:ascii="Times New Roman" w:hAnsi="Times New Roman" w:cs="Times New Roman"/>
          <w:sz w:val="28"/>
          <w:szCs w:val="28"/>
        </w:rPr>
        <w:t xml:space="preserve">anumite </w:t>
      </w:r>
      <w:r w:rsidRPr="00E6707D">
        <w:rPr>
          <w:rFonts w:ascii="Times New Roman" w:hAnsi="Times New Roman" w:cs="Times New Roman"/>
          <w:sz w:val="28"/>
          <w:szCs w:val="28"/>
        </w:rPr>
        <w:t xml:space="preserve"> rezerve în fundamentarea veniturilor fiscale și vamale. </w:t>
      </w:r>
      <w:r w:rsidR="001D5C0E" w:rsidRPr="001D5C0E">
        <w:rPr>
          <w:rFonts w:ascii="Times New Roman" w:hAnsi="Times New Roman" w:cs="Times New Roman"/>
          <w:i/>
          <w:sz w:val="28"/>
          <w:szCs w:val="28"/>
        </w:rPr>
        <w:t xml:space="preserve">Informația privind </w:t>
      </w:r>
      <w:r w:rsidR="00B35FF4">
        <w:rPr>
          <w:rFonts w:ascii="Times New Roman" w:hAnsi="Times New Roman" w:cs="Times New Roman"/>
          <w:i/>
          <w:sz w:val="28"/>
          <w:szCs w:val="28"/>
        </w:rPr>
        <w:t>estimările/prognozele de venituri</w:t>
      </w:r>
      <w:r w:rsidR="001D5C0E">
        <w:rPr>
          <w:rFonts w:ascii="Times New Roman" w:hAnsi="Times New Roman" w:cs="Times New Roman"/>
          <w:i/>
          <w:sz w:val="28"/>
          <w:szCs w:val="28"/>
        </w:rPr>
        <w:t>la BPN pentru perioada</w:t>
      </w:r>
      <w:r w:rsidR="001D5C0E" w:rsidRPr="001D5C0E">
        <w:rPr>
          <w:rFonts w:ascii="Times New Roman" w:hAnsi="Times New Roman" w:cs="Times New Roman"/>
          <w:i/>
          <w:sz w:val="28"/>
          <w:szCs w:val="28"/>
        </w:rPr>
        <w:t xml:space="preserve"> 2015-2017 </w:t>
      </w:r>
      <w:r w:rsidR="00FB3F97">
        <w:rPr>
          <w:rFonts w:ascii="Times New Roman" w:hAnsi="Times New Roman" w:cs="Times New Roman"/>
          <w:i/>
          <w:sz w:val="28"/>
          <w:szCs w:val="28"/>
        </w:rPr>
        <w:t>este</w:t>
      </w:r>
      <w:r w:rsidR="001D5C0E" w:rsidRPr="001D5C0E">
        <w:rPr>
          <w:rFonts w:ascii="Times New Roman" w:hAnsi="Times New Roman" w:cs="Times New Roman"/>
          <w:i/>
          <w:sz w:val="28"/>
          <w:szCs w:val="28"/>
        </w:rPr>
        <w:t xml:space="preserve"> prez</w:t>
      </w:r>
      <w:r w:rsidR="00FB3F97">
        <w:rPr>
          <w:rFonts w:ascii="Times New Roman" w:hAnsi="Times New Roman" w:cs="Times New Roman"/>
          <w:i/>
          <w:sz w:val="28"/>
          <w:szCs w:val="28"/>
        </w:rPr>
        <w:t>enta</w:t>
      </w:r>
      <w:r w:rsidR="001D5C0E" w:rsidRPr="001D5C0E">
        <w:rPr>
          <w:rFonts w:ascii="Times New Roman" w:hAnsi="Times New Roman" w:cs="Times New Roman"/>
          <w:i/>
          <w:sz w:val="28"/>
          <w:szCs w:val="28"/>
        </w:rPr>
        <w:t>tă în Tabelele nr.4 și nr.5 din Anexa nr.3 la Raport</w:t>
      </w:r>
      <w:r w:rsidR="00FB3F97">
        <w:rPr>
          <w:rFonts w:ascii="Times New Roman" w:hAnsi="Times New Roman" w:cs="Times New Roman"/>
          <w:i/>
          <w:sz w:val="28"/>
          <w:szCs w:val="28"/>
        </w:rPr>
        <w:t>ul</w:t>
      </w:r>
      <w:r w:rsidR="001D5C0E" w:rsidRPr="001D5C0E">
        <w:rPr>
          <w:rFonts w:ascii="Times New Roman" w:hAnsi="Times New Roman" w:cs="Times New Roman"/>
          <w:i/>
          <w:sz w:val="28"/>
          <w:szCs w:val="28"/>
        </w:rPr>
        <w:t xml:space="preserve"> de audit.</w:t>
      </w:r>
    </w:p>
    <w:p w:rsidR="005A209E" w:rsidRDefault="001D5C0E" w:rsidP="005A209E">
      <w:pPr>
        <w:spacing w:after="0" w:line="276" w:lineRule="auto"/>
        <w:ind w:firstLine="720"/>
        <w:jc w:val="both"/>
        <w:rPr>
          <w:rFonts w:ascii="Times New Roman" w:hAnsi="Times New Roman" w:cs="Times New Roman"/>
          <w:sz w:val="28"/>
          <w:szCs w:val="28"/>
        </w:rPr>
      </w:pPr>
      <w:r w:rsidRPr="00975002">
        <w:rPr>
          <w:rFonts w:ascii="Times New Roman" w:hAnsi="Times New Roman" w:cs="Times New Roman"/>
          <w:sz w:val="28"/>
          <w:szCs w:val="28"/>
        </w:rPr>
        <w:lastRenderedPageBreak/>
        <w:t xml:space="preserve">Examinările </w:t>
      </w:r>
      <w:r w:rsidR="00FB3F97" w:rsidRPr="00975002">
        <w:rPr>
          <w:rFonts w:ascii="Times New Roman" w:hAnsi="Times New Roman" w:cs="Times New Roman"/>
          <w:sz w:val="28"/>
          <w:szCs w:val="28"/>
        </w:rPr>
        <w:t xml:space="preserve">efectuate de </w:t>
      </w:r>
      <w:r w:rsidRPr="00975002">
        <w:rPr>
          <w:rFonts w:ascii="Times New Roman" w:hAnsi="Times New Roman" w:cs="Times New Roman"/>
          <w:sz w:val="28"/>
          <w:szCs w:val="28"/>
        </w:rPr>
        <w:t xml:space="preserve">audit asupra estimărilor </w:t>
      </w:r>
      <w:r w:rsidR="00975002" w:rsidRPr="00975002">
        <w:rPr>
          <w:rFonts w:ascii="Times New Roman" w:hAnsi="Times New Roman" w:cs="Times New Roman"/>
          <w:sz w:val="28"/>
          <w:szCs w:val="28"/>
        </w:rPr>
        <w:t xml:space="preserve">de </w:t>
      </w:r>
      <w:r w:rsidR="000C443F" w:rsidRPr="00975002">
        <w:rPr>
          <w:rFonts w:ascii="Times New Roman" w:hAnsi="Times New Roman" w:cs="Times New Roman"/>
          <w:sz w:val="28"/>
          <w:szCs w:val="28"/>
        </w:rPr>
        <w:t>venituri</w:t>
      </w:r>
      <w:r w:rsidR="00975002" w:rsidRPr="00975002">
        <w:rPr>
          <w:rFonts w:ascii="Times New Roman" w:hAnsi="Times New Roman" w:cs="Times New Roman"/>
          <w:sz w:val="28"/>
          <w:szCs w:val="28"/>
        </w:rPr>
        <w:t xml:space="preserve"> la</w:t>
      </w:r>
      <w:r w:rsidRPr="00975002">
        <w:rPr>
          <w:rFonts w:ascii="Times New Roman" w:hAnsi="Times New Roman" w:cs="Times New Roman"/>
          <w:sz w:val="28"/>
          <w:szCs w:val="28"/>
        </w:rPr>
        <w:t xml:space="preserve"> BS și BUAT </w:t>
      </w:r>
      <w:r w:rsidR="000C443F" w:rsidRPr="00975002">
        <w:rPr>
          <w:rFonts w:ascii="Times New Roman" w:hAnsi="Times New Roman" w:cs="Times New Roman"/>
          <w:sz w:val="28"/>
          <w:szCs w:val="28"/>
        </w:rPr>
        <w:t xml:space="preserve">elaborate </w:t>
      </w:r>
      <w:r w:rsidRPr="00975002">
        <w:rPr>
          <w:rFonts w:ascii="Times New Roman" w:hAnsi="Times New Roman" w:cs="Times New Roman"/>
          <w:sz w:val="28"/>
          <w:szCs w:val="28"/>
        </w:rPr>
        <w:t>de</w:t>
      </w:r>
      <w:r>
        <w:rPr>
          <w:rFonts w:ascii="Times New Roman" w:hAnsi="Times New Roman" w:cs="Times New Roman"/>
          <w:sz w:val="28"/>
          <w:szCs w:val="28"/>
        </w:rPr>
        <w:t xml:space="preserve"> către SFS </w:t>
      </w:r>
      <w:r w:rsidR="002B04DE">
        <w:rPr>
          <w:rFonts w:ascii="Times New Roman" w:hAnsi="Times New Roman" w:cs="Times New Roman"/>
          <w:sz w:val="28"/>
          <w:szCs w:val="28"/>
        </w:rPr>
        <w:t>denotă</w:t>
      </w:r>
      <w:r>
        <w:rPr>
          <w:rFonts w:ascii="Times New Roman" w:hAnsi="Times New Roman" w:cs="Times New Roman"/>
          <w:sz w:val="28"/>
          <w:szCs w:val="28"/>
        </w:rPr>
        <w:t xml:space="preserve"> că acestea</w:t>
      </w:r>
      <w:r w:rsidR="00FB3F97">
        <w:rPr>
          <w:rFonts w:ascii="Times New Roman" w:hAnsi="Times New Roman" w:cs="Times New Roman"/>
          <w:sz w:val="28"/>
          <w:szCs w:val="28"/>
        </w:rPr>
        <w:t>,</w:t>
      </w:r>
      <w:r>
        <w:rPr>
          <w:rFonts w:ascii="Times New Roman" w:hAnsi="Times New Roman" w:cs="Times New Roman"/>
          <w:sz w:val="28"/>
          <w:szCs w:val="28"/>
        </w:rPr>
        <w:t xml:space="preserve"> în anul 2017</w:t>
      </w:r>
      <w:r w:rsidR="00FB3F97">
        <w:rPr>
          <w:rFonts w:ascii="Times New Roman" w:hAnsi="Times New Roman" w:cs="Times New Roman"/>
          <w:sz w:val="28"/>
          <w:szCs w:val="28"/>
        </w:rPr>
        <w:t>,</w:t>
      </w:r>
      <w:r>
        <w:rPr>
          <w:rFonts w:ascii="Times New Roman" w:hAnsi="Times New Roman" w:cs="Times New Roman"/>
          <w:sz w:val="28"/>
          <w:szCs w:val="28"/>
        </w:rPr>
        <w:t xml:space="preserve"> au însumat în total 15,9 mlrd.lei, </w:t>
      </w:r>
      <w:r w:rsidR="005A209E">
        <w:rPr>
          <w:rFonts w:ascii="Times New Roman" w:hAnsi="Times New Roman" w:cs="Times New Roman"/>
          <w:sz w:val="28"/>
          <w:szCs w:val="28"/>
        </w:rPr>
        <w:t>care ulterior</w:t>
      </w:r>
      <w:r w:rsidR="00FB3F97">
        <w:rPr>
          <w:rFonts w:ascii="Times New Roman" w:hAnsi="Times New Roman" w:cs="Times New Roman"/>
          <w:sz w:val="28"/>
          <w:szCs w:val="28"/>
        </w:rPr>
        <w:t>,</w:t>
      </w:r>
      <w:r w:rsidR="005A209E">
        <w:rPr>
          <w:rFonts w:ascii="Times New Roman" w:hAnsi="Times New Roman" w:cs="Times New Roman"/>
          <w:sz w:val="28"/>
          <w:szCs w:val="28"/>
        </w:rPr>
        <w:t xml:space="preserve"> pe parcursul anului</w:t>
      </w:r>
      <w:r w:rsidR="00FB3F97">
        <w:rPr>
          <w:rFonts w:ascii="Times New Roman" w:hAnsi="Times New Roman" w:cs="Times New Roman"/>
          <w:sz w:val="28"/>
          <w:szCs w:val="28"/>
        </w:rPr>
        <w:t>,</w:t>
      </w:r>
      <w:r w:rsidR="005A209E">
        <w:rPr>
          <w:rFonts w:ascii="Times New Roman" w:hAnsi="Times New Roman" w:cs="Times New Roman"/>
          <w:sz w:val="28"/>
          <w:szCs w:val="28"/>
        </w:rPr>
        <w:t xml:space="preserve"> au fost</w:t>
      </w:r>
      <w:r>
        <w:rPr>
          <w:rFonts w:ascii="Times New Roman" w:hAnsi="Times New Roman" w:cs="Times New Roman"/>
          <w:sz w:val="28"/>
          <w:szCs w:val="28"/>
        </w:rPr>
        <w:t xml:space="preserve"> modific</w:t>
      </w:r>
      <w:r w:rsidR="005A209E">
        <w:rPr>
          <w:rFonts w:ascii="Times New Roman" w:hAnsi="Times New Roman" w:cs="Times New Roman"/>
          <w:sz w:val="28"/>
          <w:szCs w:val="28"/>
        </w:rPr>
        <w:t xml:space="preserve">ate/precizatede către MF </w:t>
      </w:r>
      <w:r w:rsidR="008A2D27">
        <w:rPr>
          <w:rFonts w:ascii="Times New Roman" w:hAnsi="Times New Roman" w:cs="Times New Roman"/>
          <w:sz w:val="28"/>
          <w:szCs w:val="28"/>
        </w:rPr>
        <w:t xml:space="preserve">cu </w:t>
      </w:r>
      <w:r>
        <w:rPr>
          <w:rFonts w:ascii="Times New Roman" w:hAnsi="Times New Roman" w:cs="Times New Roman"/>
          <w:sz w:val="28"/>
          <w:szCs w:val="28"/>
        </w:rPr>
        <w:t>1,5 mlrd.lei</w:t>
      </w:r>
      <w:r w:rsidR="008A2D27">
        <w:rPr>
          <w:rFonts w:ascii="Times New Roman" w:hAnsi="Times New Roman" w:cs="Times New Roman"/>
          <w:sz w:val="28"/>
          <w:szCs w:val="28"/>
        </w:rPr>
        <w:t xml:space="preserve"> mai mult</w:t>
      </w:r>
      <w:r>
        <w:rPr>
          <w:rFonts w:ascii="Times New Roman" w:hAnsi="Times New Roman" w:cs="Times New Roman"/>
          <w:sz w:val="28"/>
          <w:szCs w:val="28"/>
        </w:rPr>
        <w:t>, gradul de modificare</w:t>
      </w:r>
      <w:r w:rsidR="008A2D27">
        <w:rPr>
          <w:rFonts w:ascii="Times New Roman" w:hAnsi="Times New Roman" w:cs="Times New Roman"/>
          <w:sz w:val="28"/>
          <w:szCs w:val="28"/>
        </w:rPr>
        <w:t>/majorare</w:t>
      </w:r>
      <w:r>
        <w:rPr>
          <w:rFonts w:ascii="Times New Roman" w:hAnsi="Times New Roman" w:cs="Times New Roman"/>
          <w:sz w:val="28"/>
          <w:szCs w:val="28"/>
        </w:rPr>
        <w:t xml:space="preserve"> constituind</w:t>
      </w:r>
      <w:r w:rsidR="005A209E">
        <w:rPr>
          <w:rFonts w:ascii="Times New Roman" w:hAnsi="Times New Roman" w:cs="Times New Roman"/>
          <w:sz w:val="28"/>
          <w:szCs w:val="28"/>
        </w:rPr>
        <w:t xml:space="preserve"> 9%. </w:t>
      </w:r>
      <w:r w:rsidR="00E6707D" w:rsidRPr="00E6707D">
        <w:rPr>
          <w:rFonts w:ascii="Times New Roman" w:hAnsi="Times New Roman" w:cs="Times New Roman"/>
          <w:sz w:val="28"/>
          <w:szCs w:val="28"/>
        </w:rPr>
        <w:t>Totodată, nivelul de executare a veniturilor</w:t>
      </w:r>
      <w:r w:rsidR="005A209E">
        <w:rPr>
          <w:rFonts w:ascii="Times New Roman" w:hAnsi="Times New Roman" w:cs="Times New Roman"/>
          <w:sz w:val="28"/>
          <w:szCs w:val="28"/>
        </w:rPr>
        <w:t xml:space="preserve"> fiscaleîn anul 2017 </w:t>
      </w:r>
      <w:r w:rsidR="00E6707D" w:rsidRPr="00E6707D">
        <w:rPr>
          <w:rFonts w:ascii="Times New Roman" w:hAnsi="Times New Roman" w:cs="Times New Roman"/>
          <w:sz w:val="28"/>
          <w:szCs w:val="28"/>
        </w:rPr>
        <w:t xml:space="preserve">a constituit 17,74 mlrd.lei, </w:t>
      </w:r>
      <w:r w:rsidR="00FB3F97">
        <w:rPr>
          <w:rFonts w:ascii="Times New Roman" w:hAnsi="Times New Roman" w:cs="Times New Roman"/>
          <w:sz w:val="28"/>
          <w:szCs w:val="28"/>
        </w:rPr>
        <w:t>sau</w:t>
      </w:r>
      <w:r w:rsidR="00E6707D" w:rsidRPr="00E6707D">
        <w:rPr>
          <w:rFonts w:ascii="Times New Roman" w:hAnsi="Times New Roman" w:cs="Times New Roman"/>
          <w:sz w:val="28"/>
          <w:szCs w:val="28"/>
        </w:rPr>
        <w:t xml:space="preserve">cu 1,85 mlrd.lei mai mult față de estimările aprobate și cu 0,35 mlrd.lei mai mult față de estimările precizate. </w:t>
      </w:r>
    </w:p>
    <w:p w:rsidR="005A209E" w:rsidRDefault="002B04DE" w:rsidP="005A209E">
      <w:pPr>
        <w:spacing w:after="0" w:line="276" w:lineRule="auto"/>
        <w:ind w:firstLine="720"/>
        <w:jc w:val="both"/>
        <w:rPr>
          <w:rFonts w:ascii="Times New Roman" w:hAnsi="Times New Roman" w:cs="Times New Roman"/>
          <w:sz w:val="28"/>
          <w:szCs w:val="28"/>
        </w:rPr>
      </w:pPr>
      <w:r w:rsidRPr="00975002">
        <w:rPr>
          <w:rFonts w:ascii="Times New Roman" w:hAnsi="Times New Roman" w:cs="Times New Roman"/>
          <w:sz w:val="28"/>
          <w:szCs w:val="28"/>
        </w:rPr>
        <w:t>În urma e</w:t>
      </w:r>
      <w:r w:rsidR="005A209E" w:rsidRPr="00975002">
        <w:rPr>
          <w:rFonts w:ascii="Times New Roman" w:hAnsi="Times New Roman" w:cs="Times New Roman"/>
          <w:sz w:val="28"/>
          <w:szCs w:val="28"/>
        </w:rPr>
        <w:t>xaminăril</w:t>
      </w:r>
      <w:r w:rsidRPr="00975002">
        <w:rPr>
          <w:rFonts w:ascii="Times New Roman" w:hAnsi="Times New Roman" w:cs="Times New Roman"/>
          <w:sz w:val="28"/>
          <w:szCs w:val="28"/>
        </w:rPr>
        <w:t>or efectuate de</w:t>
      </w:r>
      <w:r w:rsidR="005A209E" w:rsidRPr="00975002">
        <w:rPr>
          <w:rFonts w:ascii="Times New Roman" w:hAnsi="Times New Roman" w:cs="Times New Roman"/>
          <w:sz w:val="28"/>
          <w:szCs w:val="28"/>
        </w:rPr>
        <w:t xml:space="preserve"> audit asupra estimărilor </w:t>
      </w:r>
      <w:r w:rsidR="00975002" w:rsidRPr="00975002">
        <w:rPr>
          <w:rFonts w:ascii="Times New Roman" w:hAnsi="Times New Roman" w:cs="Times New Roman"/>
          <w:sz w:val="28"/>
          <w:szCs w:val="28"/>
        </w:rPr>
        <w:t xml:space="preserve">de </w:t>
      </w:r>
      <w:r w:rsidR="000C443F" w:rsidRPr="00975002">
        <w:rPr>
          <w:rFonts w:ascii="Times New Roman" w:hAnsi="Times New Roman" w:cs="Times New Roman"/>
          <w:sz w:val="28"/>
          <w:szCs w:val="28"/>
        </w:rPr>
        <w:t>venituri</w:t>
      </w:r>
      <w:r w:rsidR="00975002" w:rsidRPr="00975002">
        <w:rPr>
          <w:rFonts w:ascii="Times New Roman" w:hAnsi="Times New Roman" w:cs="Times New Roman"/>
          <w:sz w:val="28"/>
          <w:szCs w:val="28"/>
        </w:rPr>
        <w:t xml:space="preserve"> la</w:t>
      </w:r>
      <w:r w:rsidR="005A209E" w:rsidRPr="00975002">
        <w:rPr>
          <w:rFonts w:ascii="Times New Roman" w:hAnsi="Times New Roman" w:cs="Times New Roman"/>
          <w:sz w:val="28"/>
          <w:szCs w:val="28"/>
        </w:rPr>
        <w:t xml:space="preserve"> BS </w:t>
      </w:r>
      <w:r w:rsidR="000C443F" w:rsidRPr="00975002">
        <w:rPr>
          <w:rFonts w:ascii="Times New Roman" w:hAnsi="Times New Roman" w:cs="Times New Roman"/>
          <w:sz w:val="28"/>
          <w:szCs w:val="28"/>
        </w:rPr>
        <w:t xml:space="preserve">elaborate </w:t>
      </w:r>
      <w:r w:rsidR="005A209E" w:rsidRPr="00975002">
        <w:rPr>
          <w:rFonts w:ascii="Times New Roman" w:hAnsi="Times New Roman" w:cs="Times New Roman"/>
          <w:sz w:val="28"/>
          <w:szCs w:val="28"/>
        </w:rPr>
        <w:t>de către SV</w:t>
      </w:r>
      <w:r w:rsidRPr="00975002">
        <w:rPr>
          <w:rFonts w:ascii="Times New Roman" w:hAnsi="Times New Roman" w:cs="Times New Roman"/>
          <w:sz w:val="28"/>
          <w:szCs w:val="28"/>
        </w:rPr>
        <w:t>, se</w:t>
      </w:r>
      <w:r w:rsidR="005A209E" w:rsidRPr="00975002">
        <w:rPr>
          <w:rFonts w:ascii="Times New Roman" w:hAnsi="Times New Roman" w:cs="Times New Roman"/>
          <w:sz w:val="28"/>
          <w:szCs w:val="28"/>
        </w:rPr>
        <w:t xml:space="preserve"> relevă că acestea</w:t>
      </w:r>
      <w:r w:rsidRPr="00975002">
        <w:rPr>
          <w:rFonts w:ascii="Times New Roman" w:hAnsi="Times New Roman" w:cs="Times New Roman"/>
          <w:sz w:val="28"/>
          <w:szCs w:val="28"/>
        </w:rPr>
        <w:t>,</w:t>
      </w:r>
      <w:r w:rsidR="005A209E" w:rsidRPr="00975002">
        <w:rPr>
          <w:rFonts w:ascii="Times New Roman" w:hAnsi="Times New Roman" w:cs="Times New Roman"/>
          <w:sz w:val="28"/>
          <w:szCs w:val="28"/>
        </w:rPr>
        <w:t xml:space="preserve"> în anul 2017</w:t>
      </w:r>
      <w:r w:rsidRPr="00975002">
        <w:rPr>
          <w:rFonts w:ascii="Times New Roman" w:hAnsi="Times New Roman" w:cs="Times New Roman"/>
          <w:sz w:val="28"/>
          <w:szCs w:val="28"/>
        </w:rPr>
        <w:t>,</w:t>
      </w:r>
      <w:r w:rsidR="005A209E" w:rsidRPr="00975002">
        <w:rPr>
          <w:rFonts w:ascii="Times New Roman" w:hAnsi="Times New Roman" w:cs="Times New Roman"/>
          <w:sz w:val="28"/>
          <w:szCs w:val="28"/>
        </w:rPr>
        <w:t xml:space="preserve"> au însumat în total 18,3 mlrd.lei, </w:t>
      </w:r>
      <w:r w:rsidRPr="00975002">
        <w:rPr>
          <w:rFonts w:ascii="Times New Roman" w:hAnsi="Times New Roman" w:cs="Times New Roman"/>
          <w:sz w:val="28"/>
          <w:szCs w:val="28"/>
        </w:rPr>
        <w:t xml:space="preserve">care </w:t>
      </w:r>
      <w:r w:rsidR="005A209E" w:rsidRPr="00975002">
        <w:rPr>
          <w:rFonts w:ascii="Times New Roman" w:hAnsi="Times New Roman" w:cs="Times New Roman"/>
          <w:sz w:val="28"/>
          <w:szCs w:val="28"/>
        </w:rPr>
        <w:t>ulterior</w:t>
      </w:r>
      <w:r w:rsidRPr="00975002">
        <w:rPr>
          <w:rFonts w:ascii="Times New Roman" w:hAnsi="Times New Roman" w:cs="Times New Roman"/>
          <w:sz w:val="28"/>
          <w:szCs w:val="28"/>
        </w:rPr>
        <w:t>,</w:t>
      </w:r>
      <w:r w:rsidR="005A209E" w:rsidRPr="00975002">
        <w:rPr>
          <w:rFonts w:ascii="Times New Roman" w:hAnsi="Times New Roman" w:cs="Times New Roman"/>
          <w:sz w:val="28"/>
          <w:szCs w:val="28"/>
        </w:rPr>
        <w:t xml:space="preserve"> pe parcursul anului</w:t>
      </w:r>
      <w:r w:rsidRPr="00975002">
        <w:rPr>
          <w:rFonts w:ascii="Times New Roman" w:hAnsi="Times New Roman" w:cs="Times New Roman"/>
          <w:sz w:val="28"/>
          <w:szCs w:val="28"/>
        </w:rPr>
        <w:t>,</w:t>
      </w:r>
      <w:r w:rsidR="005A209E" w:rsidRPr="00975002">
        <w:rPr>
          <w:rFonts w:ascii="Times New Roman" w:hAnsi="Times New Roman" w:cs="Times New Roman"/>
          <w:sz w:val="28"/>
          <w:szCs w:val="28"/>
        </w:rPr>
        <w:t xml:space="preserve"> au fost modificate/precizate de către MF </w:t>
      </w:r>
      <w:r w:rsidRPr="00975002">
        <w:rPr>
          <w:rFonts w:ascii="Times New Roman" w:hAnsi="Times New Roman" w:cs="Times New Roman"/>
          <w:sz w:val="28"/>
          <w:szCs w:val="28"/>
        </w:rPr>
        <w:t>cu</w:t>
      </w:r>
      <w:r w:rsidR="005A209E" w:rsidRPr="00975002">
        <w:rPr>
          <w:rFonts w:ascii="Times New Roman" w:hAnsi="Times New Roman" w:cs="Times New Roman"/>
          <w:sz w:val="28"/>
          <w:szCs w:val="28"/>
        </w:rPr>
        <w:t xml:space="preserve"> sum</w:t>
      </w:r>
      <w:r w:rsidRPr="00975002">
        <w:rPr>
          <w:rFonts w:ascii="Times New Roman" w:hAnsi="Times New Roman" w:cs="Times New Roman"/>
          <w:sz w:val="28"/>
          <w:szCs w:val="28"/>
        </w:rPr>
        <w:t>a</w:t>
      </w:r>
      <w:r w:rsidR="005A209E" w:rsidRPr="00975002">
        <w:rPr>
          <w:rFonts w:ascii="Times New Roman" w:hAnsi="Times New Roman" w:cs="Times New Roman"/>
          <w:sz w:val="28"/>
          <w:szCs w:val="28"/>
        </w:rPr>
        <w:t xml:space="preserve"> de 20</w:t>
      </w:r>
      <w:r w:rsidRPr="00975002">
        <w:rPr>
          <w:rFonts w:ascii="Times New Roman" w:hAnsi="Times New Roman" w:cs="Times New Roman"/>
          <w:sz w:val="28"/>
          <w:szCs w:val="28"/>
        </w:rPr>
        <w:t>,0</w:t>
      </w:r>
      <w:r w:rsidR="005A209E" w:rsidRPr="00975002">
        <w:rPr>
          <w:rFonts w:ascii="Times New Roman" w:hAnsi="Times New Roman" w:cs="Times New Roman"/>
          <w:sz w:val="28"/>
          <w:szCs w:val="28"/>
        </w:rPr>
        <w:t>mlrd.lei, gradul</w:t>
      </w:r>
      <w:r w:rsidR="00975002" w:rsidRPr="00975002">
        <w:rPr>
          <w:rFonts w:ascii="Times New Roman" w:hAnsi="Times New Roman" w:cs="Times New Roman"/>
          <w:sz w:val="28"/>
          <w:szCs w:val="28"/>
        </w:rPr>
        <w:t xml:space="preserve"> de modificare constit</w:t>
      </w:r>
      <w:r w:rsidR="005A209E" w:rsidRPr="00975002">
        <w:rPr>
          <w:rFonts w:ascii="Times New Roman" w:hAnsi="Times New Roman" w:cs="Times New Roman"/>
          <w:sz w:val="28"/>
          <w:szCs w:val="28"/>
        </w:rPr>
        <w:t>u</w:t>
      </w:r>
      <w:r w:rsidR="00975002" w:rsidRPr="00975002">
        <w:rPr>
          <w:rFonts w:ascii="Times New Roman" w:hAnsi="Times New Roman" w:cs="Times New Roman"/>
          <w:sz w:val="28"/>
          <w:szCs w:val="28"/>
        </w:rPr>
        <w:t>i</w:t>
      </w:r>
      <w:r w:rsidR="005A209E" w:rsidRPr="00975002">
        <w:rPr>
          <w:rFonts w:ascii="Times New Roman" w:hAnsi="Times New Roman" w:cs="Times New Roman"/>
          <w:sz w:val="28"/>
          <w:szCs w:val="28"/>
        </w:rPr>
        <w:t>nd 7,9 %. Totodată, nivelul de executare a veniturilor vamale în anul 2017 a constituit 20,4 mlrd.lei,</w:t>
      </w:r>
      <w:r w:rsidRPr="00975002">
        <w:rPr>
          <w:rFonts w:ascii="Times New Roman" w:hAnsi="Times New Roman" w:cs="Times New Roman"/>
          <w:sz w:val="28"/>
          <w:szCs w:val="28"/>
        </w:rPr>
        <w:t>sau</w:t>
      </w:r>
      <w:r w:rsidR="008A2D27" w:rsidRPr="00975002">
        <w:rPr>
          <w:rFonts w:ascii="Times New Roman" w:hAnsi="Times New Roman" w:cs="Times New Roman"/>
          <w:sz w:val="28"/>
          <w:szCs w:val="28"/>
        </w:rPr>
        <w:t xml:space="preserve"> cu 1,8 mlrd.lei mai mult față de estimările aprobate și cu 0,4 mlrd.lei mai mult față de estimările precizate.</w:t>
      </w:r>
    </w:p>
    <w:p w:rsidR="005A209E" w:rsidRDefault="005A209E" w:rsidP="008A2D27">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Situații analogice care </w:t>
      </w:r>
      <w:r w:rsidR="008A2D27">
        <w:rPr>
          <w:rFonts w:ascii="Times New Roman" w:hAnsi="Times New Roman" w:cs="Times New Roman"/>
          <w:sz w:val="28"/>
          <w:szCs w:val="28"/>
        </w:rPr>
        <w:t>denotă</w:t>
      </w:r>
      <w:r>
        <w:rPr>
          <w:rFonts w:ascii="Times New Roman" w:hAnsi="Times New Roman" w:cs="Times New Roman"/>
          <w:sz w:val="28"/>
          <w:szCs w:val="28"/>
        </w:rPr>
        <w:t xml:space="preserve"> rezerve în fundamentarea veniturilor fiscale </w:t>
      </w:r>
      <w:r w:rsidR="008A2D27">
        <w:rPr>
          <w:rFonts w:ascii="Times New Roman" w:hAnsi="Times New Roman" w:cs="Times New Roman"/>
          <w:sz w:val="28"/>
          <w:szCs w:val="28"/>
        </w:rPr>
        <w:t xml:space="preserve">și vamale </w:t>
      </w:r>
      <w:r>
        <w:rPr>
          <w:rFonts w:ascii="Times New Roman" w:hAnsi="Times New Roman" w:cs="Times New Roman"/>
          <w:sz w:val="28"/>
          <w:szCs w:val="28"/>
        </w:rPr>
        <w:t xml:space="preserve">se </w:t>
      </w:r>
      <w:r w:rsidR="000C443F">
        <w:rPr>
          <w:rFonts w:ascii="Times New Roman" w:hAnsi="Times New Roman" w:cs="Times New Roman"/>
          <w:sz w:val="28"/>
          <w:szCs w:val="28"/>
        </w:rPr>
        <w:t>atestă</w:t>
      </w:r>
      <w:r>
        <w:rPr>
          <w:rFonts w:ascii="Times New Roman" w:hAnsi="Times New Roman" w:cs="Times New Roman"/>
          <w:sz w:val="28"/>
          <w:szCs w:val="28"/>
        </w:rPr>
        <w:t xml:space="preserve"> și în </w:t>
      </w:r>
      <w:r w:rsidR="000C443F">
        <w:rPr>
          <w:rFonts w:ascii="Times New Roman" w:hAnsi="Times New Roman" w:cs="Times New Roman"/>
          <w:sz w:val="28"/>
          <w:szCs w:val="28"/>
        </w:rPr>
        <w:t>anii</w:t>
      </w:r>
      <w:r>
        <w:rPr>
          <w:rFonts w:ascii="Times New Roman" w:hAnsi="Times New Roman" w:cs="Times New Roman"/>
          <w:sz w:val="28"/>
          <w:szCs w:val="28"/>
        </w:rPr>
        <w:t xml:space="preserve"> 2015-2016.</w:t>
      </w:r>
    </w:p>
    <w:p w:rsidR="00385FE6" w:rsidRPr="001D0846" w:rsidRDefault="00BE46F1" w:rsidP="008A2D27">
      <w:pPr>
        <w:spacing w:after="0" w:line="276" w:lineRule="auto"/>
        <w:ind w:firstLine="720"/>
        <w:jc w:val="both"/>
        <w:rPr>
          <w:rFonts w:ascii="Times New Roman" w:hAnsi="Times New Roman" w:cs="Times New Roman"/>
          <w:spacing w:val="3"/>
          <w:sz w:val="28"/>
          <w:szCs w:val="28"/>
        </w:rPr>
      </w:pPr>
      <w:r w:rsidRPr="001D0846">
        <w:rPr>
          <w:rFonts w:ascii="Times New Roman" w:hAnsi="Times New Roman" w:cs="Times New Roman"/>
          <w:sz w:val="28"/>
          <w:szCs w:val="28"/>
        </w:rPr>
        <w:t>Totodată, auditul menționează că la elaborarea estimărilor</w:t>
      </w:r>
      <w:r w:rsidR="008A2D27">
        <w:rPr>
          <w:rFonts w:ascii="Times New Roman" w:hAnsi="Times New Roman" w:cs="Times New Roman"/>
          <w:sz w:val="28"/>
          <w:szCs w:val="28"/>
        </w:rPr>
        <w:t>/prognozelor</w:t>
      </w:r>
      <w:r w:rsidRPr="001D0846">
        <w:rPr>
          <w:rFonts w:ascii="Times New Roman" w:hAnsi="Times New Roman" w:cs="Times New Roman"/>
          <w:sz w:val="28"/>
          <w:szCs w:val="28"/>
        </w:rPr>
        <w:t xml:space="preserve"> bugetare privind încasările de venituri pe tipuri de impozite și taxe nu se iau în considera</w:t>
      </w:r>
      <w:r w:rsidR="000C443F">
        <w:rPr>
          <w:rFonts w:ascii="Times New Roman" w:hAnsi="Times New Roman" w:cs="Times New Roman"/>
          <w:sz w:val="28"/>
          <w:szCs w:val="28"/>
        </w:rPr>
        <w:t>ție</w:t>
      </w:r>
      <w:r w:rsidRPr="001D0846">
        <w:rPr>
          <w:rFonts w:ascii="Times New Roman" w:hAnsi="Times New Roman" w:cs="Times New Roman"/>
          <w:sz w:val="28"/>
          <w:szCs w:val="28"/>
        </w:rPr>
        <w:t xml:space="preserve"> unii factori care ar putea influența sarcina de colectare a veniturilor bugetare (gradul de conformare voluntară la achitarea impozitelor și taxelor)</w:t>
      </w:r>
      <w:r w:rsidR="000C443F">
        <w:rPr>
          <w:rFonts w:ascii="Times New Roman" w:hAnsi="Times New Roman" w:cs="Times New Roman"/>
          <w:sz w:val="28"/>
          <w:szCs w:val="28"/>
        </w:rPr>
        <w:t>,</w:t>
      </w:r>
      <w:r w:rsidRPr="001D0846">
        <w:rPr>
          <w:rFonts w:ascii="Times New Roman" w:hAnsi="Times New Roman" w:cs="Times New Roman"/>
          <w:sz w:val="28"/>
          <w:szCs w:val="28"/>
        </w:rPr>
        <w:t xml:space="preserve"> din lipsa mecanism</w:t>
      </w:r>
      <w:r w:rsidR="008A2D27">
        <w:rPr>
          <w:rFonts w:ascii="Times New Roman" w:hAnsi="Times New Roman" w:cs="Times New Roman"/>
          <w:sz w:val="28"/>
          <w:szCs w:val="28"/>
        </w:rPr>
        <w:t>ului</w:t>
      </w:r>
      <w:r w:rsidRPr="001D0846">
        <w:rPr>
          <w:rFonts w:ascii="Times New Roman" w:hAnsi="Times New Roman" w:cs="Times New Roman"/>
          <w:sz w:val="28"/>
          <w:szCs w:val="28"/>
        </w:rPr>
        <w:t xml:space="preserve"> de prognozare. În viziunea auditului, indicator</w:t>
      </w:r>
      <w:r w:rsidR="008A2D27">
        <w:rPr>
          <w:rFonts w:ascii="Times New Roman" w:hAnsi="Times New Roman" w:cs="Times New Roman"/>
          <w:sz w:val="28"/>
          <w:szCs w:val="28"/>
        </w:rPr>
        <w:t>ul respectivare</w:t>
      </w:r>
      <w:r w:rsidRPr="001D0846">
        <w:rPr>
          <w:rFonts w:ascii="Times New Roman" w:hAnsi="Times New Roman" w:cs="Times New Roman"/>
          <w:sz w:val="28"/>
          <w:szCs w:val="28"/>
        </w:rPr>
        <w:t xml:space="preserve"> un impact major asupra sarcinii </w:t>
      </w:r>
      <w:r w:rsidRPr="001D0846">
        <w:rPr>
          <w:rFonts w:ascii="Times New Roman" w:hAnsi="Times New Roman" w:cs="Times New Roman"/>
          <w:spacing w:val="3"/>
          <w:sz w:val="28"/>
          <w:szCs w:val="28"/>
        </w:rPr>
        <w:t xml:space="preserve">de colectare a veniturilor la BPN, urmând a fi întreprinse măsuri în vederea elaborării unor estimări cuantificabile, </w:t>
      </w:r>
      <w:r w:rsidR="0014035B">
        <w:rPr>
          <w:rFonts w:ascii="Times New Roman" w:hAnsi="Times New Roman" w:cs="Times New Roman"/>
          <w:spacing w:val="3"/>
          <w:sz w:val="28"/>
          <w:szCs w:val="28"/>
        </w:rPr>
        <w:t xml:space="preserve">care se vor </w:t>
      </w:r>
      <w:r w:rsidRPr="001D0846">
        <w:rPr>
          <w:rFonts w:ascii="Times New Roman" w:hAnsi="Times New Roman" w:cs="Times New Roman"/>
          <w:spacing w:val="3"/>
          <w:sz w:val="28"/>
          <w:szCs w:val="28"/>
        </w:rPr>
        <w:t>lua în calcul la elaborarea prognozelor de venituri.</w:t>
      </w:r>
    </w:p>
    <w:p w:rsidR="008A2D27" w:rsidRDefault="008A2D27" w:rsidP="008A2D27">
      <w:pPr>
        <w:pStyle w:val="Heading1"/>
        <w:spacing w:before="0" w:line="276" w:lineRule="auto"/>
        <w:jc w:val="both"/>
        <w:rPr>
          <w:rFonts w:ascii="Times New Roman" w:hAnsi="Times New Roman" w:cs="Times New Roman"/>
          <w:b/>
          <w:color w:val="auto"/>
          <w:sz w:val="28"/>
          <w:szCs w:val="28"/>
        </w:rPr>
      </w:pPr>
    </w:p>
    <w:p w:rsidR="00DD4561" w:rsidRPr="00C77119" w:rsidRDefault="00BC0C40" w:rsidP="003C4B9E">
      <w:pPr>
        <w:pStyle w:val="Heading1"/>
        <w:spacing w:before="0" w:line="276" w:lineRule="auto"/>
        <w:jc w:val="both"/>
        <w:rPr>
          <w:rFonts w:ascii="Times New Roman" w:hAnsi="Times New Roman" w:cs="Times New Roman"/>
          <w:b/>
          <w:color w:val="auto"/>
          <w:sz w:val="28"/>
          <w:szCs w:val="28"/>
        </w:rPr>
      </w:pPr>
      <w:bookmarkStart w:id="11" w:name="_Toc515894889"/>
      <w:r w:rsidRPr="00C77119">
        <w:rPr>
          <w:rFonts w:ascii="Times New Roman" w:hAnsi="Times New Roman" w:cs="Times New Roman"/>
          <w:b/>
          <w:color w:val="auto"/>
          <w:sz w:val="28"/>
          <w:szCs w:val="28"/>
        </w:rPr>
        <w:t>3</w:t>
      </w:r>
      <w:r w:rsidR="00C947DA" w:rsidRPr="00C77119">
        <w:rPr>
          <w:rFonts w:ascii="Times New Roman" w:hAnsi="Times New Roman" w:cs="Times New Roman"/>
          <w:b/>
          <w:color w:val="auto"/>
          <w:sz w:val="28"/>
          <w:szCs w:val="28"/>
        </w:rPr>
        <w:t>.3</w:t>
      </w:r>
      <w:r w:rsidR="008C1007" w:rsidRPr="00C77119">
        <w:rPr>
          <w:rFonts w:ascii="Times New Roman" w:hAnsi="Times New Roman" w:cs="Times New Roman"/>
          <w:b/>
          <w:color w:val="auto"/>
          <w:sz w:val="28"/>
          <w:szCs w:val="28"/>
        </w:rPr>
        <w:t>.</w:t>
      </w:r>
      <w:r w:rsidR="00DD4561" w:rsidRPr="00C77119">
        <w:rPr>
          <w:rFonts w:ascii="Times New Roman" w:hAnsi="Times New Roman" w:cs="Times New Roman"/>
          <w:b/>
          <w:color w:val="auto"/>
          <w:sz w:val="28"/>
          <w:szCs w:val="28"/>
        </w:rPr>
        <w:t xml:space="preserve"> Realizarea sarcinii de c</w:t>
      </w:r>
      <w:r w:rsidR="008C1007" w:rsidRPr="00C77119">
        <w:rPr>
          <w:rFonts w:ascii="Times New Roman" w:hAnsi="Times New Roman" w:cs="Times New Roman"/>
          <w:b/>
          <w:color w:val="auto"/>
          <w:sz w:val="28"/>
          <w:szCs w:val="28"/>
        </w:rPr>
        <w:t xml:space="preserve">olectare </w:t>
      </w:r>
      <w:r w:rsidR="00DD4561" w:rsidRPr="00C77119">
        <w:rPr>
          <w:rFonts w:ascii="Times New Roman" w:hAnsi="Times New Roman" w:cs="Times New Roman"/>
          <w:b/>
          <w:color w:val="auto"/>
          <w:sz w:val="28"/>
          <w:szCs w:val="28"/>
        </w:rPr>
        <w:t xml:space="preserve">a veniturilor la BPN </w:t>
      </w:r>
      <w:r w:rsidR="00AF240A" w:rsidRPr="00C77119">
        <w:rPr>
          <w:rFonts w:ascii="Times New Roman" w:hAnsi="Times New Roman" w:cs="Times New Roman"/>
          <w:b/>
          <w:color w:val="auto"/>
          <w:sz w:val="28"/>
          <w:szCs w:val="28"/>
        </w:rPr>
        <w:t xml:space="preserve">de către </w:t>
      </w:r>
      <w:r w:rsidR="003C4B9E">
        <w:rPr>
          <w:rFonts w:ascii="Times New Roman" w:hAnsi="Times New Roman" w:cs="Times New Roman"/>
          <w:b/>
          <w:color w:val="auto"/>
          <w:sz w:val="28"/>
          <w:szCs w:val="28"/>
        </w:rPr>
        <w:t>SFS și SV</w:t>
      </w:r>
      <w:r w:rsidR="00AF240A" w:rsidRPr="00C77119">
        <w:rPr>
          <w:rFonts w:ascii="Times New Roman" w:hAnsi="Times New Roman" w:cs="Times New Roman"/>
          <w:b/>
          <w:color w:val="auto"/>
          <w:sz w:val="28"/>
          <w:szCs w:val="28"/>
        </w:rPr>
        <w:t>.</w:t>
      </w:r>
      <w:bookmarkEnd w:id="11"/>
    </w:p>
    <w:p w:rsidR="006151D1" w:rsidRPr="006B66CF" w:rsidRDefault="008C1007" w:rsidP="006B66CF">
      <w:pPr>
        <w:spacing w:after="0" w:line="276" w:lineRule="auto"/>
        <w:ind w:firstLine="720"/>
        <w:jc w:val="both"/>
        <w:rPr>
          <w:rFonts w:ascii="Times New Roman" w:hAnsi="Times New Roman" w:cs="Times New Roman"/>
          <w:bCs/>
          <w:i/>
          <w:sz w:val="28"/>
          <w:szCs w:val="28"/>
          <w:lang w:eastAsia="ro-RO"/>
        </w:rPr>
      </w:pPr>
      <w:r w:rsidRPr="001D0846">
        <w:rPr>
          <w:rFonts w:ascii="Times New Roman" w:hAnsi="Times New Roman" w:cs="Times New Roman"/>
          <w:i/>
          <w:sz w:val="28"/>
          <w:szCs w:val="28"/>
        </w:rPr>
        <w:t>Asigurarea părții de venituri la BPN, realizată prin exercitarea atribuțiilor de administrare fiscală și vamală, reprezintă unul din</w:t>
      </w:r>
      <w:r w:rsidR="0014035B">
        <w:rPr>
          <w:rFonts w:ascii="Times New Roman" w:hAnsi="Times New Roman" w:cs="Times New Roman"/>
          <w:i/>
          <w:sz w:val="28"/>
          <w:szCs w:val="28"/>
        </w:rPr>
        <w:t>tre</w:t>
      </w:r>
      <w:r w:rsidRPr="001D0846">
        <w:rPr>
          <w:rFonts w:ascii="Times New Roman" w:hAnsi="Times New Roman" w:cs="Times New Roman"/>
          <w:i/>
          <w:sz w:val="28"/>
          <w:szCs w:val="28"/>
        </w:rPr>
        <w:t xml:space="preserve"> obiectivele fundamentale ale </w:t>
      </w:r>
      <w:r w:rsidRPr="001D0846">
        <w:rPr>
          <w:rFonts w:ascii="Times New Roman" w:hAnsi="Times New Roman" w:cs="Times New Roman"/>
          <w:bCs/>
          <w:i/>
          <w:sz w:val="28"/>
          <w:szCs w:val="28"/>
          <w:lang w:eastAsia="ro-RO"/>
        </w:rPr>
        <w:t>SFS și SV</w:t>
      </w:r>
      <w:r w:rsidR="0014035B">
        <w:rPr>
          <w:rFonts w:ascii="Times New Roman" w:hAnsi="Times New Roman" w:cs="Times New Roman"/>
          <w:bCs/>
          <w:i/>
          <w:sz w:val="28"/>
          <w:szCs w:val="28"/>
          <w:lang w:eastAsia="ro-RO"/>
        </w:rPr>
        <w:t>,</w:t>
      </w:r>
      <w:r w:rsidRPr="001D0846">
        <w:rPr>
          <w:rFonts w:ascii="Times New Roman" w:hAnsi="Times New Roman" w:cs="Times New Roman"/>
          <w:bCs/>
          <w:i/>
          <w:sz w:val="28"/>
          <w:szCs w:val="28"/>
          <w:lang w:eastAsia="ro-RO"/>
        </w:rPr>
        <w:t xml:space="preserve"> care derivă din documentele de politici naționale în domeniu. În vederea realizării acestui deziderat strategic, organele fiscale și </w:t>
      </w:r>
      <w:r w:rsidR="0014035B">
        <w:rPr>
          <w:rFonts w:ascii="Times New Roman" w:hAnsi="Times New Roman" w:cs="Times New Roman"/>
          <w:bCs/>
          <w:i/>
          <w:sz w:val="28"/>
          <w:szCs w:val="28"/>
          <w:lang w:eastAsia="ro-RO"/>
        </w:rPr>
        <w:t xml:space="preserve">cele </w:t>
      </w:r>
      <w:r w:rsidRPr="001D0846">
        <w:rPr>
          <w:rFonts w:ascii="Times New Roman" w:hAnsi="Times New Roman" w:cs="Times New Roman"/>
          <w:bCs/>
          <w:i/>
          <w:sz w:val="28"/>
          <w:szCs w:val="28"/>
          <w:lang w:eastAsia="ro-RO"/>
        </w:rPr>
        <w:t xml:space="preserve">vamale urmau să asigure mobilizarea eforturilor și a capacităților instituționale în vederea atingerii performanțelor în administrarea </w:t>
      </w:r>
      <w:r w:rsidRPr="00975002">
        <w:rPr>
          <w:rFonts w:ascii="Times New Roman" w:hAnsi="Times New Roman" w:cs="Times New Roman"/>
          <w:bCs/>
          <w:i/>
          <w:sz w:val="28"/>
          <w:szCs w:val="28"/>
          <w:lang w:eastAsia="ro-RO"/>
        </w:rPr>
        <w:t xml:space="preserve">impozitelor și taxelor, asigurând colectarea maximă a veniturilor bugetare. Deși sarcina de </w:t>
      </w:r>
      <w:r w:rsidR="00555B62" w:rsidRPr="00975002">
        <w:rPr>
          <w:rFonts w:ascii="Times New Roman" w:hAnsi="Times New Roman" w:cs="Times New Roman"/>
          <w:bCs/>
          <w:i/>
          <w:sz w:val="28"/>
          <w:szCs w:val="28"/>
          <w:lang w:eastAsia="ro-RO"/>
        </w:rPr>
        <w:t xml:space="preserve">colectare a </w:t>
      </w:r>
      <w:r w:rsidRPr="00975002">
        <w:rPr>
          <w:rFonts w:ascii="Times New Roman" w:hAnsi="Times New Roman" w:cs="Times New Roman"/>
          <w:bCs/>
          <w:i/>
          <w:sz w:val="28"/>
          <w:szCs w:val="28"/>
          <w:lang w:eastAsia="ro-RO"/>
        </w:rPr>
        <w:t>venituri</w:t>
      </w:r>
      <w:r w:rsidR="00555B62" w:rsidRPr="00975002">
        <w:rPr>
          <w:rFonts w:ascii="Times New Roman" w:hAnsi="Times New Roman" w:cs="Times New Roman"/>
          <w:bCs/>
          <w:i/>
          <w:sz w:val="28"/>
          <w:szCs w:val="28"/>
          <w:lang w:eastAsia="ro-RO"/>
        </w:rPr>
        <w:t>lor</w:t>
      </w:r>
      <w:r w:rsidRPr="00975002">
        <w:rPr>
          <w:rFonts w:ascii="Times New Roman" w:hAnsi="Times New Roman" w:cs="Times New Roman"/>
          <w:bCs/>
          <w:i/>
          <w:sz w:val="28"/>
          <w:szCs w:val="28"/>
          <w:lang w:eastAsia="ro-RO"/>
        </w:rPr>
        <w:t xml:space="preserve"> la BPN, per ansamblu, a fost realizată integral de către organele fiscale</w:t>
      </w:r>
      <w:r w:rsidRPr="001D0846">
        <w:rPr>
          <w:rFonts w:ascii="Times New Roman" w:hAnsi="Times New Roman" w:cs="Times New Roman"/>
          <w:bCs/>
          <w:i/>
          <w:sz w:val="28"/>
          <w:szCs w:val="28"/>
          <w:lang w:eastAsia="ro-RO"/>
        </w:rPr>
        <w:t xml:space="preserve"> și vamale, stabilindu-se concomitent și unele tendințe pozitive de majorare a venituril</w:t>
      </w:r>
      <w:r w:rsidR="00CF60B0" w:rsidRPr="001D0846">
        <w:rPr>
          <w:rFonts w:ascii="Times New Roman" w:hAnsi="Times New Roman" w:cs="Times New Roman"/>
          <w:bCs/>
          <w:i/>
          <w:sz w:val="28"/>
          <w:szCs w:val="28"/>
          <w:lang w:eastAsia="ro-RO"/>
        </w:rPr>
        <w:t>or bugetare</w:t>
      </w:r>
      <w:r w:rsidR="006B66CF">
        <w:rPr>
          <w:rFonts w:ascii="Times New Roman" w:hAnsi="Times New Roman" w:cs="Times New Roman"/>
          <w:bCs/>
          <w:i/>
          <w:sz w:val="28"/>
          <w:szCs w:val="28"/>
          <w:lang w:eastAsia="ro-RO"/>
        </w:rPr>
        <w:t xml:space="preserve">, </w:t>
      </w:r>
      <w:r w:rsidRPr="001D0846">
        <w:rPr>
          <w:rFonts w:ascii="Times New Roman" w:hAnsi="Times New Roman" w:cs="Times New Roman"/>
          <w:bCs/>
          <w:i/>
          <w:sz w:val="28"/>
          <w:szCs w:val="28"/>
          <w:lang w:eastAsia="ro-RO"/>
        </w:rPr>
        <w:t>audit</w:t>
      </w:r>
      <w:r w:rsidR="0014035B">
        <w:rPr>
          <w:rFonts w:ascii="Times New Roman" w:hAnsi="Times New Roman" w:cs="Times New Roman"/>
          <w:bCs/>
          <w:i/>
          <w:sz w:val="28"/>
          <w:szCs w:val="28"/>
          <w:lang w:eastAsia="ro-RO"/>
        </w:rPr>
        <w:t xml:space="preserve">ul </w:t>
      </w:r>
      <w:r w:rsidRPr="001D0846">
        <w:rPr>
          <w:rFonts w:ascii="Times New Roman" w:hAnsi="Times New Roman" w:cs="Times New Roman"/>
          <w:bCs/>
          <w:i/>
          <w:sz w:val="28"/>
          <w:szCs w:val="28"/>
          <w:lang w:eastAsia="ro-RO"/>
        </w:rPr>
        <w:t xml:space="preserve"> relevă unele problematici și vulnerabilități</w:t>
      </w:r>
      <w:r w:rsidR="0014035B">
        <w:rPr>
          <w:rFonts w:ascii="Times New Roman" w:hAnsi="Times New Roman" w:cs="Times New Roman"/>
          <w:bCs/>
          <w:i/>
          <w:sz w:val="28"/>
          <w:szCs w:val="28"/>
          <w:lang w:eastAsia="ro-RO"/>
        </w:rPr>
        <w:t>,</w:t>
      </w:r>
      <w:r w:rsidRPr="001D0846">
        <w:rPr>
          <w:rFonts w:ascii="Times New Roman" w:hAnsi="Times New Roman" w:cs="Times New Roman"/>
          <w:bCs/>
          <w:i/>
          <w:sz w:val="28"/>
          <w:szCs w:val="28"/>
          <w:lang w:eastAsia="ro-RO"/>
        </w:rPr>
        <w:t xml:space="preserve"> carelimitează eficiența și eficacitatea administrării fiscale și vamale în colectarea impozitelor și taxelor. Astfel, modificările sarcinii bugetare anuale privind </w:t>
      </w:r>
      <w:r w:rsidRPr="001D0846">
        <w:rPr>
          <w:rFonts w:ascii="Times New Roman" w:hAnsi="Times New Roman" w:cs="Times New Roman"/>
          <w:bCs/>
          <w:i/>
          <w:sz w:val="28"/>
          <w:szCs w:val="28"/>
          <w:lang w:eastAsia="ro-RO"/>
        </w:rPr>
        <w:lastRenderedPageBreak/>
        <w:t xml:space="preserve">colectarea veniturilor, nerealizarea planului de încasări în aspectul unor impozite și taxe, ritmul </w:t>
      </w:r>
      <w:r w:rsidR="006B66CF">
        <w:rPr>
          <w:rFonts w:ascii="Times New Roman" w:hAnsi="Times New Roman" w:cs="Times New Roman"/>
          <w:bCs/>
          <w:i/>
          <w:sz w:val="28"/>
          <w:szCs w:val="28"/>
          <w:lang w:eastAsia="ro-RO"/>
        </w:rPr>
        <w:t>încetinit</w:t>
      </w:r>
      <w:r w:rsidRPr="001D0846">
        <w:rPr>
          <w:rFonts w:ascii="Times New Roman" w:hAnsi="Times New Roman" w:cs="Times New Roman"/>
          <w:bCs/>
          <w:i/>
          <w:sz w:val="28"/>
          <w:szCs w:val="28"/>
          <w:lang w:eastAsia="ro-RO"/>
        </w:rPr>
        <w:t xml:space="preserve"> de creștere a veniturilor colectate de SFS și SV</w:t>
      </w:r>
      <w:r w:rsidR="00DC52BD">
        <w:rPr>
          <w:rFonts w:ascii="Times New Roman" w:hAnsi="Times New Roman" w:cs="Times New Roman"/>
          <w:bCs/>
          <w:i/>
          <w:sz w:val="28"/>
          <w:szCs w:val="28"/>
          <w:lang w:eastAsia="ro-RO"/>
        </w:rPr>
        <w:t>,</w:t>
      </w:r>
      <w:r w:rsidRPr="001D0846">
        <w:rPr>
          <w:rFonts w:ascii="Times New Roman" w:hAnsi="Times New Roman" w:cs="Times New Roman"/>
          <w:bCs/>
          <w:i/>
          <w:sz w:val="28"/>
          <w:szCs w:val="28"/>
          <w:lang w:eastAsia="ro-RO"/>
        </w:rPr>
        <w:t xml:space="preserve"> raportat la evoluția PIB, </w:t>
      </w:r>
      <w:r w:rsidRPr="001D0846">
        <w:rPr>
          <w:rFonts w:ascii="Times New Roman" w:hAnsi="Times New Roman" w:cs="Times New Roman"/>
          <w:i/>
          <w:sz w:val="28"/>
          <w:szCs w:val="28"/>
        </w:rPr>
        <w:t>modificările impredictibile în politica bugetar-fiscală pe parcursul anului</w:t>
      </w:r>
      <w:r w:rsidR="00DC52BD">
        <w:rPr>
          <w:rFonts w:ascii="Times New Roman" w:hAnsi="Times New Roman" w:cs="Times New Roman"/>
          <w:i/>
          <w:sz w:val="28"/>
          <w:szCs w:val="28"/>
        </w:rPr>
        <w:t>,</w:t>
      </w:r>
      <w:r w:rsidRPr="001D0846">
        <w:rPr>
          <w:rFonts w:ascii="Times New Roman" w:hAnsi="Times New Roman" w:cs="Times New Roman"/>
          <w:i/>
          <w:sz w:val="28"/>
          <w:szCs w:val="28"/>
        </w:rPr>
        <w:t xml:space="preserve"> care au majorat veniturile bugetare fără eforturi de administrare, gradul redus de conformare voluntară la declararea și plata obligației fiscale și vamale au avut impact asupra performanțelor administrării fiscale și vamale, generând o rezultativitate inferioară celei </w:t>
      </w:r>
      <w:r w:rsidR="00DC52BD">
        <w:rPr>
          <w:rFonts w:ascii="Times New Roman" w:hAnsi="Times New Roman" w:cs="Times New Roman"/>
          <w:i/>
          <w:sz w:val="28"/>
          <w:szCs w:val="28"/>
        </w:rPr>
        <w:t>scontate</w:t>
      </w:r>
      <w:r w:rsidRPr="001D0846">
        <w:rPr>
          <w:rFonts w:ascii="Times New Roman" w:hAnsi="Times New Roman" w:cs="Times New Roman"/>
          <w:i/>
          <w:sz w:val="28"/>
          <w:szCs w:val="28"/>
        </w:rPr>
        <w:t xml:space="preserve">. </w:t>
      </w:r>
    </w:p>
    <w:p w:rsidR="006B66CF" w:rsidRDefault="008C1007" w:rsidP="003128C6">
      <w:pPr>
        <w:spacing w:after="0" w:line="276" w:lineRule="auto"/>
        <w:ind w:firstLine="720"/>
        <w:jc w:val="both"/>
        <w:rPr>
          <w:rFonts w:ascii="Times New Roman" w:hAnsi="Times New Roman" w:cs="Times New Roman"/>
          <w:b/>
          <w:i/>
          <w:sz w:val="28"/>
          <w:szCs w:val="28"/>
          <w:lang w:eastAsia="ru-RU"/>
        </w:rPr>
      </w:pPr>
      <w:r w:rsidRPr="001D0846">
        <w:rPr>
          <w:rFonts w:ascii="Times New Roman" w:hAnsi="Times New Roman" w:cs="Times New Roman"/>
          <w:sz w:val="28"/>
          <w:szCs w:val="28"/>
        </w:rPr>
        <w:t>În anul 2017</w:t>
      </w:r>
      <w:r w:rsidR="00DC52BD">
        <w:rPr>
          <w:rFonts w:ascii="Times New Roman" w:hAnsi="Times New Roman" w:cs="Times New Roman"/>
          <w:sz w:val="28"/>
          <w:szCs w:val="28"/>
        </w:rPr>
        <w:t>,</w:t>
      </w:r>
      <w:r w:rsidRPr="001D0846">
        <w:rPr>
          <w:rFonts w:ascii="Times New Roman" w:hAnsi="Times New Roman" w:cs="Times New Roman"/>
          <w:sz w:val="28"/>
          <w:szCs w:val="28"/>
        </w:rPr>
        <w:t xml:space="preserve"> veniturile administrate de organele fiscale și vamale în totalul veniturilor BPN au constituit 50,3 ml</w:t>
      </w:r>
      <w:r w:rsidR="00DC52BD">
        <w:rPr>
          <w:rFonts w:ascii="Times New Roman" w:hAnsi="Times New Roman" w:cs="Times New Roman"/>
          <w:sz w:val="28"/>
          <w:szCs w:val="28"/>
        </w:rPr>
        <w:t>r</w:t>
      </w:r>
      <w:r w:rsidRPr="001D0846">
        <w:rPr>
          <w:rFonts w:ascii="Times New Roman" w:hAnsi="Times New Roman" w:cs="Times New Roman"/>
          <w:sz w:val="28"/>
          <w:szCs w:val="28"/>
        </w:rPr>
        <w:t>d. lei (fără restituirea TVA), fiind în creștere cu 7,7 ml</w:t>
      </w:r>
      <w:r w:rsidR="00BE14FC">
        <w:rPr>
          <w:rFonts w:ascii="Times New Roman" w:hAnsi="Times New Roman" w:cs="Times New Roman"/>
          <w:sz w:val="28"/>
          <w:szCs w:val="28"/>
        </w:rPr>
        <w:t>r</w:t>
      </w:r>
      <w:r w:rsidRPr="001D0846">
        <w:rPr>
          <w:rFonts w:ascii="Times New Roman" w:hAnsi="Times New Roman" w:cs="Times New Roman"/>
          <w:sz w:val="28"/>
          <w:szCs w:val="28"/>
        </w:rPr>
        <w:t>d. lei față de anul 2016 și cu 11,7 ml</w:t>
      </w:r>
      <w:r w:rsidR="00BE14FC">
        <w:rPr>
          <w:rFonts w:ascii="Times New Roman" w:hAnsi="Times New Roman" w:cs="Times New Roman"/>
          <w:sz w:val="28"/>
          <w:szCs w:val="28"/>
        </w:rPr>
        <w:t>r</w:t>
      </w:r>
      <w:r w:rsidRPr="001D0846">
        <w:rPr>
          <w:rFonts w:ascii="Times New Roman" w:hAnsi="Times New Roman" w:cs="Times New Roman"/>
          <w:sz w:val="28"/>
          <w:szCs w:val="28"/>
        </w:rPr>
        <w:t xml:space="preserve">d. lei față de anul 2015, ceea ce denotă o tendință pozitivă de majorare a veniturilor bugetare. </w:t>
      </w:r>
      <w:r w:rsidRPr="001D0846">
        <w:rPr>
          <w:rFonts w:ascii="Times New Roman" w:hAnsi="Times New Roman" w:cs="Times New Roman"/>
          <w:i/>
          <w:sz w:val="28"/>
          <w:szCs w:val="28"/>
        </w:rPr>
        <w:t>Evoluția și ponderea veniturilor administrate de către SFS și SV în totalul veniturilor BPN</w:t>
      </w:r>
      <w:r w:rsidR="00D1586E" w:rsidRPr="001D0846">
        <w:rPr>
          <w:rFonts w:ascii="Times New Roman" w:hAnsi="Times New Roman" w:cs="Times New Roman"/>
          <w:i/>
          <w:sz w:val="28"/>
          <w:szCs w:val="28"/>
        </w:rPr>
        <w:t>s</w:t>
      </w:r>
      <w:r w:rsidR="00BE14FC">
        <w:rPr>
          <w:rFonts w:ascii="Times New Roman" w:hAnsi="Times New Roman" w:cs="Times New Roman"/>
          <w:i/>
          <w:sz w:val="28"/>
          <w:szCs w:val="28"/>
        </w:rPr>
        <w:t>unt</w:t>
      </w:r>
      <w:r w:rsidR="00D1586E" w:rsidRPr="001D0846">
        <w:rPr>
          <w:rFonts w:ascii="Times New Roman" w:hAnsi="Times New Roman" w:cs="Times New Roman"/>
          <w:i/>
          <w:sz w:val="28"/>
          <w:szCs w:val="28"/>
        </w:rPr>
        <w:t xml:space="preserve"> prez</w:t>
      </w:r>
      <w:r w:rsidR="00BE14FC">
        <w:rPr>
          <w:rFonts w:ascii="Times New Roman" w:hAnsi="Times New Roman" w:cs="Times New Roman"/>
          <w:i/>
          <w:sz w:val="28"/>
          <w:szCs w:val="28"/>
        </w:rPr>
        <w:t>enta</w:t>
      </w:r>
      <w:r w:rsidR="00D1586E" w:rsidRPr="001D0846">
        <w:rPr>
          <w:rFonts w:ascii="Times New Roman" w:hAnsi="Times New Roman" w:cs="Times New Roman"/>
          <w:i/>
          <w:sz w:val="28"/>
          <w:szCs w:val="28"/>
        </w:rPr>
        <w:t>t</w:t>
      </w:r>
      <w:r w:rsidR="00BE14FC">
        <w:rPr>
          <w:rFonts w:ascii="Times New Roman" w:hAnsi="Times New Roman" w:cs="Times New Roman"/>
          <w:i/>
          <w:sz w:val="28"/>
          <w:szCs w:val="28"/>
        </w:rPr>
        <w:t xml:space="preserve">e </w:t>
      </w:r>
      <w:r w:rsidR="00D1586E" w:rsidRPr="001D0846">
        <w:rPr>
          <w:rFonts w:ascii="Times New Roman" w:hAnsi="Times New Roman" w:cs="Times New Roman"/>
          <w:i/>
          <w:sz w:val="28"/>
          <w:szCs w:val="28"/>
        </w:rPr>
        <w:t xml:space="preserve"> în </w:t>
      </w:r>
      <w:r w:rsidR="004B2C7B" w:rsidRPr="001D0846">
        <w:rPr>
          <w:rFonts w:ascii="Times New Roman" w:hAnsi="Times New Roman" w:cs="Times New Roman"/>
          <w:i/>
          <w:sz w:val="28"/>
          <w:szCs w:val="28"/>
        </w:rPr>
        <w:t>Diagrama nr.</w:t>
      </w:r>
      <w:r w:rsidR="00C47531">
        <w:rPr>
          <w:rFonts w:ascii="Times New Roman" w:hAnsi="Times New Roman" w:cs="Times New Roman"/>
          <w:i/>
          <w:sz w:val="28"/>
          <w:szCs w:val="28"/>
        </w:rPr>
        <w:t>2</w:t>
      </w:r>
      <w:r w:rsidRPr="001D0846">
        <w:rPr>
          <w:rFonts w:ascii="Times New Roman" w:hAnsi="Times New Roman" w:cs="Times New Roman"/>
          <w:i/>
          <w:sz w:val="28"/>
          <w:szCs w:val="28"/>
        </w:rPr>
        <w:t>.</w:t>
      </w:r>
    </w:p>
    <w:p w:rsidR="00342D30" w:rsidRDefault="00342D30" w:rsidP="006B66CF">
      <w:pPr>
        <w:spacing w:after="0" w:line="276" w:lineRule="auto"/>
        <w:ind w:right="-96"/>
        <w:jc w:val="right"/>
        <w:rPr>
          <w:rFonts w:ascii="Times New Roman" w:hAnsi="Times New Roman" w:cs="Times New Roman"/>
          <w:b/>
          <w:i/>
          <w:sz w:val="28"/>
          <w:szCs w:val="28"/>
          <w:lang w:val="it-IT" w:eastAsia="ru-RU"/>
        </w:rPr>
      </w:pPr>
    </w:p>
    <w:p w:rsidR="006B66CF" w:rsidRPr="001D0846" w:rsidRDefault="006B66CF" w:rsidP="006B66CF">
      <w:pPr>
        <w:spacing w:after="0" w:line="276" w:lineRule="auto"/>
        <w:ind w:right="-96"/>
        <w:jc w:val="right"/>
        <w:rPr>
          <w:rFonts w:ascii="Times New Roman" w:hAnsi="Times New Roman" w:cs="Times New Roman"/>
          <w:b/>
          <w:i/>
          <w:sz w:val="28"/>
          <w:szCs w:val="28"/>
          <w:lang w:val="it-IT" w:eastAsia="ru-RU"/>
        </w:rPr>
      </w:pPr>
      <w:r w:rsidRPr="001D0846">
        <w:rPr>
          <w:rFonts w:ascii="Times New Roman" w:hAnsi="Times New Roman" w:cs="Times New Roman"/>
          <w:b/>
          <w:i/>
          <w:sz w:val="28"/>
          <w:szCs w:val="28"/>
          <w:lang w:val="it-IT" w:eastAsia="ru-RU"/>
        </w:rPr>
        <w:t>Diagrama nr.</w:t>
      </w:r>
      <w:r w:rsidR="00C47531">
        <w:rPr>
          <w:rFonts w:ascii="Times New Roman" w:hAnsi="Times New Roman" w:cs="Times New Roman"/>
          <w:b/>
          <w:i/>
          <w:sz w:val="28"/>
          <w:szCs w:val="28"/>
          <w:lang w:val="it-IT" w:eastAsia="ru-RU"/>
        </w:rPr>
        <w:t>2</w:t>
      </w:r>
    </w:p>
    <w:p w:rsidR="006B66CF" w:rsidRPr="001D0846" w:rsidRDefault="006B66CF" w:rsidP="006B66CF">
      <w:pPr>
        <w:spacing w:after="0" w:line="276" w:lineRule="auto"/>
        <w:ind w:right="-424"/>
        <w:jc w:val="center"/>
        <w:rPr>
          <w:rFonts w:ascii="Times New Roman" w:hAnsi="Times New Roman" w:cs="Times New Roman"/>
          <w:i/>
          <w:sz w:val="24"/>
          <w:szCs w:val="24"/>
          <w:lang w:val="it-IT" w:eastAsia="ru-RU"/>
        </w:rPr>
      </w:pPr>
      <w:r w:rsidRPr="001D0846">
        <w:rPr>
          <w:rFonts w:ascii="Times New Roman" w:hAnsi="Times New Roman" w:cs="Times New Roman"/>
          <w:i/>
          <w:sz w:val="24"/>
          <w:szCs w:val="24"/>
          <w:lang w:val="it-IT" w:eastAsia="ru-RU"/>
        </w:rPr>
        <w:t xml:space="preserve">                                                                                                                                          (ml</w:t>
      </w:r>
      <w:r>
        <w:rPr>
          <w:rFonts w:ascii="Times New Roman" w:hAnsi="Times New Roman" w:cs="Times New Roman"/>
          <w:i/>
          <w:sz w:val="24"/>
          <w:szCs w:val="24"/>
          <w:lang w:val="it-IT" w:eastAsia="ru-RU"/>
        </w:rPr>
        <w:t>r</w:t>
      </w:r>
      <w:r w:rsidRPr="001D0846">
        <w:rPr>
          <w:rFonts w:ascii="Times New Roman" w:hAnsi="Times New Roman" w:cs="Times New Roman"/>
          <w:i/>
          <w:sz w:val="24"/>
          <w:szCs w:val="24"/>
          <w:lang w:val="it-IT" w:eastAsia="ru-RU"/>
        </w:rPr>
        <w:t>d.lei)</w:t>
      </w:r>
    </w:p>
    <w:p w:rsidR="006B66CF" w:rsidRPr="001D0846" w:rsidRDefault="006B66CF" w:rsidP="00C47531">
      <w:pPr>
        <w:tabs>
          <w:tab w:val="left" w:pos="5316"/>
          <w:tab w:val="left" w:pos="9450"/>
        </w:tabs>
        <w:spacing w:after="0" w:line="240" w:lineRule="auto"/>
        <w:ind w:right="-418"/>
        <w:rPr>
          <w:rFonts w:ascii="Times New Roman" w:eastAsia="Calibri" w:hAnsi="Times New Roman" w:cs="Times New Roman"/>
          <w:i/>
          <w:sz w:val="20"/>
          <w:szCs w:val="20"/>
        </w:rPr>
      </w:pPr>
      <w:r w:rsidRPr="001D0846">
        <w:rPr>
          <w:rFonts w:ascii="Times New Roman" w:hAnsi="Times New Roman" w:cs="Times New Roman"/>
          <w:b/>
          <w:noProof/>
          <w:sz w:val="16"/>
          <w:szCs w:val="16"/>
          <w:lang w:val="en-GB" w:eastAsia="en-GB"/>
        </w:rPr>
        <w:drawing>
          <wp:inline distT="0" distB="0" distL="0" distR="0">
            <wp:extent cx="5974080" cy="2484755"/>
            <wp:effectExtent l="0" t="0" r="7620" b="10795"/>
            <wp:docPr id="6"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1D0846">
        <w:rPr>
          <w:rFonts w:ascii="Times New Roman" w:eastAsia="Calibri" w:hAnsi="Times New Roman" w:cs="Times New Roman"/>
          <w:b/>
          <w:i/>
          <w:sz w:val="20"/>
          <w:szCs w:val="20"/>
        </w:rPr>
        <w:t>Sursă:</w:t>
      </w:r>
      <w:r w:rsidRPr="001D0846">
        <w:rPr>
          <w:rFonts w:ascii="Times New Roman" w:eastAsia="Calibri" w:hAnsi="Times New Roman" w:cs="Times New Roman"/>
          <w:i/>
          <w:sz w:val="20"/>
          <w:szCs w:val="20"/>
        </w:rPr>
        <w:t xml:space="preserve"> Date generalizate de către echipa de audit în baza informațiilor din dările de seamă privind încasările la</w:t>
      </w:r>
      <w:r w:rsidR="0029582E">
        <w:rPr>
          <w:rFonts w:ascii="Times New Roman" w:eastAsia="Calibri" w:hAnsi="Times New Roman" w:cs="Times New Roman"/>
          <w:i/>
          <w:sz w:val="20"/>
          <w:szCs w:val="20"/>
        </w:rPr>
        <w:t xml:space="preserve"> BPN</w:t>
      </w:r>
    </w:p>
    <w:p w:rsidR="006B66CF" w:rsidRDefault="006B66CF" w:rsidP="00C47531">
      <w:pPr>
        <w:tabs>
          <w:tab w:val="left" w:pos="5316"/>
          <w:tab w:val="left" w:pos="9450"/>
        </w:tabs>
        <w:spacing w:after="0" w:line="240" w:lineRule="auto"/>
        <w:ind w:right="-418"/>
        <w:rPr>
          <w:rFonts w:ascii="Times New Roman" w:hAnsi="Times New Roman" w:cs="Times New Roman"/>
          <w:b/>
          <w:i/>
          <w:sz w:val="28"/>
          <w:szCs w:val="28"/>
          <w:lang w:eastAsia="ru-RU"/>
        </w:rPr>
      </w:pPr>
      <w:r w:rsidRPr="001D0846">
        <w:rPr>
          <w:rFonts w:ascii="Times New Roman" w:eastAsia="Calibri" w:hAnsi="Times New Roman" w:cs="Times New Roman"/>
          <w:i/>
          <w:sz w:val="20"/>
          <w:szCs w:val="20"/>
        </w:rPr>
        <w:t>administrate de SFS și SV pe anii 2015-2017.</w:t>
      </w:r>
    </w:p>
    <w:p w:rsidR="008C1007" w:rsidRPr="001D0846" w:rsidRDefault="008C1007" w:rsidP="00C47531">
      <w:pPr>
        <w:tabs>
          <w:tab w:val="left" w:pos="9450"/>
        </w:tabs>
        <w:spacing w:after="0" w:line="240" w:lineRule="auto"/>
        <w:ind w:firstLine="720"/>
        <w:rPr>
          <w:rFonts w:ascii="Times New Roman" w:hAnsi="Times New Roman" w:cs="Times New Roman"/>
          <w:b/>
          <w:sz w:val="28"/>
          <w:szCs w:val="28"/>
        </w:rPr>
      </w:pPr>
    </w:p>
    <w:p w:rsidR="006B66CF" w:rsidRDefault="008C1007" w:rsidP="003128C6">
      <w:pPr>
        <w:spacing w:after="0" w:line="276" w:lineRule="auto"/>
        <w:ind w:firstLine="720"/>
        <w:jc w:val="both"/>
        <w:rPr>
          <w:rFonts w:ascii="Times New Roman" w:hAnsi="Times New Roman" w:cs="Times New Roman"/>
          <w:b/>
          <w:i/>
          <w:sz w:val="28"/>
          <w:szCs w:val="28"/>
          <w:lang w:val="it-IT" w:eastAsia="ru-RU"/>
        </w:rPr>
      </w:pPr>
      <w:r w:rsidRPr="001D0846">
        <w:rPr>
          <w:rFonts w:ascii="Times New Roman" w:hAnsi="Times New Roman" w:cs="Times New Roman"/>
          <w:sz w:val="28"/>
          <w:szCs w:val="28"/>
        </w:rPr>
        <w:t xml:space="preserve">Analiza datelor prezentate în Diagramă relevă că, în ansamblu, ponderea veniturilor administrate de organele fiscale și vamale în totalul veniturilor BPN este în creștere </w:t>
      </w:r>
      <w:r w:rsidR="00BE14FC">
        <w:rPr>
          <w:rFonts w:ascii="Times New Roman" w:hAnsi="Times New Roman" w:cs="Times New Roman"/>
          <w:sz w:val="28"/>
          <w:szCs w:val="28"/>
        </w:rPr>
        <w:t>(</w:t>
      </w:r>
      <w:r w:rsidRPr="001D0846">
        <w:rPr>
          <w:rFonts w:ascii="Times New Roman" w:hAnsi="Times New Roman" w:cs="Times New Roman"/>
          <w:sz w:val="28"/>
          <w:szCs w:val="28"/>
        </w:rPr>
        <w:t>de la 88,3 % în anul 2015 până la 94,2 % în anul 2017</w:t>
      </w:r>
      <w:r w:rsidR="00BE14FC">
        <w:rPr>
          <w:rFonts w:ascii="Times New Roman" w:hAnsi="Times New Roman" w:cs="Times New Roman"/>
          <w:sz w:val="28"/>
          <w:szCs w:val="28"/>
        </w:rPr>
        <w:t>)</w:t>
      </w:r>
      <w:r w:rsidRPr="001D0846">
        <w:rPr>
          <w:rFonts w:ascii="Times New Roman" w:hAnsi="Times New Roman" w:cs="Times New Roman"/>
          <w:sz w:val="28"/>
          <w:szCs w:val="28"/>
        </w:rPr>
        <w:t xml:space="preserve">. De asemenea, auditul constată o pondere ascendentă a veniturilor administrate de SFS și SV (fără restituirea TVA) în totalul veniturilor BS, care în anul 2017 a </w:t>
      </w:r>
      <w:r w:rsidR="00BE14FC">
        <w:rPr>
          <w:rFonts w:ascii="Times New Roman" w:hAnsi="Times New Roman" w:cs="Times New Roman"/>
          <w:sz w:val="28"/>
          <w:szCs w:val="28"/>
        </w:rPr>
        <w:t>constituit</w:t>
      </w:r>
      <w:r w:rsidRPr="001D0846">
        <w:rPr>
          <w:rFonts w:ascii="Times New Roman" w:hAnsi="Times New Roman" w:cs="Times New Roman"/>
          <w:sz w:val="28"/>
          <w:szCs w:val="28"/>
        </w:rPr>
        <w:t xml:space="preserve"> 94,7%, fiind în creștere cu 9,3 p.p. față de anul 2015. </w:t>
      </w:r>
      <w:r w:rsidRPr="001D0846">
        <w:rPr>
          <w:rFonts w:ascii="Times New Roman" w:hAnsi="Times New Roman" w:cs="Times New Roman"/>
          <w:i/>
          <w:sz w:val="28"/>
          <w:szCs w:val="28"/>
        </w:rPr>
        <w:t>Evoluția și ponderea veniturilor administrate de SFS și SV în totalul veniturilor BS s</w:t>
      </w:r>
      <w:r w:rsidR="00BE14FC">
        <w:rPr>
          <w:rFonts w:ascii="Times New Roman" w:hAnsi="Times New Roman" w:cs="Times New Roman"/>
          <w:i/>
          <w:sz w:val="28"/>
          <w:szCs w:val="28"/>
        </w:rPr>
        <w:t>unt</w:t>
      </w:r>
      <w:r w:rsidR="00D1586E" w:rsidRPr="001D0846">
        <w:rPr>
          <w:rFonts w:ascii="Times New Roman" w:hAnsi="Times New Roman" w:cs="Times New Roman"/>
          <w:i/>
          <w:sz w:val="28"/>
          <w:szCs w:val="28"/>
        </w:rPr>
        <w:t>prez</w:t>
      </w:r>
      <w:r w:rsidR="00BE14FC">
        <w:rPr>
          <w:rFonts w:ascii="Times New Roman" w:hAnsi="Times New Roman" w:cs="Times New Roman"/>
          <w:i/>
          <w:sz w:val="28"/>
          <w:szCs w:val="28"/>
        </w:rPr>
        <w:t>enta</w:t>
      </w:r>
      <w:r w:rsidR="00D1586E" w:rsidRPr="001D0846">
        <w:rPr>
          <w:rFonts w:ascii="Times New Roman" w:hAnsi="Times New Roman" w:cs="Times New Roman"/>
          <w:i/>
          <w:sz w:val="28"/>
          <w:szCs w:val="28"/>
        </w:rPr>
        <w:t>t</w:t>
      </w:r>
      <w:r w:rsidR="00BE14FC">
        <w:rPr>
          <w:rFonts w:ascii="Times New Roman" w:hAnsi="Times New Roman" w:cs="Times New Roman"/>
          <w:i/>
          <w:sz w:val="28"/>
          <w:szCs w:val="28"/>
        </w:rPr>
        <w:t xml:space="preserve">e </w:t>
      </w:r>
      <w:r w:rsidR="004B2C7B" w:rsidRPr="001D0846">
        <w:rPr>
          <w:rFonts w:ascii="Times New Roman" w:hAnsi="Times New Roman" w:cs="Times New Roman"/>
          <w:i/>
          <w:sz w:val="28"/>
          <w:szCs w:val="28"/>
        </w:rPr>
        <w:t xml:space="preserve"> în Diagrama nr.</w:t>
      </w:r>
      <w:r w:rsidR="00C47531">
        <w:rPr>
          <w:rFonts w:ascii="Times New Roman" w:hAnsi="Times New Roman" w:cs="Times New Roman"/>
          <w:i/>
          <w:sz w:val="28"/>
          <w:szCs w:val="28"/>
        </w:rPr>
        <w:t>3</w:t>
      </w:r>
      <w:r w:rsidR="006B66CF">
        <w:rPr>
          <w:rFonts w:ascii="Times New Roman" w:hAnsi="Times New Roman" w:cs="Times New Roman"/>
          <w:i/>
          <w:sz w:val="28"/>
          <w:szCs w:val="28"/>
        </w:rPr>
        <w:t>.</w:t>
      </w:r>
    </w:p>
    <w:p w:rsidR="006B66CF" w:rsidRDefault="006B66CF" w:rsidP="003128C6">
      <w:pPr>
        <w:spacing w:after="0" w:line="276" w:lineRule="auto"/>
        <w:ind w:firstLine="720"/>
        <w:jc w:val="both"/>
        <w:rPr>
          <w:rFonts w:ascii="Times New Roman" w:hAnsi="Times New Roman" w:cs="Times New Roman"/>
          <w:b/>
          <w:i/>
          <w:sz w:val="28"/>
          <w:szCs w:val="28"/>
          <w:lang w:val="it-IT" w:eastAsia="ru-RU"/>
        </w:rPr>
      </w:pPr>
    </w:p>
    <w:p w:rsidR="00342D30" w:rsidRDefault="00342D30" w:rsidP="0029582E">
      <w:pPr>
        <w:spacing w:after="0" w:line="276" w:lineRule="auto"/>
        <w:ind w:right="-6"/>
        <w:jc w:val="right"/>
        <w:rPr>
          <w:rFonts w:ascii="Times New Roman" w:hAnsi="Times New Roman" w:cs="Times New Roman"/>
          <w:b/>
          <w:i/>
          <w:sz w:val="28"/>
          <w:szCs w:val="28"/>
          <w:lang w:val="it-IT" w:eastAsia="ru-RU"/>
        </w:rPr>
      </w:pPr>
    </w:p>
    <w:p w:rsidR="00342D30" w:rsidRDefault="00342D30" w:rsidP="0029582E">
      <w:pPr>
        <w:spacing w:after="0" w:line="276" w:lineRule="auto"/>
        <w:ind w:right="-6"/>
        <w:jc w:val="right"/>
        <w:rPr>
          <w:rFonts w:ascii="Times New Roman" w:hAnsi="Times New Roman" w:cs="Times New Roman"/>
          <w:b/>
          <w:i/>
          <w:sz w:val="28"/>
          <w:szCs w:val="28"/>
          <w:lang w:val="it-IT" w:eastAsia="ru-RU"/>
        </w:rPr>
      </w:pPr>
    </w:p>
    <w:p w:rsidR="00342D30" w:rsidRDefault="00342D30" w:rsidP="0029582E">
      <w:pPr>
        <w:spacing w:after="0" w:line="276" w:lineRule="auto"/>
        <w:ind w:right="-6"/>
        <w:jc w:val="right"/>
        <w:rPr>
          <w:rFonts w:ascii="Times New Roman" w:hAnsi="Times New Roman" w:cs="Times New Roman"/>
          <w:b/>
          <w:i/>
          <w:sz w:val="28"/>
          <w:szCs w:val="28"/>
          <w:lang w:val="it-IT" w:eastAsia="ru-RU"/>
        </w:rPr>
      </w:pPr>
    </w:p>
    <w:p w:rsidR="00342D30" w:rsidRDefault="00342D30" w:rsidP="0029582E">
      <w:pPr>
        <w:spacing w:after="0" w:line="276" w:lineRule="auto"/>
        <w:ind w:right="-6"/>
        <w:jc w:val="right"/>
        <w:rPr>
          <w:rFonts w:ascii="Times New Roman" w:hAnsi="Times New Roman" w:cs="Times New Roman"/>
          <w:b/>
          <w:i/>
          <w:sz w:val="28"/>
          <w:szCs w:val="28"/>
          <w:lang w:val="it-IT" w:eastAsia="ru-RU"/>
        </w:rPr>
      </w:pPr>
    </w:p>
    <w:p w:rsidR="00342D30" w:rsidRDefault="00342D30" w:rsidP="0029582E">
      <w:pPr>
        <w:spacing w:after="0" w:line="276" w:lineRule="auto"/>
        <w:ind w:right="-6"/>
        <w:jc w:val="right"/>
        <w:rPr>
          <w:rFonts w:ascii="Times New Roman" w:hAnsi="Times New Roman" w:cs="Times New Roman"/>
          <w:b/>
          <w:i/>
          <w:sz w:val="28"/>
          <w:szCs w:val="28"/>
          <w:lang w:val="it-IT" w:eastAsia="ru-RU"/>
        </w:rPr>
      </w:pPr>
    </w:p>
    <w:p w:rsidR="006B66CF" w:rsidRPr="001D0846" w:rsidRDefault="006B66CF" w:rsidP="0029582E">
      <w:pPr>
        <w:spacing w:after="0" w:line="276" w:lineRule="auto"/>
        <w:ind w:right="-6"/>
        <w:jc w:val="right"/>
        <w:rPr>
          <w:rFonts w:ascii="Times New Roman" w:hAnsi="Times New Roman" w:cs="Times New Roman"/>
          <w:b/>
          <w:i/>
          <w:sz w:val="28"/>
          <w:szCs w:val="28"/>
          <w:lang w:val="it-IT" w:eastAsia="ru-RU"/>
        </w:rPr>
      </w:pPr>
      <w:r w:rsidRPr="001D0846">
        <w:rPr>
          <w:rFonts w:ascii="Times New Roman" w:hAnsi="Times New Roman" w:cs="Times New Roman"/>
          <w:b/>
          <w:i/>
          <w:sz w:val="28"/>
          <w:szCs w:val="28"/>
          <w:lang w:val="it-IT" w:eastAsia="ru-RU"/>
        </w:rPr>
        <w:t>Diagrama nr.</w:t>
      </w:r>
      <w:r w:rsidR="00C47531">
        <w:rPr>
          <w:rFonts w:ascii="Times New Roman" w:hAnsi="Times New Roman" w:cs="Times New Roman"/>
          <w:b/>
          <w:i/>
          <w:sz w:val="28"/>
          <w:szCs w:val="28"/>
          <w:lang w:val="it-IT" w:eastAsia="ru-RU"/>
        </w:rPr>
        <w:t>3</w:t>
      </w:r>
    </w:p>
    <w:p w:rsidR="006B66CF" w:rsidRPr="001D0846" w:rsidRDefault="006B66CF" w:rsidP="0029582E">
      <w:pPr>
        <w:spacing w:after="0" w:line="276" w:lineRule="auto"/>
        <w:ind w:right="-6"/>
        <w:jc w:val="right"/>
        <w:rPr>
          <w:rFonts w:ascii="Times New Roman" w:hAnsi="Times New Roman" w:cs="Times New Roman"/>
          <w:i/>
          <w:sz w:val="24"/>
          <w:szCs w:val="24"/>
          <w:lang w:val="it-IT" w:eastAsia="ru-RU"/>
        </w:rPr>
      </w:pPr>
      <w:r w:rsidRPr="001D0846">
        <w:rPr>
          <w:rFonts w:ascii="Times New Roman" w:hAnsi="Times New Roman" w:cs="Times New Roman"/>
          <w:i/>
          <w:sz w:val="24"/>
          <w:szCs w:val="24"/>
          <w:lang w:val="it-IT" w:eastAsia="ru-RU"/>
        </w:rPr>
        <w:t>(ml</w:t>
      </w:r>
      <w:r w:rsidR="0029582E">
        <w:rPr>
          <w:rFonts w:ascii="Times New Roman" w:hAnsi="Times New Roman" w:cs="Times New Roman"/>
          <w:i/>
          <w:sz w:val="24"/>
          <w:szCs w:val="24"/>
          <w:lang w:val="it-IT" w:eastAsia="ru-RU"/>
        </w:rPr>
        <w:t>r</w:t>
      </w:r>
      <w:r w:rsidRPr="001D0846">
        <w:rPr>
          <w:rFonts w:ascii="Times New Roman" w:hAnsi="Times New Roman" w:cs="Times New Roman"/>
          <w:i/>
          <w:sz w:val="24"/>
          <w:szCs w:val="24"/>
          <w:lang w:val="it-IT" w:eastAsia="ru-RU"/>
        </w:rPr>
        <w:t>d.lei)</w:t>
      </w:r>
    </w:p>
    <w:p w:rsidR="006B66CF" w:rsidRPr="001D0846" w:rsidRDefault="006B66CF" w:rsidP="006B66CF">
      <w:pPr>
        <w:tabs>
          <w:tab w:val="left" w:pos="3330"/>
          <w:tab w:val="left" w:pos="5316"/>
        </w:tabs>
        <w:spacing w:after="0" w:line="276" w:lineRule="auto"/>
        <w:rPr>
          <w:rFonts w:ascii="Times New Roman" w:hAnsi="Times New Roman" w:cs="Times New Roman"/>
          <w:sz w:val="28"/>
          <w:szCs w:val="28"/>
        </w:rPr>
      </w:pPr>
      <w:r w:rsidRPr="001D0846">
        <w:rPr>
          <w:rFonts w:ascii="Times New Roman" w:hAnsi="Times New Roman" w:cs="Times New Roman"/>
          <w:b/>
          <w:noProof/>
          <w:sz w:val="16"/>
          <w:szCs w:val="16"/>
          <w:lang w:val="en-GB" w:eastAsia="en-GB"/>
        </w:rPr>
        <w:drawing>
          <wp:inline distT="0" distB="0" distL="0" distR="0">
            <wp:extent cx="5935980" cy="2758440"/>
            <wp:effectExtent l="0" t="0" r="7620" b="3810"/>
            <wp:docPr id="9"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B66CF" w:rsidRPr="001D0846" w:rsidRDefault="006B66CF" w:rsidP="00C47531">
      <w:pPr>
        <w:tabs>
          <w:tab w:val="left" w:pos="5316"/>
        </w:tabs>
        <w:spacing w:after="0" w:line="240" w:lineRule="auto"/>
        <w:ind w:right="-331"/>
        <w:rPr>
          <w:rFonts w:ascii="Times New Roman" w:eastAsia="Calibri" w:hAnsi="Times New Roman" w:cs="Times New Roman"/>
          <w:i/>
          <w:sz w:val="20"/>
          <w:szCs w:val="20"/>
        </w:rPr>
      </w:pPr>
      <w:r w:rsidRPr="001D0846">
        <w:rPr>
          <w:rFonts w:ascii="Times New Roman" w:eastAsia="Calibri" w:hAnsi="Times New Roman" w:cs="Times New Roman"/>
          <w:b/>
          <w:i/>
          <w:sz w:val="20"/>
          <w:szCs w:val="20"/>
        </w:rPr>
        <w:t>Sursă:</w:t>
      </w:r>
      <w:r w:rsidRPr="001D0846">
        <w:rPr>
          <w:rFonts w:ascii="Times New Roman" w:eastAsia="Calibri" w:hAnsi="Times New Roman" w:cs="Times New Roman"/>
          <w:i/>
          <w:sz w:val="20"/>
          <w:szCs w:val="20"/>
        </w:rPr>
        <w:t xml:space="preserve"> Date generalizate de către echipa de audit în baza informațiilor din dările de seamă privind încasările la</w:t>
      </w:r>
      <w:r w:rsidR="0029582E">
        <w:rPr>
          <w:rFonts w:ascii="Times New Roman" w:eastAsia="Calibri" w:hAnsi="Times New Roman" w:cs="Times New Roman"/>
          <w:i/>
          <w:sz w:val="20"/>
          <w:szCs w:val="20"/>
        </w:rPr>
        <w:t xml:space="preserve"> BPN</w:t>
      </w:r>
    </w:p>
    <w:p w:rsidR="006B66CF" w:rsidRDefault="006B66CF" w:rsidP="00C47531">
      <w:pPr>
        <w:tabs>
          <w:tab w:val="left" w:pos="5316"/>
        </w:tabs>
        <w:spacing w:after="0" w:line="240" w:lineRule="auto"/>
        <w:ind w:right="-331"/>
        <w:rPr>
          <w:rFonts w:ascii="Times New Roman" w:eastAsia="Calibri" w:hAnsi="Times New Roman" w:cs="Times New Roman"/>
          <w:i/>
          <w:sz w:val="20"/>
          <w:szCs w:val="20"/>
        </w:rPr>
      </w:pPr>
      <w:r w:rsidRPr="001D0846">
        <w:rPr>
          <w:rFonts w:ascii="Times New Roman" w:eastAsia="Calibri" w:hAnsi="Times New Roman" w:cs="Times New Roman"/>
          <w:i/>
          <w:sz w:val="20"/>
          <w:szCs w:val="20"/>
        </w:rPr>
        <w:t>administrate de SFS și SV pe anii 2015-2017.</w:t>
      </w:r>
    </w:p>
    <w:p w:rsidR="00342D30" w:rsidRPr="001D0846" w:rsidRDefault="00342D30" w:rsidP="00C47531">
      <w:pPr>
        <w:tabs>
          <w:tab w:val="left" w:pos="5316"/>
        </w:tabs>
        <w:spacing w:after="0" w:line="240" w:lineRule="auto"/>
        <w:ind w:right="-331"/>
        <w:rPr>
          <w:rFonts w:ascii="Times New Roman" w:eastAsia="Calibri" w:hAnsi="Times New Roman" w:cs="Times New Roman"/>
          <w:i/>
          <w:sz w:val="20"/>
          <w:szCs w:val="20"/>
        </w:rPr>
      </w:pPr>
    </w:p>
    <w:p w:rsidR="008C1007" w:rsidRPr="001D0846" w:rsidRDefault="006151D1" w:rsidP="006B66CF">
      <w:pPr>
        <w:spacing w:after="0" w:line="276" w:lineRule="auto"/>
        <w:ind w:firstLine="709"/>
        <w:jc w:val="both"/>
        <w:rPr>
          <w:rFonts w:ascii="Times New Roman" w:hAnsi="Times New Roman" w:cs="Times New Roman"/>
          <w:sz w:val="28"/>
          <w:szCs w:val="28"/>
        </w:rPr>
      </w:pPr>
      <w:r w:rsidRPr="001D0846">
        <w:rPr>
          <w:rFonts w:ascii="Times New Roman" w:hAnsi="Times New Roman" w:cs="Times New Roman"/>
          <w:sz w:val="28"/>
          <w:szCs w:val="28"/>
        </w:rPr>
        <w:t>Analiza datelor prezentate</w:t>
      </w:r>
      <w:r w:rsidR="008C1007" w:rsidRPr="001D0846">
        <w:rPr>
          <w:rFonts w:ascii="Times New Roman" w:hAnsi="Times New Roman" w:cs="Times New Roman"/>
          <w:sz w:val="28"/>
          <w:szCs w:val="28"/>
        </w:rPr>
        <w:t xml:space="preserve"> în Diagramă relevă o creștere a veniturilor administrate de SFS și SV în totalul veniturilor BS </w:t>
      </w:r>
      <w:r w:rsidR="00BE14FC">
        <w:rPr>
          <w:rFonts w:ascii="Times New Roman" w:hAnsi="Times New Roman" w:cs="Times New Roman"/>
          <w:sz w:val="28"/>
          <w:szCs w:val="28"/>
        </w:rPr>
        <w:t>(</w:t>
      </w:r>
      <w:r w:rsidR="008C1007" w:rsidRPr="001D0846">
        <w:rPr>
          <w:rFonts w:ascii="Times New Roman" w:hAnsi="Times New Roman" w:cs="Times New Roman"/>
          <w:sz w:val="28"/>
          <w:szCs w:val="28"/>
        </w:rPr>
        <w:t>de la 24</w:t>
      </w:r>
      <w:r w:rsidR="00BE14FC">
        <w:rPr>
          <w:rFonts w:ascii="Times New Roman" w:hAnsi="Times New Roman" w:cs="Times New Roman"/>
          <w:sz w:val="28"/>
          <w:szCs w:val="28"/>
        </w:rPr>
        <w:t>,0</w:t>
      </w:r>
      <w:r w:rsidR="008C1007" w:rsidRPr="001D0846">
        <w:rPr>
          <w:rFonts w:ascii="Times New Roman" w:hAnsi="Times New Roman" w:cs="Times New Roman"/>
          <w:sz w:val="28"/>
          <w:szCs w:val="28"/>
        </w:rPr>
        <w:t>ml</w:t>
      </w:r>
      <w:r w:rsidR="00BE14FC">
        <w:rPr>
          <w:rFonts w:ascii="Times New Roman" w:hAnsi="Times New Roman" w:cs="Times New Roman"/>
          <w:sz w:val="28"/>
          <w:szCs w:val="28"/>
        </w:rPr>
        <w:t>r</w:t>
      </w:r>
      <w:r w:rsidR="008C1007" w:rsidRPr="001D0846">
        <w:rPr>
          <w:rFonts w:ascii="Times New Roman" w:hAnsi="Times New Roman" w:cs="Times New Roman"/>
          <w:sz w:val="28"/>
          <w:szCs w:val="28"/>
        </w:rPr>
        <w:t>d.lei în anul 2015 până la 31,9 ml</w:t>
      </w:r>
      <w:r w:rsidR="00BE14FC">
        <w:rPr>
          <w:rFonts w:ascii="Times New Roman" w:hAnsi="Times New Roman" w:cs="Times New Roman"/>
          <w:sz w:val="28"/>
          <w:szCs w:val="28"/>
        </w:rPr>
        <w:t>r</w:t>
      </w:r>
      <w:r w:rsidR="008C1007" w:rsidRPr="001D0846">
        <w:rPr>
          <w:rFonts w:ascii="Times New Roman" w:hAnsi="Times New Roman" w:cs="Times New Roman"/>
          <w:sz w:val="28"/>
          <w:szCs w:val="28"/>
        </w:rPr>
        <w:t>d.lei în anul 2017</w:t>
      </w:r>
      <w:r w:rsidR="00BE14FC">
        <w:rPr>
          <w:rFonts w:ascii="Times New Roman" w:hAnsi="Times New Roman" w:cs="Times New Roman"/>
          <w:sz w:val="28"/>
          <w:szCs w:val="28"/>
        </w:rPr>
        <w:t>)</w:t>
      </w:r>
      <w:r w:rsidR="008C1007" w:rsidRPr="001D0846">
        <w:rPr>
          <w:rFonts w:ascii="Times New Roman" w:hAnsi="Times New Roman" w:cs="Times New Roman"/>
          <w:sz w:val="28"/>
          <w:szCs w:val="28"/>
        </w:rPr>
        <w:t xml:space="preserve">. </w:t>
      </w:r>
      <w:r w:rsidR="0029582E">
        <w:rPr>
          <w:rFonts w:ascii="Times New Roman" w:hAnsi="Times New Roman" w:cs="Times New Roman"/>
          <w:sz w:val="28"/>
          <w:szCs w:val="28"/>
        </w:rPr>
        <w:t xml:space="preserve">Totodată, se </w:t>
      </w:r>
      <w:r w:rsidR="008C1007" w:rsidRPr="001D0846">
        <w:rPr>
          <w:rFonts w:ascii="Times New Roman" w:hAnsi="Times New Roman" w:cs="Times New Roman"/>
          <w:sz w:val="28"/>
          <w:szCs w:val="28"/>
        </w:rPr>
        <w:t xml:space="preserve">denotă că pe fundalul creșterii veniturilor </w:t>
      </w:r>
      <w:r w:rsidR="0029582E">
        <w:rPr>
          <w:rFonts w:ascii="Times New Roman" w:hAnsi="Times New Roman" w:cs="Times New Roman"/>
          <w:sz w:val="28"/>
          <w:szCs w:val="28"/>
        </w:rPr>
        <w:t>fiscale și vamale</w:t>
      </w:r>
      <w:r w:rsidR="008C1007" w:rsidRPr="001D0846">
        <w:rPr>
          <w:rFonts w:ascii="Times New Roman" w:hAnsi="Times New Roman" w:cs="Times New Roman"/>
          <w:sz w:val="28"/>
          <w:szCs w:val="28"/>
        </w:rPr>
        <w:t xml:space="preserve"> se atestă o majorare în ansamblu a veniturilor BS </w:t>
      </w:r>
      <w:r w:rsidR="00D84302">
        <w:rPr>
          <w:rFonts w:ascii="Times New Roman" w:hAnsi="Times New Roman" w:cs="Times New Roman"/>
          <w:sz w:val="28"/>
          <w:szCs w:val="28"/>
        </w:rPr>
        <w:t>(</w:t>
      </w:r>
      <w:r w:rsidR="008C1007" w:rsidRPr="001D0846">
        <w:rPr>
          <w:rFonts w:ascii="Times New Roman" w:hAnsi="Times New Roman" w:cs="Times New Roman"/>
          <w:sz w:val="28"/>
          <w:szCs w:val="28"/>
        </w:rPr>
        <w:t>de la 28,1 ml</w:t>
      </w:r>
      <w:r w:rsidR="00D84302">
        <w:rPr>
          <w:rFonts w:ascii="Times New Roman" w:hAnsi="Times New Roman" w:cs="Times New Roman"/>
          <w:sz w:val="28"/>
          <w:szCs w:val="28"/>
        </w:rPr>
        <w:t>r</w:t>
      </w:r>
      <w:r w:rsidR="008C1007" w:rsidRPr="001D0846">
        <w:rPr>
          <w:rFonts w:ascii="Times New Roman" w:hAnsi="Times New Roman" w:cs="Times New Roman"/>
          <w:sz w:val="28"/>
          <w:szCs w:val="28"/>
        </w:rPr>
        <w:t>d.lei în anul 2015 până la 33,7 ml</w:t>
      </w:r>
      <w:r w:rsidR="00D84302">
        <w:rPr>
          <w:rFonts w:ascii="Times New Roman" w:hAnsi="Times New Roman" w:cs="Times New Roman"/>
          <w:sz w:val="28"/>
          <w:szCs w:val="28"/>
        </w:rPr>
        <w:t>r</w:t>
      </w:r>
      <w:r w:rsidR="008C1007" w:rsidRPr="001D0846">
        <w:rPr>
          <w:rFonts w:ascii="Times New Roman" w:hAnsi="Times New Roman" w:cs="Times New Roman"/>
          <w:sz w:val="28"/>
          <w:szCs w:val="28"/>
        </w:rPr>
        <w:t>d.lei în anul 2017</w:t>
      </w:r>
      <w:r w:rsidR="00D84302">
        <w:rPr>
          <w:rFonts w:ascii="Times New Roman" w:hAnsi="Times New Roman" w:cs="Times New Roman"/>
          <w:sz w:val="28"/>
          <w:szCs w:val="28"/>
        </w:rPr>
        <w:t>)</w:t>
      </w:r>
      <w:r w:rsidR="008C1007" w:rsidRPr="001D0846">
        <w:rPr>
          <w:rFonts w:ascii="Times New Roman" w:hAnsi="Times New Roman" w:cs="Times New Roman"/>
          <w:sz w:val="28"/>
          <w:szCs w:val="28"/>
        </w:rPr>
        <w:t>.</w:t>
      </w:r>
    </w:p>
    <w:p w:rsidR="0029582E" w:rsidRPr="0029582E" w:rsidRDefault="008C1007" w:rsidP="0029582E">
      <w:pPr>
        <w:spacing w:after="0" w:line="276" w:lineRule="auto"/>
        <w:ind w:firstLine="709"/>
        <w:jc w:val="both"/>
        <w:rPr>
          <w:rFonts w:ascii="Times New Roman" w:hAnsi="Times New Roman" w:cs="Times New Roman"/>
          <w:i/>
          <w:sz w:val="28"/>
          <w:szCs w:val="28"/>
        </w:rPr>
      </w:pPr>
      <w:r w:rsidRPr="001D0846">
        <w:rPr>
          <w:rFonts w:ascii="Times New Roman" w:hAnsi="Times New Roman" w:cs="Times New Roman"/>
          <w:sz w:val="28"/>
          <w:szCs w:val="28"/>
        </w:rPr>
        <w:t>Întrucât performanțele administrării impozitelor și taxelor de către organele fiscale și vamale au un impact semnificativ asupra echilibrului bugetar</w:t>
      </w:r>
      <w:r w:rsidR="006151D1" w:rsidRPr="001D0846">
        <w:rPr>
          <w:rFonts w:ascii="Times New Roman" w:hAnsi="Times New Roman" w:cs="Times New Roman"/>
          <w:sz w:val="28"/>
          <w:szCs w:val="28"/>
        </w:rPr>
        <w:t>,</w:t>
      </w:r>
      <w:r w:rsidRPr="001D0846">
        <w:rPr>
          <w:rFonts w:ascii="Times New Roman" w:hAnsi="Times New Roman" w:cs="Times New Roman"/>
          <w:sz w:val="28"/>
          <w:szCs w:val="28"/>
        </w:rPr>
        <w:t xml:space="preserve"> în scopul evaluăriigradului de performanță al administrării impozitelor și taxelor de către SFS și SV</w:t>
      </w:r>
      <w:r w:rsidR="00D84302">
        <w:rPr>
          <w:rFonts w:ascii="Times New Roman" w:hAnsi="Times New Roman" w:cs="Times New Roman"/>
          <w:sz w:val="28"/>
          <w:szCs w:val="28"/>
        </w:rPr>
        <w:t>,</w:t>
      </w:r>
      <w:r w:rsidRPr="001D0846">
        <w:rPr>
          <w:rFonts w:ascii="Times New Roman" w:hAnsi="Times New Roman" w:cs="Times New Roman"/>
          <w:sz w:val="28"/>
          <w:szCs w:val="28"/>
        </w:rPr>
        <w:t xml:space="preserve"> se impune corelarea rezultatelor administrării fis</w:t>
      </w:r>
      <w:r w:rsidR="0029582E">
        <w:rPr>
          <w:rFonts w:ascii="Times New Roman" w:hAnsi="Times New Roman" w:cs="Times New Roman"/>
          <w:sz w:val="28"/>
          <w:szCs w:val="28"/>
        </w:rPr>
        <w:t xml:space="preserve">cale și vamale cu evoluția PIB. </w:t>
      </w:r>
      <w:r w:rsidR="0029582E" w:rsidRPr="0029582E">
        <w:rPr>
          <w:rFonts w:ascii="Times New Roman" w:hAnsi="Times New Roman" w:cs="Times New Roman"/>
          <w:i/>
          <w:sz w:val="28"/>
          <w:szCs w:val="28"/>
        </w:rPr>
        <w:t xml:space="preserve">Informația privind ponderea veniturilor administrate de organele fiscale și vamale în PIB </w:t>
      </w:r>
      <w:r w:rsidR="00D84302">
        <w:rPr>
          <w:rFonts w:ascii="Times New Roman" w:hAnsi="Times New Roman" w:cs="Times New Roman"/>
          <w:i/>
          <w:sz w:val="28"/>
          <w:szCs w:val="28"/>
        </w:rPr>
        <w:t>este</w:t>
      </w:r>
      <w:r w:rsidR="0029582E">
        <w:rPr>
          <w:rFonts w:ascii="Times New Roman" w:hAnsi="Times New Roman" w:cs="Times New Roman"/>
          <w:i/>
          <w:sz w:val="28"/>
          <w:szCs w:val="28"/>
        </w:rPr>
        <w:t xml:space="preserve"> prez</w:t>
      </w:r>
      <w:r w:rsidR="00D84302">
        <w:rPr>
          <w:rFonts w:ascii="Times New Roman" w:hAnsi="Times New Roman" w:cs="Times New Roman"/>
          <w:i/>
          <w:sz w:val="28"/>
          <w:szCs w:val="28"/>
        </w:rPr>
        <w:t>enta</w:t>
      </w:r>
      <w:r w:rsidR="0029582E">
        <w:rPr>
          <w:rFonts w:ascii="Times New Roman" w:hAnsi="Times New Roman" w:cs="Times New Roman"/>
          <w:i/>
          <w:sz w:val="28"/>
          <w:szCs w:val="28"/>
        </w:rPr>
        <w:t xml:space="preserve">tă </w:t>
      </w:r>
      <w:r w:rsidR="0029582E" w:rsidRPr="0029582E">
        <w:rPr>
          <w:rFonts w:ascii="Times New Roman" w:hAnsi="Times New Roman" w:cs="Times New Roman"/>
          <w:i/>
          <w:sz w:val="28"/>
          <w:szCs w:val="28"/>
        </w:rPr>
        <w:t>în Diagrama nr.</w:t>
      </w:r>
      <w:r w:rsidR="00C47531">
        <w:rPr>
          <w:rFonts w:ascii="Times New Roman" w:hAnsi="Times New Roman" w:cs="Times New Roman"/>
          <w:i/>
          <w:sz w:val="28"/>
          <w:szCs w:val="28"/>
        </w:rPr>
        <w:t>4</w:t>
      </w:r>
      <w:r w:rsidR="0029582E" w:rsidRPr="0029582E">
        <w:rPr>
          <w:rFonts w:ascii="Times New Roman" w:hAnsi="Times New Roman" w:cs="Times New Roman"/>
          <w:i/>
          <w:sz w:val="28"/>
          <w:szCs w:val="28"/>
        </w:rPr>
        <w:t>.</w:t>
      </w:r>
    </w:p>
    <w:p w:rsidR="00342D30" w:rsidRDefault="00342D30" w:rsidP="0029582E">
      <w:pPr>
        <w:spacing w:after="0" w:line="276" w:lineRule="auto"/>
        <w:ind w:right="-6"/>
        <w:jc w:val="right"/>
        <w:rPr>
          <w:rFonts w:ascii="Times New Roman" w:hAnsi="Times New Roman" w:cs="Times New Roman"/>
          <w:b/>
          <w:i/>
          <w:sz w:val="28"/>
          <w:szCs w:val="28"/>
          <w:lang w:val="it-IT" w:eastAsia="ru-RU"/>
        </w:rPr>
      </w:pPr>
    </w:p>
    <w:p w:rsidR="00342D30" w:rsidRDefault="00342D30" w:rsidP="0029582E">
      <w:pPr>
        <w:spacing w:after="0" w:line="276" w:lineRule="auto"/>
        <w:ind w:right="-6"/>
        <w:jc w:val="right"/>
        <w:rPr>
          <w:rFonts w:ascii="Times New Roman" w:hAnsi="Times New Roman" w:cs="Times New Roman"/>
          <w:b/>
          <w:i/>
          <w:sz w:val="28"/>
          <w:szCs w:val="28"/>
          <w:lang w:val="it-IT" w:eastAsia="ru-RU"/>
        </w:rPr>
      </w:pPr>
    </w:p>
    <w:p w:rsidR="00342D30" w:rsidRDefault="00342D30" w:rsidP="0029582E">
      <w:pPr>
        <w:spacing w:after="0" w:line="276" w:lineRule="auto"/>
        <w:ind w:right="-6"/>
        <w:jc w:val="right"/>
        <w:rPr>
          <w:rFonts w:ascii="Times New Roman" w:hAnsi="Times New Roman" w:cs="Times New Roman"/>
          <w:b/>
          <w:i/>
          <w:sz w:val="28"/>
          <w:szCs w:val="28"/>
          <w:lang w:val="it-IT" w:eastAsia="ru-RU"/>
        </w:rPr>
      </w:pPr>
    </w:p>
    <w:p w:rsidR="00342D30" w:rsidRDefault="00342D30" w:rsidP="0029582E">
      <w:pPr>
        <w:spacing w:after="0" w:line="276" w:lineRule="auto"/>
        <w:ind w:right="-6"/>
        <w:jc w:val="right"/>
        <w:rPr>
          <w:rFonts w:ascii="Times New Roman" w:hAnsi="Times New Roman" w:cs="Times New Roman"/>
          <w:b/>
          <w:i/>
          <w:sz w:val="28"/>
          <w:szCs w:val="28"/>
          <w:lang w:val="it-IT" w:eastAsia="ru-RU"/>
        </w:rPr>
      </w:pPr>
    </w:p>
    <w:p w:rsidR="00342D30" w:rsidRDefault="00342D30" w:rsidP="0029582E">
      <w:pPr>
        <w:spacing w:after="0" w:line="276" w:lineRule="auto"/>
        <w:ind w:right="-6"/>
        <w:jc w:val="right"/>
        <w:rPr>
          <w:rFonts w:ascii="Times New Roman" w:hAnsi="Times New Roman" w:cs="Times New Roman"/>
          <w:b/>
          <w:i/>
          <w:sz w:val="28"/>
          <w:szCs w:val="28"/>
          <w:lang w:val="it-IT" w:eastAsia="ru-RU"/>
        </w:rPr>
      </w:pPr>
    </w:p>
    <w:p w:rsidR="00342D30" w:rsidRDefault="00342D30" w:rsidP="0029582E">
      <w:pPr>
        <w:spacing w:after="0" w:line="276" w:lineRule="auto"/>
        <w:ind w:right="-6"/>
        <w:jc w:val="right"/>
        <w:rPr>
          <w:rFonts w:ascii="Times New Roman" w:hAnsi="Times New Roman" w:cs="Times New Roman"/>
          <w:b/>
          <w:i/>
          <w:sz w:val="28"/>
          <w:szCs w:val="28"/>
          <w:lang w:val="it-IT" w:eastAsia="ru-RU"/>
        </w:rPr>
      </w:pPr>
    </w:p>
    <w:p w:rsidR="00342D30" w:rsidRDefault="00342D30" w:rsidP="0029582E">
      <w:pPr>
        <w:spacing w:after="0" w:line="276" w:lineRule="auto"/>
        <w:ind w:right="-6"/>
        <w:jc w:val="right"/>
        <w:rPr>
          <w:rFonts w:ascii="Times New Roman" w:hAnsi="Times New Roman" w:cs="Times New Roman"/>
          <w:b/>
          <w:i/>
          <w:sz w:val="28"/>
          <w:szCs w:val="28"/>
          <w:lang w:val="it-IT" w:eastAsia="ru-RU"/>
        </w:rPr>
      </w:pPr>
    </w:p>
    <w:p w:rsidR="00342D30" w:rsidRDefault="00342D30" w:rsidP="0029582E">
      <w:pPr>
        <w:spacing w:after="0" w:line="276" w:lineRule="auto"/>
        <w:ind w:right="-6"/>
        <w:jc w:val="right"/>
        <w:rPr>
          <w:rFonts w:ascii="Times New Roman" w:hAnsi="Times New Roman" w:cs="Times New Roman"/>
          <w:b/>
          <w:i/>
          <w:sz w:val="28"/>
          <w:szCs w:val="28"/>
          <w:lang w:val="it-IT" w:eastAsia="ru-RU"/>
        </w:rPr>
      </w:pPr>
    </w:p>
    <w:p w:rsidR="00342D30" w:rsidRDefault="00342D30" w:rsidP="0029582E">
      <w:pPr>
        <w:spacing w:after="0" w:line="276" w:lineRule="auto"/>
        <w:ind w:right="-6"/>
        <w:jc w:val="right"/>
        <w:rPr>
          <w:rFonts w:ascii="Times New Roman" w:hAnsi="Times New Roman" w:cs="Times New Roman"/>
          <w:b/>
          <w:i/>
          <w:sz w:val="28"/>
          <w:szCs w:val="28"/>
          <w:lang w:val="it-IT" w:eastAsia="ru-RU"/>
        </w:rPr>
      </w:pPr>
    </w:p>
    <w:p w:rsidR="00342D30" w:rsidRDefault="00342D30" w:rsidP="0029582E">
      <w:pPr>
        <w:spacing w:after="0" w:line="276" w:lineRule="auto"/>
        <w:ind w:right="-6"/>
        <w:jc w:val="right"/>
        <w:rPr>
          <w:rFonts w:ascii="Times New Roman" w:hAnsi="Times New Roman" w:cs="Times New Roman"/>
          <w:b/>
          <w:i/>
          <w:sz w:val="28"/>
          <w:szCs w:val="28"/>
          <w:lang w:val="it-IT" w:eastAsia="ru-RU"/>
        </w:rPr>
      </w:pPr>
    </w:p>
    <w:p w:rsidR="00342D30" w:rsidRDefault="00342D30" w:rsidP="0029582E">
      <w:pPr>
        <w:spacing w:after="0" w:line="276" w:lineRule="auto"/>
        <w:ind w:right="-6"/>
        <w:jc w:val="right"/>
        <w:rPr>
          <w:rFonts w:ascii="Times New Roman" w:hAnsi="Times New Roman" w:cs="Times New Roman"/>
          <w:b/>
          <w:i/>
          <w:sz w:val="28"/>
          <w:szCs w:val="28"/>
          <w:lang w:val="it-IT" w:eastAsia="ru-RU"/>
        </w:rPr>
      </w:pPr>
    </w:p>
    <w:p w:rsidR="0029582E" w:rsidRPr="001D0846" w:rsidRDefault="0029582E" w:rsidP="0029582E">
      <w:pPr>
        <w:spacing w:after="0" w:line="276" w:lineRule="auto"/>
        <w:ind w:right="-6"/>
        <w:jc w:val="right"/>
        <w:rPr>
          <w:rFonts w:ascii="Times New Roman" w:hAnsi="Times New Roman" w:cs="Times New Roman"/>
          <w:b/>
          <w:i/>
          <w:sz w:val="28"/>
          <w:szCs w:val="28"/>
          <w:lang w:val="it-IT" w:eastAsia="ru-RU"/>
        </w:rPr>
      </w:pPr>
      <w:r w:rsidRPr="001D0846">
        <w:rPr>
          <w:rFonts w:ascii="Times New Roman" w:hAnsi="Times New Roman" w:cs="Times New Roman"/>
          <w:b/>
          <w:i/>
          <w:sz w:val="28"/>
          <w:szCs w:val="28"/>
          <w:lang w:val="it-IT" w:eastAsia="ru-RU"/>
        </w:rPr>
        <w:t>Diagrama nr.</w:t>
      </w:r>
      <w:r w:rsidR="00C47531">
        <w:rPr>
          <w:rFonts w:ascii="Times New Roman" w:hAnsi="Times New Roman" w:cs="Times New Roman"/>
          <w:b/>
          <w:i/>
          <w:sz w:val="28"/>
          <w:szCs w:val="28"/>
          <w:lang w:val="it-IT" w:eastAsia="ru-RU"/>
        </w:rPr>
        <w:t>4</w:t>
      </w:r>
    </w:p>
    <w:p w:rsidR="0029582E" w:rsidRPr="0029582E" w:rsidRDefault="0029582E" w:rsidP="0029582E">
      <w:pPr>
        <w:spacing w:after="0" w:line="276" w:lineRule="auto"/>
        <w:ind w:right="-6"/>
        <w:jc w:val="right"/>
        <w:rPr>
          <w:rFonts w:ascii="Times New Roman" w:hAnsi="Times New Roman" w:cs="Times New Roman"/>
          <w:i/>
          <w:sz w:val="28"/>
          <w:szCs w:val="28"/>
        </w:rPr>
      </w:pPr>
      <w:r w:rsidRPr="001D0846">
        <w:rPr>
          <w:rFonts w:ascii="Times New Roman" w:hAnsi="Times New Roman" w:cs="Times New Roman"/>
          <w:i/>
          <w:sz w:val="24"/>
          <w:szCs w:val="24"/>
          <w:lang w:val="it-IT" w:eastAsia="ru-RU"/>
        </w:rPr>
        <w:t>(ml</w:t>
      </w:r>
      <w:r>
        <w:rPr>
          <w:rFonts w:ascii="Times New Roman" w:hAnsi="Times New Roman" w:cs="Times New Roman"/>
          <w:i/>
          <w:sz w:val="24"/>
          <w:szCs w:val="24"/>
          <w:lang w:val="it-IT" w:eastAsia="ru-RU"/>
        </w:rPr>
        <w:t>r</w:t>
      </w:r>
      <w:r w:rsidRPr="001D0846">
        <w:rPr>
          <w:rFonts w:ascii="Times New Roman" w:hAnsi="Times New Roman" w:cs="Times New Roman"/>
          <w:i/>
          <w:sz w:val="24"/>
          <w:szCs w:val="24"/>
          <w:lang w:val="it-IT" w:eastAsia="ru-RU"/>
        </w:rPr>
        <w:t>d.lei)</w:t>
      </w:r>
    </w:p>
    <w:p w:rsidR="0029582E" w:rsidRPr="001D0846" w:rsidRDefault="0029582E" w:rsidP="0029582E">
      <w:pPr>
        <w:spacing w:after="0" w:line="276" w:lineRule="auto"/>
        <w:ind w:right="-6"/>
        <w:jc w:val="center"/>
        <w:rPr>
          <w:rFonts w:ascii="Times New Roman" w:hAnsi="Times New Roman" w:cs="Times New Roman"/>
          <w:sz w:val="28"/>
          <w:szCs w:val="28"/>
        </w:rPr>
      </w:pPr>
      <w:r w:rsidRPr="001D0846">
        <w:rPr>
          <w:rFonts w:ascii="Times New Roman" w:hAnsi="Times New Roman" w:cs="Times New Roman"/>
          <w:noProof/>
          <w:sz w:val="16"/>
          <w:szCs w:val="16"/>
          <w:shd w:val="clear" w:color="auto" w:fill="FFFFFF" w:themeFill="background1"/>
          <w:lang w:val="en-GB" w:eastAsia="en-GB"/>
        </w:rPr>
        <w:drawing>
          <wp:inline distT="0" distB="0" distL="0" distR="0">
            <wp:extent cx="5890260" cy="2987040"/>
            <wp:effectExtent l="0" t="0" r="15240" b="3810"/>
            <wp:docPr id="10"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9582E" w:rsidRPr="001D0846" w:rsidRDefault="0029582E" w:rsidP="00C47531">
      <w:pPr>
        <w:spacing w:after="0" w:line="240" w:lineRule="auto"/>
        <w:ind w:right="-331"/>
        <w:jc w:val="both"/>
        <w:rPr>
          <w:rFonts w:ascii="Times New Roman" w:eastAsia="Calibri" w:hAnsi="Times New Roman" w:cs="Times New Roman"/>
          <w:i/>
          <w:sz w:val="20"/>
          <w:szCs w:val="20"/>
        </w:rPr>
      </w:pPr>
      <w:r w:rsidRPr="001D0846">
        <w:rPr>
          <w:rFonts w:ascii="Times New Roman" w:eastAsia="Calibri" w:hAnsi="Times New Roman" w:cs="Times New Roman"/>
          <w:b/>
          <w:i/>
          <w:sz w:val="20"/>
          <w:szCs w:val="20"/>
        </w:rPr>
        <w:t>Sursă:</w:t>
      </w:r>
      <w:r w:rsidRPr="001D0846">
        <w:rPr>
          <w:rFonts w:ascii="Times New Roman" w:eastAsia="Calibri" w:hAnsi="Times New Roman" w:cs="Times New Roman"/>
          <w:i/>
          <w:sz w:val="20"/>
          <w:szCs w:val="20"/>
        </w:rPr>
        <w:t xml:space="preserve"> Date generalizate de către echipa de audit în baza informațiilor din dările de seamă privind încasările la </w:t>
      </w:r>
    </w:p>
    <w:p w:rsidR="0029582E" w:rsidRPr="001D0846" w:rsidRDefault="0029582E" w:rsidP="00C47531">
      <w:pPr>
        <w:spacing w:after="0" w:line="240" w:lineRule="auto"/>
        <w:ind w:right="-331"/>
        <w:jc w:val="both"/>
        <w:rPr>
          <w:rFonts w:ascii="Times New Roman" w:eastAsia="Calibri" w:hAnsi="Times New Roman" w:cs="Times New Roman"/>
          <w:i/>
          <w:sz w:val="20"/>
          <w:szCs w:val="20"/>
        </w:rPr>
      </w:pPr>
      <w:r w:rsidRPr="001D0846">
        <w:rPr>
          <w:rFonts w:ascii="Times New Roman" w:eastAsia="Calibri" w:hAnsi="Times New Roman" w:cs="Times New Roman"/>
          <w:i/>
          <w:sz w:val="20"/>
          <w:szCs w:val="20"/>
        </w:rPr>
        <w:t>BPN administrate de SFS și SV pe anii 2015-2017, precum și anuarul statistic.</w:t>
      </w:r>
    </w:p>
    <w:p w:rsidR="0029582E" w:rsidRPr="0029582E" w:rsidRDefault="0029582E" w:rsidP="00D1586E">
      <w:pPr>
        <w:spacing w:after="0" w:line="276" w:lineRule="auto"/>
        <w:ind w:firstLine="709"/>
        <w:jc w:val="both"/>
        <w:rPr>
          <w:rFonts w:ascii="Times New Roman" w:hAnsi="Times New Roman" w:cs="Times New Roman"/>
          <w:sz w:val="28"/>
          <w:szCs w:val="28"/>
        </w:rPr>
      </w:pPr>
    </w:p>
    <w:p w:rsidR="00EC0309" w:rsidRPr="001D0846" w:rsidRDefault="006151D1" w:rsidP="0029582E">
      <w:pPr>
        <w:spacing w:after="0" w:line="276" w:lineRule="auto"/>
        <w:ind w:firstLine="709"/>
        <w:jc w:val="both"/>
        <w:rPr>
          <w:rFonts w:ascii="Times New Roman" w:eastAsia="Calibri" w:hAnsi="Times New Roman" w:cs="Times New Roman"/>
          <w:i/>
          <w:sz w:val="20"/>
          <w:szCs w:val="20"/>
        </w:rPr>
      </w:pPr>
      <w:r w:rsidRPr="001D0846">
        <w:rPr>
          <w:rFonts w:ascii="Times New Roman" w:hAnsi="Times New Roman" w:cs="Times New Roman"/>
          <w:sz w:val="28"/>
          <w:szCs w:val="28"/>
        </w:rPr>
        <w:t>Analiza datelor prezentate</w:t>
      </w:r>
      <w:r w:rsidR="008C1007" w:rsidRPr="001D0846">
        <w:rPr>
          <w:rFonts w:ascii="Times New Roman" w:hAnsi="Times New Roman" w:cs="Times New Roman"/>
          <w:sz w:val="28"/>
          <w:szCs w:val="28"/>
        </w:rPr>
        <w:t xml:space="preserve"> în Diagramă relevă o dinamică ascendentă a PIB pe parcursul ultimilor 3 ani, care </w:t>
      </w:r>
      <w:r w:rsidR="00CF47BD" w:rsidRPr="001D0846">
        <w:rPr>
          <w:rFonts w:ascii="Times New Roman" w:hAnsi="Times New Roman" w:cs="Times New Roman"/>
          <w:sz w:val="28"/>
          <w:szCs w:val="28"/>
        </w:rPr>
        <w:t xml:space="preserve">în anul 2017 </w:t>
      </w:r>
      <w:r w:rsidR="008C1007" w:rsidRPr="001D0846">
        <w:rPr>
          <w:rFonts w:ascii="Times New Roman" w:hAnsi="Times New Roman" w:cs="Times New Roman"/>
          <w:sz w:val="28"/>
          <w:szCs w:val="28"/>
        </w:rPr>
        <w:t>a înregistrat o creștere de 15</w:t>
      </w:r>
      <w:r w:rsidR="00CF47BD">
        <w:rPr>
          <w:rFonts w:ascii="Times New Roman" w:hAnsi="Times New Roman" w:cs="Times New Roman"/>
          <w:sz w:val="28"/>
          <w:szCs w:val="28"/>
        </w:rPr>
        <w:t>0</w:t>
      </w:r>
      <w:r w:rsidR="008C1007" w:rsidRPr="001D0846">
        <w:rPr>
          <w:rFonts w:ascii="Times New Roman" w:hAnsi="Times New Roman" w:cs="Times New Roman"/>
          <w:sz w:val="28"/>
          <w:szCs w:val="28"/>
        </w:rPr>
        <w:t>ml</w:t>
      </w:r>
      <w:r w:rsidR="00CF47BD">
        <w:rPr>
          <w:rFonts w:ascii="Times New Roman" w:hAnsi="Times New Roman" w:cs="Times New Roman"/>
          <w:sz w:val="28"/>
          <w:szCs w:val="28"/>
        </w:rPr>
        <w:t>r</w:t>
      </w:r>
      <w:r w:rsidR="008C1007" w:rsidRPr="001D0846">
        <w:rPr>
          <w:rFonts w:ascii="Times New Roman" w:hAnsi="Times New Roman" w:cs="Times New Roman"/>
          <w:sz w:val="28"/>
          <w:szCs w:val="28"/>
        </w:rPr>
        <w:t>d.lei față de anul 2016 și de 27,8 ml</w:t>
      </w:r>
      <w:r w:rsidR="00CF47BD">
        <w:rPr>
          <w:rFonts w:ascii="Times New Roman" w:hAnsi="Times New Roman" w:cs="Times New Roman"/>
          <w:sz w:val="28"/>
          <w:szCs w:val="28"/>
        </w:rPr>
        <w:t>r</w:t>
      </w:r>
      <w:r w:rsidR="008C1007" w:rsidRPr="001D0846">
        <w:rPr>
          <w:rFonts w:ascii="Times New Roman" w:hAnsi="Times New Roman" w:cs="Times New Roman"/>
          <w:sz w:val="28"/>
          <w:szCs w:val="28"/>
        </w:rPr>
        <w:t xml:space="preserve">d.lei față de anul 2015, ceea ce </w:t>
      </w:r>
      <w:r w:rsidR="0097558C" w:rsidRPr="001D0846">
        <w:rPr>
          <w:rFonts w:ascii="Times New Roman" w:hAnsi="Times New Roman" w:cs="Times New Roman"/>
          <w:sz w:val="28"/>
          <w:szCs w:val="28"/>
        </w:rPr>
        <w:t>reprezintă</w:t>
      </w:r>
      <w:r w:rsidR="008C1007" w:rsidRPr="001D0846">
        <w:rPr>
          <w:rFonts w:ascii="Times New Roman" w:hAnsi="Times New Roman" w:cs="Times New Roman"/>
          <w:sz w:val="28"/>
          <w:szCs w:val="28"/>
        </w:rPr>
        <w:t xml:space="preserve"> tendințe pozitive în evoluția economiei Republicii Moldova. Totodată, se denotă că, pe fundalul creșterii PIB, veniturile colectate de SFS și SV au înregistrat o pondere ascendentă,  de la 31,5 % în anul 2015 până la 33,4 % în anul 2017, fiind în creștere cu 1,9 p.p.</w:t>
      </w:r>
      <w:r w:rsidR="00CF47BD">
        <w:rPr>
          <w:rFonts w:ascii="Times New Roman" w:hAnsi="Times New Roman" w:cs="Times New Roman"/>
          <w:sz w:val="28"/>
          <w:szCs w:val="28"/>
        </w:rPr>
        <w:t>.De asemenea</w:t>
      </w:r>
      <w:r w:rsidR="008C1007" w:rsidRPr="001D0846">
        <w:rPr>
          <w:rFonts w:ascii="Times New Roman" w:hAnsi="Times New Roman" w:cs="Times New Roman"/>
          <w:sz w:val="28"/>
          <w:szCs w:val="28"/>
        </w:rPr>
        <w:t xml:space="preserve">, </w:t>
      </w:r>
      <w:r w:rsidR="00CF47BD">
        <w:rPr>
          <w:rFonts w:ascii="Times New Roman" w:hAnsi="Times New Roman" w:cs="Times New Roman"/>
          <w:sz w:val="28"/>
          <w:szCs w:val="28"/>
        </w:rPr>
        <w:t xml:space="preserve">s-a constatat că </w:t>
      </w:r>
      <w:r w:rsidR="008C1007" w:rsidRPr="001D0846">
        <w:rPr>
          <w:rFonts w:ascii="Times New Roman" w:hAnsi="Times New Roman" w:cs="Times New Roman"/>
          <w:sz w:val="28"/>
          <w:szCs w:val="28"/>
        </w:rPr>
        <w:t>asupra creșterii în anul 2017 a veniturilor administrate de organele fiscale și vamale au influențat mai mulți factori, inclusiv: (i) creșterea PIB (cu 15</w:t>
      </w:r>
      <w:r w:rsidR="00CF47BD">
        <w:rPr>
          <w:rFonts w:ascii="Times New Roman" w:hAnsi="Times New Roman" w:cs="Times New Roman"/>
          <w:sz w:val="28"/>
          <w:szCs w:val="28"/>
        </w:rPr>
        <w:t>,0</w:t>
      </w:r>
      <w:r w:rsidR="008C1007" w:rsidRPr="001D0846">
        <w:rPr>
          <w:rFonts w:ascii="Times New Roman" w:hAnsi="Times New Roman" w:cs="Times New Roman"/>
          <w:sz w:val="28"/>
          <w:szCs w:val="28"/>
        </w:rPr>
        <w:t>ml</w:t>
      </w:r>
      <w:r w:rsidR="00CF47BD">
        <w:rPr>
          <w:rFonts w:ascii="Times New Roman" w:hAnsi="Times New Roman" w:cs="Times New Roman"/>
          <w:sz w:val="28"/>
          <w:szCs w:val="28"/>
        </w:rPr>
        <w:t>r</w:t>
      </w:r>
      <w:r w:rsidR="008C1007" w:rsidRPr="001D0846">
        <w:rPr>
          <w:rFonts w:ascii="Times New Roman" w:hAnsi="Times New Roman" w:cs="Times New Roman"/>
          <w:sz w:val="28"/>
          <w:szCs w:val="28"/>
        </w:rPr>
        <w:t xml:space="preserve">d.lei); (ii) </w:t>
      </w:r>
      <w:r w:rsidR="0015723C" w:rsidRPr="001D0846">
        <w:rPr>
          <w:rFonts w:ascii="Times New Roman" w:hAnsi="Times New Roman" w:cs="Times New Roman"/>
          <w:sz w:val="28"/>
          <w:szCs w:val="28"/>
        </w:rPr>
        <w:t>creșterea</w:t>
      </w:r>
      <w:r w:rsidR="008C1007" w:rsidRPr="001D0846">
        <w:rPr>
          <w:rFonts w:ascii="Times New Roman" w:hAnsi="Times New Roman" w:cs="Times New Roman"/>
          <w:sz w:val="28"/>
          <w:szCs w:val="28"/>
        </w:rPr>
        <w:t xml:space="preserve"> comerțului exterior (cu 160,3 mil.lei); (iii) creșterea importurilor (cu 11,3 mil.lei) și exporturilor (cu 6,8 mil.lei); (iv) modificările intervenite în politica bugetar-fiscală pe parcursul anului, </w:t>
      </w:r>
      <w:r w:rsidR="00CF47BD">
        <w:rPr>
          <w:rFonts w:ascii="Times New Roman" w:hAnsi="Times New Roman" w:cs="Times New Roman"/>
          <w:sz w:val="28"/>
          <w:szCs w:val="28"/>
        </w:rPr>
        <w:t xml:space="preserve">fiind </w:t>
      </w:r>
      <w:r w:rsidR="008C1007" w:rsidRPr="001D0846">
        <w:rPr>
          <w:rFonts w:ascii="Times New Roman" w:hAnsi="Times New Roman" w:cs="Times New Roman"/>
          <w:sz w:val="28"/>
          <w:szCs w:val="28"/>
        </w:rPr>
        <w:t xml:space="preserve"> introdus</w:t>
      </w:r>
      <w:r w:rsidR="00CF47BD">
        <w:rPr>
          <w:rFonts w:ascii="Times New Roman" w:hAnsi="Times New Roman" w:cs="Times New Roman"/>
          <w:sz w:val="28"/>
          <w:szCs w:val="28"/>
        </w:rPr>
        <w:t>e</w:t>
      </w:r>
      <w:r w:rsidR="008C1007" w:rsidRPr="001D0846">
        <w:rPr>
          <w:rFonts w:ascii="Times New Roman" w:hAnsi="Times New Roman" w:cs="Times New Roman"/>
          <w:sz w:val="28"/>
          <w:szCs w:val="28"/>
        </w:rPr>
        <w:t xml:space="preserve"> noi impozite și taxe, sau  majorat</w:t>
      </w:r>
      <w:r w:rsidR="00CF47BD">
        <w:rPr>
          <w:rFonts w:ascii="Times New Roman" w:hAnsi="Times New Roman" w:cs="Times New Roman"/>
          <w:sz w:val="28"/>
          <w:szCs w:val="28"/>
        </w:rPr>
        <w:t>e</w:t>
      </w:r>
      <w:r w:rsidR="008C1007" w:rsidRPr="001D0846">
        <w:rPr>
          <w:rFonts w:ascii="Times New Roman" w:hAnsi="Times New Roman" w:cs="Times New Roman"/>
          <w:sz w:val="28"/>
          <w:szCs w:val="28"/>
        </w:rPr>
        <w:t xml:space="preserve"> cotele existente.</w:t>
      </w:r>
    </w:p>
    <w:p w:rsidR="00385FE6" w:rsidRPr="001D0846" w:rsidRDefault="00385FE6" w:rsidP="003311D9">
      <w:pPr>
        <w:spacing w:after="0" w:line="240" w:lineRule="auto"/>
        <w:ind w:right="-331" w:firstLine="720"/>
        <w:jc w:val="both"/>
        <w:rPr>
          <w:rFonts w:ascii="Times New Roman" w:hAnsi="Times New Roman" w:cs="Times New Roman"/>
          <w:color w:val="000000"/>
          <w:sz w:val="28"/>
          <w:szCs w:val="28"/>
          <w:shd w:val="clear" w:color="auto" w:fill="FFFFFF"/>
        </w:rPr>
      </w:pPr>
    </w:p>
    <w:p w:rsidR="001272E2" w:rsidRPr="001D0846" w:rsidRDefault="0029582E" w:rsidP="0029582E">
      <w:pPr>
        <w:spacing w:after="0" w:line="276" w:lineRule="auto"/>
        <w:ind w:right="-2" w:firstLine="709"/>
        <w:jc w:val="both"/>
        <w:rPr>
          <w:rFonts w:ascii="Times New Roman" w:hAnsi="Times New Roman" w:cs="Times New Roman"/>
          <w:i/>
          <w:sz w:val="28"/>
          <w:szCs w:val="28"/>
          <w:lang w:eastAsia="ru-RU"/>
        </w:rPr>
      </w:pPr>
      <w:r w:rsidRPr="0029582E">
        <w:rPr>
          <w:rFonts w:ascii="Times New Roman" w:hAnsi="Times New Roman" w:cs="Times New Roman"/>
          <w:b/>
          <w:i/>
          <w:sz w:val="28"/>
          <w:szCs w:val="28"/>
          <w:lang w:eastAsia="ru-RU"/>
        </w:rPr>
        <w:lastRenderedPageBreak/>
        <w:t>3.3.1.</w:t>
      </w:r>
      <w:r w:rsidR="001272E2" w:rsidRPr="001D0846">
        <w:rPr>
          <w:rFonts w:ascii="Times New Roman" w:hAnsi="Times New Roman" w:cs="Times New Roman"/>
          <w:i/>
          <w:sz w:val="28"/>
          <w:szCs w:val="28"/>
          <w:lang w:eastAsia="ru-RU"/>
        </w:rPr>
        <w:t>SFS este împuternicit să administreze veniturile provenite din impozite și ta</w:t>
      </w:r>
      <w:r w:rsidR="00B15024" w:rsidRPr="001D0846">
        <w:rPr>
          <w:rFonts w:ascii="Times New Roman" w:hAnsi="Times New Roman" w:cs="Times New Roman"/>
          <w:i/>
          <w:sz w:val="28"/>
          <w:szCs w:val="28"/>
          <w:lang w:eastAsia="ru-RU"/>
        </w:rPr>
        <w:t xml:space="preserve">xe la toate bugetele componente </w:t>
      </w:r>
      <w:r w:rsidRPr="001D0846">
        <w:rPr>
          <w:rFonts w:ascii="Times New Roman" w:hAnsi="Times New Roman" w:cs="Times New Roman"/>
          <w:i/>
          <w:sz w:val="28"/>
          <w:szCs w:val="28"/>
          <w:lang w:eastAsia="ru-RU"/>
        </w:rPr>
        <w:t xml:space="preserve">ale BPN </w:t>
      </w:r>
      <w:r w:rsidR="00B15024" w:rsidRPr="001D0846">
        <w:rPr>
          <w:rFonts w:ascii="Times New Roman" w:hAnsi="Times New Roman" w:cs="Times New Roman"/>
          <w:i/>
          <w:sz w:val="28"/>
          <w:szCs w:val="28"/>
          <w:lang w:eastAsia="ru-RU"/>
        </w:rPr>
        <w:t>(BS, BASS, BUAT și FAOAM)</w:t>
      </w:r>
      <w:r w:rsidR="001272E2" w:rsidRPr="001D0846">
        <w:rPr>
          <w:rFonts w:ascii="Times New Roman" w:hAnsi="Times New Roman" w:cs="Times New Roman"/>
          <w:i/>
          <w:sz w:val="28"/>
          <w:szCs w:val="28"/>
          <w:lang w:eastAsia="ru-RU"/>
        </w:rPr>
        <w:t>, purtând responsabilitate pentru corectitudinea calculării și încasării acestora.</w:t>
      </w:r>
    </w:p>
    <w:p w:rsidR="00FD3ABA" w:rsidRPr="00C47531" w:rsidRDefault="001272E2" w:rsidP="002C308C">
      <w:pPr>
        <w:spacing w:after="0" w:line="276" w:lineRule="auto"/>
        <w:ind w:right="-2"/>
        <w:jc w:val="both"/>
        <w:rPr>
          <w:rFonts w:ascii="Times New Roman" w:hAnsi="Times New Roman" w:cs="Times New Roman"/>
          <w:i/>
          <w:sz w:val="28"/>
          <w:szCs w:val="28"/>
          <w:lang w:eastAsia="ru-RU"/>
        </w:rPr>
      </w:pPr>
      <w:r w:rsidRPr="001D0846">
        <w:tab/>
      </w:r>
      <w:r w:rsidR="008C1007" w:rsidRPr="001D0846">
        <w:rPr>
          <w:rFonts w:ascii="Times New Roman" w:hAnsi="Times New Roman" w:cs="Times New Roman"/>
          <w:sz w:val="28"/>
          <w:szCs w:val="28"/>
        </w:rPr>
        <w:t>Potrivit Raportului privind încasările la BPN pe anul 2017, veniturile colectate de SFS (inclusiv restituirile TVA</w:t>
      </w:r>
      <w:r w:rsidR="00691F49" w:rsidRPr="001D0846">
        <w:rPr>
          <w:rFonts w:ascii="Times New Roman" w:hAnsi="Times New Roman" w:cs="Times New Roman"/>
          <w:sz w:val="28"/>
          <w:szCs w:val="28"/>
        </w:rPr>
        <w:t>/accize</w:t>
      </w:r>
      <w:r w:rsidR="002B7EE7">
        <w:rPr>
          <w:rFonts w:ascii="Times New Roman" w:hAnsi="Times New Roman" w:cs="Times New Roman"/>
          <w:sz w:val="28"/>
          <w:szCs w:val="28"/>
        </w:rPr>
        <w:t>lor</w:t>
      </w:r>
      <w:r w:rsidR="008C1007" w:rsidRPr="001D0846">
        <w:rPr>
          <w:rFonts w:ascii="Times New Roman" w:hAnsi="Times New Roman" w:cs="Times New Roman"/>
          <w:sz w:val="28"/>
          <w:szCs w:val="28"/>
        </w:rPr>
        <w:t xml:space="preserve">) au constituit </w:t>
      </w:r>
      <w:r w:rsidR="002B7EE7">
        <w:rPr>
          <w:rFonts w:ascii="Times New Roman" w:hAnsi="Times New Roman" w:cs="Times New Roman"/>
          <w:sz w:val="28"/>
          <w:szCs w:val="28"/>
        </w:rPr>
        <w:t xml:space="preserve">suma de </w:t>
      </w:r>
      <w:r w:rsidR="008C1007" w:rsidRPr="001D0846">
        <w:rPr>
          <w:rFonts w:ascii="Times New Roman" w:hAnsi="Times New Roman" w:cs="Times New Roman"/>
          <w:sz w:val="28"/>
          <w:szCs w:val="28"/>
        </w:rPr>
        <w:t>32,7 ml</w:t>
      </w:r>
      <w:r w:rsidR="002B7EE7">
        <w:rPr>
          <w:rFonts w:ascii="Times New Roman" w:hAnsi="Times New Roman" w:cs="Times New Roman"/>
          <w:sz w:val="28"/>
          <w:szCs w:val="28"/>
        </w:rPr>
        <w:t>r</w:t>
      </w:r>
      <w:r w:rsidR="008C1007" w:rsidRPr="001D0846">
        <w:rPr>
          <w:rFonts w:ascii="Times New Roman" w:hAnsi="Times New Roman" w:cs="Times New Roman"/>
          <w:sz w:val="28"/>
          <w:szCs w:val="28"/>
        </w:rPr>
        <w:t>d.lei, fiind în creștere cu 5,1 ml</w:t>
      </w:r>
      <w:r w:rsidR="002B7EE7">
        <w:rPr>
          <w:rFonts w:ascii="Times New Roman" w:hAnsi="Times New Roman" w:cs="Times New Roman"/>
          <w:sz w:val="28"/>
          <w:szCs w:val="28"/>
        </w:rPr>
        <w:t>r</w:t>
      </w:r>
      <w:r w:rsidR="008C1007" w:rsidRPr="001D0846">
        <w:rPr>
          <w:rFonts w:ascii="Times New Roman" w:hAnsi="Times New Roman" w:cs="Times New Roman"/>
          <w:sz w:val="28"/>
          <w:szCs w:val="28"/>
        </w:rPr>
        <w:t xml:space="preserve">d.lei, sau </w:t>
      </w:r>
      <w:r w:rsidR="002B7EE7">
        <w:rPr>
          <w:rFonts w:ascii="Times New Roman" w:hAnsi="Times New Roman" w:cs="Times New Roman"/>
          <w:sz w:val="28"/>
          <w:szCs w:val="28"/>
        </w:rPr>
        <w:t xml:space="preserve">cu </w:t>
      </w:r>
      <w:r w:rsidR="008C1007" w:rsidRPr="001D0846">
        <w:rPr>
          <w:rFonts w:ascii="Times New Roman" w:hAnsi="Times New Roman" w:cs="Times New Roman"/>
          <w:sz w:val="28"/>
          <w:szCs w:val="28"/>
        </w:rPr>
        <w:t>1</w:t>
      </w:r>
      <w:r w:rsidR="003B105E">
        <w:rPr>
          <w:rFonts w:ascii="Times New Roman" w:hAnsi="Times New Roman" w:cs="Times New Roman"/>
          <w:sz w:val="28"/>
          <w:szCs w:val="28"/>
        </w:rPr>
        <w:t xml:space="preserve">8 </w:t>
      </w:r>
      <w:r w:rsidR="008C1007" w:rsidRPr="001D0846">
        <w:rPr>
          <w:rFonts w:ascii="Times New Roman" w:hAnsi="Times New Roman" w:cs="Times New Roman"/>
          <w:sz w:val="28"/>
          <w:szCs w:val="28"/>
        </w:rPr>
        <w:t>%</w:t>
      </w:r>
      <w:r w:rsidR="002B7EE7">
        <w:rPr>
          <w:rFonts w:ascii="Times New Roman" w:hAnsi="Times New Roman" w:cs="Times New Roman"/>
          <w:sz w:val="28"/>
          <w:szCs w:val="28"/>
        </w:rPr>
        <w:t>,</w:t>
      </w:r>
      <w:r w:rsidR="008C1007" w:rsidRPr="001D0846">
        <w:rPr>
          <w:rFonts w:ascii="Times New Roman" w:hAnsi="Times New Roman" w:cs="Times New Roman"/>
          <w:sz w:val="28"/>
          <w:szCs w:val="28"/>
        </w:rPr>
        <w:t xml:space="preserve"> față de anul 2016 și cu 7,6 ml</w:t>
      </w:r>
      <w:r w:rsidR="002B7EE7">
        <w:rPr>
          <w:rFonts w:ascii="Times New Roman" w:hAnsi="Times New Roman" w:cs="Times New Roman"/>
          <w:sz w:val="28"/>
          <w:szCs w:val="28"/>
        </w:rPr>
        <w:t>r</w:t>
      </w:r>
      <w:r w:rsidR="008C1007" w:rsidRPr="001D0846">
        <w:rPr>
          <w:rFonts w:ascii="Times New Roman" w:hAnsi="Times New Roman" w:cs="Times New Roman"/>
          <w:sz w:val="28"/>
          <w:szCs w:val="28"/>
        </w:rPr>
        <w:t xml:space="preserve">d.lei, sau cu </w:t>
      </w:r>
      <w:r w:rsidR="00A416D1">
        <w:rPr>
          <w:rFonts w:ascii="Times New Roman" w:hAnsi="Times New Roman" w:cs="Times New Roman"/>
          <w:sz w:val="28"/>
          <w:szCs w:val="28"/>
        </w:rPr>
        <w:t xml:space="preserve">30 </w:t>
      </w:r>
      <w:r w:rsidR="008C1007" w:rsidRPr="001D0846">
        <w:rPr>
          <w:rFonts w:ascii="Times New Roman" w:hAnsi="Times New Roman" w:cs="Times New Roman"/>
          <w:sz w:val="28"/>
          <w:szCs w:val="28"/>
        </w:rPr>
        <w:t>%</w:t>
      </w:r>
      <w:r w:rsidR="002B7EE7">
        <w:rPr>
          <w:rFonts w:ascii="Times New Roman" w:hAnsi="Times New Roman" w:cs="Times New Roman"/>
          <w:sz w:val="28"/>
          <w:szCs w:val="28"/>
        </w:rPr>
        <w:t>,</w:t>
      </w:r>
      <w:r w:rsidR="008C1007" w:rsidRPr="001D0846">
        <w:rPr>
          <w:rFonts w:ascii="Times New Roman" w:hAnsi="Times New Roman" w:cs="Times New Roman"/>
          <w:sz w:val="28"/>
          <w:szCs w:val="28"/>
        </w:rPr>
        <w:t xml:space="preserve"> față de anul 2015.</w:t>
      </w:r>
      <w:r w:rsidR="008C1007" w:rsidRPr="00C47531">
        <w:rPr>
          <w:rFonts w:ascii="Times New Roman" w:hAnsi="Times New Roman" w:cs="Times New Roman"/>
          <w:i/>
          <w:sz w:val="28"/>
          <w:szCs w:val="28"/>
          <w:lang w:eastAsia="ru-RU"/>
        </w:rPr>
        <w:t xml:space="preserve">Structura și dinamica veniturilor </w:t>
      </w:r>
      <w:r w:rsidR="002B7EE7" w:rsidRPr="00C47531">
        <w:rPr>
          <w:rFonts w:ascii="Times New Roman" w:hAnsi="Times New Roman" w:cs="Times New Roman"/>
          <w:i/>
          <w:sz w:val="28"/>
          <w:szCs w:val="28"/>
          <w:lang w:eastAsia="ru-RU"/>
        </w:rPr>
        <w:t xml:space="preserve">la BPN </w:t>
      </w:r>
      <w:r w:rsidR="008C1007" w:rsidRPr="00C47531">
        <w:rPr>
          <w:rFonts w:ascii="Times New Roman" w:hAnsi="Times New Roman" w:cs="Times New Roman"/>
          <w:i/>
          <w:sz w:val="28"/>
          <w:szCs w:val="28"/>
          <w:lang w:eastAsia="ru-RU"/>
        </w:rPr>
        <w:t xml:space="preserve">administrate </w:t>
      </w:r>
      <w:r w:rsidR="002B7EE7" w:rsidRPr="00C47531">
        <w:rPr>
          <w:rFonts w:ascii="Times New Roman" w:hAnsi="Times New Roman" w:cs="Times New Roman"/>
          <w:i/>
          <w:sz w:val="28"/>
          <w:szCs w:val="28"/>
          <w:lang w:eastAsia="ru-RU"/>
        </w:rPr>
        <w:t xml:space="preserve">de către organele fiscale </w:t>
      </w:r>
      <w:r w:rsidR="008C1007" w:rsidRPr="00C47531">
        <w:rPr>
          <w:rFonts w:ascii="Times New Roman" w:hAnsi="Times New Roman" w:cs="Times New Roman"/>
          <w:i/>
          <w:sz w:val="28"/>
          <w:szCs w:val="28"/>
          <w:lang w:eastAsia="ru-RU"/>
        </w:rPr>
        <w:t xml:space="preserve">în perioada </w:t>
      </w:r>
      <w:r w:rsidR="002B7EE7">
        <w:rPr>
          <w:rFonts w:ascii="Times New Roman" w:hAnsi="Times New Roman" w:cs="Times New Roman"/>
          <w:i/>
          <w:sz w:val="28"/>
          <w:szCs w:val="28"/>
          <w:lang w:eastAsia="ru-RU"/>
        </w:rPr>
        <w:t xml:space="preserve">anilor </w:t>
      </w:r>
      <w:r w:rsidR="008C1007" w:rsidRPr="00C47531">
        <w:rPr>
          <w:rFonts w:ascii="Times New Roman" w:hAnsi="Times New Roman" w:cs="Times New Roman"/>
          <w:i/>
          <w:sz w:val="28"/>
          <w:szCs w:val="28"/>
          <w:lang w:eastAsia="ru-RU"/>
        </w:rPr>
        <w:t>2015-2017 s</w:t>
      </w:r>
      <w:r w:rsidR="002B7EE7">
        <w:rPr>
          <w:rFonts w:ascii="Times New Roman" w:hAnsi="Times New Roman" w:cs="Times New Roman"/>
          <w:i/>
          <w:sz w:val="28"/>
          <w:szCs w:val="28"/>
          <w:lang w:eastAsia="ru-RU"/>
        </w:rPr>
        <w:t>unt</w:t>
      </w:r>
      <w:r w:rsidR="008C1007" w:rsidRPr="00C47531">
        <w:rPr>
          <w:rFonts w:ascii="Times New Roman" w:hAnsi="Times New Roman" w:cs="Times New Roman"/>
          <w:i/>
          <w:sz w:val="28"/>
          <w:szCs w:val="28"/>
          <w:lang w:eastAsia="ru-RU"/>
        </w:rPr>
        <w:t xml:space="preserve"> prez</w:t>
      </w:r>
      <w:r w:rsidR="002B7EE7">
        <w:rPr>
          <w:rFonts w:ascii="Times New Roman" w:hAnsi="Times New Roman" w:cs="Times New Roman"/>
          <w:i/>
          <w:sz w:val="28"/>
          <w:szCs w:val="28"/>
          <w:lang w:eastAsia="ru-RU"/>
        </w:rPr>
        <w:t>enta</w:t>
      </w:r>
      <w:r w:rsidR="008C1007" w:rsidRPr="00C47531">
        <w:rPr>
          <w:rFonts w:ascii="Times New Roman" w:hAnsi="Times New Roman" w:cs="Times New Roman"/>
          <w:i/>
          <w:sz w:val="28"/>
          <w:szCs w:val="28"/>
          <w:lang w:eastAsia="ru-RU"/>
        </w:rPr>
        <w:t>t</w:t>
      </w:r>
      <w:r w:rsidR="002B7EE7">
        <w:rPr>
          <w:rFonts w:ascii="Times New Roman" w:hAnsi="Times New Roman" w:cs="Times New Roman"/>
          <w:i/>
          <w:sz w:val="28"/>
          <w:szCs w:val="28"/>
          <w:lang w:eastAsia="ru-RU"/>
        </w:rPr>
        <w:t>e</w:t>
      </w:r>
      <w:r w:rsidR="008C1007" w:rsidRPr="00C47531">
        <w:rPr>
          <w:rFonts w:ascii="Times New Roman" w:hAnsi="Times New Roman" w:cs="Times New Roman"/>
          <w:i/>
          <w:sz w:val="28"/>
          <w:szCs w:val="28"/>
          <w:lang w:eastAsia="ru-RU"/>
        </w:rPr>
        <w:t xml:space="preserve"> în Diagrama </w:t>
      </w:r>
      <w:r w:rsidR="007D2A25" w:rsidRPr="00C47531">
        <w:rPr>
          <w:rFonts w:ascii="Times New Roman" w:hAnsi="Times New Roman" w:cs="Times New Roman"/>
          <w:i/>
          <w:sz w:val="28"/>
          <w:szCs w:val="28"/>
          <w:lang w:eastAsia="ru-RU"/>
        </w:rPr>
        <w:t>nr.</w:t>
      </w:r>
      <w:r w:rsidR="00C47531" w:rsidRPr="00C47531">
        <w:rPr>
          <w:rFonts w:ascii="Times New Roman" w:hAnsi="Times New Roman" w:cs="Times New Roman"/>
          <w:i/>
          <w:sz w:val="28"/>
          <w:szCs w:val="28"/>
          <w:lang w:eastAsia="ru-RU"/>
        </w:rPr>
        <w:t>5</w:t>
      </w:r>
      <w:r w:rsidR="008C1007" w:rsidRPr="00C47531">
        <w:rPr>
          <w:rFonts w:ascii="Times New Roman" w:hAnsi="Times New Roman" w:cs="Times New Roman"/>
          <w:i/>
          <w:sz w:val="28"/>
          <w:szCs w:val="28"/>
          <w:lang w:eastAsia="ru-RU"/>
        </w:rPr>
        <w:t xml:space="preserve">. </w:t>
      </w:r>
    </w:p>
    <w:p w:rsidR="0029582E" w:rsidRDefault="00F358D7" w:rsidP="002C308C">
      <w:pPr>
        <w:spacing w:after="0" w:line="276" w:lineRule="auto"/>
        <w:ind w:right="-6"/>
        <w:jc w:val="right"/>
        <w:rPr>
          <w:rFonts w:ascii="Times New Roman" w:hAnsi="Times New Roman" w:cs="Times New Roman"/>
          <w:b/>
          <w:i/>
          <w:sz w:val="28"/>
          <w:szCs w:val="28"/>
          <w:lang w:eastAsia="ru-RU"/>
        </w:rPr>
      </w:pPr>
      <w:r w:rsidRPr="001D0846">
        <w:rPr>
          <w:rFonts w:ascii="Times New Roman" w:hAnsi="Times New Roman" w:cs="Times New Roman"/>
          <w:b/>
          <w:i/>
          <w:sz w:val="28"/>
          <w:szCs w:val="28"/>
          <w:lang w:eastAsia="ru-RU"/>
        </w:rPr>
        <w:t>Diagrama nr.</w:t>
      </w:r>
      <w:r w:rsidR="00C47531">
        <w:rPr>
          <w:rFonts w:ascii="Times New Roman" w:hAnsi="Times New Roman" w:cs="Times New Roman"/>
          <w:b/>
          <w:i/>
          <w:sz w:val="28"/>
          <w:szCs w:val="28"/>
          <w:lang w:eastAsia="ru-RU"/>
        </w:rPr>
        <w:t>5</w:t>
      </w:r>
    </w:p>
    <w:p w:rsidR="0029582E" w:rsidRDefault="0029582E" w:rsidP="002C308C">
      <w:pPr>
        <w:spacing w:after="0" w:line="276" w:lineRule="auto"/>
        <w:ind w:right="-6"/>
        <w:jc w:val="right"/>
        <w:rPr>
          <w:rFonts w:ascii="Times New Roman" w:hAnsi="Times New Roman" w:cs="Times New Roman"/>
          <w:b/>
          <w:i/>
          <w:sz w:val="28"/>
          <w:szCs w:val="28"/>
          <w:lang w:eastAsia="ru-RU"/>
        </w:rPr>
      </w:pPr>
      <w:r w:rsidRPr="001D0846">
        <w:rPr>
          <w:rFonts w:ascii="Times New Roman" w:hAnsi="Times New Roman" w:cs="Times New Roman"/>
          <w:i/>
          <w:sz w:val="24"/>
          <w:szCs w:val="24"/>
          <w:lang w:val="it-IT" w:eastAsia="ru-RU"/>
        </w:rPr>
        <w:t>(ml</w:t>
      </w:r>
      <w:r>
        <w:rPr>
          <w:rFonts w:ascii="Times New Roman" w:hAnsi="Times New Roman" w:cs="Times New Roman"/>
          <w:i/>
          <w:sz w:val="24"/>
          <w:szCs w:val="24"/>
          <w:lang w:val="it-IT" w:eastAsia="ru-RU"/>
        </w:rPr>
        <w:t>r</w:t>
      </w:r>
      <w:r w:rsidRPr="001D0846">
        <w:rPr>
          <w:rFonts w:ascii="Times New Roman" w:hAnsi="Times New Roman" w:cs="Times New Roman"/>
          <w:i/>
          <w:sz w:val="24"/>
          <w:szCs w:val="24"/>
          <w:lang w:val="it-IT" w:eastAsia="ru-RU"/>
        </w:rPr>
        <w:t>d.lei)</w:t>
      </w:r>
    </w:p>
    <w:p w:rsidR="00F358D7" w:rsidRPr="001D0846" w:rsidRDefault="00F358D7" w:rsidP="002C308C">
      <w:pPr>
        <w:spacing w:after="0" w:line="276" w:lineRule="auto"/>
        <w:ind w:right="95"/>
        <w:jc w:val="right"/>
        <w:rPr>
          <w:rFonts w:ascii="Times New Roman" w:hAnsi="Times New Roman" w:cs="Times New Roman"/>
          <w:b/>
          <w:i/>
          <w:sz w:val="28"/>
          <w:szCs w:val="28"/>
          <w:lang w:eastAsia="ru-RU"/>
        </w:rPr>
      </w:pPr>
      <w:r w:rsidRPr="001D0846">
        <w:rPr>
          <w:rFonts w:cs="Times New Roman"/>
          <w:noProof/>
          <w:sz w:val="28"/>
          <w:szCs w:val="28"/>
          <w:lang w:val="en-GB" w:eastAsia="en-GB"/>
        </w:rPr>
        <w:drawing>
          <wp:inline distT="0" distB="0" distL="0" distR="0">
            <wp:extent cx="1946275" cy="2042160"/>
            <wp:effectExtent l="0" t="0" r="15875" b="152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1D0846">
        <w:rPr>
          <w:rFonts w:cs="Times New Roman"/>
          <w:noProof/>
          <w:sz w:val="28"/>
          <w:szCs w:val="28"/>
          <w:lang w:val="en-GB" w:eastAsia="en-GB"/>
        </w:rPr>
        <w:drawing>
          <wp:inline distT="0" distB="0" distL="0" distR="0">
            <wp:extent cx="1915795" cy="2049780"/>
            <wp:effectExtent l="0" t="0" r="8255" b="762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1D0846">
        <w:rPr>
          <w:rFonts w:cs="Times New Roman"/>
          <w:noProof/>
          <w:sz w:val="28"/>
          <w:szCs w:val="28"/>
          <w:lang w:val="en-GB" w:eastAsia="en-GB"/>
        </w:rPr>
        <w:drawing>
          <wp:inline distT="0" distB="0" distL="0" distR="0">
            <wp:extent cx="1902460" cy="2042160"/>
            <wp:effectExtent l="0" t="0" r="2540" b="1524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358D7" w:rsidRPr="001D0846" w:rsidRDefault="00F358D7" w:rsidP="00C47531">
      <w:pPr>
        <w:spacing w:after="0" w:line="240" w:lineRule="auto"/>
        <w:jc w:val="both"/>
        <w:rPr>
          <w:rFonts w:ascii="Times New Roman" w:eastAsia="Calibri" w:hAnsi="Times New Roman"/>
          <w:i/>
          <w:sz w:val="20"/>
          <w:szCs w:val="20"/>
        </w:rPr>
      </w:pPr>
      <w:r w:rsidRPr="001D0846">
        <w:rPr>
          <w:rFonts w:ascii="Times New Roman" w:eastAsia="Calibri" w:hAnsi="Times New Roman"/>
          <w:b/>
          <w:i/>
          <w:sz w:val="20"/>
          <w:szCs w:val="20"/>
        </w:rPr>
        <w:t>Sursă:</w:t>
      </w:r>
      <w:r w:rsidRPr="001D0846">
        <w:rPr>
          <w:rFonts w:ascii="Times New Roman" w:eastAsia="Calibri" w:hAnsi="Times New Roman"/>
          <w:i/>
          <w:sz w:val="20"/>
          <w:szCs w:val="20"/>
        </w:rPr>
        <w:t xml:space="preserve"> Date generalizate de către echipa de audit în baza informațiilor din dările de seamă privind </w:t>
      </w:r>
      <w:r w:rsidR="004D2143" w:rsidRPr="001D0846">
        <w:rPr>
          <w:rFonts w:ascii="Times New Roman" w:eastAsia="Calibri" w:hAnsi="Times New Roman"/>
          <w:i/>
          <w:sz w:val="20"/>
          <w:szCs w:val="20"/>
        </w:rPr>
        <w:t xml:space="preserve">încasările </w:t>
      </w:r>
      <w:r w:rsidRPr="001D0846">
        <w:rPr>
          <w:rFonts w:ascii="Times New Roman" w:eastAsia="Calibri" w:hAnsi="Times New Roman"/>
          <w:i/>
          <w:sz w:val="20"/>
          <w:szCs w:val="20"/>
        </w:rPr>
        <w:t xml:space="preserve">la </w:t>
      </w:r>
      <w:r w:rsidRPr="001D0846">
        <w:rPr>
          <w:rFonts w:ascii="Times New Roman" w:eastAsia="Calibri" w:hAnsi="Times New Roman" w:cs="Times New Roman"/>
          <w:i/>
          <w:sz w:val="20"/>
          <w:szCs w:val="20"/>
        </w:rPr>
        <w:t xml:space="preserve"> BPN administrate de SFS pe anii 2015-2017.</w:t>
      </w:r>
    </w:p>
    <w:p w:rsidR="00F358D7" w:rsidRPr="001D0846" w:rsidRDefault="00F358D7" w:rsidP="00C47531">
      <w:pPr>
        <w:spacing w:after="0" w:line="240" w:lineRule="auto"/>
        <w:ind w:right="-244"/>
        <w:jc w:val="both"/>
        <w:rPr>
          <w:rFonts w:ascii="Times New Roman" w:hAnsi="Times New Roman" w:cs="Times New Roman"/>
          <w:sz w:val="28"/>
          <w:szCs w:val="28"/>
          <w:lang w:eastAsia="ru-RU"/>
        </w:rPr>
      </w:pPr>
    </w:p>
    <w:p w:rsidR="008C1007" w:rsidRPr="001D0846" w:rsidRDefault="008C1007" w:rsidP="002C308C">
      <w:pPr>
        <w:spacing w:after="0" w:line="276" w:lineRule="auto"/>
        <w:ind w:right="-2"/>
        <w:jc w:val="both"/>
        <w:rPr>
          <w:rFonts w:ascii="Times New Roman" w:hAnsi="Times New Roman" w:cs="Times New Roman"/>
          <w:sz w:val="28"/>
          <w:szCs w:val="28"/>
        </w:rPr>
      </w:pPr>
      <w:r w:rsidRPr="001D0846">
        <w:rPr>
          <w:rFonts w:ascii="Times New Roman" w:hAnsi="Times New Roman" w:cs="Times New Roman"/>
          <w:sz w:val="28"/>
          <w:szCs w:val="28"/>
        </w:rPr>
        <w:tab/>
        <w:t>Datele prezentate în Diagramă relevă o dinamică ascendentă a veniturilor din impozite și taxe administrate de SFS la bugetele componente ale BPN</w:t>
      </w:r>
      <w:r w:rsidR="00D4179D">
        <w:rPr>
          <w:rFonts w:ascii="Times New Roman" w:hAnsi="Times New Roman" w:cs="Times New Roman"/>
          <w:sz w:val="28"/>
          <w:szCs w:val="28"/>
        </w:rPr>
        <w:t xml:space="preserve"> (</w:t>
      </w:r>
      <w:r w:rsidRPr="001D0846">
        <w:rPr>
          <w:rFonts w:ascii="Times New Roman" w:hAnsi="Times New Roman" w:cs="Times New Roman"/>
          <w:sz w:val="28"/>
          <w:szCs w:val="28"/>
        </w:rPr>
        <w:t>de la 25,1 ml</w:t>
      </w:r>
      <w:r w:rsidR="00D4179D">
        <w:rPr>
          <w:rFonts w:ascii="Times New Roman" w:hAnsi="Times New Roman" w:cs="Times New Roman"/>
          <w:sz w:val="28"/>
          <w:szCs w:val="28"/>
        </w:rPr>
        <w:t>r</w:t>
      </w:r>
      <w:r w:rsidRPr="001D0846">
        <w:rPr>
          <w:rFonts w:ascii="Times New Roman" w:hAnsi="Times New Roman" w:cs="Times New Roman"/>
          <w:sz w:val="28"/>
          <w:szCs w:val="28"/>
        </w:rPr>
        <w:t>d.lei în anul 2015 până la 32,7 ml</w:t>
      </w:r>
      <w:r w:rsidR="00D4179D">
        <w:rPr>
          <w:rFonts w:ascii="Times New Roman" w:hAnsi="Times New Roman" w:cs="Times New Roman"/>
          <w:sz w:val="28"/>
          <w:szCs w:val="28"/>
        </w:rPr>
        <w:t>r</w:t>
      </w:r>
      <w:r w:rsidRPr="001D0846">
        <w:rPr>
          <w:rFonts w:ascii="Times New Roman" w:hAnsi="Times New Roman" w:cs="Times New Roman"/>
          <w:sz w:val="28"/>
          <w:szCs w:val="28"/>
        </w:rPr>
        <w:t>d.lei în anul 2017</w:t>
      </w:r>
      <w:r w:rsidR="00D4179D">
        <w:rPr>
          <w:rFonts w:ascii="Times New Roman" w:hAnsi="Times New Roman" w:cs="Times New Roman"/>
          <w:sz w:val="28"/>
          <w:szCs w:val="28"/>
        </w:rPr>
        <w:t>)</w:t>
      </w:r>
      <w:r w:rsidRPr="001D0846">
        <w:rPr>
          <w:rFonts w:ascii="Times New Roman" w:hAnsi="Times New Roman" w:cs="Times New Roman"/>
          <w:sz w:val="28"/>
          <w:szCs w:val="28"/>
        </w:rPr>
        <w:t>. În totalul veniturilor administrate de SFS la BPN</w:t>
      </w:r>
      <w:r w:rsidR="00D4179D">
        <w:rPr>
          <w:rFonts w:ascii="Times New Roman" w:hAnsi="Times New Roman" w:cs="Times New Roman"/>
          <w:sz w:val="28"/>
          <w:szCs w:val="28"/>
        </w:rPr>
        <w:t>,</w:t>
      </w:r>
      <w:r w:rsidRPr="001D0846">
        <w:rPr>
          <w:rFonts w:ascii="Times New Roman" w:hAnsi="Times New Roman" w:cs="Times New Roman"/>
          <w:sz w:val="28"/>
          <w:szCs w:val="28"/>
        </w:rPr>
        <w:t xml:space="preserve"> ponderea majoră o dețin veniturile BS</w:t>
      </w:r>
      <w:r w:rsidR="00D4179D">
        <w:rPr>
          <w:rFonts w:ascii="Times New Roman" w:hAnsi="Times New Roman" w:cs="Times New Roman"/>
          <w:sz w:val="28"/>
          <w:szCs w:val="28"/>
        </w:rPr>
        <w:t>,</w:t>
      </w:r>
      <w:r w:rsidRPr="001D0846">
        <w:rPr>
          <w:rFonts w:ascii="Times New Roman" w:hAnsi="Times New Roman" w:cs="Times New Roman"/>
          <w:sz w:val="28"/>
          <w:szCs w:val="28"/>
        </w:rPr>
        <w:t xml:space="preserve"> care în anul 2017 au constituit 14,3 ml</w:t>
      </w:r>
      <w:r w:rsidR="00D4179D">
        <w:rPr>
          <w:rFonts w:ascii="Times New Roman" w:hAnsi="Times New Roman" w:cs="Times New Roman"/>
          <w:sz w:val="28"/>
          <w:szCs w:val="28"/>
        </w:rPr>
        <w:t>r</w:t>
      </w:r>
      <w:r w:rsidRPr="001D0846">
        <w:rPr>
          <w:rFonts w:ascii="Times New Roman" w:hAnsi="Times New Roman" w:cs="Times New Roman"/>
          <w:sz w:val="28"/>
          <w:szCs w:val="28"/>
        </w:rPr>
        <w:t>d. lei (44%), fiind în creștere cu 3,8 ml</w:t>
      </w:r>
      <w:r w:rsidR="00D4179D">
        <w:rPr>
          <w:rFonts w:ascii="Times New Roman" w:hAnsi="Times New Roman" w:cs="Times New Roman"/>
          <w:sz w:val="28"/>
          <w:szCs w:val="28"/>
        </w:rPr>
        <w:t>r</w:t>
      </w:r>
      <w:r w:rsidRPr="001D0846">
        <w:rPr>
          <w:rFonts w:ascii="Times New Roman" w:hAnsi="Times New Roman" w:cs="Times New Roman"/>
          <w:sz w:val="28"/>
          <w:szCs w:val="28"/>
        </w:rPr>
        <w:t xml:space="preserve">d. lei (2%) față de anul 2015. O creștere a veniturilor administrate de SFS se atestă la BASS și FAOAM, care în anul 2017 au fost majorate cu </w:t>
      </w:r>
      <w:r w:rsidRPr="001D0846">
        <w:rPr>
          <w:rFonts w:ascii="Times New Roman" w:hAnsi="Times New Roman" w:cs="Times New Roman"/>
          <w:spacing w:val="8"/>
          <w:sz w:val="28"/>
          <w:szCs w:val="28"/>
        </w:rPr>
        <w:t>2,5 ml</w:t>
      </w:r>
      <w:r w:rsidR="00D4179D">
        <w:rPr>
          <w:rFonts w:ascii="Times New Roman" w:hAnsi="Times New Roman" w:cs="Times New Roman"/>
          <w:spacing w:val="8"/>
          <w:sz w:val="28"/>
          <w:szCs w:val="28"/>
        </w:rPr>
        <w:t>r</w:t>
      </w:r>
      <w:r w:rsidRPr="001D0846">
        <w:rPr>
          <w:rFonts w:ascii="Times New Roman" w:hAnsi="Times New Roman" w:cs="Times New Roman"/>
          <w:spacing w:val="8"/>
          <w:sz w:val="28"/>
          <w:szCs w:val="28"/>
        </w:rPr>
        <w:t>d. lei și</w:t>
      </w:r>
      <w:r w:rsidR="00D4179D">
        <w:rPr>
          <w:rFonts w:ascii="Times New Roman" w:hAnsi="Times New Roman" w:cs="Times New Roman"/>
          <w:spacing w:val="8"/>
          <w:sz w:val="28"/>
          <w:szCs w:val="28"/>
        </w:rPr>
        <w:t>,</w:t>
      </w:r>
      <w:r w:rsidRPr="001D0846">
        <w:rPr>
          <w:rFonts w:ascii="Times New Roman" w:hAnsi="Times New Roman" w:cs="Times New Roman"/>
          <w:spacing w:val="8"/>
          <w:sz w:val="28"/>
          <w:szCs w:val="28"/>
        </w:rPr>
        <w:t xml:space="preserve"> respectiv</w:t>
      </w:r>
      <w:r w:rsidR="00D4179D">
        <w:rPr>
          <w:rFonts w:ascii="Times New Roman" w:hAnsi="Times New Roman" w:cs="Times New Roman"/>
          <w:spacing w:val="8"/>
          <w:sz w:val="28"/>
          <w:szCs w:val="28"/>
        </w:rPr>
        <w:t>, cu</w:t>
      </w:r>
      <w:r w:rsidRPr="001D0846">
        <w:rPr>
          <w:rFonts w:ascii="Times New Roman" w:hAnsi="Times New Roman" w:cs="Times New Roman"/>
          <w:spacing w:val="8"/>
          <w:sz w:val="28"/>
          <w:szCs w:val="28"/>
        </w:rPr>
        <w:t xml:space="preserve"> 0,7 mld.lei</w:t>
      </w:r>
      <w:r w:rsidRPr="001D0846">
        <w:rPr>
          <w:rFonts w:ascii="Times New Roman" w:hAnsi="Times New Roman" w:cs="Times New Roman"/>
          <w:sz w:val="28"/>
          <w:szCs w:val="28"/>
        </w:rPr>
        <w:t xml:space="preserve"> față de anul 2015, deținând pondere</w:t>
      </w:r>
      <w:r w:rsidR="00D4179D">
        <w:rPr>
          <w:rFonts w:ascii="Times New Roman" w:hAnsi="Times New Roman" w:cs="Times New Roman"/>
          <w:sz w:val="28"/>
          <w:szCs w:val="28"/>
        </w:rPr>
        <w:t>a</w:t>
      </w:r>
      <w:r w:rsidRPr="001D0846">
        <w:rPr>
          <w:rFonts w:ascii="Times New Roman" w:hAnsi="Times New Roman" w:cs="Times New Roman"/>
          <w:sz w:val="28"/>
          <w:szCs w:val="28"/>
        </w:rPr>
        <w:t xml:space="preserve"> de 35% și</w:t>
      </w:r>
      <w:r w:rsidR="00D4179D">
        <w:rPr>
          <w:rFonts w:ascii="Times New Roman" w:hAnsi="Times New Roman" w:cs="Times New Roman"/>
          <w:sz w:val="28"/>
          <w:szCs w:val="28"/>
        </w:rPr>
        <w:t>,</w:t>
      </w:r>
      <w:r w:rsidRPr="001D0846">
        <w:rPr>
          <w:rFonts w:ascii="Times New Roman" w:hAnsi="Times New Roman" w:cs="Times New Roman"/>
          <w:sz w:val="28"/>
          <w:szCs w:val="28"/>
        </w:rPr>
        <w:t xml:space="preserve"> respectiv</w:t>
      </w:r>
      <w:r w:rsidR="00D4179D">
        <w:rPr>
          <w:rFonts w:ascii="Times New Roman" w:hAnsi="Times New Roman" w:cs="Times New Roman"/>
          <w:sz w:val="28"/>
          <w:szCs w:val="28"/>
        </w:rPr>
        <w:t>,</w:t>
      </w:r>
      <w:r w:rsidRPr="001D0846">
        <w:rPr>
          <w:rFonts w:ascii="Times New Roman" w:hAnsi="Times New Roman" w:cs="Times New Roman"/>
          <w:sz w:val="28"/>
          <w:szCs w:val="28"/>
        </w:rPr>
        <w:t xml:space="preserve"> 11% în totalul veniturilor BPN. De asemenea, în anul 2017 se </w:t>
      </w:r>
      <w:r w:rsidR="00D4179D">
        <w:rPr>
          <w:rFonts w:ascii="Times New Roman" w:hAnsi="Times New Roman" w:cs="Times New Roman"/>
          <w:sz w:val="28"/>
          <w:szCs w:val="28"/>
        </w:rPr>
        <w:t>atestă</w:t>
      </w:r>
      <w:r w:rsidRPr="001D0846">
        <w:rPr>
          <w:rFonts w:ascii="Times New Roman" w:hAnsi="Times New Roman" w:cs="Times New Roman"/>
          <w:sz w:val="28"/>
          <w:szCs w:val="28"/>
        </w:rPr>
        <w:t xml:space="preserve"> o creștere a veniturilor BUAT, care au fost majorate cu 0,5 ml</w:t>
      </w:r>
      <w:r w:rsidR="00D4179D">
        <w:rPr>
          <w:rFonts w:ascii="Times New Roman" w:hAnsi="Times New Roman" w:cs="Times New Roman"/>
          <w:sz w:val="28"/>
          <w:szCs w:val="28"/>
        </w:rPr>
        <w:t>r</w:t>
      </w:r>
      <w:r w:rsidRPr="001D0846">
        <w:rPr>
          <w:rFonts w:ascii="Times New Roman" w:hAnsi="Times New Roman" w:cs="Times New Roman"/>
          <w:sz w:val="28"/>
          <w:szCs w:val="28"/>
        </w:rPr>
        <w:t>d.lei, deși ca pondere în totalul veniturilor BPN au înregistrat o scădere cu 2 p.p.</w:t>
      </w:r>
      <w:r w:rsidR="00D4179D">
        <w:rPr>
          <w:rFonts w:ascii="Times New Roman" w:hAnsi="Times New Roman" w:cs="Times New Roman"/>
          <w:sz w:val="28"/>
          <w:szCs w:val="28"/>
        </w:rPr>
        <w:t>.</w:t>
      </w:r>
    </w:p>
    <w:p w:rsidR="008C1007" w:rsidRDefault="001272E2" w:rsidP="000A421F">
      <w:pPr>
        <w:spacing w:after="0" w:line="276" w:lineRule="auto"/>
        <w:ind w:right="-2" w:firstLine="720"/>
        <w:jc w:val="both"/>
        <w:rPr>
          <w:rFonts w:ascii="Times New Roman" w:hAnsi="Times New Roman" w:cs="Times New Roman"/>
          <w:i/>
          <w:sz w:val="28"/>
          <w:szCs w:val="28"/>
        </w:rPr>
      </w:pPr>
      <w:r w:rsidRPr="001D0846">
        <w:rPr>
          <w:rFonts w:ascii="Times New Roman" w:hAnsi="Times New Roman" w:cs="Times New Roman"/>
          <w:sz w:val="28"/>
          <w:szCs w:val="28"/>
        </w:rPr>
        <w:t xml:space="preserve">Examinările </w:t>
      </w:r>
      <w:r w:rsidR="00D4179D">
        <w:rPr>
          <w:rFonts w:ascii="Times New Roman" w:hAnsi="Times New Roman" w:cs="Times New Roman"/>
          <w:sz w:val="28"/>
          <w:szCs w:val="28"/>
        </w:rPr>
        <w:t xml:space="preserve">efectuate de </w:t>
      </w:r>
      <w:r w:rsidRPr="001D0846">
        <w:rPr>
          <w:rFonts w:ascii="Times New Roman" w:hAnsi="Times New Roman" w:cs="Times New Roman"/>
          <w:sz w:val="28"/>
          <w:szCs w:val="28"/>
        </w:rPr>
        <w:t>audit</w:t>
      </w:r>
      <w:r w:rsidR="00D4179D">
        <w:rPr>
          <w:rFonts w:ascii="Times New Roman" w:hAnsi="Times New Roman" w:cs="Times New Roman"/>
          <w:sz w:val="28"/>
          <w:szCs w:val="28"/>
        </w:rPr>
        <w:t>indică</w:t>
      </w:r>
      <w:r w:rsidR="008C1007" w:rsidRPr="001D0846">
        <w:rPr>
          <w:rFonts w:ascii="Times New Roman" w:hAnsi="Times New Roman" w:cs="Times New Roman"/>
          <w:sz w:val="28"/>
          <w:szCs w:val="28"/>
        </w:rPr>
        <w:t xml:space="preserve"> o creștere a ponderii veniturilor administrate de SFS în raport cu PIB, </w:t>
      </w:r>
      <w:r w:rsidR="008C1007" w:rsidRPr="001D0846">
        <w:rPr>
          <w:rFonts w:ascii="Times New Roman" w:hAnsi="Times New Roman" w:cs="Times New Roman"/>
          <w:i/>
          <w:sz w:val="28"/>
          <w:szCs w:val="28"/>
        </w:rPr>
        <w:t xml:space="preserve">situație care </w:t>
      </w:r>
      <w:r w:rsidR="002B7EE7">
        <w:rPr>
          <w:rFonts w:ascii="Times New Roman" w:hAnsi="Times New Roman" w:cs="Times New Roman"/>
          <w:i/>
          <w:sz w:val="28"/>
          <w:szCs w:val="28"/>
        </w:rPr>
        <w:t>este</w:t>
      </w:r>
      <w:r w:rsidR="008C1007" w:rsidRPr="001D0846">
        <w:rPr>
          <w:rFonts w:ascii="Times New Roman" w:hAnsi="Times New Roman" w:cs="Times New Roman"/>
          <w:i/>
          <w:sz w:val="28"/>
          <w:szCs w:val="28"/>
        </w:rPr>
        <w:t xml:space="preserve"> prez</w:t>
      </w:r>
      <w:r w:rsidR="002B7EE7">
        <w:rPr>
          <w:rFonts w:ascii="Times New Roman" w:hAnsi="Times New Roman" w:cs="Times New Roman"/>
          <w:i/>
          <w:sz w:val="28"/>
          <w:szCs w:val="28"/>
        </w:rPr>
        <w:t>enta</w:t>
      </w:r>
      <w:r w:rsidR="008C1007" w:rsidRPr="001D0846">
        <w:rPr>
          <w:rFonts w:ascii="Times New Roman" w:hAnsi="Times New Roman" w:cs="Times New Roman"/>
          <w:i/>
          <w:sz w:val="28"/>
          <w:szCs w:val="28"/>
        </w:rPr>
        <w:t>tă în detaliu în Diagrama</w:t>
      </w:r>
      <w:r w:rsidR="00D1586E" w:rsidRPr="001D0846">
        <w:rPr>
          <w:rFonts w:ascii="Times New Roman" w:hAnsi="Times New Roman" w:cs="Times New Roman"/>
          <w:i/>
          <w:sz w:val="28"/>
          <w:szCs w:val="28"/>
        </w:rPr>
        <w:t xml:space="preserve"> nr.</w:t>
      </w:r>
      <w:r w:rsidR="00C47531">
        <w:rPr>
          <w:rFonts w:ascii="Times New Roman" w:hAnsi="Times New Roman" w:cs="Times New Roman"/>
          <w:i/>
          <w:sz w:val="28"/>
          <w:szCs w:val="28"/>
        </w:rPr>
        <w:t>6</w:t>
      </w:r>
      <w:r w:rsidRPr="001D0846">
        <w:rPr>
          <w:rFonts w:ascii="Times New Roman" w:hAnsi="Times New Roman" w:cs="Times New Roman"/>
          <w:i/>
          <w:sz w:val="28"/>
          <w:szCs w:val="28"/>
        </w:rPr>
        <w:t xml:space="preserve"> din A</w:t>
      </w:r>
      <w:r w:rsidR="004B2C7B" w:rsidRPr="001D0846">
        <w:rPr>
          <w:rFonts w:ascii="Times New Roman" w:hAnsi="Times New Roman" w:cs="Times New Roman"/>
          <w:i/>
          <w:sz w:val="28"/>
          <w:szCs w:val="28"/>
        </w:rPr>
        <w:t>nexa nr.4</w:t>
      </w:r>
      <w:r w:rsidRPr="001D0846">
        <w:rPr>
          <w:rFonts w:ascii="Times New Roman" w:hAnsi="Times New Roman" w:cs="Times New Roman"/>
          <w:i/>
          <w:sz w:val="28"/>
          <w:szCs w:val="28"/>
        </w:rPr>
        <w:t xml:space="preserve"> la Raport</w:t>
      </w:r>
      <w:r w:rsidR="00D4179D">
        <w:rPr>
          <w:rFonts w:ascii="Times New Roman" w:hAnsi="Times New Roman" w:cs="Times New Roman"/>
          <w:i/>
          <w:sz w:val="28"/>
          <w:szCs w:val="28"/>
        </w:rPr>
        <w:t>ul</w:t>
      </w:r>
      <w:r w:rsidRPr="001D0846">
        <w:rPr>
          <w:rFonts w:ascii="Times New Roman" w:hAnsi="Times New Roman" w:cs="Times New Roman"/>
          <w:i/>
          <w:sz w:val="28"/>
          <w:szCs w:val="28"/>
        </w:rPr>
        <w:t xml:space="preserve"> de audit.</w:t>
      </w:r>
    </w:p>
    <w:p w:rsidR="00DA3FF6" w:rsidRPr="001D0846" w:rsidRDefault="001272E2" w:rsidP="000A421F">
      <w:pPr>
        <w:spacing w:after="0" w:line="276" w:lineRule="auto"/>
        <w:ind w:right="-2" w:firstLine="720"/>
        <w:jc w:val="both"/>
        <w:rPr>
          <w:rFonts w:ascii="Times New Roman" w:hAnsi="Times New Roman" w:cs="Times New Roman"/>
          <w:sz w:val="28"/>
          <w:szCs w:val="28"/>
        </w:rPr>
      </w:pPr>
      <w:r w:rsidRPr="001D0846">
        <w:rPr>
          <w:rFonts w:ascii="Times New Roman" w:hAnsi="Times New Roman" w:cs="Times New Roman"/>
          <w:sz w:val="28"/>
          <w:szCs w:val="28"/>
        </w:rPr>
        <w:lastRenderedPageBreak/>
        <w:t xml:space="preserve">Analiza datelor </w:t>
      </w:r>
      <w:r w:rsidR="008C1007" w:rsidRPr="001D0846">
        <w:rPr>
          <w:rFonts w:ascii="Times New Roman" w:hAnsi="Times New Roman" w:cs="Times New Roman"/>
          <w:sz w:val="28"/>
          <w:szCs w:val="28"/>
        </w:rPr>
        <w:t xml:space="preserve">prezentate în Diagramă relevă un ritm </w:t>
      </w:r>
      <w:r w:rsidR="00DA3FF6" w:rsidRPr="001D0846">
        <w:rPr>
          <w:rFonts w:ascii="Times New Roman" w:hAnsi="Times New Roman" w:cs="Times New Roman"/>
          <w:sz w:val="28"/>
          <w:szCs w:val="28"/>
        </w:rPr>
        <w:t>încetinit</w:t>
      </w:r>
      <w:r w:rsidR="008C1007" w:rsidRPr="001D0846">
        <w:rPr>
          <w:rFonts w:ascii="Times New Roman" w:hAnsi="Times New Roman" w:cs="Times New Roman"/>
          <w:sz w:val="28"/>
          <w:szCs w:val="28"/>
        </w:rPr>
        <w:t xml:space="preserve"> de creștere a ponderii veniturilor administrate de organele </w:t>
      </w:r>
      <w:r w:rsidR="00CC4451" w:rsidRPr="001D0846">
        <w:rPr>
          <w:rFonts w:ascii="Times New Roman" w:hAnsi="Times New Roman" w:cs="Times New Roman"/>
          <w:sz w:val="28"/>
          <w:szCs w:val="28"/>
        </w:rPr>
        <w:t>fiscale</w:t>
      </w:r>
      <w:r w:rsidR="008C1007" w:rsidRPr="001D0846">
        <w:rPr>
          <w:rFonts w:ascii="Times New Roman" w:hAnsi="Times New Roman" w:cs="Times New Roman"/>
          <w:sz w:val="28"/>
          <w:szCs w:val="28"/>
        </w:rPr>
        <w:t xml:space="preserve"> în PIB</w:t>
      </w:r>
      <w:r w:rsidR="00632438">
        <w:rPr>
          <w:rFonts w:ascii="Times New Roman" w:hAnsi="Times New Roman" w:cs="Times New Roman"/>
          <w:sz w:val="28"/>
          <w:szCs w:val="28"/>
        </w:rPr>
        <w:t xml:space="preserve"> (</w:t>
      </w:r>
      <w:r w:rsidR="008C1007" w:rsidRPr="001D0846">
        <w:rPr>
          <w:rFonts w:ascii="Times New Roman" w:hAnsi="Times New Roman" w:cs="Times New Roman"/>
          <w:sz w:val="28"/>
          <w:szCs w:val="28"/>
        </w:rPr>
        <w:t xml:space="preserve">de la 20,5 % în anul 2015 până la 21,7 %, sau </w:t>
      </w:r>
      <w:r w:rsidR="00632438" w:rsidRPr="001D0846">
        <w:rPr>
          <w:rFonts w:ascii="Times New Roman" w:hAnsi="Times New Roman" w:cs="Times New Roman"/>
          <w:sz w:val="28"/>
          <w:szCs w:val="28"/>
        </w:rPr>
        <w:t>cu 1,2 p.p.</w:t>
      </w:r>
      <w:r w:rsidR="008C1007" w:rsidRPr="001D0846">
        <w:rPr>
          <w:rFonts w:ascii="Times New Roman" w:hAnsi="Times New Roman" w:cs="Times New Roman"/>
          <w:sz w:val="28"/>
          <w:szCs w:val="28"/>
        </w:rPr>
        <w:t>mai</w:t>
      </w:r>
      <w:r w:rsidR="00DA3FF6" w:rsidRPr="001D0846">
        <w:rPr>
          <w:rFonts w:ascii="Times New Roman" w:hAnsi="Times New Roman" w:cs="Times New Roman"/>
          <w:sz w:val="28"/>
          <w:szCs w:val="28"/>
        </w:rPr>
        <w:t xml:space="preserve"> mult</w:t>
      </w:r>
      <w:r w:rsidR="00632438">
        <w:rPr>
          <w:rFonts w:ascii="Times New Roman" w:hAnsi="Times New Roman" w:cs="Times New Roman"/>
          <w:sz w:val="28"/>
          <w:szCs w:val="28"/>
        </w:rPr>
        <w:t>,</w:t>
      </w:r>
      <w:r w:rsidR="00DA3FF6" w:rsidRPr="001D0846">
        <w:rPr>
          <w:rFonts w:ascii="Times New Roman" w:hAnsi="Times New Roman" w:cs="Times New Roman"/>
          <w:sz w:val="28"/>
          <w:szCs w:val="28"/>
        </w:rPr>
        <w:t xml:space="preserve"> în anul 2017</w:t>
      </w:r>
      <w:r w:rsidR="00632438">
        <w:rPr>
          <w:rFonts w:ascii="Times New Roman" w:hAnsi="Times New Roman" w:cs="Times New Roman"/>
          <w:sz w:val="28"/>
          <w:szCs w:val="28"/>
        </w:rPr>
        <w:t>)</w:t>
      </w:r>
      <w:r w:rsidR="00DA3FF6" w:rsidRPr="001D0846">
        <w:rPr>
          <w:rFonts w:ascii="Times New Roman" w:hAnsi="Times New Roman" w:cs="Times New Roman"/>
          <w:sz w:val="28"/>
          <w:szCs w:val="28"/>
        </w:rPr>
        <w:t>.</w:t>
      </w:r>
    </w:p>
    <w:p w:rsidR="008C1007" w:rsidRPr="001D0846" w:rsidRDefault="008C1007" w:rsidP="000A421F">
      <w:pPr>
        <w:spacing w:after="0" w:line="276" w:lineRule="auto"/>
        <w:ind w:right="-2" w:firstLine="720"/>
        <w:jc w:val="both"/>
        <w:rPr>
          <w:rFonts w:ascii="Times New Roman" w:hAnsi="Times New Roman" w:cs="Times New Roman"/>
          <w:i/>
          <w:color w:val="000000"/>
          <w:sz w:val="28"/>
          <w:szCs w:val="28"/>
        </w:rPr>
      </w:pPr>
      <w:r w:rsidRPr="001D0846">
        <w:rPr>
          <w:rFonts w:ascii="Times New Roman" w:hAnsi="Times New Roman" w:cs="Times New Roman"/>
          <w:sz w:val="28"/>
          <w:szCs w:val="28"/>
        </w:rPr>
        <w:t>În anul 2017, precum şi în perioadele precedente, unul din</w:t>
      </w:r>
      <w:r w:rsidR="00632438">
        <w:rPr>
          <w:rFonts w:ascii="Times New Roman" w:hAnsi="Times New Roman" w:cs="Times New Roman"/>
          <w:sz w:val="28"/>
          <w:szCs w:val="28"/>
        </w:rPr>
        <w:t>tre</w:t>
      </w:r>
      <w:r w:rsidRPr="001D0846">
        <w:rPr>
          <w:rFonts w:ascii="Times New Roman" w:hAnsi="Times New Roman" w:cs="Times New Roman"/>
          <w:sz w:val="28"/>
          <w:szCs w:val="28"/>
        </w:rPr>
        <w:t xml:space="preserve"> indicatorii (de eficacitate) utilizaţi de SFS la aprecierea rezultatelor activităţii de administrare a impozitelor și taxelor a fostnivelul de realizare a sarcinii bugetare anuale privind colectarea veniturilor în aspectul bugetelor. </w:t>
      </w:r>
    </w:p>
    <w:p w:rsidR="008C1007" w:rsidRPr="002506A5" w:rsidRDefault="001272E2" w:rsidP="002506A5">
      <w:pPr>
        <w:spacing w:after="0" w:line="276" w:lineRule="auto"/>
        <w:ind w:right="-2" w:firstLine="720"/>
        <w:jc w:val="both"/>
        <w:rPr>
          <w:rFonts w:ascii="Times New Roman" w:hAnsi="Times New Roman" w:cs="Times New Roman"/>
          <w:sz w:val="28"/>
          <w:szCs w:val="28"/>
        </w:rPr>
      </w:pPr>
      <w:r w:rsidRPr="001D0846">
        <w:rPr>
          <w:rFonts w:ascii="Times New Roman" w:hAnsi="Times New Roman" w:cs="Times New Roman"/>
          <w:color w:val="000000"/>
          <w:sz w:val="28"/>
          <w:szCs w:val="28"/>
        </w:rPr>
        <w:t xml:space="preserve">Analiza </w:t>
      </w:r>
      <w:r w:rsidR="0001016B">
        <w:rPr>
          <w:rFonts w:ascii="Times New Roman" w:hAnsi="Times New Roman" w:cs="Times New Roman"/>
          <w:color w:val="000000"/>
          <w:sz w:val="28"/>
          <w:szCs w:val="28"/>
        </w:rPr>
        <w:t xml:space="preserve">efectuată de audit </w:t>
      </w:r>
      <w:r w:rsidR="00632438">
        <w:rPr>
          <w:rFonts w:ascii="Times New Roman" w:hAnsi="Times New Roman" w:cs="Times New Roman"/>
          <w:color w:val="000000"/>
          <w:sz w:val="28"/>
          <w:szCs w:val="28"/>
        </w:rPr>
        <w:t>denotă</w:t>
      </w:r>
      <w:r w:rsidR="008C1007" w:rsidRPr="001D0846">
        <w:rPr>
          <w:rFonts w:ascii="Times New Roman" w:eastAsia="Times New Roman" w:hAnsi="Times New Roman" w:cs="Times New Roman"/>
          <w:sz w:val="28"/>
          <w:szCs w:val="28"/>
        </w:rPr>
        <w:t xml:space="preserve"> că </w:t>
      </w:r>
      <w:r w:rsidR="008C1007" w:rsidRPr="001D0846">
        <w:rPr>
          <w:rFonts w:ascii="Times New Roman" w:hAnsi="Times New Roman" w:cs="Times New Roman"/>
          <w:sz w:val="28"/>
          <w:szCs w:val="28"/>
        </w:rPr>
        <w:t xml:space="preserve">sarcina bugetară anuală privind colectarea veniturilor a suportat </w:t>
      </w:r>
      <w:r w:rsidR="008C1007" w:rsidRPr="001D0846">
        <w:rPr>
          <w:rFonts w:ascii="Times New Roman" w:hAnsi="Times New Roman" w:cs="Times New Roman"/>
          <w:color w:val="000000"/>
          <w:sz w:val="28"/>
          <w:szCs w:val="28"/>
        </w:rPr>
        <w:t xml:space="preserve">modificări pe parcursul </w:t>
      </w:r>
      <w:r w:rsidR="00632438">
        <w:rPr>
          <w:rFonts w:ascii="Times New Roman" w:hAnsi="Times New Roman" w:cs="Times New Roman"/>
          <w:color w:val="000000"/>
          <w:sz w:val="28"/>
          <w:szCs w:val="28"/>
        </w:rPr>
        <w:t>anilor</w:t>
      </w:r>
      <w:r w:rsidR="008C1007" w:rsidRPr="001D0846">
        <w:rPr>
          <w:rFonts w:ascii="Times New Roman" w:hAnsi="Times New Roman" w:cs="Times New Roman"/>
          <w:color w:val="000000"/>
          <w:sz w:val="28"/>
          <w:szCs w:val="28"/>
        </w:rPr>
        <w:t xml:space="preserve"> 2015-2017</w:t>
      </w:r>
      <w:r w:rsidR="002506A5">
        <w:rPr>
          <w:rFonts w:ascii="Times New Roman" w:hAnsi="Times New Roman" w:cs="Times New Roman"/>
          <w:color w:val="000000"/>
          <w:sz w:val="28"/>
          <w:szCs w:val="28"/>
        </w:rPr>
        <w:t xml:space="preserve">, </w:t>
      </w:r>
      <w:r w:rsidR="008C1007" w:rsidRPr="001D0846">
        <w:rPr>
          <w:rFonts w:ascii="Times New Roman" w:hAnsi="Times New Roman" w:cs="Times New Roman"/>
          <w:sz w:val="28"/>
          <w:szCs w:val="28"/>
        </w:rPr>
        <w:t>în sensul majorării indicatorilor planului de încasări al SFS, pentru a</w:t>
      </w:r>
      <w:r w:rsidR="002506A5">
        <w:rPr>
          <w:rFonts w:ascii="Times New Roman" w:hAnsi="Times New Roman" w:cs="Times New Roman"/>
          <w:sz w:val="28"/>
          <w:szCs w:val="28"/>
        </w:rPr>
        <w:t>-l</w:t>
      </w:r>
      <w:r w:rsidR="008C1007" w:rsidRPr="001D0846">
        <w:rPr>
          <w:rFonts w:ascii="Times New Roman" w:hAnsi="Times New Roman" w:cs="Times New Roman"/>
          <w:sz w:val="28"/>
          <w:szCs w:val="28"/>
        </w:rPr>
        <w:t xml:space="preserve"> aduce la un nivel c</w:t>
      </w:r>
      <w:r w:rsidR="00632438">
        <w:rPr>
          <w:rFonts w:ascii="Times New Roman" w:hAnsi="Times New Roman" w:cs="Times New Roman"/>
          <w:sz w:val="28"/>
          <w:szCs w:val="28"/>
        </w:rPr>
        <w:t>â</w:t>
      </w:r>
      <w:r w:rsidR="008C1007" w:rsidRPr="001D0846">
        <w:rPr>
          <w:rFonts w:ascii="Times New Roman" w:hAnsi="Times New Roman" w:cs="Times New Roman"/>
          <w:sz w:val="28"/>
          <w:szCs w:val="28"/>
        </w:rPr>
        <w:t>t mai apropiat de nivelu</w:t>
      </w:r>
      <w:r w:rsidR="002506A5">
        <w:rPr>
          <w:rFonts w:ascii="Times New Roman" w:hAnsi="Times New Roman" w:cs="Times New Roman"/>
          <w:sz w:val="28"/>
          <w:szCs w:val="28"/>
        </w:rPr>
        <w:t xml:space="preserve">l veniturilor efectiv realizate. </w:t>
      </w:r>
      <w:r w:rsidR="008C1007" w:rsidRPr="002506A5">
        <w:rPr>
          <w:rFonts w:ascii="Times New Roman" w:hAnsi="Times New Roman" w:cs="Times New Roman"/>
          <w:sz w:val="28"/>
          <w:szCs w:val="28"/>
        </w:rPr>
        <w:t xml:space="preserve">Astfel, auditul constată că modificările indicatorilor </w:t>
      </w:r>
      <w:r w:rsidR="008C1007" w:rsidRPr="002506A5">
        <w:rPr>
          <w:rFonts w:ascii="Times New Roman" w:eastAsia="Times New Roman" w:hAnsi="Times New Roman" w:cs="Times New Roman"/>
          <w:iCs/>
          <w:sz w:val="28"/>
          <w:szCs w:val="28"/>
        </w:rPr>
        <w:t xml:space="preserve">au variat în proporție de </w:t>
      </w:r>
      <w:r w:rsidR="002506A5" w:rsidRPr="002506A5">
        <w:rPr>
          <w:rFonts w:ascii="Times New Roman" w:eastAsia="Times New Roman" w:hAnsi="Times New Roman" w:cs="Times New Roman"/>
          <w:iCs/>
          <w:sz w:val="28"/>
          <w:szCs w:val="28"/>
        </w:rPr>
        <w:t>2,2-22,5</w:t>
      </w:r>
      <w:r w:rsidR="008C1007" w:rsidRPr="002506A5">
        <w:rPr>
          <w:rFonts w:ascii="Times New Roman" w:eastAsia="Times New Roman" w:hAnsi="Times New Roman" w:cs="Times New Roman"/>
          <w:iCs/>
          <w:sz w:val="28"/>
          <w:szCs w:val="28"/>
        </w:rPr>
        <w:t xml:space="preserve">%, deși </w:t>
      </w:r>
      <w:r w:rsidR="008C1007" w:rsidRPr="002506A5">
        <w:rPr>
          <w:rFonts w:ascii="Times New Roman" w:eastAsia="Times New Roman" w:hAnsi="Times New Roman" w:cs="Times New Roman"/>
          <w:sz w:val="28"/>
          <w:szCs w:val="28"/>
        </w:rPr>
        <w:t>variația optimă potrivit indicatorilor manualului PEFA</w:t>
      </w:r>
      <w:r w:rsidR="008C1007" w:rsidRPr="002506A5">
        <w:rPr>
          <w:rStyle w:val="FootnoteReference"/>
          <w:rFonts w:ascii="Times New Roman" w:eastAsia="Times New Roman" w:hAnsi="Times New Roman" w:cs="Times New Roman"/>
          <w:sz w:val="28"/>
          <w:szCs w:val="28"/>
        </w:rPr>
        <w:footnoteReference w:id="13"/>
      </w:r>
      <w:r w:rsidR="008C1007" w:rsidRPr="002506A5">
        <w:rPr>
          <w:rFonts w:ascii="Times New Roman" w:eastAsia="Times New Roman" w:hAnsi="Times New Roman" w:cs="Times New Roman"/>
          <w:sz w:val="28"/>
          <w:szCs w:val="28"/>
        </w:rPr>
        <w:t xml:space="preserve"> este plafonată (de la -3% până la +6%), situație cauzată de rezervele privind</w:t>
      </w:r>
      <w:r w:rsidR="008C1007" w:rsidRPr="002506A5">
        <w:rPr>
          <w:rFonts w:ascii="Times New Roman" w:hAnsi="Times New Roman" w:cs="Times New Roman"/>
          <w:sz w:val="28"/>
          <w:szCs w:val="28"/>
        </w:rPr>
        <w:t xml:space="preserve"> modalitatea de calcul şiacurateţea estimărilor</w:t>
      </w:r>
      <w:r w:rsidR="008C1007" w:rsidRPr="002506A5">
        <w:rPr>
          <w:rFonts w:ascii="Times New Roman" w:eastAsia="Times New Roman" w:hAnsi="Times New Roman" w:cs="Times New Roman"/>
          <w:sz w:val="28"/>
          <w:szCs w:val="28"/>
        </w:rPr>
        <w:t>, precum și variația pe parcursul anului a indicatorilor macroeconomici</w:t>
      </w:r>
      <w:r w:rsidR="008C1007" w:rsidRPr="002506A5">
        <w:rPr>
          <w:rFonts w:ascii="Times New Roman" w:hAnsi="Times New Roman" w:cs="Times New Roman"/>
          <w:sz w:val="28"/>
          <w:szCs w:val="28"/>
        </w:rPr>
        <w:t>.</w:t>
      </w:r>
    </w:p>
    <w:p w:rsidR="008C1007" w:rsidRPr="003F6A2F" w:rsidRDefault="008C1007" w:rsidP="003F6A2F">
      <w:pPr>
        <w:spacing w:after="0" w:line="276" w:lineRule="auto"/>
        <w:ind w:right="-2" w:firstLine="720"/>
        <w:jc w:val="both"/>
        <w:rPr>
          <w:rFonts w:ascii="Times New Roman" w:hAnsi="Times New Roman" w:cs="Times New Roman"/>
          <w:color w:val="FF0000"/>
          <w:sz w:val="28"/>
          <w:szCs w:val="28"/>
        </w:rPr>
      </w:pPr>
      <w:r w:rsidRPr="001D0846">
        <w:rPr>
          <w:rFonts w:ascii="Times New Roman" w:hAnsi="Times New Roman" w:cs="Times New Roman"/>
          <w:sz w:val="28"/>
          <w:szCs w:val="28"/>
        </w:rPr>
        <w:t>Comparând nivelul prognozat al veniturilor colectate (</w:t>
      </w:r>
      <w:r w:rsidR="00F30253" w:rsidRPr="001D0846">
        <w:rPr>
          <w:rFonts w:ascii="Times New Roman" w:hAnsi="Times New Roman" w:cs="Times New Roman"/>
          <w:sz w:val="28"/>
          <w:szCs w:val="28"/>
        </w:rPr>
        <w:t>obiectiv propus</w:t>
      </w:r>
      <w:r w:rsidRPr="001D0846">
        <w:rPr>
          <w:rFonts w:ascii="Times New Roman" w:hAnsi="Times New Roman" w:cs="Times New Roman"/>
          <w:sz w:val="28"/>
          <w:szCs w:val="28"/>
        </w:rPr>
        <w:t xml:space="preserve"> de MF) </w:t>
      </w:r>
      <w:r w:rsidR="00FA07F7">
        <w:rPr>
          <w:rFonts w:ascii="Times New Roman" w:hAnsi="Times New Roman" w:cs="Times New Roman"/>
          <w:sz w:val="28"/>
          <w:szCs w:val="28"/>
        </w:rPr>
        <w:t>cu</w:t>
      </w:r>
      <w:r w:rsidRPr="001D0846">
        <w:rPr>
          <w:rFonts w:ascii="Times New Roman" w:hAnsi="Times New Roman" w:cs="Times New Roman"/>
          <w:sz w:val="28"/>
          <w:szCs w:val="28"/>
        </w:rPr>
        <w:t xml:space="preserve"> încasările în aspectul componentelor</w:t>
      </w:r>
      <w:r w:rsidR="003F6A2F">
        <w:rPr>
          <w:rFonts w:ascii="Times New Roman" w:hAnsi="Times New Roman" w:cs="Times New Roman"/>
          <w:sz w:val="28"/>
          <w:szCs w:val="28"/>
        </w:rPr>
        <w:t xml:space="preserve"> BPN realizate în </w:t>
      </w:r>
      <w:r w:rsidR="00FA07F7">
        <w:rPr>
          <w:rFonts w:ascii="Times New Roman" w:hAnsi="Times New Roman" w:cs="Times New Roman"/>
          <w:sz w:val="28"/>
          <w:szCs w:val="28"/>
        </w:rPr>
        <w:t>anul</w:t>
      </w:r>
      <w:r w:rsidRPr="001D0846">
        <w:rPr>
          <w:rFonts w:ascii="Times New Roman" w:hAnsi="Times New Roman" w:cs="Times New Roman"/>
          <w:sz w:val="28"/>
          <w:szCs w:val="28"/>
        </w:rPr>
        <w:t>2017, s-a constatat că, per ansamblu</w:t>
      </w:r>
      <w:r w:rsidR="00FA07F7">
        <w:rPr>
          <w:rFonts w:ascii="Times New Roman" w:hAnsi="Times New Roman" w:cs="Times New Roman"/>
          <w:sz w:val="28"/>
          <w:szCs w:val="28"/>
        </w:rPr>
        <w:t>,</w:t>
      </w:r>
      <w:r w:rsidRPr="001D0846">
        <w:rPr>
          <w:rFonts w:ascii="Times New Roman" w:hAnsi="Times New Roman" w:cs="Times New Roman"/>
          <w:sz w:val="28"/>
          <w:szCs w:val="28"/>
        </w:rPr>
        <w:t xml:space="preserve"> SFS a îndeplinit obiectivele stabilite, fiind înregistrat un nivel de realizare a sarcinii de colectare a veniturilor la BPN  de 102%, inclusiv BS și BUAT – 102 %, BASS – 100,6 %</w:t>
      </w:r>
      <w:r w:rsidR="00FA07F7">
        <w:rPr>
          <w:rFonts w:ascii="Times New Roman" w:hAnsi="Times New Roman" w:cs="Times New Roman"/>
          <w:sz w:val="28"/>
          <w:szCs w:val="28"/>
        </w:rPr>
        <w:t>,</w:t>
      </w:r>
      <w:r w:rsidRPr="001D0846">
        <w:rPr>
          <w:rFonts w:ascii="Times New Roman" w:hAnsi="Times New Roman" w:cs="Times New Roman"/>
          <w:sz w:val="28"/>
          <w:szCs w:val="28"/>
        </w:rPr>
        <w:t xml:space="preserve"> și FAOAM – 107,9 %. </w:t>
      </w:r>
    </w:p>
    <w:p w:rsidR="001272E2" w:rsidRPr="001D0846" w:rsidRDefault="008C1007" w:rsidP="000A421F">
      <w:pPr>
        <w:spacing w:after="0" w:line="276" w:lineRule="auto"/>
        <w:ind w:right="-2" w:firstLine="720"/>
        <w:jc w:val="both"/>
        <w:rPr>
          <w:rFonts w:ascii="Times New Roman" w:hAnsi="Times New Roman" w:cs="Times New Roman"/>
          <w:b/>
          <w:i/>
          <w:sz w:val="28"/>
          <w:szCs w:val="28"/>
        </w:rPr>
      </w:pPr>
      <w:r w:rsidRPr="001D0846">
        <w:rPr>
          <w:rFonts w:ascii="Times New Roman" w:hAnsi="Times New Roman" w:cs="Times New Roman"/>
          <w:sz w:val="28"/>
          <w:szCs w:val="28"/>
        </w:rPr>
        <w:t>Analiza nivelul</w:t>
      </w:r>
      <w:r w:rsidR="00734532" w:rsidRPr="001D0846">
        <w:rPr>
          <w:rFonts w:ascii="Times New Roman" w:hAnsi="Times New Roman" w:cs="Times New Roman"/>
          <w:sz w:val="28"/>
          <w:szCs w:val="28"/>
        </w:rPr>
        <w:t>ui</w:t>
      </w:r>
      <w:r w:rsidRPr="001D0846">
        <w:rPr>
          <w:rFonts w:ascii="Times New Roman" w:hAnsi="Times New Roman" w:cs="Times New Roman"/>
          <w:sz w:val="28"/>
          <w:szCs w:val="28"/>
        </w:rPr>
        <w:t xml:space="preserve"> de realizare a sarcinii de colectare în aspectul tipurilor de impozite și taxe relevă unele discrepanțe între nivelul prognozat al încasărilor și cel efectiv realizat</w:t>
      </w:r>
      <w:r w:rsidRPr="00B26E20">
        <w:rPr>
          <w:rFonts w:ascii="Times New Roman" w:hAnsi="Times New Roman" w:cs="Times New Roman"/>
          <w:sz w:val="28"/>
          <w:szCs w:val="28"/>
        </w:rPr>
        <w:t xml:space="preserve">, </w:t>
      </w:r>
      <w:r w:rsidRPr="00B26E20">
        <w:rPr>
          <w:rFonts w:ascii="Times New Roman" w:hAnsi="Times New Roman" w:cs="Times New Roman"/>
          <w:i/>
          <w:sz w:val="28"/>
          <w:szCs w:val="28"/>
        </w:rPr>
        <w:t xml:space="preserve">situație care </w:t>
      </w:r>
      <w:r w:rsidR="00FA07F7">
        <w:rPr>
          <w:rFonts w:ascii="Times New Roman" w:hAnsi="Times New Roman" w:cs="Times New Roman"/>
          <w:i/>
          <w:sz w:val="28"/>
          <w:szCs w:val="28"/>
        </w:rPr>
        <w:t>este</w:t>
      </w:r>
      <w:r w:rsidRPr="00B26E20">
        <w:rPr>
          <w:rFonts w:ascii="Times New Roman" w:hAnsi="Times New Roman" w:cs="Times New Roman"/>
          <w:i/>
          <w:sz w:val="28"/>
          <w:szCs w:val="28"/>
        </w:rPr>
        <w:t xml:space="preserve"> prez</w:t>
      </w:r>
      <w:r w:rsidR="00FA07F7">
        <w:rPr>
          <w:rFonts w:ascii="Times New Roman" w:hAnsi="Times New Roman" w:cs="Times New Roman"/>
          <w:i/>
          <w:sz w:val="28"/>
          <w:szCs w:val="28"/>
        </w:rPr>
        <w:t>enta</w:t>
      </w:r>
      <w:r w:rsidRPr="00B26E20">
        <w:rPr>
          <w:rFonts w:ascii="Times New Roman" w:hAnsi="Times New Roman" w:cs="Times New Roman"/>
          <w:i/>
          <w:sz w:val="28"/>
          <w:szCs w:val="28"/>
        </w:rPr>
        <w:t xml:space="preserve">tă în detaliu în Tabelul </w:t>
      </w:r>
      <w:r w:rsidR="00F127BD" w:rsidRPr="00B26E20">
        <w:rPr>
          <w:rFonts w:ascii="Times New Roman" w:hAnsi="Times New Roman" w:cs="Times New Roman"/>
          <w:i/>
          <w:sz w:val="28"/>
          <w:szCs w:val="28"/>
        </w:rPr>
        <w:t>nr.6 din Anexa nr.3</w:t>
      </w:r>
      <w:r w:rsidR="00FA07F7">
        <w:rPr>
          <w:rFonts w:ascii="Times New Roman" w:hAnsi="Times New Roman" w:cs="Times New Roman"/>
          <w:i/>
          <w:sz w:val="28"/>
          <w:szCs w:val="28"/>
        </w:rPr>
        <w:t>la</w:t>
      </w:r>
      <w:r w:rsidR="001272E2" w:rsidRPr="00B26E20">
        <w:rPr>
          <w:rFonts w:ascii="Times New Roman" w:hAnsi="Times New Roman" w:cs="Times New Roman"/>
          <w:i/>
          <w:sz w:val="28"/>
          <w:szCs w:val="28"/>
        </w:rPr>
        <w:t xml:space="preserve"> Raport</w:t>
      </w:r>
      <w:r w:rsidR="00FA07F7">
        <w:rPr>
          <w:rFonts w:ascii="Times New Roman" w:hAnsi="Times New Roman" w:cs="Times New Roman"/>
          <w:i/>
          <w:sz w:val="28"/>
          <w:szCs w:val="28"/>
        </w:rPr>
        <w:t>ul</w:t>
      </w:r>
      <w:r w:rsidR="001272E2" w:rsidRPr="00B26E20">
        <w:rPr>
          <w:rFonts w:ascii="Times New Roman" w:hAnsi="Times New Roman" w:cs="Times New Roman"/>
          <w:i/>
          <w:sz w:val="28"/>
          <w:szCs w:val="28"/>
        </w:rPr>
        <w:t xml:space="preserve"> de audit</w:t>
      </w:r>
      <w:r w:rsidRPr="00B26E20">
        <w:rPr>
          <w:rFonts w:ascii="Times New Roman" w:hAnsi="Times New Roman" w:cs="Times New Roman"/>
          <w:i/>
          <w:sz w:val="28"/>
          <w:szCs w:val="28"/>
        </w:rPr>
        <w:t>.</w:t>
      </w:r>
    </w:p>
    <w:p w:rsidR="00FC0584" w:rsidRPr="00191BA5" w:rsidRDefault="00FA07F7" w:rsidP="00191BA5">
      <w:pPr>
        <w:spacing w:after="0" w:line="276" w:lineRule="auto"/>
        <w:ind w:right="-2" w:firstLine="720"/>
        <w:jc w:val="both"/>
        <w:rPr>
          <w:rFonts w:ascii="Times New Roman" w:hAnsi="Times New Roman" w:cs="Times New Roman"/>
          <w:sz w:val="28"/>
          <w:szCs w:val="28"/>
        </w:rPr>
      </w:pPr>
      <w:r>
        <w:rPr>
          <w:rFonts w:ascii="Times New Roman" w:hAnsi="Times New Roman" w:cs="Times New Roman"/>
          <w:sz w:val="28"/>
          <w:szCs w:val="28"/>
        </w:rPr>
        <w:t>Examinând</w:t>
      </w:r>
      <w:r w:rsidR="001272E2" w:rsidRPr="001D0846">
        <w:rPr>
          <w:rFonts w:ascii="Times New Roman" w:hAnsi="Times New Roman" w:cs="Times New Roman"/>
          <w:sz w:val="28"/>
          <w:szCs w:val="28"/>
        </w:rPr>
        <w:t xml:space="preserve"> datel</w:t>
      </w:r>
      <w:r>
        <w:rPr>
          <w:rFonts w:ascii="Times New Roman" w:hAnsi="Times New Roman" w:cs="Times New Roman"/>
          <w:sz w:val="28"/>
          <w:szCs w:val="28"/>
        </w:rPr>
        <w:t>e</w:t>
      </w:r>
      <w:r w:rsidR="008C1007" w:rsidRPr="001D0846">
        <w:rPr>
          <w:rFonts w:ascii="Times New Roman" w:hAnsi="Times New Roman" w:cs="Times New Roman"/>
          <w:sz w:val="28"/>
          <w:szCs w:val="28"/>
        </w:rPr>
        <w:t xml:space="preserve">prezentate în </w:t>
      </w:r>
      <w:r>
        <w:rPr>
          <w:rFonts w:ascii="Times New Roman" w:hAnsi="Times New Roman" w:cs="Times New Roman"/>
          <w:sz w:val="28"/>
          <w:szCs w:val="28"/>
        </w:rPr>
        <w:t>t</w:t>
      </w:r>
      <w:r w:rsidR="008C1007" w:rsidRPr="001D0846">
        <w:rPr>
          <w:rFonts w:ascii="Times New Roman" w:hAnsi="Times New Roman" w:cs="Times New Roman"/>
          <w:sz w:val="28"/>
          <w:szCs w:val="28"/>
        </w:rPr>
        <w:t>abel</w:t>
      </w:r>
      <w:r>
        <w:rPr>
          <w:rFonts w:ascii="Times New Roman" w:hAnsi="Times New Roman" w:cs="Times New Roman"/>
          <w:sz w:val="28"/>
          <w:szCs w:val="28"/>
        </w:rPr>
        <w:t>,se constată</w:t>
      </w:r>
      <w:r w:rsidR="008C1007" w:rsidRPr="001D0846">
        <w:rPr>
          <w:rFonts w:ascii="Times New Roman" w:hAnsi="Times New Roman" w:cs="Times New Roman"/>
          <w:sz w:val="28"/>
          <w:szCs w:val="28"/>
        </w:rPr>
        <w:t xml:space="preserve"> nerealizarea de către SFS în </w:t>
      </w:r>
      <w:r w:rsidR="00191BA5">
        <w:rPr>
          <w:rFonts w:ascii="Times New Roman" w:hAnsi="Times New Roman" w:cs="Times New Roman"/>
          <w:sz w:val="28"/>
          <w:szCs w:val="28"/>
        </w:rPr>
        <w:t xml:space="preserve">anul 2017 </w:t>
      </w:r>
      <w:r w:rsidR="008C1007" w:rsidRPr="001D0846">
        <w:rPr>
          <w:rFonts w:ascii="Times New Roman" w:hAnsi="Times New Roman" w:cs="Times New Roman"/>
          <w:sz w:val="28"/>
          <w:szCs w:val="28"/>
        </w:rPr>
        <w:t>a planului de încasări</w:t>
      </w:r>
      <w:r>
        <w:rPr>
          <w:rFonts w:ascii="Times New Roman" w:hAnsi="Times New Roman" w:cs="Times New Roman"/>
          <w:sz w:val="28"/>
          <w:szCs w:val="28"/>
        </w:rPr>
        <w:t>,</w:t>
      </w:r>
      <w:r w:rsidR="008C1007" w:rsidRPr="001D0846">
        <w:rPr>
          <w:rFonts w:ascii="Times New Roman" w:hAnsi="Times New Roman" w:cs="Times New Roman"/>
          <w:sz w:val="28"/>
          <w:szCs w:val="28"/>
        </w:rPr>
        <w:t xml:space="preserve"> față de nivelul planificat</w:t>
      </w:r>
      <w:r>
        <w:rPr>
          <w:rFonts w:ascii="Times New Roman" w:hAnsi="Times New Roman" w:cs="Times New Roman"/>
          <w:sz w:val="28"/>
          <w:szCs w:val="28"/>
        </w:rPr>
        <w:t>,</w:t>
      </w:r>
      <w:r w:rsidR="00191BA5">
        <w:rPr>
          <w:rFonts w:ascii="Times New Roman" w:hAnsi="Times New Roman" w:cs="Times New Roman"/>
          <w:sz w:val="28"/>
          <w:szCs w:val="28"/>
        </w:rPr>
        <w:t>la impozitul</w:t>
      </w:r>
      <w:r w:rsidR="008C1007" w:rsidRPr="001D0846">
        <w:rPr>
          <w:rFonts w:ascii="Times New Roman" w:hAnsi="Times New Roman" w:cs="Times New Roman"/>
          <w:sz w:val="28"/>
          <w:szCs w:val="28"/>
        </w:rPr>
        <w:t xml:space="preserve"> pe venit cu 78,8 mil.lei</w:t>
      </w:r>
      <w:r>
        <w:rPr>
          <w:rFonts w:ascii="Times New Roman" w:hAnsi="Times New Roman" w:cs="Times New Roman"/>
          <w:sz w:val="28"/>
          <w:szCs w:val="28"/>
        </w:rPr>
        <w:t>, precum</w:t>
      </w:r>
      <w:r w:rsidR="008C1007" w:rsidRPr="001D0846">
        <w:rPr>
          <w:rFonts w:ascii="Times New Roman" w:hAnsi="Times New Roman" w:cs="Times New Roman"/>
          <w:sz w:val="28"/>
          <w:szCs w:val="28"/>
        </w:rPr>
        <w:t xml:space="preserve"> și </w:t>
      </w:r>
      <w:r>
        <w:rPr>
          <w:rFonts w:ascii="Times New Roman" w:hAnsi="Times New Roman" w:cs="Times New Roman"/>
          <w:sz w:val="28"/>
          <w:szCs w:val="28"/>
        </w:rPr>
        <w:t>lat</w:t>
      </w:r>
      <w:r w:rsidR="008C1007" w:rsidRPr="001D0846">
        <w:rPr>
          <w:rFonts w:ascii="Times New Roman" w:hAnsi="Times New Roman" w:cs="Times New Roman"/>
          <w:sz w:val="28"/>
          <w:szCs w:val="28"/>
        </w:rPr>
        <w:t>ax</w:t>
      </w:r>
      <w:r>
        <w:rPr>
          <w:rFonts w:ascii="Times New Roman" w:hAnsi="Times New Roman" w:cs="Times New Roman"/>
          <w:sz w:val="28"/>
          <w:szCs w:val="28"/>
        </w:rPr>
        <w:t>a</w:t>
      </w:r>
      <w:r w:rsidR="008C1007" w:rsidRPr="001D0846">
        <w:rPr>
          <w:rFonts w:ascii="Times New Roman" w:hAnsi="Times New Roman" w:cs="Times New Roman"/>
          <w:sz w:val="28"/>
          <w:szCs w:val="28"/>
        </w:rPr>
        <w:t xml:space="preserve"> pentru folosirea drumurilor </w:t>
      </w:r>
      <w:r>
        <w:rPr>
          <w:rFonts w:ascii="Times New Roman" w:hAnsi="Times New Roman" w:cs="Times New Roman"/>
          <w:sz w:val="28"/>
          <w:szCs w:val="28"/>
        </w:rPr>
        <w:t xml:space="preserve">- </w:t>
      </w:r>
      <w:r w:rsidR="008C1007" w:rsidRPr="001D0846">
        <w:rPr>
          <w:rFonts w:ascii="Times New Roman" w:hAnsi="Times New Roman" w:cs="Times New Roman"/>
          <w:sz w:val="28"/>
          <w:szCs w:val="28"/>
        </w:rPr>
        <w:t xml:space="preserve">cu 15,9 mil.lei. Analogic, în </w:t>
      </w:r>
      <w:r>
        <w:rPr>
          <w:rFonts w:ascii="Times New Roman" w:hAnsi="Times New Roman" w:cs="Times New Roman"/>
          <w:sz w:val="28"/>
          <w:szCs w:val="28"/>
        </w:rPr>
        <w:t>anul</w:t>
      </w:r>
      <w:r w:rsidR="008C1007" w:rsidRPr="001D0846">
        <w:rPr>
          <w:rFonts w:ascii="Times New Roman" w:hAnsi="Times New Roman" w:cs="Times New Roman"/>
          <w:sz w:val="28"/>
          <w:szCs w:val="28"/>
        </w:rPr>
        <w:t xml:space="preserve"> 2016, la aceleași impozite/taxe se atestă nerealizări cu 33,8 mil.lei și</w:t>
      </w:r>
      <w:r w:rsidR="00F40F1E">
        <w:rPr>
          <w:rFonts w:ascii="Times New Roman" w:hAnsi="Times New Roman" w:cs="Times New Roman"/>
          <w:sz w:val="28"/>
          <w:szCs w:val="28"/>
        </w:rPr>
        <w:t>,</w:t>
      </w:r>
      <w:r w:rsidR="008C1007" w:rsidRPr="001D0846">
        <w:rPr>
          <w:rFonts w:ascii="Times New Roman" w:hAnsi="Times New Roman" w:cs="Times New Roman"/>
          <w:sz w:val="28"/>
          <w:szCs w:val="28"/>
        </w:rPr>
        <w:t xml:space="preserve"> respectiv</w:t>
      </w:r>
      <w:r w:rsidR="00F40F1E">
        <w:rPr>
          <w:rFonts w:ascii="Times New Roman" w:hAnsi="Times New Roman" w:cs="Times New Roman"/>
          <w:sz w:val="28"/>
          <w:szCs w:val="28"/>
        </w:rPr>
        <w:t>,</w:t>
      </w:r>
      <w:r w:rsidR="008C1007" w:rsidRPr="001D0846">
        <w:rPr>
          <w:rFonts w:ascii="Times New Roman" w:hAnsi="Times New Roman" w:cs="Times New Roman"/>
          <w:sz w:val="28"/>
          <w:szCs w:val="28"/>
        </w:rPr>
        <w:t xml:space="preserve"> cu </w:t>
      </w:r>
      <w:r w:rsidR="00191BA5">
        <w:rPr>
          <w:rFonts w:ascii="Times New Roman" w:hAnsi="Times New Roman" w:cs="Times New Roman"/>
          <w:sz w:val="28"/>
          <w:szCs w:val="28"/>
        </w:rPr>
        <w:t>28,8 mil.lei, precum și</w:t>
      </w:r>
      <w:r w:rsidR="008C1007" w:rsidRPr="001D0846">
        <w:rPr>
          <w:rFonts w:ascii="Times New Roman" w:hAnsi="Times New Roman" w:cs="Times New Roman"/>
          <w:sz w:val="28"/>
          <w:szCs w:val="28"/>
        </w:rPr>
        <w:t xml:space="preserve"> nerealizări la alte impozite și taxe </w:t>
      </w:r>
      <w:r w:rsidR="00F40F1E">
        <w:rPr>
          <w:rFonts w:ascii="Times New Roman" w:hAnsi="Times New Roman" w:cs="Times New Roman"/>
          <w:sz w:val="28"/>
          <w:szCs w:val="28"/>
        </w:rPr>
        <w:t xml:space="preserve">- </w:t>
      </w:r>
      <w:r w:rsidR="008C1007" w:rsidRPr="001D0846">
        <w:rPr>
          <w:rFonts w:ascii="Times New Roman" w:hAnsi="Times New Roman" w:cs="Times New Roman"/>
          <w:sz w:val="28"/>
          <w:szCs w:val="28"/>
        </w:rPr>
        <w:t xml:space="preserve">cu 32,2 mil.lei. În </w:t>
      </w:r>
      <w:r w:rsidR="00F40F1E">
        <w:rPr>
          <w:rFonts w:ascii="Times New Roman" w:hAnsi="Times New Roman" w:cs="Times New Roman"/>
          <w:sz w:val="28"/>
          <w:szCs w:val="28"/>
        </w:rPr>
        <w:t>anul</w:t>
      </w:r>
      <w:r w:rsidR="008C1007" w:rsidRPr="001D0846">
        <w:rPr>
          <w:rFonts w:ascii="Times New Roman" w:hAnsi="Times New Roman" w:cs="Times New Roman"/>
          <w:sz w:val="28"/>
          <w:szCs w:val="28"/>
        </w:rPr>
        <w:t xml:space="preserve"> 2015 </w:t>
      </w:r>
      <w:r w:rsidR="00F40F1E">
        <w:rPr>
          <w:rFonts w:ascii="Times New Roman" w:hAnsi="Times New Roman" w:cs="Times New Roman"/>
          <w:sz w:val="28"/>
          <w:szCs w:val="28"/>
        </w:rPr>
        <w:t>nu s-a realizat</w:t>
      </w:r>
      <w:r w:rsidR="008C1007" w:rsidRPr="001D0846">
        <w:rPr>
          <w:rFonts w:ascii="Times New Roman" w:hAnsi="Times New Roman" w:cs="Times New Roman"/>
          <w:sz w:val="28"/>
          <w:szCs w:val="28"/>
        </w:rPr>
        <w:t xml:space="preserve"> planu</w:t>
      </w:r>
      <w:r w:rsidR="00F40F1E">
        <w:rPr>
          <w:rFonts w:ascii="Times New Roman" w:hAnsi="Times New Roman" w:cs="Times New Roman"/>
          <w:sz w:val="28"/>
          <w:szCs w:val="28"/>
        </w:rPr>
        <w:t>l</w:t>
      </w:r>
      <w:r w:rsidR="008C1007" w:rsidRPr="001D0846">
        <w:rPr>
          <w:rFonts w:ascii="Times New Roman" w:hAnsi="Times New Roman" w:cs="Times New Roman"/>
          <w:sz w:val="28"/>
          <w:szCs w:val="28"/>
        </w:rPr>
        <w:t xml:space="preserve"> de încasări la TVA cu 78,6 mil.lei.</w:t>
      </w:r>
    </w:p>
    <w:p w:rsidR="00A355CC" w:rsidRPr="001D0846" w:rsidRDefault="00FC0584" w:rsidP="000A421F">
      <w:pPr>
        <w:spacing w:after="0" w:line="276" w:lineRule="auto"/>
        <w:ind w:right="-2" w:firstLine="720"/>
        <w:jc w:val="both"/>
        <w:rPr>
          <w:rFonts w:ascii="Times New Roman" w:hAnsi="Times New Roman" w:cs="Times New Roman"/>
          <w:sz w:val="28"/>
          <w:szCs w:val="28"/>
        </w:rPr>
      </w:pPr>
      <w:r w:rsidRPr="001D0846">
        <w:rPr>
          <w:rFonts w:ascii="Times New Roman" w:hAnsi="Times New Roman" w:cs="Times New Roman"/>
          <w:sz w:val="28"/>
          <w:szCs w:val="28"/>
        </w:rPr>
        <w:t>Î</w:t>
      </w:r>
      <w:r w:rsidR="008C1007" w:rsidRPr="001D0846">
        <w:rPr>
          <w:rFonts w:ascii="Times New Roman" w:hAnsi="Times New Roman" w:cs="Times New Roman"/>
          <w:sz w:val="28"/>
          <w:szCs w:val="28"/>
        </w:rPr>
        <w:t xml:space="preserve">n totalul veniturilor colectate de SFS la </w:t>
      </w:r>
      <w:r w:rsidR="00A355CC" w:rsidRPr="001D0846">
        <w:rPr>
          <w:rFonts w:ascii="Times New Roman" w:hAnsi="Times New Roman" w:cs="Times New Roman"/>
          <w:sz w:val="28"/>
          <w:szCs w:val="28"/>
        </w:rPr>
        <w:t>B</w:t>
      </w:r>
      <w:r w:rsidR="00102813">
        <w:rPr>
          <w:rFonts w:ascii="Times New Roman" w:hAnsi="Times New Roman" w:cs="Times New Roman"/>
          <w:sz w:val="28"/>
          <w:szCs w:val="28"/>
        </w:rPr>
        <w:t>S</w:t>
      </w:r>
      <w:r w:rsidR="00A355CC" w:rsidRPr="001D0846">
        <w:rPr>
          <w:rFonts w:ascii="Times New Roman" w:hAnsi="Times New Roman" w:cs="Times New Roman"/>
          <w:sz w:val="28"/>
          <w:szCs w:val="28"/>
        </w:rPr>
        <w:t xml:space="preserve"> în anul 2017</w:t>
      </w:r>
      <w:r w:rsidR="008C1007" w:rsidRPr="001D0846">
        <w:rPr>
          <w:rFonts w:ascii="Times New Roman" w:hAnsi="Times New Roman" w:cs="Times New Roman"/>
          <w:sz w:val="28"/>
          <w:szCs w:val="28"/>
        </w:rPr>
        <w:t>, ponderea majoră o dețin încasările de la TVA (6,2 ml</w:t>
      </w:r>
      <w:r w:rsidR="00F40F1E">
        <w:rPr>
          <w:rFonts w:ascii="Times New Roman" w:hAnsi="Times New Roman" w:cs="Times New Roman"/>
          <w:sz w:val="28"/>
          <w:szCs w:val="28"/>
        </w:rPr>
        <w:t>r</w:t>
      </w:r>
      <w:r w:rsidR="008C1007" w:rsidRPr="001D0846">
        <w:rPr>
          <w:rFonts w:ascii="Times New Roman" w:hAnsi="Times New Roman" w:cs="Times New Roman"/>
          <w:sz w:val="28"/>
          <w:szCs w:val="28"/>
        </w:rPr>
        <w:t>d.lei, sau 19%)</w:t>
      </w:r>
      <w:r w:rsidR="00F40F1E">
        <w:rPr>
          <w:rFonts w:ascii="Times New Roman" w:hAnsi="Times New Roman" w:cs="Times New Roman"/>
          <w:sz w:val="28"/>
          <w:szCs w:val="28"/>
        </w:rPr>
        <w:t>,</w:t>
      </w:r>
      <w:r w:rsidR="008C1007" w:rsidRPr="001D0846">
        <w:rPr>
          <w:rFonts w:ascii="Times New Roman" w:hAnsi="Times New Roman" w:cs="Times New Roman"/>
          <w:sz w:val="28"/>
          <w:szCs w:val="28"/>
        </w:rPr>
        <w:t xml:space="preserve"> urmate de încasările de la impozitu</w:t>
      </w:r>
      <w:r w:rsidR="005B3DC9" w:rsidRPr="001D0846">
        <w:rPr>
          <w:rFonts w:ascii="Times New Roman" w:hAnsi="Times New Roman" w:cs="Times New Roman"/>
          <w:sz w:val="28"/>
          <w:szCs w:val="28"/>
        </w:rPr>
        <w:t>l pe venit (5,6 ml</w:t>
      </w:r>
      <w:r w:rsidR="00F40F1E">
        <w:rPr>
          <w:rFonts w:ascii="Times New Roman" w:hAnsi="Times New Roman" w:cs="Times New Roman"/>
          <w:sz w:val="28"/>
          <w:szCs w:val="28"/>
        </w:rPr>
        <w:t>r</w:t>
      </w:r>
      <w:r w:rsidR="005B3DC9" w:rsidRPr="001D0846">
        <w:rPr>
          <w:rFonts w:ascii="Times New Roman" w:hAnsi="Times New Roman" w:cs="Times New Roman"/>
          <w:sz w:val="28"/>
          <w:szCs w:val="28"/>
        </w:rPr>
        <w:t>d.lei, sau 17</w:t>
      </w:r>
      <w:r w:rsidR="008C1007" w:rsidRPr="001D0846">
        <w:rPr>
          <w:rFonts w:ascii="Times New Roman" w:hAnsi="Times New Roman" w:cs="Times New Roman"/>
          <w:sz w:val="28"/>
          <w:szCs w:val="28"/>
        </w:rPr>
        <w:t xml:space="preserve">%). </w:t>
      </w:r>
    </w:p>
    <w:p w:rsidR="008C1007" w:rsidRDefault="008C1007" w:rsidP="000A421F">
      <w:pPr>
        <w:spacing w:after="0" w:line="276" w:lineRule="auto"/>
        <w:ind w:right="-2" w:firstLine="720"/>
        <w:jc w:val="both"/>
        <w:rPr>
          <w:rFonts w:ascii="Times New Roman" w:hAnsi="Times New Roman" w:cs="Times New Roman"/>
          <w:i/>
          <w:sz w:val="28"/>
          <w:szCs w:val="28"/>
        </w:rPr>
      </w:pPr>
      <w:r w:rsidRPr="001D0846">
        <w:rPr>
          <w:rFonts w:ascii="Times New Roman" w:hAnsi="Times New Roman" w:cs="Times New Roman"/>
          <w:sz w:val="28"/>
          <w:szCs w:val="28"/>
        </w:rPr>
        <w:lastRenderedPageBreak/>
        <w:t>Analiza efectuată de audit denotă că</w:t>
      </w:r>
      <w:r w:rsidR="00F40F1E">
        <w:rPr>
          <w:rFonts w:ascii="Times New Roman" w:hAnsi="Times New Roman" w:cs="Times New Roman"/>
          <w:sz w:val="28"/>
          <w:szCs w:val="28"/>
        </w:rPr>
        <w:t>,</w:t>
      </w:r>
      <w:r w:rsidRPr="001D0846">
        <w:rPr>
          <w:rFonts w:ascii="Times New Roman" w:hAnsi="Times New Roman" w:cs="Times New Roman"/>
          <w:sz w:val="28"/>
          <w:szCs w:val="28"/>
        </w:rPr>
        <w:t xml:space="preserve"> deși, în perioada anilor 2015-2016</w:t>
      </w:r>
      <w:r w:rsidR="00F40F1E">
        <w:rPr>
          <w:rFonts w:ascii="Times New Roman" w:hAnsi="Times New Roman" w:cs="Times New Roman"/>
          <w:sz w:val="28"/>
          <w:szCs w:val="28"/>
        </w:rPr>
        <w:t xml:space="preserve">, </w:t>
      </w:r>
      <w:r w:rsidRPr="001D0846">
        <w:rPr>
          <w:rFonts w:ascii="Times New Roman" w:hAnsi="Times New Roman" w:cs="Times New Roman"/>
          <w:sz w:val="28"/>
          <w:szCs w:val="28"/>
        </w:rPr>
        <w:t xml:space="preserve"> ponderea TVA în totalul veniturilor colectate la </w:t>
      </w:r>
      <w:r w:rsidR="00A355CC" w:rsidRPr="001D0846">
        <w:rPr>
          <w:rFonts w:ascii="Times New Roman" w:hAnsi="Times New Roman" w:cs="Times New Roman"/>
          <w:sz w:val="28"/>
          <w:szCs w:val="28"/>
        </w:rPr>
        <w:t>BS</w:t>
      </w:r>
      <w:r w:rsidRPr="001D0846">
        <w:rPr>
          <w:rFonts w:ascii="Times New Roman" w:hAnsi="Times New Roman" w:cs="Times New Roman"/>
          <w:sz w:val="28"/>
          <w:szCs w:val="28"/>
        </w:rPr>
        <w:t xml:space="preserve"> con</w:t>
      </w:r>
      <w:r w:rsidR="005B3DC9" w:rsidRPr="001D0846">
        <w:rPr>
          <w:rFonts w:ascii="Times New Roman" w:hAnsi="Times New Roman" w:cs="Times New Roman"/>
          <w:sz w:val="28"/>
          <w:szCs w:val="28"/>
        </w:rPr>
        <w:t xml:space="preserve">stituia </w:t>
      </w:r>
      <w:r w:rsidR="00A355CC" w:rsidRPr="001D0846">
        <w:rPr>
          <w:rFonts w:ascii="Times New Roman" w:hAnsi="Times New Roman" w:cs="Times New Roman"/>
          <w:sz w:val="28"/>
          <w:szCs w:val="28"/>
        </w:rPr>
        <w:t>45,7</w:t>
      </w:r>
      <w:r w:rsidR="005B3DC9" w:rsidRPr="001D0846">
        <w:rPr>
          <w:rFonts w:ascii="Times New Roman" w:hAnsi="Times New Roman" w:cs="Times New Roman"/>
          <w:sz w:val="28"/>
          <w:szCs w:val="28"/>
        </w:rPr>
        <w:t>% și</w:t>
      </w:r>
      <w:r w:rsidR="00F40F1E">
        <w:rPr>
          <w:rFonts w:ascii="Times New Roman" w:hAnsi="Times New Roman" w:cs="Times New Roman"/>
          <w:sz w:val="28"/>
          <w:szCs w:val="28"/>
        </w:rPr>
        <w:t>,</w:t>
      </w:r>
      <w:r w:rsidR="005B3DC9" w:rsidRPr="001D0846">
        <w:rPr>
          <w:rFonts w:ascii="Times New Roman" w:hAnsi="Times New Roman" w:cs="Times New Roman"/>
          <w:sz w:val="28"/>
          <w:szCs w:val="28"/>
        </w:rPr>
        <w:t xml:space="preserve"> respectiv</w:t>
      </w:r>
      <w:r w:rsidR="00F40F1E">
        <w:rPr>
          <w:rFonts w:ascii="Times New Roman" w:hAnsi="Times New Roman" w:cs="Times New Roman"/>
          <w:sz w:val="28"/>
          <w:szCs w:val="28"/>
        </w:rPr>
        <w:t xml:space="preserve">, </w:t>
      </w:r>
      <w:r w:rsidR="005B3DC9" w:rsidRPr="001D0846">
        <w:rPr>
          <w:rFonts w:ascii="Times New Roman" w:hAnsi="Times New Roman" w:cs="Times New Roman"/>
          <w:sz w:val="28"/>
          <w:szCs w:val="28"/>
        </w:rPr>
        <w:t xml:space="preserve"> 46,0</w:t>
      </w:r>
      <w:r w:rsidRPr="001D0846">
        <w:rPr>
          <w:rFonts w:ascii="Times New Roman" w:hAnsi="Times New Roman" w:cs="Times New Roman"/>
          <w:sz w:val="28"/>
          <w:szCs w:val="28"/>
        </w:rPr>
        <w:t xml:space="preserve">%, în anul 2017 se atestă o scădere </w:t>
      </w:r>
      <w:r w:rsidR="005B3DC9" w:rsidRPr="001D0846">
        <w:rPr>
          <w:rFonts w:ascii="Times New Roman" w:hAnsi="Times New Roman" w:cs="Times New Roman"/>
          <w:sz w:val="28"/>
          <w:szCs w:val="28"/>
        </w:rPr>
        <w:t>a ponderii acestei taxe cu 2,7 p.p.</w:t>
      </w:r>
      <w:r w:rsidR="00F40F1E">
        <w:rPr>
          <w:rFonts w:ascii="Times New Roman" w:hAnsi="Times New Roman" w:cs="Times New Roman"/>
          <w:sz w:val="28"/>
          <w:szCs w:val="28"/>
        </w:rPr>
        <w:t>,</w:t>
      </w:r>
      <w:r w:rsidRPr="001D0846">
        <w:rPr>
          <w:rFonts w:ascii="Times New Roman" w:hAnsi="Times New Roman" w:cs="Times New Roman"/>
          <w:sz w:val="28"/>
          <w:szCs w:val="28"/>
        </w:rPr>
        <w:t xml:space="preserve"> constituind 43,3%</w:t>
      </w:r>
      <w:r w:rsidR="009F2216" w:rsidRPr="001D0846">
        <w:rPr>
          <w:rFonts w:ascii="Times New Roman" w:hAnsi="Times New Roman" w:cs="Times New Roman"/>
          <w:sz w:val="28"/>
          <w:szCs w:val="28"/>
        </w:rPr>
        <w:t>, situație cauzată de creșterea ponderii altor impozite și taxe</w:t>
      </w:r>
      <w:r w:rsidRPr="001D0846">
        <w:rPr>
          <w:rFonts w:ascii="Times New Roman" w:hAnsi="Times New Roman" w:cs="Times New Roman"/>
          <w:sz w:val="28"/>
          <w:szCs w:val="28"/>
        </w:rPr>
        <w:t xml:space="preserve">. Analogic, se remarcă reducerea în anul 2017 a ponderii impozitului pe venit cu 1,8 % și a accizelor </w:t>
      </w:r>
      <w:r w:rsidR="00F40F1E">
        <w:rPr>
          <w:rFonts w:ascii="Times New Roman" w:hAnsi="Times New Roman" w:cs="Times New Roman"/>
          <w:sz w:val="28"/>
          <w:szCs w:val="28"/>
        </w:rPr>
        <w:t xml:space="preserve">- </w:t>
      </w:r>
      <w:r w:rsidRPr="001D0846">
        <w:rPr>
          <w:rFonts w:ascii="Times New Roman" w:hAnsi="Times New Roman" w:cs="Times New Roman"/>
          <w:sz w:val="28"/>
          <w:szCs w:val="28"/>
        </w:rPr>
        <w:t>cu 0,6 %</w:t>
      </w:r>
      <w:r w:rsidR="00F40F1E">
        <w:rPr>
          <w:rFonts w:ascii="Times New Roman" w:hAnsi="Times New Roman" w:cs="Times New Roman"/>
          <w:sz w:val="28"/>
          <w:szCs w:val="28"/>
        </w:rPr>
        <w:t>,</w:t>
      </w:r>
      <w:r w:rsidRPr="001D0846">
        <w:rPr>
          <w:rFonts w:ascii="Times New Roman" w:hAnsi="Times New Roman" w:cs="Times New Roman"/>
          <w:sz w:val="28"/>
          <w:szCs w:val="28"/>
        </w:rPr>
        <w:t xml:space="preserve"> față de anul 2016. Totodată, se </w:t>
      </w:r>
      <w:r w:rsidR="00F40F1E">
        <w:rPr>
          <w:rFonts w:ascii="Times New Roman" w:hAnsi="Times New Roman" w:cs="Times New Roman"/>
          <w:sz w:val="28"/>
          <w:szCs w:val="28"/>
        </w:rPr>
        <w:t>constată</w:t>
      </w:r>
      <w:r w:rsidRPr="001D0846">
        <w:rPr>
          <w:rFonts w:ascii="Times New Roman" w:hAnsi="Times New Roman" w:cs="Times New Roman"/>
          <w:sz w:val="28"/>
          <w:szCs w:val="28"/>
        </w:rPr>
        <w:t xml:space="preserve"> o creștere a ponderii altor impozite și taxe în anul 2017 cu 1,3 %</w:t>
      </w:r>
      <w:r w:rsidR="00F40F1E">
        <w:rPr>
          <w:rFonts w:ascii="Times New Roman" w:hAnsi="Times New Roman" w:cs="Times New Roman"/>
          <w:sz w:val="28"/>
          <w:szCs w:val="28"/>
        </w:rPr>
        <w:t>,</w:t>
      </w:r>
      <w:r w:rsidRPr="001D0846">
        <w:rPr>
          <w:rFonts w:ascii="Times New Roman" w:hAnsi="Times New Roman" w:cs="Times New Roman"/>
          <w:sz w:val="28"/>
          <w:szCs w:val="28"/>
        </w:rPr>
        <w:t xml:space="preserve"> față de anul 2016, influențată de transmiterea spre administrare în anul 2017 a unor impozite și taxe de la IES și a </w:t>
      </w:r>
      <w:r w:rsidRPr="00555B62">
        <w:rPr>
          <w:rFonts w:ascii="Times New Roman" w:hAnsi="Times New Roman" w:cs="Times New Roman"/>
          <w:sz w:val="28"/>
          <w:szCs w:val="28"/>
        </w:rPr>
        <w:t>taxei pentru vinietă, de la care au</w:t>
      </w:r>
      <w:r w:rsidRPr="001D0846">
        <w:rPr>
          <w:rFonts w:ascii="Times New Roman" w:hAnsi="Times New Roman" w:cs="Times New Roman"/>
          <w:sz w:val="28"/>
          <w:szCs w:val="28"/>
        </w:rPr>
        <w:t xml:space="preserve"> fost încasate </w:t>
      </w:r>
      <w:r w:rsidR="00F40F1E" w:rsidRPr="001D0846">
        <w:rPr>
          <w:rFonts w:ascii="Times New Roman" w:hAnsi="Times New Roman" w:cs="Times New Roman"/>
          <w:sz w:val="28"/>
          <w:szCs w:val="28"/>
        </w:rPr>
        <w:t xml:space="preserve">în BS </w:t>
      </w:r>
      <w:r w:rsidRPr="001D0846">
        <w:rPr>
          <w:rFonts w:ascii="Times New Roman" w:hAnsi="Times New Roman" w:cs="Times New Roman"/>
          <w:sz w:val="28"/>
          <w:szCs w:val="28"/>
        </w:rPr>
        <w:t>venituri suplimentare în sumă de 293,7 mil.lei și</w:t>
      </w:r>
      <w:r w:rsidR="00F40F1E">
        <w:rPr>
          <w:rFonts w:ascii="Times New Roman" w:hAnsi="Times New Roman" w:cs="Times New Roman"/>
          <w:sz w:val="28"/>
          <w:szCs w:val="28"/>
        </w:rPr>
        <w:t>,</w:t>
      </w:r>
      <w:r w:rsidRPr="001D0846">
        <w:rPr>
          <w:rFonts w:ascii="Times New Roman" w:hAnsi="Times New Roman" w:cs="Times New Roman"/>
          <w:sz w:val="28"/>
          <w:szCs w:val="28"/>
        </w:rPr>
        <w:t xml:space="preserve"> respectiv</w:t>
      </w:r>
      <w:r w:rsidR="00F40F1E">
        <w:rPr>
          <w:rFonts w:ascii="Times New Roman" w:hAnsi="Times New Roman" w:cs="Times New Roman"/>
          <w:sz w:val="28"/>
          <w:szCs w:val="28"/>
        </w:rPr>
        <w:t>,</w:t>
      </w:r>
      <w:r w:rsidR="0027690B">
        <w:rPr>
          <w:rFonts w:ascii="Times New Roman" w:hAnsi="Times New Roman" w:cs="Times New Roman"/>
          <w:sz w:val="28"/>
          <w:szCs w:val="28"/>
        </w:rPr>
        <w:t xml:space="preserve">de </w:t>
      </w:r>
      <w:r w:rsidRPr="001D0846">
        <w:rPr>
          <w:rFonts w:ascii="Times New Roman" w:hAnsi="Times New Roman" w:cs="Times New Roman"/>
          <w:sz w:val="28"/>
          <w:szCs w:val="28"/>
        </w:rPr>
        <w:t>85</w:t>
      </w:r>
      <w:r w:rsidR="00F40F1E">
        <w:rPr>
          <w:rFonts w:ascii="Times New Roman" w:hAnsi="Times New Roman" w:cs="Times New Roman"/>
          <w:sz w:val="28"/>
          <w:szCs w:val="28"/>
        </w:rPr>
        <w:t>,0</w:t>
      </w:r>
      <w:r w:rsidRPr="001D0846">
        <w:rPr>
          <w:rFonts w:ascii="Times New Roman" w:hAnsi="Times New Roman" w:cs="Times New Roman"/>
          <w:sz w:val="28"/>
          <w:szCs w:val="28"/>
        </w:rPr>
        <w:t xml:space="preserve"> mil.lei.</w:t>
      </w:r>
      <w:r w:rsidR="00EC4D08" w:rsidRPr="00C47531">
        <w:rPr>
          <w:rFonts w:ascii="Times New Roman" w:hAnsi="Times New Roman" w:cs="Times New Roman"/>
          <w:i/>
          <w:sz w:val="28"/>
          <w:szCs w:val="28"/>
        </w:rPr>
        <w:t>Informația privind încasările la BS în aspectul unor tipuri de impozite administrate de SFS pentru ani</w:t>
      </w:r>
      <w:r w:rsidR="0027690B">
        <w:rPr>
          <w:rFonts w:ascii="Times New Roman" w:hAnsi="Times New Roman" w:cs="Times New Roman"/>
          <w:i/>
          <w:sz w:val="28"/>
          <w:szCs w:val="28"/>
        </w:rPr>
        <w:t>i</w:t>
      </w:r>
      <w:r w:rsidR="00EC4D08" w:rsidRPr="00C47531">
        <w:rPr>
          <w:rFonts w:ascii="Times New Roman" w:hAnsi="Times New Roman" w:cs="Times New Roman"/>
          <w:i/>
          <w:sz w:val="28"/>
          <w:szCs w:val="28"/>
        </w:rPr>
        <w:t xml:space="preserve"> 2015-2</w:t>
      </w:r>
      <w:r w:rsidR="00C47531">
        <w:rPr>
          <w:rFonts w:ascii="Times New Roman" w:hAnsi="Times New Roman" w:cs="Times New Roman"/>
          <w:i/>
          <w:sz w:val="28"/>
          <w:szCs w:val="28"/>
        </w:rPr>
        <w:t xml:space="preserve">017 </w:t>
      </w:r>
      <w:r w:rsidR="0027690B">
        <w:rPr>
          <w:rFonts w:ascii="Times New Roman" w:hAnsi="Times New Roman" w:cs="Times New Roman"/>
          <w:i/>
          <w:sz w:val="28"/>
          <w:szCs w:val="28"/>
        </w:rPr>
        <w:t xml:space="preserve">este </w:t>
      </w:r>
      <w:r w:rsidR="00C47531">
        <w:rPr>
          <w:rFonts w:ascii="Times New Roman" w:hAnsi="Times New Roman" w:cs="Times New Roman"/>
          <w:i/>
          <w:sz w:val="28"/>
          <w:szCs w:val="28"/>
        </w:rPr>
        <w:t xml:space="preserve"> prez</w:t>
      </w:r>
      <w:r w:rsidR="0027690B">
        <w:rPr>
          <w:rFonts w:ascii="Times New Roman" w:hAnsi="Times New Roman" w:cs="Times New Roman"/>
          <w:i/>
          <w:sz w:val="28"/>
          <w:szCs w:val="28"/>
        </w:rPr>
        <w:t>enta</w:t>
      </w:r>
      <w:r w:rsidR="00C47531">
        <w:rPr>
          <w:rFonts w:ascii="Times New Roman" w:hAnsi="Times New Roman" w:cs="Times New Roman"/>
          <w:i/>
          <w:sz w:val="28"/>
          <w:szCs w:val="28"/>
        </w:rPr>
        <w:t>tă în Diagrama nr.7</w:t>
      </w:r>
      <w:r w:rsidR="0027690B">
        <w:rPr>
          <w:rFonts w:ascii="Times New Roman" w:hAnsi="Times New Roman" w:cs="Times New Roman"/>
          <w:i/>
          <w:sz w:val="28"/>
          <w:szCs w:val="28"/>
        </w:rPr>
        <w:t xml:space="preserve">din </w:t>
      </w:r>
      <w:r w:rsidR="00EC4D08" w:rsidRPr="00C47531">
        <w:rPr>
          <w:rFonts w:ascii="Times New Roman" w:hAnsi="Times New Roman" w:cs="Times New Roman"/>
          <w:i/>
          <w:sz w:val="28"/>
          <w:szCs w:val="28"/>
        </w:rPr>
        <w:t>Anexa nr.4</w:t>
      </w:r>
      <w:r w:rsidR="0027690B">
        <w:rPr>
          <w:rFonts w:ascii="Times New Roman" w:hAnsi="Times New Roman" w:cs="Times New Roman"/>
          <w:i/>
          <w:sz w:val="28"/>
          <w:szCs w:val="28"/>
        </w:rPr>
        <w:t xml:space="preserve"> la Raportul de audit</w:t>
      </w:r>
      <w:r w:rsidR="00EC4D08" w:rsidRPr="00C47531">
        <w:rPr>
          <w:rFonts w:ascii="Times New Roman" w:hAnsi="Times New Roman" w:cs="Times New Roman"/>
          <w:i/>
          <w:sz w:val="28"/>
          <w:szCs w:val="28"/>
        </w:rPr>
        <w:t>.</w:t>
      </w:r>
    </w:p>
    <w:p w:rsidR="00EC4D50" w:rsidRPr="00EC4D50" w:rsidRDefault="008C1007" w:rsidP="00EC4D50">
      <w:pPr>
        <w:tabs>
          <w:tab w:val="left" w:pos="284"/>
          <w:tab w:val="left" w:pos="851"/>
          <w:tab w:val="left" w:pos="1134"/>
        </w:tabs>
        <w:spacing w:after="0" w:line="276" w:lineRule="auto"/>
        <w:ind w:right="-2"/>
        <w:jc w:val="both"/>
        <w:rPr>
          <w:rFonts w:ascii="Times New Roman" w:hAnsi="Times New Roman" w:cs="Times New Roman"/>
          <w:i/>
          <w:sz w:val="28"/>
          <w:szCs w:val="28"/>
        </w:rPr>
      </w:pPr>
      <w:r w:rsidRPr="001D0846">
        <w:rPr>
          <w:rFonts w:ascii="Times New Roman" w:hAnsi="Times New Roman" w:cs="Times New Roman"/>
          <w:sz w:val="28"/>
          <w:szCs w:val="28"/>
        </w:rPr>
        <w:tab/>
      </w:r>
      <w:r w:rsidR="00074794">
        <w:rPr>
          <w:rFonts w:ascii="Times New Roman" w:hAnsi="Times New Roman" w:cs="Times New Roman"/>
          <w:sz w:val="28"/>
          <w:szCs w:val="28"/>
        </w:rPr>
        <w:tab/>
      </w:r>
      <w:r w:rsidR="00074794" w:rsidRPr="00DC5522">
        <w:rPr>
          <w:rFonts w:ascii="Times New Roman" w:hAnsi="Times New Roman" w:cs="Times New Roman"/>
          <w:sz w:val="28"/>
          <w:szCs w:val="28"/>
        </w:rPr>
        <w:t>Analiz</w:t>
      </w:r>
      <w:r w:rsidR="0027690B">
        <w:rPr>
          <w:rFonts w:ascii="Times New Roman" w:hAnsi="Times New Roman" w:cs="Times New Roman"/>
          <w:sz w:val="28"/>
          <w:szCs w:val="28"/>
        </w:rPr>
        <w:t>ând</w:t>
      </w:r>
      <w:r w:rsidR="00074794" w:rsidRPr="00DC5522">
        <w:rPr>
          <w:rFonts w:ascii="Times New Roman" w:hAnsi="Times New Roman" w:cs="Times New Roman"/>
          <w:sz w:val="28"/>
          <w:szCs w:val="28"/>
        </w:rPr>
        <w:t xml:space="preserve"> nivelul de încasare a sumelor calculate de SFS la B</w:t>
      </w:r>
      <w:r w:rsidR="00F7638B">
        <w:rPr>
          <w:rFonts w:ascii="Times New Roman" w:hAnsi="Times New Roman" w:cs="Times New Roman"/>
          <w:sz w:val="28"/>
          <w:szCs w:val="28"/>
        </w:rPr>
        <w:t>S</w:t>
      </w:r>
      <w:r w:rsidR="0027690B">
        <w:rPr>
          <w:rFonts w:ascii="Times New Roman" w:hAnsi="Times New Roman" w:cs="Times New Roman"/>
          <w:sz w:val="28"/>
          <w:szCs w:val="28"/>
        </w:rPr>
        <w:t xml:space="preserve">, se constată </w:t>
      </w:r>
      <w:r w:rsidR="00074794" w:rsidRPr="00DC5522">
        <w:rPr>
          <w:rFonts w:ascii="Times New Roman" w:hAnsi="Times New Roman" w:cs="Times New Roman"/>
          <w:sz w:val="28"/>
          <w:szCs w:val="28"/>
        </w:rPr>
        <w:t xml:space="preserve"> o creștere </w:t>
      </w:r>
      <w:r w:rsidR="00B26E20" w:rsidRPr="00DC5522">
        <w:rPr>
          <w:rFonts w:ascii="Times New Roman" w:hAnsi="Times New Roman" w:cs="Times New Roman"/>
          <w:sz w:val="28"/>
          <w:szCs w:val="28"/>
        </w:rPr>
        <w:t xml:space="preserve">în anul 2017 </w:t>
      </w:r>
      <w:r w:rsidR="00074794" w:rsidRPr="00DC5522">
        <w:rPr>
          <w:rFonts w:ascii="Times New Roman" w:hAnsi="Times New Roman" w:cs="Times New Roman"/>
          <w:sz w:val="28"/>
          <w:szCs w:val="28"/>
        </w:rPr>
        <w:t xml:space="preserve">a încasărilor </w:t>
      </w:r>
      <w:r w:rsidR="00074794">
        <w:rPr>
          <w:rFonts w:ascii="Times New Roman" w:hAnsi="Times New Roman" w:cs="Times New Roman"/>
          <w:sz w:val="28"/>
          <w:szCs w:val="28"/>
        </w:rPr>
        <w:t>la principalele tipuri de impozite și taxe</w:t>
      </w:r>
      <w:r w:rsidR="0027690B">
        <w:rPr>
          <w:rFonts w:ascii="Times New Roman" w:hAnsi="Times New Roman" w:cs="Times New Roman"/>
          <w:sz w:val="28"/>
          <w:szCs w:val="28"/>
        </w:rPr>
        <w:t>,</w:t>
      </w:r>
      <w:r w:rsidR="00074794" w:rsidRPr="00DC5522">
        <w:rPr>
          <w:rFonts w:ascii="Times New Roman" w:hAnsi="Times New Roman" w:cs="Times New Roman"/>
          <w:sz w:val="28"/>
          <w:szCs w:val="28"/>
        </w:rPr>
        <w:t xml:space="preserve">față de </w:t>
      </w:r>
      <w:r w:rsidR="0027690B">
        <w:rPr>
          <w:rFonts w:ascii="Times New Roman" w:hAnsi="Times New Roman" w:cs="Times New Roman"/>
          <w:sz w:val="28"/>
          <w:szCs w:val="28"/>
        </w:rPr>
        <w:t>anii</w:t>
      </w:r>
      <w:r w:rsidR="00074794" w:rsidRPr="00DC5522">
        <w:rPr>
          <w:rFonts w:ascii="Times New Roman" w:hAnsi="Times New Roman" w:cs="Times New Roman"/>
          <w:sz w:val="28"/>
          <w:szCs w:val="28"/>
        </w:rPr>
        <w:t xml:space="preserve"> 2015-2016</w:t>
      </w:r>
      <w:r w:rsidR="0027690B">
        <w:rPr>
          <w:rFonts w:ascii="Times New Roman" w:hAnsi="Times New Roman" w:cs="Times New Roman"/>
          <w:sz w:val="28"/>
          <w:szCs w:val="28"/>
        </w:rPr>
        <w:t>,</w:t>
      </w:r>
      <w:r w:rsidR="00074794" w:rsidRPr="00DC5522">
        <w:rPr>
          <w:rFonts w:ascii="Times New Roman" w:hAnsi="Times New Roman" w:cs="Times New Roman"/>
          <w:sz w:val="28"/>
          <w:szCs w:val="28"/>
        </w:rPr>
        <w:t xml:space="preserve"> cu 8,1 ml</w:t>
      </w:r>
      <w:r w:rsidR="0027690B">
        <w:rPr>
          <w:rFonts w:ascii="Times New Roman" w:hAnsi="Times New Roman" w:cs="Times New Roman"/>
          <w:sz w:val="28"/>
          <w:szCs w:val="28"/>
        </w:rPr>
        <w:t>r</w:t>
      </w:r>
      <w:r w:rsidR="00074794" w:rsidRPr="00DC5522">
        <w:rPr>
          <w:rFonts w:ascii="Times New Roman" w:hAnsi="Times New Roman" w:cs="Times New Roman"/>
          <w:sz w:val="28"/>
          <w:szCs w:val="28"/>
        </w:rPr>
        <w:t>d.lei și</w:t>
      </w:r>
      <w:r w:rsidR="0027690B">
        <w:rPr>
          <w:rFonts w:ascii="Times New Roman" w:hAnsi="Times New Roman" w:cs="Times New Roman"/>
          <w:sz w:val="28"/>
          <w:szCs w:val="28"/>
        </w:rPr>
        <w:t>,</w:t>
      </w:r>
      <w:r w:rsidR="00074794" w:rsidRPr="00DC5522">
        <w:rPr>
          <w:rFonts w:ascii="Times New Roman" w:hAnsi="Times New Roman" w:cs="Times New Roman"/>
          <w:sz w:val="28"/>
          <w:szCs w:val="28"/>
        </w:rPr>
        <w:t xml:space="preserve"> respectiv</w:t>
      </w:r>
      <w:r w:rsidR="0027690B">
        <w:rPr>
          <w:rFonts w:ascii="Times New Roman" w:hAnsi="Times New Roman" w:cs="Times New Roman"/>
          <w:sz w:val="28"/>
          <w:szCs w:val="28"/>
        </w:rPr>
        <w:t>,</w:t>
      </w:r>
      <w:r w:rsidR="00074794" w:rsidRPr="00DC5522">
        <w:rPr>
          <w:rFonts w:ascii="Times New Roman" w:hAnsi="Times New Roman" w:cs="Times New Roman"/>
          <w:sz w:val="28"/>
          <w:szCs w:val="28"/>
        </w:rPr>
        <w:t xml:space="preserve"> cu 6,1 ml</w:t>
      </w:r>
      <w:r w:rsidR="0027690B">
        <w:rPr>
          <w:rFonts w:ascii="Times New Roman" w:hAnsi="Times New Roman" w:cs="Times New Roman"/>
          <w:sz w:val="28"/>
          <w:szCs w:val="28"/>
        </w:rPr>
        <w:t>r</w:t>
      </w:r>
      <w:r w:rsidR="00074794" w:rsidRPr="00DC5522">
        <w:rPr>
          <w:rFonts w:ascii="Times New Roman" w:hAnsi="Times New Roman" w:cs="Times New Roman"/>
          <w:sz w:val="28"/>
          <w:szCs w:val="28"/>
        </w:rPr>
        <w:t xml:space="preserve">d.lei. </w:t>
      </w:r>
      <w:r w:rsidR="00074794" w:rsidRPr="00DC5522">
        <w:rPr>
          <w:rFonts w:ascii="Times New Roman" w:hAnsi="Times New Roman" w:cs="Times New Roman"/>
          <w:i/>
          <w:sz w:val="28"/>
          <w:szCs w:val="28"/>
        </w:rPr>
        <w:t xml:space="preserve">Informația privind sumele calculate și încasate pe tipuri de impozite și taxe la BPN de către SFS </w:t>
      </w:r>
      <w:r w:rsidR="0027690B">
        <w:rPr>
          <w:rFonts w:ascii="Times New Roman" w:hAnsi="Times New Roman" w:cs="Times New Roman"/>
          <w:i/>
          <w:sz w:val="28"/>
          <w:szCs w:val="28"/>
        </w:rPr>
        <w:t xml:space="preserve">este </w:t>
      </w:r>
      <w:r w:rsidR="00074794" w:rsidRPr="00DC5522">
        <w:rPr>
          <w:rFonts w:ascii="Times New Roman" w:hAnsi="Times New Roman" w:cs="Times New Roman"/>
          <w:i/>
          <w:sz w:val="28"/>
          <w:szCs w:val="28"/>
        </w:rPr>
        <w:t xml:space="preserve"> prez</w:t>
      </w:r>
      <w:r w:rsidR="0027690B">
        <w:rPr>
          <w:rFonts w:ascii="Times New Roman" w:hAnsi="Times New Roman" w:cs="Times New Roman"/>
          <w:i/>
          <w:sz w:val="28"/>
          <w:szCs w:val="28"/>
        </w:rPr>
        <w:t>enta</w:t>
      </w:r>
      <w:r w:rsidR="00074794" w:rsidRPr="00DC5522">
        <w:rPr>
          <w:rFonts w:ascii="Times New Roman" w:hAnsi="Times New Roman" w:cs="Times New Roman"/>
          <w:i/>
          <w:sz w:val="28"/>
          <w:szCs w:val="28"/>
        </w:rPr>
        <w:t>tă în Tabelul nr.</w:t>
      </w:r>
      <w:r w:rsidR="00B26E20">
        <w:rPr>
          <w:rFonts w:ascii="Times New Roman" w:hAnsi="Times New Roman" w:cs="Times New Roman"/>
          <w:i/>
          <w:sz w:val="28"/>
          <w:szCs w:val="28"/>
        </w:rPr>
        <w:t>7</w:t>
      </w:r>
      <w:r w:rsidR="00074794" w:rsidRPr="00DC5522">
        <w:rPr>
          <w:rFonts w:ascii="Times New Roman" w:hAnsi="Times New Roman" w:cs="Times New Roman"/>
          <w:i/>
          <w:sz w:val="28"/>
          <w:szCs w:val="28"/>
        </w:rPr>
        <w:t xml:space="preserve"> din Anexa nr.</w:t>
      </w:r>
      <w:r w:rsidR="00B35FF4">
        <w:rPr>
          <w:rFonts w:ascii="Times New Roman" w:hAnsi="Times New Roman" w:cs="Times New Roman"/>
          <w:i/>
          <w:sz w:val="28"/>
          <w:szCs w:val="28"/>
        </w:rPr>
        <w:t>3</w:t>
      </w:r>
      <w:r w:rsidR="00074794" w:rsidRPr="00DC5522">
        <w:rPr>
          <w:rFonts w:ascii="Times New Roman" w:hAnsi="Times New Roman" w:cs="Times New Roman"/>
          <w:i/>
          <w:sz w:val="28"/>
          <w:szCs w:val="28"/>
        </w:rPr>
        <w:t xml:space="preserve"> la Raport</w:t>
      </w:r>
      <w:r w:rsidR="0027690B">
        <w:rPr>
          <w:rFonts w:ascii="Times New Roman" w:hAnsi="Times New Roman" w:cs="Times New Roman"/>
          <w:i/>
          <w:sz w:val="28"/>
          <w:szCs w:val="28"/>
        </w:rPr>
        <w:t>ul</w:t>
      </w:r>
      <w:r w:rsidR="00074794" w:rsidRPr="00DC5522">
        <w:rPr>
          <w:rFonts w:ascii="Times New Roman" w:hAnsi="Times New Roman" w:cs="Times New Roman"/>
          <w:i/>
          <w:sz w:val="28"/>
          <w:szCs w:val="28"/>
        </w:rPr>
        <w:t xml:space="preserve"> de audit.</w:t>
      </w:r>
    </w:p>
    <w:p w:rsidR="00EC4D50" w:rsidRPr="001D0846" w:rsidRDefault="00EC4D50" w:rsidP="00EC4D50">
      <w:pPr>
        <w:tabs>
          <w:tab w:val="left" w:pos="284"/>
          <w:tab w:val="left" w:pos="851"/>
          <w:tab w:val="left" w:pos="1134"/>
        </w:tabs>
        <w:spacing w:after="0" w:line="276" w:lineRule="auto"/>
        <w:ind w:right="-2"/>
        <w:jc w:val="both"/>
        <w:rPr>
          <w:rFonts w:ascii="Times New Roman" w:hAnsi="Times New Roman" w:cs="Times New Roman"/>
          <w:sz w:val="28"/>
          <w:szCs w:val="28"/>
        </w:rPr>
      </w:pPr>
      <w:r w:rsidRPr="00EC4D50">
        <w:rPr>
          <w:rFonts w:ascii="Times New Roman" w:hAnsi="Times New Roman" w:cs="Times New Roman"/>
          <w:sz w:val="28"/>
          <w:szCs w:val="28"/>
        </w:rPr>
        <w:tab/>
      </w:r>
      <w:r>
        <w:rPr>
          <w:rFonts w:ascii="Times New Roman" w:hAnsi="Times New Roman" w:cs="Times New Roman"/>
          <w:sz w:val="28"/>
          <w:szCs w:val="28"/>
        </w:rPr>
        <w:tab/>
      </w:r>
      <w:r w:rsidRPr="00EC4D50">
        <w:rPr>
          <w:rFonts w:ascii="Times New Roman" w:hAnsi="Times New Roman" w:cs="Times New Roman"/>
          <w:sz w:val="28"/>
          <w:szCs w:val="28"/>
        </w:rPr>
        <w:t xml:space="preserve">Datele prezentate în </w:t>
      </w:r>
      <w:r w:rsidR="00FA59B0" w:rsidRPr="003C4B9E">
        <w:rPr>
          <w:rFonts w:ascii="Times New Roman" w:hAnsi="Times New Roman" w:cs="Times New Roman"/>
          <w:sz w:val="28"/>
          <w:szCs w:val="28"/>
        </w:rPr>
        <w:t>t</w:t>
      </w:r>
      <w:r w:rsidRPr="00FA59B0">
        <w:rPr>
          <w:rFonts w:ascii="Times New Roman" w:hAnsi="Times New Roman" w:cs="Times New Roman"/>
          <w:sz w:val="28"/>
          <w:szCs w:val="28"/>
        </w:rPr>
        <w:t>abel r</w:t>
      </w:r>
      <w:r w:rsidRPr="00EC4D50">
        <w:rPr>
          <w:rFonts w:ascii="Times New Roman" w:hAnsi="Times New Roman" w:cs="Times New Roman"/>
          <w:sz w:val="28"/>
          <w:szCs w:val="28"/>
        </w:rPr>
        <w:t>elevă o dinamică ascendentă a sumelor calculate la impozitele și taxele care dețin o pondere semnificativă în totalul veniturilor colectate la BS (TVA, impozit</w:t>
      </w:r>
      <w:r w:rsidR="00FA59B0">
        <w:rPr>
          <w:rFonts w:ascii="Times New Roman" w:hAnsi="Times New Roman" w:cs="Times New Roman"/>
          <w:sz w:val="28"/>
          <w:szCs w:val="28"/>
        </w:rPr>
        <w:t>ul</w:t>
      </w:r>
      <w:r w:rsidRPr="00EC4D50">
        <w:rPr>
          <w:rFonts w:ascii="Times New Roman" w:hAnsi="Times New Roman" w:cs="Times New Roman"/>
          <w:sz w:val="28"/>
          <w:szCs w:val="28"/>
        </w:rPr>
        <w:t xml:space="preserve"> pe venit). Astfel, în anul 2017</w:t>
      </w:r>
      <w:r w:rsidR="00FA59B0">
        <w:rPr>
          <w:rFonts w:ascii="Times New Roman" w:hAnsi="Times New Roman" w:cs="Times New Roman"/>
          <w:sz w:val="28"/>
          <w:szCs w:val="28"/>
        </w:rPr>
        <w:t>,</w:t>
      </w:r>
      <w:r w:rsidRPr="00EC4D50">
        <w:rPr>
          <w:rFonts w:ascii="Times New Roman" w:hAnsi="Times New Roman" w:cs="Times New Roman"/>
          <w:sz w:val="28"/>
          <w:szCs w:val="28"/>
        </w:rPr>
        <w:t xml:space="preserve"> ritmul de creștere a sumelor calculate</w:t>
      </w:r>
      <w:r w:rsidR="00FA59B0">
        <w:rPr>
          <w:rFonts w:ascii="Times New Roman" w:hAnsi="Times New Roman" w:cs="Times New Roman"/>
          <w:sz w:val="28"/>
          <w:szCs w:val="28"/>
        </w:rPr>
        <w:t>,</w:t>
      </w:r>
      <w:r w:rsidRPr="00EC4D50">
        <w:rPr>
          <w:rFonts w:ascii="Times New Roman" w:hAnsi="Times New Roman" w:cs="Times New Roman"/>
          <w:sz w:val="28"/>
          <w:szCs w:val="28"/>
        </w:rPr>
        <w:t xml:space="preserve"> față de perioadele precedente</w:t>
      </w:r>
      <w:r w:rsidR="00FA59B0">
        <w:rPr>
          <w:rFonts w:ascii="Times New Roman" w:hAnsi="Times New Roman" w:cs="Times New Roman"/>
          <w:sz w:val="28"/>
          <w:szCs w:val="28"/>
        </w:rPr>
        <w:t>,</w:t>
      </w:r>
      <w:r w:rsidRPr="00EC4D50">
        <w:rPr>
          <w:rFonts w:ascii="Times New Roman" w:hAnsi="Times New Roman" w:cs="Times New Roman"/>
          <w:sz w:val="28"/>
          <w:szCs w:val="28"/>
        </w:rPr>
        <w:t xml:space="preserve"> s-a majorat cu 9,0% la TVA și </w:t>
      </w:r>
      <w:r w:rsidR="00FA59B0">
        <w:rPr>
          <w:rFonts w:ascii="Times New Roman" w:hAnsi="Times New Roman" w:cs="Times New Roman"/>
          <w:sz w:val="28"/>
          <w:szCs w:val="28"/>
        </w:rPr>
        <w:t xml:space="preserve">cu </w:t>
      </w:r>
      <w:r w:rsidRPr="00EC4D50">
        <w:rPr>
          <w:rFonts w:ascii="Times New Roman" w:hAnsi="Times New Roman" w:cs="Times New Roman"/>
          <w:sz w:val="28"/>
          <w:szCs w:val="28"/>
        </w:rPr>
        <w:t xml:space="preserve">3 % la impozitul pe venit. Concomitent, se </w:t>
      </w:r>
      <w:r w:rsidR="00FA59B0">
        <w:rPr>
          <w:rFonts w:ascii="Times New Roman" w:hAnsi="Times New Roman" w:cs="Times New Roman"/>
          <w:sz w:val="28"/>
          <w:szCs w:val="28"/>
        </w:rPr>
        <w:t>constată</w:t>
      </w:r>
      <w:r w:rsidRPr="00EC4D50">
        <w:rPr>
          <w:rFonts w:ascii="Times New Roman" w:hAnsi="Times New Roman" w:cs="Times New Roman"/>
          <w:sz w:val="28"/>
          <w:szCs w:val="28"/>
        </w:rPr>
        <w:t xml:space="preserve"> o descreștere a sumelor calculate la accize cu 3% și </w:t>
      </w:r>
      <w:r w:rsidR="00FA59B0">
        <w:rPr>
          <w:rFonts w:ascii="Times New Roman" w:hAnsi="Times New Roman" w:cs="Times New Roman"/>
          <w:sz w:val="28"/>
          <w:szCs w:val="28"/>
        </w:rPr>
        <w:t>la t</w:t>
      </w:r>
      <w:r w:rsidRPr="00EC4D50">
        <w:rPr>
          <w:rFonts w:ascii="Times New Roman" w:hAnsi="Times New Roman" w:cs="Times New Roman"/>
          <w:sz w:val="28"/>
          <w:szCs w:val="28"/>
        </w:rPr>
        <w:t>axa pentru folosirea drumurilor cu 50,6%.</w:t>
      </w:r>
    </w:p>
    <w:p w:rsidR="00FD037B" w:rsidRDefault="00EC4D50" w:rsidP="00FD037B">
      <w:pPr>
        <w:tabs>
          <w:tab w:val="left" w:pos="284"/>
          <w:tab w:val="left" w:pos="851"/>
          <w:tab w:val="left" w:pos="1134"/>
        </w:tabs>
        <w:spacing w:after="0" w:line="276" w:lineRule="auto"/>
        <w:ind w:right="-2"/>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FD037B">
        <w:rPr>
          <w:rFonts w:ascii="Times New Roman" w:hAnsi="Times New Roman" w:cs="Times New Roman"/>
          <w:sz w:val="28"/>
          <w:szCs w:val="28"/>
        </w:rPr>
        <w:t xml:space="preserve">În raport cu sumele calculate, se atestă neîncasarea </w:t>
      </w:r>
      <w:r w:rsidR="00FA59B0" w:rsidRPr="00FD037B">
        <w:rPr>
          <w:rFonts w:ascii="Times New Roman" w:hAnsi="Times New Roman" w:cs="Times New Roman"/>
          <w:sz w:val="28"/>
          <w:szCs w:val="28"/>
        </w:rPr>
        <w:t xml:space="preserve">TVA </w:t>
      </w:r>
      <w:r w:rsidRPr="00FD037B">
        <w:rPr>
          <w:rFonts w:ascii="Times New Roman" w:hAnsi="Times New Roman" w:cs="Times New Roman"/>
          <w:sz w:val="28"/>
          <w:szCs w:val="28"/>
        </w:rPr>
        <w:t xml:space="preserve">în anul 2017 cu 420,2 mil. lei, în anul 2016 </w:t>
      </w:r>
      <w:r w:rsidR="00FA59B0">
        <w:rPr>
          <w:rFonts w:ascii="Times New Roman" w:hAnsi="Times New Roman" w:cs="Times New Roman"/>
          <w:sz w:val="28"/>
          <w:szCs w:val="28"/>
        </w:rPr>
        <w:t xml:space="preserve">- </w:t>
      </w:r>
      <w:r w:rsidRPr="00FD037B">
        <w:rPr>
          <w:rFonts w:ascii="Times New Roman" w:hAnsi="Times New Roman" w:cs="Times New Roman"/>
          <w:sz w:val="28"/>
          <w:szCs w:val="28"/>
        </w:rPr>
        <w:t>cu 305,8 mil. lei</w:t>
      </w:r>
      <w:r w:rsidR="00FA59B0">
        <w:rPr>
          <w:rFonts w:ascii="Times New Roman" w:hAnsi="Times New Roman" w:cs="Times New Roman"/>
          <w:sz w:val="28"/>
          <w:szCs w:val="28"/>
        </w:rPr>
        <w:t>,</w:t>
      </w:r>
      <w:r w:rsidRPr="00FD037B">
        <w:rPr>
          <w:rFonts w:ascii="Times New Roman" w:hAnsi="Times New Roman" w:cs="Times New Roman"/>
          <w:sz w:val="28"/>
          <w:szCs w:val="28"/>
        </w:rPr>
        <w:t xml:space="preserve"> și în anul 2015</w:t>
      </w:r>
      <w:r w:rsidR="00FA59B0">
        <w:rPr>
          <w:rFonts w:ascii="Times New Roman" w:hAnsi="Times New Roman" w:cs="Times New Roman"/>
          <w:sz w:val="28"/>
          <w:szCs w:val="28"/>
        </w:rPr>
        <w:t xml:space="preserve"> -</w:t>
      </w:r>
      <w:r w:rsidRPr="00FD037B">
        <w:rPr>
          <w:rFonts w:ascii="Times New Roman" w:hAnsi="Times New Roman" w:cs="Times New Roman"/>
          <w:sz w:val="28"/>
          <w:szCs w:val="28"/>
        </w:rPr>
        <w:t xml:space="preserve"> cu 343,9 mil.lei.</w:t>
      </w:r>
      <w:r w:rsidR="00FD037B" w:rsidRPr="00FD037B">
        <w:rPr>
          <w:rFonts w:ascii="Times New Roman" w:hAnsi="Times New Roman" w:cs="Times New Roman"/>
          <w:sz w:val="28"/>
          <w:szCs w:val="28"/>
        </w:rPr>
        <w:t xml:space="preserve"> O situație similară se </w:t>
      </w:r>
      <w:r w:rsidR="001B5725">
        <w:rPr>
          <w:rFonts w:ascii="Times New Roman" w:hAnsi="Times New Roman" w:cs="Times New Roman"/>
          <w:sz w:val="28"/>
          <w:szCs w:val="28"/>
        </w:rPr>
        <w:t>înregistrează</w:t>
      </w:r>
      <w:r w:rsidR="00FD037B" w:rsidRPr="00FD037B">
        <w:rPr>
          <w:rFonts w:ascii="Times New Roman" w:hAnsi="Times New Roman" w:cs="Times New Roman"/>
          <w:sz w:val="28"/>
          <w:szCs w:val="28"/>
        </w:rPr>
        <w:t xml:space="preserve"> și la încasarea sumelor calculate la accize, nefiind încasate accize în anul 2015 în sumă de 54,5 mil.lei, în anul 2016 </w:t>
      </w:r>
      <w:r w:rsidR="001B5725">
        <w:rPr>
          <w:rFonts w:ascii="Times New Roman" w:hAnsi="Times New Roman" w:cs="Times New Roman"/>
          <w:sz w:val="28"/>
          <w:szCs w:val="28"/>
        </w:rPr>
        <w:t xml:space="preserve">- </w:t>
      </w:r>
      <w:r w:rsidR="00FD037B" w:rsidRPr="00FD037B">
        <w:rPr>
          <w:rFonts w:ascii="Times New Roman" w:hAnsi="Times New Roman" w:cs="Times New Roman"/>
          <w:sz w:val="28"/>
          <w:szCs w:val="28"/>
        </w:rPr>
        <w:t>în sumă de 11,3 mil.lei</w:t>
      </w:r>
      <w:r w:rsidR="001B5725">
        <w:rPr>
          <w:rFonts w:ascii="Times New Roman" w:hAnsi="Times New Roman" w:cs="Times New Roman"/>
          <w:sz w:val="28"/>
          <w:szCs w:val="28"/>
        </w:rPr>
        <w:t>,</w:t>
      </w:r>
      <w:r w:rsidR="00FD037B" w:rsidRPr="00FD037B">
        <w:rPr>
          <w:rFonts w:ascii="Times New Roman" w:hAnsi="Times New Roman" w:cs="Times New Roman"/>
          <w:sz w:val="28"/>
          <w:szCs w:val="28"/>
        </w:rPr>
        <w:t xml:space="preserve"> și în anul 2017 </w:t>
      </w:r>
      <w:r w:rsidR="001B5725">
        <w:rPr>
          <w:rFonts w:ascii="Times New Roman" w:hAnsi="Times New Roman" w:cs="Times New Roman"/>
          <w:sz w:val="28"/>
          <w:szCs w:val="28"/>
        </w:rPr>
        <w:t xml:space="preserve">- </w:t>
      </w:r>
      <w:r w:rsidR="00FD037B" w:rsidRPr="00FD037B">
        <w:rPr>
          <w:rFonts w:ascii="Times New Roman" w:hAnsi="Times New Roman" w:cs="Times New Roman"/>
          <w:sz w:val="28"/>
          <w:szCs w:val="28"/>
        </w:rPr>
        <w:t>în sumă de 42,4 mil.lei.</w:t>
      </w:r>
    </w:p>
    <w:p w:rsidR="00FD037B" w:rsidRDefault="00FD037B" w:rsidP="00FD037B">
      <w:pPr>
        <w:tabs>
          <w:tab w:val="left" w:pos="284"/>
          <w:tab w:val="left" w:pos="851"/>
          <w:tab w:val="left" w:pos="1134"/>
        </w:tabs>
        <w:spacing w:after="0" w:line="276" w:lineRule="auto"/>
        <w:ind w:right="-2"/>
        <w:jc w:val="both"/>
        <w:rPr>
          <w:rFonts w:ascii="Times New Roman" w:hAnsi="Times New Roman" w:cs="Times New Roman"/>
          <w:i/>
          <w:sz w:val="28"/>
          <w:szCs w:val="28"/>
        </w:rPr>
      </w:pPr>
    </w:p>
    <w:p w:rsidR="009F449B" w:rsidRPr="001D0846" w:rsidRDefault="00FD037B" w:rsidP="00FD037B">
      <w:pPr>
        <w:tabs>
          <w:tab w:val="left" w:pos="284"/>
          <w:tab w:val="left" w:pos="851"/>
          <w:tab w:val="left" w:pos="1134"/>
        </w:tabs>
        <w:spacing w:after="0" w:line="276" w:lineRule="auto"/>
        <w:ind w:right="-2"/>
        <w:jc w:val="both"/>
        <w:rPr>
          <w:rFonts w:ascii="Times New Roman" w:hAnsi="Times New Roman" w:cs="Times New Roman"/>
          <w:i/>
          <w:sz w:val="28"/>
          <w:szCs w:val="28"/>
          <w:lang w:eastAsia="ru-RU"/>
        </w:rPr>
      </w:pPr>
      <w:r>
        <w:rPr>
          <w:rFonts w:ascii="Times New Roman" w:hAnsi="Times New Roman" w:cs="Times New Roman"/>
          <w:i/>
          <w:sz w:val="28"/>
          <w:szCs w:val="28"/>
          <w:lang w:val="it-IT" w:eastAsia="ru-RU"/>
        </w:rPr>
        <w:tab/>
      </w:r>
      <w:r w:rsidRPr="00FD037B">
        <w:rPr>
          <w:rFonts w:ascii="Times New Roman" w:hAnsi="Times New Roman" w:cs="Times New Roman"/>
          <w:b/>
          <w:i/>
          <w:sz w:val="28"/>
          <w:szCs w:val="28"/>
          <w:lang w:eastAsia="ru-RU"/>
        </w:rPr>
        <w:t>3.3.2.</w:t>
      </w:r>
      <w:r w:rsidR="009F449B" w:rsidRPr="001D0846">
        <w:rPr>
          <w:rFonts w:ascii="Times New Roman" w:hAnsi="Times New Roman" w:cs="Times New Roman"/>
          <w:i/>
          <w:sz w:val="28"/>
          <w:szCs w:val="28"/>
          <w:lang w:eastAsia="ru-RU"/>
        </w:rPr>
        <w:t xml:space="preserve">SV este împuternicit să administreze veniturile provenite din impozite și taxe la BS, purtând responsabilitate pentru corectitudinea calculării și încasării drepturilor de import și export. </w:t>
      </w:r>
    </w:p>
    <w:p w:rsidR="008C1007" w:rsidRPr="001D0846" w:rsidRDefault="009F449B" w:rsidP="000A421F">
      <w:pPr>
        <w:spacing w:after="0" w:line="276" w:lineRule="auto"/>
        <w:ind w:right="-2"/>
        <w:jc w:val="both"/>
        <w:rPr>
          <w:rFonts w:ascii="Times New Roman" w:hAnsi="Times New Roman" w:cs="Times New Roman"/>
          <w:sz w:val="28"/>
          <w:szCs w:val="28"/>
        </w:rPr>
      </w:pPr>
      <w:r w:rsidRPr="001D0846">
        <w:rPr>
          <w:rFonts w:ascii="Times New Roman" w:hAnsi="Times New Roman" w:cs="Times New Roman"/>
          <w:sz w:val="28"/>
          <w:szCs w:val="28"/>
        </w:rPr>
        <w:tab/>
      </w:r>
      <w:r w:rsidR="008C1007" w:rsidRPr="001D0846">
        <w:rPr>
          <w:rFonts w:ascii="Times New Roman" w:hAnsi="Times New Roman" w:cs="Times New Roman"/>
          <w:sz w:val="28"/>
          <w:szCs w:val="28"/>
        </w:rPr>
        <w:t>Potrivit Raportului privind încasările la BS pe anul 2017, veniturile colectate de SV au constituit 20,4 ml</w:t>
      </w:r>
      <w:r w:rsidR="001B5725">
        <w:rPr>
          <w:rFonts w:ascii="Times New Roman" w:hAnsi="Times New Roman" w:cs="Times New Roman"/>
          <w:sz w:val="28"/>
          <w:szCs w:val="28"/>
        </w:rPr>
        <w:t>r</w:t>
      </w:r>
      <w:r w:rsidR="008C1007" w:rsidRPr="001D0846">
        <w:rPr>
          <w:rFonts w:ascii="Times New Roman" w:hAnsi="Times New Roman" w:cs="Times New Roman"/>
          <w:sz w:val="28"/>
          <w:szCs w:val="28"/>
        </w:rPr>
        <w:t>d.lei, fiind în creștere cu 3</w:t>
      </w:r>
      <w:r w:rsidR="00F77082">
        <w:rPr>
          <w:rFonts w:ascii="Times New Roman" w:hAnsi="Times New Roman" w:cs="Times New Roman"/>
          <w:sz w:val="28"/>
          <w:szCs w:val="28"/>
        </w:rPr>
        <w:t>,0</w:t>
      </w:r>
      <w:r w:rsidR="008C1007" w:rsidRPr="001D0846">
        <w:rPr>
          <w:rFonts w:ascii="Times New Roman" w:hAnsi="Times New Roman" w:cs="Times New Roman"/>
          <w:sz w:val="28"/>
          <w:szCs w:val="28"/>
        </w:rPr>
        <w:t>ml</w:t>
      </w:r>
      <w:r w:rsidR="001B5725">
        <w:rPr>
          <w:rFonts w:ascii="Times New Roman" w:hAnsi="Times New Roman" w:cs="Times New Roman"/>
          <w:sz w:val="28"/>
          <w:szCs w:val="28"/>
        </w:rPr>
        <w:t>r</w:t>
      </w:r>
      <w:r w:rsidR="008C1007" w:rsidRPr="001D0846">
        <w:rPr>
          <w:rFonts w:ascii="Times New Roman" w:hAnsi="Times New Roman" w:cs="Times New Roman"/>
          <w:sz w:val="28"/>
          <w:szCs w:val="28"/>
        </w:rPr>
        <w:t>d.lei, sau1</w:t>
      </w:r>
      <w:r w:rsidR="00A416D1">
        <w:rPr>
          <w:rFonts w:ascii="Times New Roman" w:hAnsi="Times New Roman" w:cs="Times New Roman"/>
          <w:sz w:val="28"/>
          <w:szCs w:val="28"/>
        </w:rPr>
        <w:t xml:space="preserve">7 </w:t>
      </w:r>
      <w:r w:rsidR="008C1007" w:rsidRPr="001D0846">
        <w:rPr>
          <w:rFonts w:ascii="Times New Roman" w:hAnsi="Times New Roman" w:cs="Times New Roman"/>
          <w:sz w:val="28"/>
          <w:szCs w:val="28"/>
        </w:rPr>
        <w:t>%</w:t>
      </w:r>
      <w:r w:rsidR="001B5725">
        <w:rPr>
          <w:rFonts w:ascii="Times New Roman" w:hAnsi="Times New Roman" w:cs="Times New Roman"/>
          <w:sz w:val="28"/>
          <w:szCs w:val="28"/>
        </w:rPr>
        <w:t>,</w:t>
      </w:r>
      <w:r w:rsidR="008C1007" w:rsidRPr="001D0846">
        <w:rPr>
          <w:rFonts w:ascii="Times New Roman" w:hAnsi="Times New Roman" w:cs="Times New Roman"/>
          <w:sz w:val="28"/>
          <w:szCs w:val="28"/>
        </w:rPr>
        <w:t xml:space="preserve"> față de anul 2016</w:t>
      </w:r>
      <w:r w:rsidR="00F77082">
        <w:rPr>
          <w:rFonts w:ascii="Times New Roman" w:hAnsi="Times New Roman" w:cs="Times New Roman"/>
          <w:sz w:val="28"/>
          <w:szCs w:val="28"/>
        </w:rPr>
        <w:t>,</w:t>
      </w:r>
      <w:r w:rsidR="008C1007" w:rsidRPr="001D0846">
        <w:rPr>
          <w:rFonts w:ascii="Times New Roman" w:hAnsi="Times New Roman" w:cs="Times New Roman"/>
          <w:sz w:val="28"/>
          <w:szCs w:val="28"/>
        </w:rPr>
        <w:t xml:space="preserve"> și cu 4,6 ml</w:t>
      </w:r>
      <w:r w:rsidR="00F77082">
        <w:rPr>
          <w:rFonts w:ascii="Times New Roman" w:hAnsi="Times New Roman" w:cs="Times New Roman"/>
          <w:sz w:val="28"/>
          <w:szCs w:val="28"/>
        </w:rPr>
        <w:t>r</w:t>
      </w:r>
      <w:r w:rsidR="008C1007" w:rsidRPr="001D0846">
        <w:rPr>
          <w:rFonts w:ascii="Times New Roman" w:hAnsi="Times New Roman" w:cs="Times New Roman"/>
          <w:sz w:val="28"/>
          <w:szCs w:val="28"/>
        </w:rPr>
        <w:t>d.lei, sau 2</w:t>
      </w:r>
      <w:r w:rsidR="00A416D1">
        <w:rPr>
          <w:rFonts w:ascii="Times New Roman" w:hAnsi="Times New Roman" w:cs="Times New Roman"/>
          <w:sz w:val="28"/>
          <w:szCs w:val="28"/>
        </w:rPr>
        <w:t xml:space="preserve">9 </w:t>
      </w:r>
      <w:r w:rsidR="008C1007" w:rsidRPr="001D0846">
        <w:rPr>
          <w:rFonts w:ascii="Times New Roman" w:hAnsi="Times New Roman" w:cs="Times New Roman"/>
          <w:sz w:val="28"/>
          <w:szCs w:val="28"/>
        </w:rPr>
        <w:t>%</w:t>
      </w:r>
      <w:r w:rsidR="00F77082">
        <w:rPr>
          <w:rFonts w:ascii="Times New Roman" w:hAnsi="Times New Roman" w:cs="Times New Roman"/>
          <w:sz w:val="28"/>
          <w:szCs w:val="28"/>
        </w:rPr>
        <w:t>,</w:t>
      </w:r>
      <w:r w:rsidR="008C1007" w:rsidRPr="001D0846">
        <w:rPr>
          <w:rFonts w:ascii="Times New Roman" w:hAnsi="Times New Roman" w:cs="Times New Roman"/>
          <w:sz w:val="28"/>
          <w:szCs w:val="28"/>
        </w:rPr>
        <w:t xml:space="preserve"> față de anul 2015. </w:t>
      </w:r>
    </w:p>
    <w:p w:rsidR="00FD037B" w:rsidRPr="001D0846" w:rsidRDefault="008C1007" w:rsidP="000A421F">
      <w:pPr>
        <w:spacing w:after="0" w:line="276" w:lineRule="auto"/>
        <w:ind w:right="-2" w:firstLine="720"/>
        <w:jc w:val="both"/>
        <w:rPr>
          <w:rFonts w:ascii="Times New Roman" w:hAnsi="Times New Roman" w:cs="Times New Roman"/>
          <w:i/>
          <w:sz w:val="28"/>
          <w:szCs w:val="28"/>
        </w:rPr>
      </w:pPr>
      <w:r w:rsidRPr="001D0846">
        <w:rPr>
          <w:rFonts w:ascii="Times New Roman" w:hAnsi="Times New Roman" w:cs="Times New Roman"/>
          <w:sz w:val="28"/>
          <w:szCs w:val="28"/>
        </w:rPr>
        <w:t xml:space="preserve">Analiza efectuată de audit </w:t>
      </w:r>
      <w:r w:rsidR="00F77082">
        <w:rPr>
          <w:rFonts w:ascii="Times New Roman" w:hAnsi="Times New Roman" w:cs="Times New Roman"/>
          <w:sz w:val="28"/>
          <w:szCs w:val="28"/>
        </w:rPr>
        <w:t>denotă</w:t>
      </w:r>
      <w:r w:rsidRPr="001D0846">
        <w:rPr>
          <w:rFonts w:ascii="Times New Roman" w:hAnsi="Times New Roman" w:cs="Times New Roman"/>
          <w:sz w:val="28"/>
          <w:szCs w:val="28"/>
        </w:rPr>
        <w:t xml:space="preserve"> o creștere a ponderii veniturilor administrate de SV în totalul veniturilor BS</w:t>
      </w:r>
      <w:r w:rsidR="00F77082">
        <w:rPr>
          <w:rFonts w:ascii="Times New Roman" w:hAnsi="Times New Roman" w:cs="Times New Roman"/>
          <w:sz w:val="28"/>
          <w:szCs w:val="28"/>
        </w:rPr>
        <w:t xml:space="preserve"> (</w:t>
      </w:r>
      <w:r w:rsidR="0055119B" w:rsidRPr="001D0846">
        <w:rPr>
          <w:rFonts w:ascii="Times New Roman" w:hAnsi="Times New Roman" w:cs="Times New Roman"/>
          <w:sz w:val="28"/>
          <w:szCs w:val="28"/>
          <w:lang w:eastAsia="ru-RU"/>
        </w:rPr>
        <w:t>de la 56,2</w:t>
      </w:r>
      <w:r w:rsidRPr="001D0846">
        <w:rPr>
          <w:rFonts w:ascii="Times New Roman" w:hAnsi="Times New Roman" w:cs="Times New Roman"/>
          <w:sz w:val="28"/>
          <w:szCs w:val="28"/>
          <w:lang w:eastAsia="ru-RU"/>
        </w:rPr>
        <w:t>% în anul 2015 p</w:t>
      </w:r>
      <w:r w:rsidR="00F77082">
        <w:rPr>
          <w:rFonts w:ascii="Times New Roman" w:hAnsi="Times New Roman" w:cs="Times New Roman"/>
          <w:sz w:val="28"/>
          <w:szCs w:val="28"/>
          <w:lang w:eastAsia="ru-RU"/>
        </w:rPr>
        <w:t>â</w:t>
      </w:r>
      <w:r w:rsidRPr="001D0846">
        <w:rPr>
          <w:rFonts w:ascii="Times New Roman" w:hAnsi="Times New Roman" w:cs="Times New Roman"/>
          <w:sz w:val="28"/>
          <w:szCs w:val="28"/>
          <w:lang w:eastAsia="ru-RU"/>
        </w:rPr>
        <w:t xml:space="preserve">nă la 60,5 %, sau </w:t>
      </w:r>
      <w:r w:rsidR="00F77082" w:rsidRPr="001D0846">
        <w:rPr>
          <w:rFonts w:ascii="Times New Roman" w:hAnsi="Times New Roman" w:cs="Times New Roman"/>
          <w:sz w:val="28"/>
          <w:szCs w:val="28"/>
          <w:lang w:eastAsia="ru-RU"/>
        </w:rPr>
        <w:t>cu 4,3 p.p.</w:t>
      </w:r>
      <w:r w:rsidRPr="001D0846">
        <w:rPr>
          <w:rFonts w:ascii="Times New Roman" w:hAnsi="Times New Roman" w:cs="Times New Roman"/>
          <w:sz w:val="28"/>
          <w:szCs w:val="28"/>
          <w:lang w:eastAsia="ru-RU"/>
        </w:rPr>
        <w:t>mai mult</w:t>
      </w:r>
      <w:r w:rsidR="00F77082">
        <w:rPr>
          <w:rFonts w:ascii="Times New Roman" w:hAnsi="Times New Roman" w:cs="Times New Roman"/>
          <w:sz w:val="28"/>
          <w:szCs w:val="28"/>
          <w:lang w:eastAsia="ru-RU"/>
        </w:rPr>
        <w:t>,</w:t>
      </w:r>
      <w:r w:rsidRPr="001D0846">
        <w:rPr>
          <w:rFonts w:ascii="Times New Roman" w:hAnsi="Times New Roman" w:cs="Times New Roman"/>
          <w:sz w:val="28"/>
          <w:szCs w:val="28"/>
          <w:lang w:eastAsia="ru-RU"/>
        </w:rPr>
        <w:t xml:space="preserve"> în anul 2017</w:t>
      </w:r>
      <w:r w:rsidR="00F77082">
        <w:rPr>
          <w:rFonts w:ascii="Times New Roman" w:hAnsi="Times New Roman" w:cs="Times New Roman"/>
          <w:sz w:val="28"/>
          <w:szCs w:val="28"/>
          <w:lang w:eastAsia="ru-RU"/>
        </w:rPr>
        <w:t>)</w:t>
      </w:r>
      <w:r w:rsidRPr="001D0846">
        <w:rPr>
          <w:rFonts w:ascii="Times New Roman" w:hAnsi="Times New Roman" w:cs="Times New Roman"/>
          <w:sz w:val="28"/>
          <w:szCs w:val="28"/>
          <w:lang w:eastAsia="ru-RU"/>
        </w:rPr>
        <w:t xml:space="preserve">. </w:t>
      </w:r>
      <w:r w:rsidR="00F77082">
        <w:rPr>
          <w:rFonts w:ascii="Times New Roman" w:hAnsi="Times New Roman" w:cs="Times New Roman"/>
          <w:sz w:val="28"/>
          <w:szCs w:val="28"/>
          <w:lang w:val="it-IT"/>
        </w:rPr>
        <w:t>Totodată,</w:t>
      </w:r>
      <w:r w:rsidR="00F77082">
        <w:rPr>
          <w:rFonts w:ascii="Times New Roman" w:hAnsi="Times New Roman" w:cs="Times New Roman"/>
          <w:sz w:val="28"/>
          <w:szCs w:val="28"/>
        </w:rPr>
        <w:t xml:space="preserve">se </w:t>
      </w:r>
      <w:r w:rsidRPr="001D0846">
        <w:rPr>
          <w:rFonts w:ascii="Times New Roman" w:hAnsi="Times New Roman" w:cs="Times New Roman"/>
          <w:sz w:val="28"/>
          <w:szCs w:val="28"/>
        </w:rPr>
        <w:t xml:space="preserve">relevă o creștere a ponderii </w:t>
      </w:r>
      <w:r w:rsidRPr="001D0846">
        <w:rPr>
          <w:rFonts w:ascii="Times New Roman" w:hAnsi="Times New Roman" w:cs="Times New Roman"/>
          <w:sz w:val="28"/>
          <w:szCs w:val="28"/>
        </w:rPr>
        <w:lastRenderedPageBreak/>
        <w:t xml:space="preserve">veniturilor administrate de SV în raport cu PIB, </w:t>
      </w:r>
      <w:r w:rsidRPr="001D0846">
        <w:rPr>
          <w:rFonts w:ascii="Times New Roman" w:hAnsi="Times New Roman" w:cs="Times New Roman"/>
          <w:i/>
          <w:sz w:val="28"/>
          <w:szCs w:val="28"/>
        </w:rPr>
        <w:t xml:space="preserve">situație care </w:t>
      </w:r>
      <w:r w:rsidR="00F77082">
        <w:rPr>
          <w:rFonts w:ascii="Times New Roman" w:hAnsi="Times New Roman" w:cs="Times New Roman"/>
          <w:i/>
          <w:sz w:val="28"/>
          <w:szCs w:val="28"/>
        </w:rPr>
        <w:t>este</w:t>
      </w:r>
      <w:r w:rsidRPr="001D0846">
        <w:rPr>
          <w:rFonts w:ascii="Times New Roman" w:hAnsi="Times New Roman" w:cs="Times New Roman"/>
          <w:i/>
          <w:sz w:val="28"/>
          <w:szCs w:val="28"/>
        </w:rPr>
        <w:t xml:space="preserve"> prez</w:t>
      </w:r>
      <w:r w:rsidR="00F77082">
        <w:rPr>
          <w:rFonts w:ascii="Times New Roman" w:hAnsi="Times New Roman" w:cs="Times New Roman"/>
          <w:i/>
          <w:sz w:val="28"/>
          <w:szCs w:val="28"/>
        </w:rPr>
        <w:t>enta</w:t>
      </w:r>
      <w:r w:rsidRPr="001D0846">
        <w:rPr>
          <w:rFonts w:ascii="Times New Roman" w:hAnsi="Times New Roman" w:cs="Times New Roman"/>
          <w:i/>
          <w:sz w:val="28"/>
          <w:szCs w:val="28"/>
        </w:rPr>
        <w:t>tă în detaliu în Diagrama</w:t>
      </w:r>
      <w:r w:rsidR="00FD037B">
        <w:rPr>
          <w:rFonts w:ascii="Times New Roman" w:hAnsi="Times New Roman" w:cs="Times New Roman"/>
          <w:i/>
          <w:sz w:val="28"/>
          <w:szCs w:val="28"/>
        </w:rPr>
        <w:t xml:space="preserve"> nr.8</w:t>
      </w:r>
      <w:r w:rsidR="007E41C7" w:rsidRPr="001D0846">
        <w:rPr>
          <w:rFonts w:ascii="Times New Roman" w:hAnsi="Times New Roman" w:cs="Times New Roman"/>
          <w:i/>
          <w:sz w:val="28"/>
          <w:szCs w:val="28"/>
        </w:rPr>
        <w:t xml:space="preserve"> din Anexa nr.4</w:t>
      </w:r>
      <w:r w:rsidR="009F449B" w:rsidRPr="001D0846">
        <w:rPr>
          <w:rFonts w:ascii="Times New Roman" w:hAnsi="Times New Roman" w:cs="Times New Roman"/>
          <w:i/>
          <w:sz w:val="28"/>
          <w:szCs w:val="28"/>
        </w:rPr>
        <w:t xml:space="preserve"> la Raport</w:t>
      </w:r>
      <w:r w:rsidR="00F77082">
        <w:rPr>
          <w:rFonts w:ascii="Times New Roman" w:hAnsi="Times New Roman" w:cs="Times New Roman"/>
          <w:i/>
          <w:sz w:val="28"/>
          <w:szCs w:val="28"/>
        </w:rPr>
        <w:t>ul</w:t>
      </w:r>
      <w:r w:rsidR="009F449B" w:rsidRPr="001D0846">
        <w:rPr>
          <w:rFonts w:ascii="Times New Roman" w:hAnsi="Times New Roman" w:cs="Times New Roman"/>
          <w:i/>
          <w:sz w:val="28"/>
          <w:szCs w:val="28"/>
        </w:rPr>
        <w:t xml:space="preserve"> de audit</w:t>
      </w:r>
      <w:r w:rsidRPr="001D0846">
        <w:rPr>
          <w:rFonts w:ascii="Times New Roman" w:hAnsi="Times New Roman" w:cs="Times New Roman"/>
          <w:i/>
          <w:sz w:val="28"/>
          <w:szCs w:val="28"/>
        </w:rPr>
        <w:t>.</w:t>
      </w:r>
    </w:p>
    <w:p w:rsidR="008C1007" w:rsidRPr="001D0846" w:rsidRDefault="00F77082" w:rsidP="000A421F">
      <w:pPr>
        <w:spacing w:after="0" w:line="276" w:lineRule="auto"/>
        <w:ind w:right="-2" w:firstLine="720"/>
        <w:jc w:val="both"/>
        <w:rPr>
          <w:rFonts w:ascii="Times New Roman" w:hAnsi="Times New Roman" w:cs="Times New Roman"/>
          <w:sz w:val="28"/>
          <w:szCs w:val="28"/>
        </w:rPr>
      </w:pPr>
      <w:r>
        <w:rPr>
          <w:rFonts w:ascii="Times New Roman" w:hAnsi="Times New Roman" w:cs="Times New Roman"/>
          <w:sz w:val="28"/>
          <w:szCs w:val="28"/>
        </w:rPr>
        <w:t>D</w:t>
      </w:r>
      <w:r w:rsidR="009F449B" w:rsidRPr="001D0846">
        <w:rPr>
          <w:rFonts w:ascii="Times New Roman" w:hAnsi="Times New Roman" w:cs="Times New Roman"/>
          <w:sz w:val="28"/>
          <w:szCs w:val="28"/>
        </w:rPr>
        <w:t>ate</w:t>
      </w:r>
      <w:r w:rsidR="005B60A3" w:rsidRPr="001D0846">
        <w:rPr>
          <w:rFonts w:ascii="Times New Roman" w:hAnsi="Times New Roman" w:cs="Times New Roman"/>
          <w:sz w:val="28"/>
          <w:szCs w:val="28"/>
        </w:rPr>
        <w:t>l</w:t>
      </w:r>
      <w:r>
        <w:rPr>
          <w:rFonts w:ascii="Times New Roman" w:hAnsi="Times New Roman" w:cs="Times New Roman"/>
          <w:sz w:val="28"/>
          <w:szCs w:val="28"/>
        </w:rPr>
        <w:t>e</w:t>
      </w:r>
      <w:r w:rsidR="008C1007" w:rsidRPr="001D0846">
        <w:rPr>
          <w:rFonts w:ascii="Times New Roman" w:hAnsi="Times New Roman" w:cs="Times New Roman"/>
          <w:sz w:val="28"/>
          <w:szCs w:val="28"/>
        </w:rPr>
        <w:t xml:space="preserve">prezentate în Diagramă </w:t>
      </w:r>
      <w:r>
        <w:rPr>
          <w:rFonts w:ascii="Times New Roman" w:hAnsi="Times New Roman" w:cs="Times New Roman"/>
          <w:sz w:val="28"/>
          <w:szCs w:val="28"/>
        </w:rPr>
        <w:t>indică</w:t>
      </w:r>
      <w:r w:rsidR="008C1007" w:rsidRPr="001D0846">
        <w:rPr>
          <w:rFonts w:ascii="Times New Roman" w:hAnsi="Times New Roman" w:cs="Times New Roman"/>
          <w:sz w:val="28"/>
          <w:szCs w:val="28"/>
        </w:rPr>
        <w:t xml:space="preserve"> un ritm </w:t>
      </w:r>
      <w:r w:rsidR="00753789" w:rsidRPr="001D0846">
        <w:rPr>
          <w:rFonts w:ascii="Times New Roman" w:hAnsi="Times New Roman" w:cs="Times New Roman"/>
          <w:sz w:val="28"/>
          <w:szCs w:val="28"/>
        </w:rPr>
        <w:t>încetinit</w:t>
      </w:r>
      <w:r w:rsidR="008C1007" w:rsidRPr="001D0846">
        <w:rPr>
          <w:rFonts w:ascii="Times New Roman" w:hAnsi="Times New Roman" w:cs="Times New Roman"/>
          <w:sz w:val="28"/>
          <w:szCs w:val="28"/>
        </w:rPr>
        <w:t xml:space="preserve"> de creștere a ponderii veniturilor administrate de organele vamale în PIB </w:t>
      </w:r>
      <w:r>
        <w:rPr>
          <w:rFonts w:ascii="Times New Roman" w:hAnsi="Times New Roman" w:cs="Times New Roman"/>
          <w:sz w:val="28"/>
          <w:szCs w:val="28"/>
        </w:rPr>
        <w:t>(</w:t>
      </w:r>
      <w:r w:rsidR="008C1007" w:rsidRPr="001D0846">
        <w:rPr>
          <w:rFonts w:ascii="Times New Roman" w:hAnsi="Times New Roman" w:cs="Times New Roman"/>
          <w:sz w:val="28"/>
          <w:szCs w:val="28"/>
        </w:rPr>
        <w:t xml:space="preserve">de la 12,8 % în anul 2015 până la 13,7 %, sau </w:t>
      </w:r>
      <w:r w:rsidRPr="001D0846">
        <w:rPr>
          <w:rFonts w:ascii="Times New Roman" w:hAnsi="Times New Roman" w:cs="Times New Roman"/>
          <w:sz w:val="28"/>
          <w:szCs w:val="28"/>
        </w:rPr>
        <w:t>cu 0,9 p.p.</w:t>
      </w:r>
      <w:r w:rsidR="008C1007" w:rsidRPr="001D0846">
        <w:rPr>
          <w:rFonts w:ascii="Times New Roman" w:hAnsi="Times New Roman" w:cs="Times New Roman"/>
          <w:sz w:val="28"/>
          <w:szCs w:val="28"/>
        </w:rPr>
        <w:t>mai</w:t>
      </w:r>
      <w:r w:rsidR="008C1DF2" w:rsidRPr="001D0846">
        <w:rPr>
          <w:rFonts w:ascii="Times New Roman" w:hAnsi="Times New Roman" w:cs="Times New Roman"/>
          <w:sz w:val="28"/>
          <w:szCs w:val="28"/>
        </w:rPr>
        <w:t xml:space="preserve"> mult</w:t>
      </w:r>
      <w:r>
        <w:rPr>
          <w:rFonts w:ascii="Times New Roman" w:hAnsi="Times New Roman" w:cs="Times New Roman"/>
          <w:sz w:val="28"/>
          <w:szCs w:val="28"/>
        </w:rPr>
        <w:t>,</w:t>
      </w:r>
      <w:r w:rsidR="008C1DF2" w:rsidRPr="001D0846">
        <w:rPr>
          <w:rFonts w:ascii="Times New Roman" w:hAnsi="Times New Roman" w:cs="Times New Roman"/>
          <w:sz w:val="28"/>
          <w:szCs w:val="28"/>
        </w:rPr>
        <w:t xml:space="preserve"> în anul 2017</w:t>
      </w:r>
      <w:r>
        <w:rPr>
          <w:rFonts w:ascii="Times New Roman" w:hAnsi="Times New Roman" w:cs="Times New Roman"/>
          <w:sz w:val="28"/>
          <w:szCs w:val="28"/>
        </w:rPr>
        <w:t>)</w:t>
      </w:r>
      <w:r w:rsidR="008C1DF2" w:rsidRPr="001D0846">
        <w:rPr>
          <w:rFonts w:ascii="Times New Roman" w:hAnsi="Times New Roman" w:cs="Times New Roman"/>
          <w:sz w:val="28"/>
          <w:szCs w:val="28"/>
        </w:rPr>
        <w:t>.</w:t>
      </w:r>
    </w:p>
    <w:p w:rsidR="003F6A2F" w:rsidRDefault="008C1007" w:rsidP="000A421F">
      <w:pPr>
        <w:spacing w:after="0" w:line="276" w:lineRule="auto"/>
        <w:ind w:right="-2" w:firstLine="720"/>
        <w:jc w:val="both"/>
        <w:rPr>
          <w:rFonts w:ascii="Times New Roman" w:hAnsi="Times New Roman" w:cs="Times New Roman"/>
          <w:sz w:val="28"/>
          <w:szCs w:val="28"/>
        </w:rPr>
      </w:pPr>
      <w:r w:rsidRPr="001D0846">
        <w:rPr>
          <w:rFonts w:ascii="Times New Roman" w:hAnsi="Times New Roman" w:cs="Times New Roman"/>
          <w:sz w:val="28"/>
          <w:szCs w:val="28"/>
        </w:rPr>
        <w:t>În anul 2017, precum şi în perioadele pr</w:t>
      </w:r>
      <w:r w:rsidR="00194136" w:rsidRPr="001D0846">
        <w:rPr>
          <w:rFonts w:ascii="Times New Roman" w:hAnsi="Times New Roman" w:cs="Times New Roman"/>
          <w:sz w:val="28"/>
          <w:szCs w:val="28"/>
        </w:rPr>
        <w:t>ecedente, unul din</w:t>
      </w:r>
      <w:r w:rsidR="00F77082">
        <w:rPr>
          <w:rFonts w:ascii="Times New Roman" w:hAnsi="Times New Roman" w:cs="Times New Roman"/>
          <w:sz w:val="28"/>
          <w:szCs w:val="28"/>
        </w:rPr>
        <w:t>tre</w:t>
      </w:r>
      <w:r w:rsidR="00194136" w:rsidRPr="001D0846">
        <w:rPr>
          <w:rFonts w:ascii="Times New Roman" w:hAnsi="Times New Roman" w:cs="Times New Roman"/>
          <w:sz w:val="28"/>
          <w:szCs w:val="28"/>
        </w:rPr>
        <w:t xml:space="preserve"> indicatorii de eficacitate</w:t>
      </w:r>
      <w:r w:rsidRPr="001D0846">
        <w:rPr>
          <w:rFonts w:ascii="Times New Roman" w:hAnsi="Times New Roman" w:cs="Times New Roman"/>
          <w:sz w:val="28"/>
          <w:szCs w:val="28"/>
        </w:rPr>
        <w:t xml:space="preserve">utilizaţi de SV la aprecierea rezultatelor activităţii de administrare a impozitelor și taxelor a fostnivelul de realizare a sarcinii bugetare anuale privind colectarea veniturilor la </w:t>
      </w:r>
      <w:r w:rsidRPr="00EE570A">
        <w:rPr>
          <w:rFonts w:ascii="Times New Roman" w:hAnsi="Times New Roman" w:cs="Times New Roman"/>
          <w:sz w:val="28"/>
          <w:szCs w:val="28"/>
        </w:rPr>
        <w:t xml:space="preserve">BS. </w:t>
      </w:r>
    </w:p>
    <w:p w:rsidR="003F6A2F" w:rsidRPr="003F6A2F" w:rsidRDefault="003F6A2F" w:rsidP="003F6A2F">
      <w:pPr>
        <w:spacing w:after="0" w:line="276" w:lineRule="auto"/>
        <w:ind w:right="-2" w:firstLine="720"/>
        <w:jc w:val="both"/>
        <w:rPr>
          <w:rFonts w:ascii="Times New Roman" w:hAnsi="Times New Roman" w:cs="Times New Roman"/>
          <w:i/>
          <w:color w:val="000000"/>
          <w:sz w:val="28"/>
          <w:szCs w:val="28"/>
        </w:rPr>
      </w:pPr>
      <w:r>
        <w:rPr>
          <w:rFonts w:ascii="Times New Roman" w:eastAsia="Times New Roman" w:hAnsi="Times New Roman" w:cs="Times New Roman"/>
          <w:sz w:val="28"/>
          <w:szCs w:val="28"/>
        </w:rPr>
        <w:t xml:space="preserve"> Analiza efectuată de audit </w:t>
      </w:r>
      <w:r w:rsidRPr="0001016B">
        <w:rPr>
          <w:rFonts w:ascii="Times New Roman" w:eastAsia="Times New Roman" w:hAnsi="Times New Roman" w:cs="Times New Roman"/>
          <w:sz w:val="28"/>
          <w:szCs w:val="28"/>
        </w:rPr>
        <w:t xml:space="preserve">relevă că </w:t>
      </w:r>
      <w:r>
        <w:rPr>
          <w:rFonts w:ascii="Times New Roman" w:hAnsi="Times New Roman" w:cs="Times New Roman"/>
          <w:sz w:val="28"/>
          <w:szCs w:val="28"/>
        </w:rPr>
        <w:t xml:space="preserve">în perioada </w:t>
      </w:r>
      <w:r w:rsidR="00F77082">
        <w:rPr>
          <w:rFonts w:ascii="Times New Roman" w:hAnsi="Times New Roman" w:cs="Times New Roman"/>
          <w:sz w:val="28"/>
          <w:szCs w:val="28"/>
        </w:rPr>
        <w:t xml:space="preserve">anilor </w:t>
      </w:r>
      <w:r>
        <w:rPr>
          <w:rFonts w:ascii="Times New Roman" w:hAnsi="Times New Roman" w:cs="Times New Roman"/>
          <w:sz w:val="28"/>
          <w:szCs w:val="28"/>
        </w:rPr>
        <w:t xml:space="preserve">2016-2017 </w:t>
      </w:r>
      <w:r w:rsidRPr="0001016B">
        <w:rPr>
          <w:rFonts w:ascii="Times New Roman" w:hAnsi="Times New Roman" w:cs="Times New Roman"/>
          <w:sz w:val="28"/>
          <w:szCs w:val="28"/>
        </w:rPr>
        <w:t xml:space="preserve">sarcina bugetară anuală privind colectarea veniturilor </w:t>
      </w:r>
      <w:r>
        <w:rPr>
          <w:rFonts w:ascii="Times New Roman" w:hAnsi="Times New Roman" w:cs="Times New Roman"/>
          <w:sz w:val="28"/>
          <w:szCs w:val="28"/>
        </w:rPr>
        <w:t>a suportat modificări</w:t>
      </w:r>
      <w:r w:rsidR="00975002">
        <w:rPr>
          <w:rFonts w:ascii="Times New Roman" w:hAnsi="Times New Roman" w:cs="Times New Roman"/>
          <w:color w:val="000000"/>
          <w:sz w:val="28"/>
          <w:szCs w:val="28"/>
        </w:rPr>
        <w:t>(micșorare/ majorare) a</w:t>
      </w:r>
      <w:r w:rsidRPr="00834875">
        <w:rPr>
          <w:rFonts w:ascii="Times New Roman" w:hAnsi="Times New Roman" w:cs="Times New Roman"/>
          <w:sz w:val="28"/>
          <w:szCs w:val="28"/>
        </w:rPr>
        <w:t xml:space="preserve"> indicatorului planului de încasări, pentru a-l aduce la un nivel c</w:t>
      </w:r>
      <w:r w:rsidR="00050379">
        <w:rPr>
          <w:rFonts w:ascii="Times New Roman" w:hAnsi="Times New Roman" w:cs="Times New Roman"/>
          <w:sz w:val="28"/>
          <w:szCs w:val="28"/>
        </w:rPr>
        <w:t>â</w:t>
      </w:r>
      <w:r w:rsidRPr="00834875">
        <w:rPr>
          <w:rFonts w:ascii="Times New Roman" w:hAnsi="Times New Roman" w:cs="Times New Roman"/>
          <w:sz w:val="28"/>
          <w:szCs w:val="28"/>
        </w:rPr>
        <w:t xml:space="preserve">t mai apropiat de nivelul veniturilor efectiv </w:t>
      </w:r>
      <w:r w:rsidRPr="000B46ED">
        <w:rPr>
          <w:rFonts w:ascii="Times New Roman" w:hAnsi="Times New Roman" w:cs="Times New Roman"/>
          <w:sz w:val="28"/>
          <w:szCs w:val="28"/>
        </w:rPr>
        <w:t>realizate</w:t>
      </w:r>
      <w:r w:rsidRPr="000B46ED">
        <w:rPr>
          <w:rFonts w:ascii="Times New Roman" w:hAnsi="Times New Roman" w:cs="Times New Roman"/>
          <w:color w:val="000000"/>
          <w:sz w:val="28"/>
          <w:szCs w:val="28"/>
        </w:rPr>
        <w:t>, situație care a avut impact asupra echilibrului bugetar. Astfel, în anul 2015</w:t>
      </w:r>
      <w:r w:rsidR="00050379">
        <w:rPr>
          <w:rFonts w:ascii="Times New Roman" w:hAnsi="Times New Roman" w:cs="Times New Roman"/>
          <w:color w:val="000000"/>
          <w:sz w:val="28"/>
          <w:szCs w:val="28"/>
        </w:rPr>
        <w:t>,</w:t>
      </w:r>
      <w:r w:rsidRPr="000B46ED">
        <w:rPr>
          <w:rFonts w:ascii="Times New Roman" w:hAnsi="Times New Roman" w:cs="Times New Roman"/>
          <w:color w:val="000000"/>
          <w:sz w:val="28"/>
          <w:szCs w:val="28"/>
        </w:rPr>
        <w:t xml:space="preserve"> planul de încasări a fost micșorat cu 7,9 % (1,4 ml</w:t>
      </w:r>
      <w:r>
        <w:rPr>
          <w:rFonts w:ascii="Times New Roman" w:hAnsi="Times New Roman" w:cs="Times New Roman"/>
          <w:color w:val="000000"/>
          <w:sz w:val="28"/>
          <w:szCs w:val="28"/>
        </w:rPr>
        <w:t>r</w:t>
      </w:r>
      <w:r w:rsidRPr="000B46ED">
        <w:rPr>
          <w:rFonts w:ascii="Times New Roman" w:hAnsi="Times New Roman" w:cs="Times New Roman"/>
          <w:color w:val="000000"/>
          <w:sz w:val="28"/>
          <w:szCs w:val="28"/>
        </w:rPr>
        <w:t>d.lei),</w:t>
      </w:r>
      <w:r>
        <w:rPr>
          <w:rFonts w:ascii="Times New Roman" w:hAnsi="Times New Roman" w:cs="Times New Roman"/>
          <w:color w:val="000000"/>
          <w:sz w:val="28"/>
          <w:szCs w:val="28"/>
        </w:rPr>
        <w:t xml:space="preserve"> iar</w:t>
      </w:r>
      <w:r w:rsidRPr="000B46ED">
        <w:rPr>
          <w:rFonts w:ascii="Times New Roman" w:hAnsi="Times New Roman" w:cs="Times New Roman"/>
          <w:color w:val="000000"/>
          <w:sz w:val="28"/>
          <w:szCs w:val="28"/>
        </w:rPr>
        <w:t xml:space="preserve"> în anul 2016 </w:t>
      </w:r>
      <w:r w:rsidR="00050379">
        <w:rPr>
          <w:rFonts w:ascii="Times New Roman" w:hAnsi="Times New Roman" w:cs="Times New Roman"/>
          <w:color w:val="000000"/>
          <w:sz w:val="28"/>
          <w:szCs w:val="28"/>
        </w:rPr>
        <w:t>– respectiv,</w:t>
      </w:r>
      <w:r w:rsidRPr="000B46ED">
        <w:rPr>
          <w:rFonts w:ascii="Times New Roman" w:hAnsi="Times New Roman" w:cs="Times New Roman"/>
          <w:color w:val="000000"/>
          <w:sz w:val="28"/>
          <w:szCs w:val="28"/>
        </w:rPr>
        <w:t xml:space="preserve"> cu 7,5</w:t>
      </w:r>
      <w:r>
        <w:rPr>
          <w:rFonts w:ascii="Times New Roman" w:hAnsi="Times New Roman" w:cs="Times New Roman"/>
          <w:color w:val="000000"/>
          <w:sz w:val="28"/>
          <w:szCs w:val="28"/>
        </w:rPr>
        <w:t>6</w:t>
      </w:r>
      <w:r w:rsidRPr="000B46ED">
        <w:rPr>
          <w:rFonts w:ascii="Times New Roman" w:hAnsi="Times New Roman" w:cs="Times New Roman"/>
          <w:color w:val="000000"/>
          <w:sz w:val="28"/>
          <w:szCs w:val="28"/>
        </w:rPr>
        <w:t>% (1,4 ml</w:t>
      </w:r>
      <w:r>
        <w:rPr>
          <w:rFonts w:ascii="Times New Roman" w:hAnsi="Times New Roman" w:cs="Times New Roman"/>
          <w:color w:val="000000"/>
          <w:sz w:val="28"/>
          <w:szCs w:val="28"/>
        </w:rPr>
        <w:t>r</w:t>
      </w:r>
      <w:r w:rsidRPr="000B46ED">
        <w:rPr>
          <w:rFonts w:ascii="Times New Roman" w:hAnsi="Times New Roman" w:cs="Times New Roman"/>
          <w:color w:val="000000"/>
          <w:sz w:val="28"/>
          <w:szCs w:val="28"/>
        </w:rPr>
        <w:t>d.lei)</w:t>
      </w:r>
      <w:r>
        <w:rPr>
          <w:rFonts w:ascii="Times New Roman" w:hAnsi="Times New Roman" w:cs="Times New Roman"/>
          <w:color w:val="000000"/>
          <w:sz w:val="28"/>
          <w:szCs w:val="28"/>
        </w:rPr>
        <w:t>.</w:t>
      </w:r>
      <w:r w:rsidRPr="000B46ED">
        <w:rPr>
          <w:rFonts w:ascii="Times New Roman" w:hAnsi="Times New Roman" w:cs="Times New Roman"/>
          <w:sz w:val="28"/>
          <w:szCs w:val="28"/>
        </w:rPr>
        <w:t xml:space="preserve"> Modificările efectuate au generat majorarea gradului de realizare a planului de încasări în anul 2015 de la 90,9% </w:t>
      </w:r>
      <w:r w:rsidR="00050379">
        <w:rPr>
          <w:rFonts w:ascii="Times New Roman" w:hAnsi="Times New Roman" w:cs="Times New Roman"/>
          <w:sz w:val="28"/>
          <w:szCs w:val="28"/>
        </w:rPr>
        <w:t xml:space="preserve">până </w:t>
      </w:r>
      <w:r w:rsidRPr="000B46ED">
        <w:rPr>
          <w:rFonts w:ascii="Times New Roman" w:hAnsi="Times New Roman" w:cs="Times New Roman"/>
          <w:sz w:val="28"/>
          <w:szCs w:val="28"/>
        </w:rPr>
        <w:t xml:space="preserve">la 98,7%, iar în anul 2016 </w:t>
      </w:r>
      <w:r w:rsidR="00050379">
        <w:rPr>
          <w:rFonts w:ascii="Times New Roman" w:hAnsi="Times New Roman" w:cs="Times New Roman"/>
          <w:sz w:val="28"/>
          <w:szCs w:val="28"/>
        </w:rPr>
        <w:t xml:space="preserve">- </w:t>
      </w:r>
      <w:r w:rsidRPr="000B46ED">
        <w:rPr>
          <w:rFonts w:ascii="Times New Roman" w:hAnsi="Times New Roman" w:cs="Times New Roman"/>
          <w:sz w:val="28"/>
          <w:szCs w:val="28"/>
        </w:rPr>
        <w:t xml:space="preserve">de la 94,6% </w:t>
      </w:r>
      <w:r w:rsidR="00050379">
        <w:rPr>
          <w:rFonts w:ascii="Times New Roman" w:hAnsi="Times New Roman" w:cs="Times New Roman"/>
          <w:sz w:val="28"/>
          <w:szCs w:val="28"/>
        </w:rPr>
        <w:t xml:space="preserve">până </w:t>
      </w:r>
      <w:r w:rsidRPr="000B46ED">
        <w:rPr>
          <w:rFonts w:ascii="Times New Roman" w:hAnsi="Times New Roman" w:cs="Times New Roman"/>
          <w:sz w:val="28"/>
          <w:szCs w:val="28"/>
        </w:rPr>
        <w:t>la 102%.</w:t>
      </w:r>
      <w:r>
        <w:rPr>
          <w:rFonts w:ascii="Times New Roman" w:hAnsi="Times New Roman" w:cs="Times New Roman"/>
          <w:color w:val="000000"/>
          <w:sz w:val="28"/>
          <w:szCs w:val="28"/>
        </w:rPr>
        <w:t xml:space="preserve"> În anul 2017 se atestă o situație inversă </w:t>
      </w:r>
      <w:r w:rsidR="00050379">
        <w:rPr>
          <w:rFonts w:ascii="Times New Roman" w:hAnsi="Times New Roman" w:cs="Times New Roman"/>
          <w:color w:val="000000"/>
          <w:sz w:val="28"/>
          <w:szCs w:val="28"/>
        </w:rPr>
        <w:t xml:space="preserve">celei din </w:t>
      </w:r>
      <w:r>
        <w:rPr>
          <w:rFonts w:ascii="Times New Roman" w:hAnsi="Times New Roman" w:cs="Times New Roman"/>
          <w:color w:val="000000"/>
          <w:sz w:val="28"/>
          <w:szCs w:val="28"/>
        </w:rPr>
        <w:t>ani</w:t>
      </w:r>
      <w:r w:rsidR="00050379">
        <w:rPr>
          <w:rFonts w:ascii="Times New Roman" w:hAnsi="Times New Roman" w:cs="Times New Roman"/>
          <w:color w:val="000000"/>
          <w:sz w:val="28"/>
          <w:szCs w:val="28"/>
        </w:rPr>
        <w:t>i</w:t>
      </w:r>
      <w:r>
        <w:rPr>
          <w:rFonts w:ascii="Times New Roman" w:hAnsi="Times New Roman" w:cs="Times New Roman"/>
          <w:color w:val="000000"/>
          <w:sz w:val="28"/>
          <w:szCs w:val="28"/>
        </w:rPr>
        <w:t xml:space="preserve"> precedenți, planul de încasări fiind majorat cu 7,98 % (1,4 mlrd.lei), fapt care a generat micșorarea nivelului de realizare de la 109,7% </w:t>
      </w:r>
      <w:r w:rsidR="00050379">
        <w:rPr>
          <w:rFonts w:ascii="Times New Roman" w:hAnsi="Times New Roman" w:cs="Times New Roman"/>
          <w:color w:val="000000"/>
          <w:sz w:val="28"/>
          <w:szCs w:val="28"/>
        </w:rPr>
        <w:t xml:space="preserve">până </w:t>
      </w:r>
      <w:r>
        <w:rPr>
          <w:rFonts w:ascii="Times New Roman" w:hAnsi="Times New Roman" w:cs="Times New Roman"/>
          <w:color w:val="000000"/>
          <w:sz w:val="28"/>
          <w:szCs w:val="28"/>
        </w:rPr>
        <w:t xml:space="preserve">la 101,6 %. </w:t>
      </w:r>
      <w:r w:rsidRPr="001D0846">
        <w:rPr>
          <w:rFonts w:ascii="Times New Roman" w:eastAsia="Times New Roman" w:hAnsi="Times New Roman" w:cs="Times New Roman"/>
          <w:sz w:val="28"/>
          <w:szCs w:val="28"/>
        </w:rPr>
        <w:t>Situațiile constatate de audit la stabilirea sarcinii de încasări au fost cauzate</w:t>
      </w:r>
      <w:r w:rsidR="00050379">
        <w:rPr>
          <w:rFonts w:ascii="Times New Roman" w:eastAsia="Times New Roman" w:hAnsi="Times New Roman" w:cs="Times New Roman"/>
          <w:sz w:val="28"/>
          <w:szCs w:val="28"/>
        </w:rPr>
        <w:t>,</w:t>
      </w:r>
      <w:r w:rsidRPr="001D0846">
        <w:rPr>
          <w:rFonts w:ascii="Times New Roman" w:eastAsia="Times New Roman" w:hAnsi="Times New Roman" w:cs="Times New Roman"/>
          <w:sz w:val="28"/>
          <w:szCs w:val="28"/>
        </w:rPr>
        <w:t xml:space="preserve"> în special</w:t>
      </w:r>
      <w:r w:rsidR="00050379">
        <w:rPr>
          <w:rFonts w:ascii="Times New Roman" w:eastAsia="Times New Roman" w:hAnsi="Times New Roman" w:cs="Times New Roman"/>
          <w:sz w:val="28"/>
          <w:szCs w:val="28"/>
        </w:rPr>
        <w:t>,</w:t>
      </w:r>
      <w:r w:rsidRPr="001D0846">
        <w:rPr>
          <w:rFonts w:ascii="Times New Roman" w:eastAsia="Times New Roman" w:hAnsi="Times New Roman" w:cs="Times New Roman"/>
          <w:sz w:val="28"/>
          <w:szCs w:val="28"/>
        </w:rPr>
        <w:t xml:space="preserve"> de rezervele privind</w:t>
      </w:r>
      <w:r w:rsidRPr="001D0846">
        <w:rPr>
          <w:rFonts w:ascii="Times New Roman" w:hAnsi="Times New Roman" w:cs="Times New Roman"/>
          <w:sz w:val="28"/>
          <w:szCs w:val="28"/>
        </w:rPr>
        <w:t xml:space="preserve"> modalitatea de calcul şiacurateţea estimărilor</w:t>
      </w:r>
      <w:r w:rsidRPr="001D0846">
        <w:rPr>
          <w:rFonts w:ascii="Times New Roman" w:eastAsia="Times New Roman" w:hAnsi="Times New Roman" w:cs="Times New Roman"/>
          <w:sz w:val="28"/>
          <w:szCs w:val="28"/>
        </w:rPr>
        <w:t>, precum și variația pe parcursul anului a indicatorilor macroeconomici</w:t>
      </w:r>
      <w:r w:rsidRPr="001D0846">
        <w:rPr>
          <w:rFonts w:ascii="Times New Roman" w:hAnsi="Times New Roman" w:cs="Times New Roman"/>
          <w:sz w:val="28"/>
          <w:szCs w:val="28"/>
        </w:rPr>
        <w:t>.</w:t>
      </w:r>
    </w:p>
    <w:p w:rsidR="003F6A2F" w:rsidRPr="001D0846" w:rsidRDefault="003F6A2F" w:rsidP="003F6A2F">
      <w:pPr>
        <w:spacing w:after="0" w:line="276" w:lineRule="auto"/>
        <w:ind w:right="-2" w:firstLine="720"/>
        <w:jc w:val="both"/>
        <w:rPr>
          <w:rFonts w:ascii="Times New Roman" w:hAnsi="Times New Roman" w:cs="Times New Roman"/>
          <w:sz w:val="28"/>
          <w:szCs w:val="28"/>
        </w:rPr>
      </w:pPr>
      <w:r w:rsidRPr="001D0846">
        <w:rPr>
          <w:rFonts w:ascii="Times New Roman" w:hAnsi="Times New Roman" w:cs="Times New Roman"/>
          <w:sz w:val="28"/>
          <w:szCs w:val="28"/>
        </w:rPr>
        <w:t xml:space="preserve">Comparând nivelul </w:t>
      </w:r>
      <w:r w:rsidR="00456909">
        <w:rPr>
          <w:rFonts w:ascii="Times New Roman" w:hAnsi="Times New Roman" w:cs="Times New Roman"/>
          <w:sz w:val="28"/>
          <w:szCs w:val="28"/>
        </w:rPr>
        <w:t>aprobat</w:t>
      </w:r>
      <w:r w:rsidRPr="001D0846">
        <w:rPr>
          <w:rFonts w:ascii="Times New Roman" w:hAnsi="Times New Roman" w:cs="Times New Roman"/>
          <w:sz w:val="28"/>
          <w:szCs w:val="28"/>
        </w:rPr>
        <w:t xml:space="preserve"> al veniturilor colectate (obiectiv propus de MF) </w:t>
      </w:r>
      <w:r w:rsidR="00050379">
        <w:rPr>
          <w:rFonts w:ascii="Times New Roman" w:hAnsi="Times New Roman" w:cs="Times New Roman"/>
          <w:sz w:val="28"/>
          <w:szCs w:val="28"/>
        </w:rPr>
        <w:t>cu</w:t>
      </w:r>
      <w:r w:rsidRPr="001D0846">
        <w:rPr>
          <w:rFonts w:ascii="Times New Roman" w:hAnsi="Times New Roman" w:cs="Times New Roman"/>
          <w:sz w:val="28"/>
          <w:szCs w:val="28"/>
        </w:rPr>
        <w:t xml:space="preserve"> încasările realizate în </w:t>
      </w:r>
      <w:r w:rsidR="00E26C8D">
        <w:rPr>
          <w:rFonts w:ascii="Times New Roman" w:hAnsi="Times New Roman" w:cs="Times New Roman"/>
          <w:sz w:val="28"/>
          <w:szCs w:val="28"/>
        </w:rPr>
        <w:t>anul</w:t>
      </w:r>
      <w:r w:rsidRPr="001D0846">
        <w:rPr>
          <w:rFonts w:ascii="Times New Roman" w:hAnsi="Times New Roman" w:cs="Times New Roman"/>
          <w:sz w:val="28"/>
          <w:szCs w:val="28"/>
        </w:rPr>
        <w:t xml:space="preserve"> 2017, se </w:t>
      </w:r>
      <w:r w:rsidR="00E10910">
        <w:rPr>
          <w:rFonts w:ascii="Times New Roman" w:hAnsi="Times New Roman" w:cs="Times New Roman"/>
          <w:sz w:val="28"/>
          <w:szCs w:val="28"/>
        </w:rPr>
        <w:t>constată</w:t>
      </w:r>
      <w:r w:rsidRPr="001D0846">
        <w:rPr>
          <w:rFonts w:ascii="Times New Roman" w:hAnsi="Times New Roman" w:cs="Times New Roman"/>
          <w:sz w:val="28"/>
          <w:szCs w:val="28"/>
        </w:rPr>
        <w:t xml:space="preserve"> că</w:t>
      </w:r>
      <w:r w:rsidR="00050379">
        <w:rPr>
          <w:rFonts w:ascii="Times New Roman" w:hAnsi="Times New Roman" w:cs="Times New Roman"/>
          <w:sz w:val="28"/>
          <w:szCs w:val="28"/>
        </w:rPr>
        <w:t>,</w:t>
      </w:r>
      <w:r w:rsidRPr="001D0846">
        <w:rPr>
          <w:rFonts w:ascii="Times New Roman" w:hAnsi="Times New Roman" w:cs="Times New Roman"/>
          <w:sz w:val="28"/>
          <w:szCs w:val="28"/>
        </w:rPr>
        <w:t xml:space="preserve"> per ansamblu</w:t>
      </w:r>
      <w:r w:rsidR="00050379">
        <w:rPr>
          <w:rFonts w:ascii="Times New Roman" w:hAnsi="Times New Roman" w:cs="Times New Roman"/>
          <w:sz w:val="28"/>
          <w:szCs w:val="28"/>
        </w:rPr>
        <w:t>,</w:t>
      </w:r>
      <w:r w:rsidRPr="001D0846">
        <w:rPr>
          <w:rFonts w:ascii="Times New Roman" w:hAnsi="Times New Roman" w:cs="Times New Roman"/>
          <w:sz w:val="28"/>
          <w:szCs w:val="28"/>
        </w:rPr>
        <w:t xml:space="preserve"> SV a îndeplinit obiectivele stabilite, fiind înregistrat un nivel de realizare a sarcinii de colectare a veniturilor la BS de 101,6%.</w:t>
      </w:r>
    </w:p>
    <w:p w:rsidR="003F6A2F" w:rsidRDefault="003F6A2F" w:rsidP="003F6A2F">
      <w:pPr>
        <w:spacing w:after="0" w:line="276" w:lineRule="auto"/>
        <w:ind w:right="-2" w:firstLine="720"/>
        <w:jc w:val="both"/>
        <w:rPr>
          <w:rFonts w:ascii="Times New Roman" w:hAnsi="Times New Roman" w:cs="Times New Roman"/>
          <w:i/>
          <w:sz w:val="28"/>
          <w:szCs w:val="28"/>
        </w:rPr>
      </w:pPr>
      <w:r w:rsidRPr="003F6A2F">
        <w:rPr>
          <w:rFonts w:ascii="Times New Roman" w:hAnsi="Times New Roman" w:cs="Times New Roman"/>
          <w:sz w:val="28"/>
          <w:szCs w:val="28"/>
        </w:rPr>
        <w:t>Analiza nivelul</w:t>
      </w:r>
      <w:r w:rsidR="00050379">
        <w:rPr>
          <w:rFonts w:ascii="Times New Roman" w:hAnsi="Times New Roman" w:cs="Times New Roman"/>
          <w:sz w:val="28"/>
          <w:szCs w:val="28"/>
        </w:rPr>
        <w:t>ui</w:t>
      </w:r>
      <w:r w:rsidRPr="003F6A2F">
        <w:rPr>
          <w:rFonts w:ascii="Times New Roman" w:hAnsi="Times New Roman" w:cs="Times New Roman"/>
          <w:sz w:val="28"/>
          <w:szCs w:val="28"/>
        </w:rPr>
        <w:t xml:space="preserve"> de realizare a sarcinii de colectare în aspectul tipurilor de impozite și taxe </w:t>
      </w:r>
      <w:r w:rsidR="00E10910">
        <w:rPr>
          <w:rFonts w:ascii="Times New Roman" w:hAnsi="Times New Roman" w:cs="Times New Roman"/>
          <w:sz w:val="28"/>
          <w:szCs w:val="28"/>
        </w:rPr>
        <w:t>denotă</w:t>
      </w:r>
      <w:r w:rsidRPr="003F6A2F">
        <w:rPr>
          <w:rFonts w:ascii="Times New Roman" w:hAnsi="Times New Roman" w:cs="Times New Roman"/>
          <w:sz w:val="28"/>
          <w:szCs w:val="28"/>
        </w:rPr>
        <w:t xml:space="preserve"> unele discrepanțe între nivelul </w:t>
      </w:r>
      <w:r w:rsidR="00456909">
        <w:rPr>
          <w:rFonts w:ascii="Times New Roman" w:hAnsi="Times New Roman" w:cs="Times New Roman"/>
          <w:sz w:val="28"/>
          <w:szCs w:val="28"/>
        </w:rPr>
        <w:t>aprobat</w:t>
      </w:r>
      <w:r w:rsidRPr="003F6A2F">
        <w:rPr>
          <w:rFonts w:ascii="Times New Roman" w:hAnsi="Times New Roman" w:cs="Times New Roman"/>
          <w:sz w:val="28"/>
          <w:szCs w:val="28"/>
        </w:rPr>
        <w:t xml:space="preserve"> al încasărilor și cel efectiv realizat, </w:t>
      </w:r>
      <w:r w:rsidRPr="003F6A2F">
        <w:rPr>
          <w:rFonts w:ascii="Times New Roman" w:hAnsi="Times New Roman" w:cs="Times New Roman"/>
          <w:i/>
          <w:sz w:val="28"/>
          <w:szCs w:val="28"/>
        </w:rPr>
        <w:t xml:space="preserve">situație care </w:t>
      </w:r>
      <w:r w:rsidR="00E26C8D">
        <w:rPr>
          <w:rFonts w:ascii="Times New Roman" w:hAnsi="Times New Roman" w:cs="Times New Roman"/>
          <w:i/>
          <w:sz w:val="28"/>
          <w:szCs w:val="28"/>
        </w:rPr>
        <w:t>este</w:t>
      </w:r>
      <w:r w:rsidRPr="003F6A2F">
        <w:rPr>
          <w:rFonts w:ascii="Times New Roman" w:hAnsi="Times New Roman" w:cs="Times New Roman"/>
          <w:i/>
          <w:sz w:val="28"/>
          <w:szCs w:val="28"/>
        </w:rPr>
        <w:t xml:space="preserve"> prez</w:t>
      </w:r>
      <w:r w:rsidR="00E26C8D">
        <w:rPr>
          <w:rFonts w:ascii="Times New Roman" w:hAnsi="Times New Roman" w:cs="Times New Roman"/>
          <w:i/>
          <w:sz w:val="28"/>
          <w:szCs w:val="28"/>
        </w:rPr>
        <w:t>enta</w:t>
      </w:r>
      <w:r w:rsidRPr="003F6A2F">
        <w:rPr>
          <w:rFonts w:ascii="Times New Roman" w:hAnsi="Times New Roman" w:cs="Times New Roman"/>
          <w:i/>
          <w:sz w:val="28"/>
          <w:szCs w:val="28"/>
        </w:rPr>
        <w:t>tă în detaliu în Tabelul nr.</w:t>
      </w:r>
      <w:r>
        <w:rPr>
          <w:rFonts w:ascii="Times New Roman" w:hAnsi="Times New Roman" w:cs="Times New Roman"/>
          <w:i/>
          <w:sz w:val="28"/>
          <w:szCs w:val="28"/>
        </w:rPr>
        <w:t>8</w:t>
      </w:r>
      <w:r w:rsidRPr="003F6A2F">
        <w:rPr>
          <w:rFonts w:ascii="Times New Roman" w:hAnsi="Times New Roman" w:cs="Times New Roman"/>
          <w:i/>
          <w:sz w:val="28"/>
          <w:szCs w:val="28"/>
        </w:rPr>
        <w:t xml:space="preserve"> din Anexa nr.3 </w:t>
      </w:r>
      <w:r w:rsidR="00E26C8D">
        <w:rPr>
          <w:rFonts w:ascii="Times New Roman" w:hAnsi="Times New Roman" w:cs="Times New Roman"/>
          <w:i/>
          <w:sz w:val="28"/>
          <w:szCs w:val="28"/>
        </w:rPr>
        <w:t>la</w:t>
      </w:r>
      <w:r w:rsidRPr="003F6A2F">
        <w:rPr>
          <w:rFonts w:ascii="Times New Roman" w:hAnsi="Times New Roman" w:cs="Times New Roman"/>
          <w:i/>
          <w:sz w:val="28"/>
          <w:szCs w:val="28"/>
        </w:rPr>
        <w:t xml:space="preserve"> Raport</w:t>
      </w:r>
      <w:r w:rsidR="00E26C8D">
        <w:rPr>
          <w:rFonts w:ascii="Times New Roman" w:hAnsi="Times New Roman" w:cs="Times New Roman"/>
          <w:i/>
          <w:sz w:val="28"/>
          <w:szCs w:val="28"/>
        </w:rPr>
        <w:t>ul</w:t>
      </w:r>
      <w:r w:rsidRPr="003F6A2F">
        <w:rPr>
          <w:rFonts w:ascii="Times New Roman" w:hAnsi="Times New Roman" w:cs="Times New Roman"/>
          <w:i/>
          <w:sz w:val="28"/>
          <w:szCs w:val="28"/>
        </w:rPr>
        <w:t xml:space="preserve"> de audit.</w:t>
      </w:r>
    </w:p>
    <w:p w:rsidR="00E43F8F" w:rsidRDefault="00E26C8D" w:rsidP="00E43F8F">
      <w:pPr>
        <w:spacing w:after="0" w:line="276" w:lineRule="auto"/>
        <w:ind w:right="-2" w:firstLine="720"/>
        <w:jc w:val="both"/>
        <w:rPr>
          <w:rFonts w:ascii="Times New Roman" w:hAnsi="Times New Roman"/>
          <w:sz w:val="28"/>
          <w:szCs w:val="28"/>
        </w:rPr>
      </w:pPr>
      <w:r>
        <w:rPr>
          <w:rFonts w:ascii="Times New Roman" w:hAnsi="Times New Roman" w:cs="Times New Roman"/>
          <w:sz w:val="28"/>
          <w:szCs w:val="28"/>
        </w:rPr>
        <w:t>D</w:t>
      </w:r>
      <w:r w:rsidR="003F6A2F" w:rsidRPr="003F6A2F">
        <w:rPr>
          <w:rFonts w:ascii="Times New Roman" w:hAnsi="Times New Roman" w:cs="Times New Roman"/>
          <w:sz w:val="28"/>
          <w:szCs w:val="28"/>
        </w:rPr>
        <w:t>atel</w:t>
      </w:r>
      <w:r>
        <w:rPr>
          <w:rFonts w:ascii="Times New Roman" w:hAnsi="Times New Roman" w:cs="Times New Roman"/>
          <w:sz w:val="28"/>
          <w:szCs w:val="28"/>
        </w:rPr>
        <w:t>e</w:t>
      </w:r>
      <w:r w:rsidR="003F6A2F" w:rsidRPr="003F6A2F">
        <w:rPr>
          <w:rFonts w:ascii="Times New Roman" w:hAnsi="Times New Roman" w:cs="Times New Roman"/>
          <w:sz w:val="28"/>
          <w:szCs w:val="28"/>
        </w:rPr>
        <w:t xml:space="preserve">prezentate în </w:t>
      </w:r>
      <w:r w:rsidR="00E10910">
        <w:rPr>
          <w:rFonts w:ascii="Times New Roman" w:hAnsi="Times New Roman" w:cs="Times New Roman"/>
          <w:sz w:val="28"/>
          <w:szCs w:val="28"/>
        </w:rPr>
        <w:t>t</w:t>
      </w:r>
      <w:r w:rsidR="003F6A2F" w:rsidRPr="003F6A2F">
        <w:rPr>
          <w:rFonts w:ascii="Times New Roman" w:hAnsi="Times New Roman" w:cs="Times New Roman"/>
          <w:sz w:val="28"/>
          <w:szCs w:val="28"/>
        </w:rPr>
        <w:t xml:space="preserve">abel </w:t>
      </w:r>
      <w:r w:rsidR="003F6A2F" w:rsidRPr="00975002">
        <w:rPr>
          <w:rFonts w:ascii="Times New Roman" w:hAnsi="Times New Roman" w:cs="Times New Roman"/>
          <w:sz w:val="28"/>
          <w:szCs w:val="28"/>
        </w:rPr>
        <w:t>relevă ne</w:t>
      </w:r>
      <w:r w:rsidR="008B7A4E" w:rsidRPr="00975002">
        <w:rPr>
          <w:rFonts w:ascii="Times New Roman" w:hAnsi="Times New Roman" w:cs="Times New Roman"/>
          <w:sz w:val="28"/>
          <w:szCs w:val="28"/>
        </w:rPr>
        <w:t>încasarea</w:t>
      </w:r>
      <w:r w:rsidR="003F6A2F" w:rsidRPr="00975002">
        <w:rPr>
          <w:rFonts w:ascii="Times New Roman" w:hAnsi="Times New Roman" w:cs="Times New Roman"/>
          <w:sz w:val="28"/>
          <w:szCs w:val="28"/>
        </w:rPr>
        <w:t xml:space="preserve"> de către SV </w:t>
      </w:r>
      <w:r w:rsidR="003F6A2F" w:rsidRPr="00975002">
        <w:rPr>
          <w:rFonts w:ascii="Times New Roman" w:eastAsiaTheme="minorEastAsia" w:hAnsi="Times New Roman" w:cs="Times New Roman"/>
          <w:sz w:val="28"/>
          <w:szCs w:val="28"/>
        </w:rPr>
        <w:t>în an</w:t>
      </w:r>
      <w:r w:rsidR="00E10910" w:rsidRPr="00975002">
        <w:rPr>
          <w:rFonts w:ascii="Times New Roman" w:eastAsiaTheme="minorEastAsia" w:hAnsi="Times New Roman" w:cs="Times New Roman"/>
          <w:sz w:val="28"/>
          <w:szCs w:val="28"/>
        </w:rPr>
        <w:t>ii</w:t>
      </w:r>
      <w:r w:rsidR="003F6A2F" w:rsidRPr="00975002">
        <w:rPr>
          <w:rFonts w:ascii="Times New Roman" w:eastAsiaTheme="minorEastAsia" w:hAnsi="Times New Roman" w:cs="Times New Roman"/>
          <w:sz w:val="28"/>
          <w:szCs w:val="28"/>
        </w:rPr>
        <w:t xml:space="preserve"> 2015 și 2017</w:t>
      </w:r>
      <w:r w:rsidR="00145CD5" w:rsidRPr="00975002">
        <w:rPr>
          <w:rFonts w:ascii="Times New Roman" w:eastAsiaTheme="minorEastAsia" w:hAnsi="Times New Roman" w:cs="Times New Roman"/>
          <w:sz w:val="28"/>
          <w:szCs w:val="28"/>
        </w:rPr>
        <w:t>,</w:t>
      </w:r>
      <w:r w:rsidR="003F6A2F" w:rsidRPr="00975002">
        <w:rPr>
          <w:rFonts w:ascii="Times New Roman" w:eastAsiaTheme="minorEastAsia" w:hAnsi="Times New Roman" w:cs="Times New Roman"/>
          <w:sz w:val="28"/>
          <w:szCs w:val="28"/>
        </w:rPr>
        <w:t xml:space="preserve"> față de nivelul </w:t>
      </w:r>
      <w:r w:rsidR="00456909">
        <w:rPr>
          <w:rFonts w:ascii="Times New Roman" w:eastAsiaTheme="minorEastAsia" w:hAnsi="Times New Roman" w:cs="Times New Roman"/>
          <w:sz w:val="28"/>
          <w:szCs w:val="28"/>
        </w:rPr>
        <w:t>aprobat,</w:t>
      </w:r>
      <w:r w:rsidR="003F6A2F" w:rsidRPr="00975002">
        <w:rPr>
          <w:rFonts w:ascii="Times New Roman" w:eastAsiaTheme="minorEastAsia" w:hAnsi="Times New Roman" w:cs="Times New Roman"/>
          <w:sz w:val="28"/>
          <w:szCs w:val="28"/>
        </w:rPr>
        <w:t xml:space="preserve"> a TVA cu 387,1 mil.lei și</w:t>
      </w:r>
      <w:r w:rsidR="00145CD5" w:rsidRPr="00975002">
        <w:rPr>
          <w:rFonts w:ascii="Times New Roman" w:eastAsiaTheme="minorEastAsia" w:hAnsi="Times New Roman" w:cs="Times New Roman"/>
          <w:sz w:val="28"/>
          <w:szCs w:val="28"/>
        </w:rPr>
        <w:t>,</w:t>
      </w:r>
      <w:r w:rsidR="003F6A2F" w:rsidRPr="00975002">
        <w:rPr>
          <w:rFonts w:ascii="Times New Roman" w:eastAsiaTheme="minorEastAsia" w:hAnsi="Times New Roman" w:cs="Times New Roman"/>
          <w:sz w:val="28"/>
          <w:szCs w:val="28"/>
        </w:rPr>
        <w:t xml:space="preserve"> respectiv</w:t>
      </w:r>
      <w:r w:rsidR="00145CD5" w:rsidRPr="00975002">
        <w:rPr>
          <w:rFonts w:ascii="Times New Roman" w:eastAsiaTheme="minorEastAsia" w:hAnsi="Times New Roman" w:cs="Times New Roman"/>
          <w:sz w:val="28"/>
          <w:szCs w:val="28"/>
        </w:rPr>
        <w:t xml:space="preserve">, cu </w:t>
      </w:r>
      <w:r w:rsidR="003F6A2F" w:rsidRPr="00975002">
        <w:rPr>
          <w:rFonts w:ascii="Times New Roman" w:eastAsiaTheme="minorEastAsia" w:hAnsi="Times New Roman" w:cs="Times New Roman"/>
          <w:sz w:val="28"/>
          <w:szCs w:val="28"/>
        </w:rPr>
        <w:t xml:space="preserve">44,7 mil.lei, iar în anul 2016 </w:t>
      </w:r>
      <w:r w:rsidR="00145CD5" w:rsidRPr="00975002">
        <w:rPr>
          <w:rFonts w:ascii="Times New Roman" w:eastAsiaTheme="minorEastAsia" w:hAnsi="Times New Roman" w:cs="Times New Roman"/>
          <w:sz w:val="28"/>
          <w:szCs w:val="28"/>
        </w:rPr>
        <w:t xml:space="preserve">- </w:t>
      </w:r>
      <w:r w:rsidR="003F6A2F" w:rsidRPr="00975002">
        <w:rPr>
          <w:rFonts w:ascii="Times New Roman" w:eastAsiaTheme="minorEastAsia" w:hAnsi="Times New Roman" w:cs="Times New Roman"/>
          <w:sz w:val="28"/>
          <w:szCs w:val="28"/>
        </w:rPr>
        <w:t xml:space="preserve">a </w:t>
      </w:r>
      <w:r w:rsidR="008B7A4E" w:rsidRPr="00975002">
        <w:rPr>
          <w:rFonts w:ascii="Times New Roman" w:eastAsiaTheme="minorEastAsia" w:hAnsi="Times New Roman" w:cs="Times New Roman"/>
          <w:sz w:val="28"/>
          <w:szCs w:val="28"/>
        </w:rPr>
        <w:t xml:space="preserve">taxei pentru </w:t>
      </w:r>
      <w:r w:rsidR="003F6A2F" w:rsidRPr="00975002">
        <w:rPr>
          <w:rFonts w:ascii="Times New Roman" w:eastAsiaTheme="minorEastAsia" w:hAnsi="Times New Roman" w:cs="Times New Roman"/>
          <w:sz w:val="28"/>
          <w:szCs w:val="28"/>
        </w:rPr>
        <w:t>viniet</w:t>
      </w:r>
      <w:r w:rsidR="008B7A4E" w:rsidRPr="00975002">
        <w:rPr>
          <w:rFonts w:ascii="Times New Roman" w:eastAsiaTheme="minorEastAsia" w:hAnsi="Times New Roman" w:cs="Times New Roman"/>
          <w:sz w:val="28"/>
          <w:szCs w:val="28"/>
        </w:rPr>
        <w:t>ă</w:t>
      </w:r>
      <w:r w:rsidR="003F6A2F" w:rsidRPr="00975002">
        <w:rPr>
          <w:rFonts w:ascii="Times New Roman" w:eastAsiaTheme="minorEastAsia" w:hAnsi="Times New Roman" w:cs="Times New Roman"/>
          <w:sz w:val="28"/>
          <w:szCs w:val="28"/>
        </w:rPr>
        <w:t xml:space="preserve"> cu 3,7 mil.lei. </w:t>
      </w:r>
      <w:r w:rsidR="003F6A2F" w:rsidRPr="00975002">
        <w:rPr>
          <w:rFonts w:ascii="Times New Roman" w:hAnsi="Times New Roman"/>
          <w:sz w:val="28"/>
          <w:szCs w:val="28"/>
        </w:rPr>
        <w:t>Potrivit motivației persoanelor responsabile din cadrul SV, unul din</w:t>
      </w:r>
      <w:r w:rsidR="00145CD5" w:rsidRPr="00975002">
        <w:rPr>
          <w:rFonts w:ascii="Times New Roman" w:hAnsi="Times New Roman"/>
          <w:sz w:val="28"/>
          <w:szCs w:val="28"/>
        </w:rPr>
        <w:t>tre</w:t>
      </w:r>
      <w:r w:rsidR="003F6A2F" w:rsidRPr="00975002">
        <w:rPr>
          <w:rFonts w:ascii="Times New Roman" w:hAnsi="Times New Roman"/>
          <w:sz w:val="28"/>
          <w:szCs w:val="28"/>
        </w:rPr>
        <w:t xml:space="preserve"> principalii factori care au dus la neexecutarea sarcinii stabilite </w:t>
      </w:r>
      <w:r w:rsidR="0019026C" w:rsidRPr="00975002">
        <w:rPr>
          <w:rFonts w:ascii="Times New Roman" w:hAnsi="Times New Roman"/>
          <w:sz w:val="28"/>
          <w:szCs w:val="28"/>
        </w:rPr>
        <w:t>privind</w:t>
      </w:r>
      <w:r w:rsidR="003F6A2F" w:rsidRPr="00975002">
        <w:rPr>
          <w:rFonts w:ascii="Times New Roman" w:hAnsi="Times New Roman"/>
          <w:sz w:val="28"/>
          <w:szCs w:val="28"/>
        </w:rPr>
        <w:t xml:space="preserve"> TVA a fost adoptarea Legii nr.50 din </w:t>
      </w:r>
      <w:r w:rsidR="003F6A2F" w:rsidRPr="00975002">
        <w:rPr>
          <w:rFonts w:ascii="Times New Roman" w:hAnsi="Times New Roman"/>
          <w:sz w:val="28"/>
          <w:szCs w:val="28"/>
        </w:rPr>
        <w:lastRenderedPageBreak/>
        <w:t>03.04.2015</w:t>
      </w:r>
      <w:r w:rsidR="001F529E">
        <w:rPr>
          <w:rStyle w:val="FootnoteReference"/>
          <w:rFonts w:ascii="Times New Roman" w:hAnsi="Times New Roman"/>
          <w:sz w:val="28"/>
          <w:szCs w:val="28"/>
        </w:rPr>
        <w:footnoteReference w:id="14"/>
      </w:r>
      <w:r w:rsidR="00E43F8F">
        <w:rPr>
          <w:rFonts w:ascii="Times New Roman" w:hAnsi="Times New Roman"/>
          <w:sz w:val="28"/>
          <w:szCs w:val="28"/>
        </w:rPr>
        <w:t xml:space="preserve">, </w:t>
      </w:r>
      <w:r w:rsidR="003F6A2F" w:rsidRPr="00975002">
        <w:rPr>
          <w:rFonts w:ascii="Times New Roman" w:hAnsi="Times New Roman"/>
          <w:sz w:val="28"/>
          <w:szCs w:val="28"/>
        </w:rPr>
        <w:t>care p</w:t>
      </w:r>
      <w:r w:rsidR="00E43F8F">
        <w:rPr>
          <w:rFonts w:ascii="Times New Roman" w:hAnsi="Times New Roman"/>
          <w:sz w:val="28"/>
          <w:szCs w:val="28"/>
        </w:rPr>
        <w:t>revede</w:t>
      </w:r>
      <w:r w:rsidR="003F6A2F" w:rsidRPr="00975002">
        <w:rPr>
          <w:rFonts w:ascii="Times New Roman" w:hAnsi="Times New Roman"/>
          <w:sz w:val="28"/>
          <w:szCs w:val="28"/>
        </w:rPr>
        <w:t xml:space="preserve"> aplicarea cotei reduse a TVA în mărime de 8% la importul producției din fitotehnie și ho</w:t>
      </w:r>
      <w:r w:rsidR="0019026C" w:rsidRPr="00975002">
        <w:rPr>
          <w:rFonts w:ascii="Times New Roman" w:hAnsi="Times New Roman"/>
          <w:sz w:val="28"/>
          <w:szCs w:val="28"/>
        </w:rPr>
        <w:t>rti</w:t>
      </w:r>
      <w:r w:rsidR="003F6A2F" w:rsidRPr="00975002">
        <w:rPr>
          <w:rFonts w:ascii="Times New Roman" w:hAnsi="Times New Roman"/>
          <w:sz w:val="28"/>
          <w:szCs w:val="28"/>
        </w:rPr>
        <w:t xml:space="preserve">cultură. </w:t>
      </w:r>
      <w:r w:rsidR="00E43F8F">
        <w:rPr>
          <w:rFonts w:ascii="Times New Roman" w:hAnsi="Times New Roman"/>
          <w:sz w:val="28"/>
          <w:szCs w:val="28"/>
        </w:rPr>
        <w:t>De asemenea</w:t>
      </w:r>
      <w:r w:rsidR="003F6A2F" w:rsidRPr="001D0846">
        <w:rPr>
          <w:rFonts w:ascii="Times New Roman" w:hAnsi="Times New Roman"/>
          <w:sz w:val="28"/>
          <w:szCs w:val="28"/>
        </w:rPr>
        <w:t xml:space="preserve">, neîndeplinirea sarcinii bugetare la capitolul TVA a </w:t>
      </w:r>
      <w:r w:rsidR="0019026C">
        <w:rPr>
          <w:rFonts w:ascii="Times New Roman" w:hAnsi="Times New Roman"/>
          <w:sz w:val="28"/>
          <w:szCs w:val="28"/>
        </w:rPr>
        <w:t xml:space="preserve">fost </w:t>
      </w:r>
      <w:r w:rsidR="003F6A2F" w:rsidRPr="001D0846">
        <w:rPr>
          <w:rFonts w:ascii="Times New Roman" w:hAnsi="Times New Roman"/>
          <w:sz w:val="28"/>
          <w:szCs w:val="28"/>
        </w:rPr>
        <w:t>influențat</w:t>
      </w:r>
      <w:r w:rsidR="0019026C">
        <w:rPr>
          <w:rFonts w:ascii="Times New Roman" w:hAnsi="Times New Roman"/>
          <w:sz w:val="28"/>
          <w:szCs w:val="28"/>
        </w:rPr>
        <w:t xml:space="preserve">ă </w:t>
      </w:r>
      <w:r w:rsidR="00E43F8F">
        <w:rPr>
          <w:rFonts w:ascii="Times New Roman" w:hAnsi="Times New Roman"/>
          <w:sz w:val="28"/>
          <w:szCs w:val="28"/>
        </w:rPr>
        <w:t>de prevederile Acordului de Asociere</w:t>
      </w:r>
      <w:r w:rsidR="00E43F8F">
        <w:rPr>
          <w:rStyle w:val="FootnoteReference"/>
          <w:rFonts w:ascii="Times New Roman" w:hAnsi="Times New Roman"/>
          <w:sz w:val="28"/>
          <w:szCs w:val="28"/>
        </w:rPr>
        <w:footnoteReference w:id="15"/>
      </w:r>
      <w:r w:rsidR="00E43F8F">
        <w:rPr>
          <w:rFonts w:ascii="Times New Roman" w:hAnsi="Times New Roman"/>
          <w:sz w:val="28"/>
          <w:szCs w:val="28"/>
        </w:rPr>
        <w:t xml:space="preserve"> cât și a facilităților acordate la import conform prevederilor CF</w:t>
      </w:r>
      <w:r w:rsidR="00E43F8F" w:rsidRPr="001D0846">
        <w:rPr>
          <w:rFonts w:ascii="Times New Roman" w:hAnsi="Times New Roman"/>
          <w:sz w:val="28"/>
          <w:szCs w:val="28"/>
        </w:rPr>
        <w:t xml:space="preserve"> (art.103 și art.104).</w:t>
      </w:r>
    </w:p>
    <w:p w:rsidR="00322B0F" w:rsidRPr="00322B0F" w:rsidRDefault="00322B0F" w:rsidP="00322B0F">
      <w:pPr>
        <w:spacing w:after="0" w:line="276" w:lineRule="auto"/>
        <w:ind w:firstLine="720"/>
        <w:jc w:val="both"/>
        <w:rPr>
          <w:rFonts w:ascii="Times New Roman" w:hAnsi="Times New Roman" w:cs="Times New Roman"/>
          <w:sz w:val="28"/>
          <w:szCs w:val="28"/>
        </w:rPr>
      </w:pPr>
      <w:r w:rsidRPr="00322B0F">
        <w:rPr>
          <w:rFonts w:ascii="Times New Roman" w:hAnsi="Times New Roman" w:cs="Times New Roman"/>
          <w:sz w:val="28"/>
          <w:szCs w:val="28"/>
        </w:rPr>
        <w:t>Î</w:t>
      </w:r>
      <w:r w:rsidR="008C1007" w:rsidRPr="00322B0F">
        <w:rPr>
          <w:rFonts w:ascii="Times New Roman" w:hAnsi="Times New Roman" w:cs="Times New Roman"/>
          <w:sz w:val="28"/>
          <w:szCs w:val="28"/>
        </w:rPr>
        <w:t xml:space="preserve">n totalul veniturilor colectate de SV </w:t>
      </w:r>
      <w:r w:rsidR="0095154E">
        <w:rPr>
          <w:rFonts w:ascii="Times New Roman" w:hAnsi="Times New Roman" w:cs="Times New Roman"/>
          <w:sz w:val="28"/>
          <w:szCs w:val="28"/>
        </w:rPr>
        <w:t>la</w:t>
      </w:r>
      <w:r w:rsidR="008C1007" w:rsidRPr="00322B0F">
        <w:rPr>
          <w:rFonts w:ascii="Times New Roman" w:hAnsi="Times New Roman" w:cs="Times New Roman"/>
          <w:sz w:val="28"/>
          <w:szCs w:val="28"/>
        </w:rPr>
        <w:t xml:space="preserve"> BS în anul 2017, ponderea majoră o d</w:t>
      </w:r>
      <w:r w:rsidRPr="00322B0F">
        <w:rPr>
          <w:rFonts w:ascii="Times New Roman" w:hAnsi="Times New Roman" w:cs="Times New Roman"/>
          <w:sz w:val="28"/>
          <w:szCs w:val="28"/>
        </w:rPr>
        <w:t>ețin încasările de la TVA – 64,7</w:t>
      </w:r>
      <w:r w:rsidR="008C1007" w:rsidRPr="00322B0F">
        <w:rPr>
          <w:rFonts w:ascii="Times New Roman" w:hAnsi="Times New Roman" w:cs="Times New Roman"/>
          <w:sz w:val="28"/>
          <w:szCs w:val="28"/>
        </w:rPr>
        <w:t>%, urmat</w:t>
      </w:r>
      <w:r w:rsidR="0095154E">
        <w:rPr>
          <w:rFonts w:ascii="Times New Roman" w:hAnsi="Times New Roman" w:cs="Times New Roman"/>
          <w:sz w:val="28"/>
          <w:szCs w:val="28"/>
        </w:rPr>
        <w:t>e</w:t>
      </w:r>
      <w:r w:rsidR="008C1007" w:rsidRPr="00322B0F">
        <w:rPr>
          <w:rFonts w:ascii="Times New Roman" w:hAnsi="Times New Roman" w:cs="Times New Roman"/>
          <w:sz w:val="28"/>
          <w:szCs w:val="28"/>
        </w:rPr>
        <w:t xml:space="preserve"> de accize – 2</w:t>
      </w:r>
      <w:r w:rsidRPr="00322B0F">
        <w:rPr>
          <w:rFonts w:ascii="Times New Roman" w:hAnsi="Times New Roman" w:cs="Times New Roman"/>
          <w:sz w:val="28"/>
          <w:szCs w:val="28"/>
        </w:rPr>
        <w:t>7,5%</w:t>
      </w:r>
      <w:r w:rsidR="008C1007" w:rsidRPr="00322B0F">
        <w:rPr>
          <w:rFonts w:ascii="Times New Roman" w:hAnsi="Times New Roman" w:cs="Times New Roman"/>
          <w:sz w:val="28"/>
          <w:szCs w:val="28"/>
        </w:rPr>
        <w:t>, taxe și proceduri vamale – 7,5%</w:t>
      </w:r>
      <w:r w:rsidR="0095154E">
        <w:rPr>
          <w:rFonts w:ascii="Times New Roman" w:hAnsi="Times New Roman" w:cs="Times New Roman"/>
          <w:sz w:val="28"/>
          <w:szCs w:val="28"/>
        </w:rPr>
        <w:t>,</w:t>
      </w:r>
      <w:r w:rsidR="008C1007" w:rsidRPr="00322B0F">
        <w:rPr>
          <w:rFonts w:ascii="Times New Roman" w:hAnsi="Times New Roman" w:cs="Times New Roman"/>
          <w:sz w:val="28"/>
          <w:szCs w:val="28"/>
        </w:rPr>
        <w:t>şi alte venituri administrate – 0,1%. Analiza efectuată de audit relevă că</w:t>
      </w:r>
      <w:r w:rsidR="0095154E">
        <w:rPr>
          <w:rFonts w:ascii="Times New Roman" w:hAnsi="Times New Roman" w:cs="Times New Roman"/>
          <w:sz w:val="28"/>
          <w:szCs w:val="28"/>
        </w:rPr>
        <w:t>,</w:t>
      </w:r>
      <w:r w:rsidR="008C1007" w:rsidRPr="00322B0F">
        <w:rPr>
          <w:rFonts w:ascii="Times New Roman" w:hAnsi="Times New Roman" w:cs="Times New Roman"/>
          <w:sz w:val="28"/>
          <w:szCs w:val="28"/>
        </w:rPr>
        <w:t xml:space="preserve"> deși volumul încasărilor de la TVA în perioada </w:t>
      </w:r>
      <w:r w:rsidR="0095154E">
        <w:rPr>
          <w:rFonts w:ascii="Times New Roman" w:hAnsi="Times New Roman" w:cs="Times New Roman"/>
          <w:sz w:val="28"/>
          <w:szCs w:val="28"/>
        </w:rPr>
        <w:t xml:space="preserve">anilor </w:t>
      </w:r>
      <w:r w:rsidR="008C1007" w:rsidRPr="00322B0F">
        <w:rPr>
          <w:rFonts w:ascii="Times New Roman" w:hAnsi="Times New Roman" w:cs="Times New Roman"/>
          <w:sz w:val="28"/>
          <w:szCs w:val="28"/>
        </w:rPr>
        <w:t>2015-2017 este în creștere, în totalul veniturilor acumulate în perioadele respective</w:t>
      </w:r>
      <w:r w:rsidR="0095154E">
        <w:rPr>
          <w:rFonts w:ascii="Times New Roman" w:hAnsi="Times New Roman" w:cs="Times New Roman"/>
          <w:sz w:val="28"/>
          <w:szCs w:val="28"/>
        </w:rPr>
        <w:t>,</w:t>
      </w:r>
      <w:r w:rsidR="008C1007" w:rsidRPr="00322B0F">
        <w:rPr>
          <w:rFonts w:ascii="Times New Roman" w:hAnsi="Times New Roman" w:cs="Times New Roman"/>
          <w:sz w:val="28"/>
          <w:szCs w:val="28"/>
        </w:rPr>
        <w:t xml:space="preserve"> ponderea TVA este în descreștere. Astfel, în </w:t>
      </w:r>
      <w:r w:rsidR="00134DFB">
        <w:rPr>
          <w:rFonts w:ascii="Times New Roman" w:hAnsi="Times New Roman" w:cs="Times New Roman"/>
          <w:sz w:val="28"/>
          <w:szCs w:val="28"/>
        </w:rPr>
        <w:t>anul</w:t>
      </w:r>
      <w:r w:rsidR="008C1007" w:rsidRPr="00322B0F">
        <w:rPr>
          <w:rFonts w:ascii="Times New Roman" w:hAnsi="Times New Roman" w:cs="Times New Roman"/>
          <w:sz w:val="28"/>
          <w:szCs w:val="28"/>
        </w:rPr>
        <w:t xml:space="preserve"> 2017 ponderea TVA s-a micșorat cu 2,7% față de anul 2016 și cu 4,9 % </w:t>
      </w:r>
      <w:r w:rsidR="00134DFB">
        <w:rPr>
          <w:rFonts w:ascii="Times New Roman" w:hAnsi="Times New Roman" w:cs="Times New Roman"/>
          <w:sz w:val="28"/>
          <w:szCs w:val="28"/>
        </w:rPr>
        <w:t xml:space="preserve">- </w:t>
      </w:r>
      <w:r w:rsidR="008C1007" w:rsidRPr="00322B0F">
        <w:rPr>
          <w:rFonts w:ascii="Times New Roman" w:hAnsi="Times New Roman" w:cs="Times New Roman"/>
          <w:sz w:val="28"/>
          <w:szCs w:val="28"/>
        </w:rPr>
        <w:t xml:space="preserve">față de anul 2015. O situație inversă se constată în cazul accizelor, </w:t>
      </w:r>
      <w:r w:rsidR="00134DFB" w:rsidRPr="00322B0F">
        <w:rPr>
          <w:rFonts w:ascii="Times New Roman" w:hAnsi="Times New Roman" w:cs="Times New Roman"/>
          <w:sz w:val="28"/>
          <w:szCs w:val="28"/>
        </w:rPr>
        <w:t xml:space="preserve">a căror </w:t>
      </w:r>
      <w:r w:rsidR="008C1007" w:rsidRPr="00322B0F">
        <w:rPr>
          <w:rFonts w:ascii="Times New Roman" w:hAnsi="Times New Roman" w:cs="Times New Roman"/>
          <w:sz w:val="28"/>
          <w:szCs w:val="28"/>
        </w:rPr>
        <w:t xml:space="preserve">pondereîn anul 2017 a crescut față de </w:t>
      </w:r>
      <w:r w:rsidR="00134DFB">
        <w:rPr>
          <w:rFonts w:ascii="Times New Roman" w:hAnsi="Times New Roman" w:cs="Times New Roman"/>
          <w:sz w:val="28"/>
          <w:szCs w:val="28"/>
        </w:rPr>
        <w:t>anii</w:t>
      </w:r>
      <w:r w:rsidR="008C1007" w:rsidRPr="00322B0F">
        <w:rPr>
          <w:rFonts w:ascii="Times New Roman" w:hAnsi="Times New Roman" w:cs="Times New Roman"/>
          <w:sz w:val="28"/>
          <w:szCs w:val="28"/>
        </w:rPr>
        <w:t xml:space="preserve"> 2015</w:t>
      </w:r>
      <w:r w:rsidR="00134DFB">
        <w:rPr>
          <w:rFonts w:ascii="Times New Roman" w:hAnsi="Times New Roman" w:cs="Times New Roman"/>
          <w:sz w:val="28"/>
          <w:szCs w:val="28"/>
        </w:rPr>
        <w:t xml:space="preserve"> și </w:t>
      </w:r>
      <w:r w:rsidR="008C1007" w:rsidRPr="00322B0F">
        <w:rPr>
          <w:rFonts w:ascii="Times New Roman" w:hAnsi="Times New Roman" w:cs="Times New Roman"/>
          <w:sz w:val="28"/>
          <w:szCs w:val="28"/>
        </w:rPr>
        <w:t>2016 cu 5,5 % și</w:t>
      </w:r>
      <w:r w:rsidR="00134DFB">
        <w:rPr>
          <w:rFonts w:ascii="Times New Roman" w:hAnsi="Times New Roman" w:cs="Times New Roman"/>
          <w:sz w:val="28"/>
          <w:szCs w:val="28"/>
        </w:rPr>
        <w:t>,</w:t>
      </w:r>
      <w:r w:rsidR="008C1007" w:rsidRPr="00322B0F">
        <w:rPr>
          <w:rFonts w:ascii="Times New Roman" w:hAnsi="Times New Roman" w:cs="Times New Roman"/>
          <w:sz w:val="28"/>
          <w:szCs w:val="28"/>
        </w:rPr>
        <w:t xml:space="preserve"> respectiv</w:t>
      </w:r>
      <w:r w:rsidR="00134DFB">
        <w:rPr>
          <w:rFonts w:ascii="Times New Roman" w:hAnsi="Times New Roman" w:cs="Times New Roman"/>
          <w:sz w:val="28"/>
          <w:szCs w:val="28"/>
        </w:rPr>
        <w:t>, cu</w:t>
      </w:r>
      <w:r w:rsidR="008C1007" w:rsidRPr="00322B0F">
        <w:rPr>
          <w:rFonts w:ascii="Times New Roman" w:hAnsi="Times New Roman" w:cs="Times New Roman"/>
          <w:sz w:val="28"/>
          <w:szCs w:val="28"/>
        </w:rPr>
        <w:t xml:space="preserve"> 3,5 %.</w:t>
      </w:r>
      <w:r w:rsidRPr="00322B0F">
        <w:rPr>
          <w:rFonts w:ascii="Times New Roman" w:hAnsi="Times New Roman" w:cs="Times New Roman"/>
          <w:i/>
          <w:sz w:val="28"/>
          <w:szCs w:val="28"/>
        </w:rPr>
        <w:t xml:space="preserve">Analiza structurii veniturilor la BS administrate de către organele vamale pentru perioada </w:t>
      </w:r>
      <w:r w:rsidR="00134DFB">
        <w:rPr>
          <w:rFonts w:ascii="Times New Roman" w:hAnsi="Times New Roman" w:cs="Times New Roman"/>
          <w:i/>
          <w:sz w:val="28"/>
          <w:szCs w:val="28"/>
        </w:rPr>
        <w:t xml:space="preserve">anilor </w:t>
      </w:r>
      <w:r w:rsidRPr="00322B0F">
        <w:rPr>
          <w:rFonts w:ascii="Times New Roman" w:hAnsi="Times New Roman" w:cs="Times New Roman"/>
          <w:i/>
          <w:sz w:val="28"/>
          <w:szCs w:val="28"/>
        </w:rPr>
        <w:t xml:space="preserve">2015-2017 </w:t>
      </w:r>
      <w:r w:rsidR="00134DFB">
        <w:rPr>
          <w:rFonts w:ascii="Times New Roman" w:hAnsi="Times New Roman" w:cs="Times New Roman"/>
          <w:i/>
          <w:sz w:val="28"/>
          <w:szCs w:val="28"/>
        </w:rPr>
        <w:t>este</w:t>
      </w:r>
      <w:r w:rsidRPr="00322B0F">
        <w:rPr>
          <w:rFonts w:ascii="Times New Roman" w:hAnsi="Times New Roman" w:cs="Times New Roman"/>
          <w:i/>
          <w:sz w:val="28"/>
          <w:szCs w:val="28"/>
        </w:rPr>
        <w:t xml:space="preserve"> prez</w:t>
      </w:r>
      <w:r w:rsidR="00134DFB">
        <w:rPr>
          <w:rFonts w:ascii="Times New Roman" w:hAnsi="Times New Roman" w:cs="Times New Roman"/>
          <w:i/>
          <w:sz w:val="28"/>
          <w:szCs w:val="28"/>
        </w:rPr>
        <w:t>enta</w:t>
      </w:r>
      <w:r w:rsidRPr="00322B0F">
        <w:rPr>
          <w:rFonts w:ascii="Times New Roman" w:hAnsi="Times New Roman" w:cs="Times New Roman"/>
          <w:i/>
          <w:sz w:val="28"/>
          <w:szCs w:val="28"/>
        </w:rPr>
        <w:t xml:space="preserve">tă în Diagrama </w:t>
      </w:r>
      <w:r>
        <w:rPr>
          <w:rFonts w:ascii="Times New Roman" w:hAnsi="Times New Roman" w:cs="Times New Roman"/>
          <w:i/>
          <w:sz w:val="28"/>
          <w:szCs w:val="28"/>
        </w:rPr>
        <w:t>nr.9</w:t>
      </w:r>
      <w:r w:rsidRPr="00322B0F">
        <w:rPr>
          <w:rFonts w:ascii="Times New Roman" w:hAnsi="Times New Roman" w:cs="Times New Roman"/>
          <w:i/>
          <w:sz w:val="28"/>
          <w:szCs w:val="28"/>
        </w:rPr>
        <w:t xml:space="preserve"> din Anexa nr.4 la Raport</w:t>
      </w:r>
      <w:r w:rsidR="00134DFB">
        <w:rPr>
          <w:rFonts w:ascii="Times New Roman" w:hAnsi="Times New Roman" w:cs="Times New Roman"/>
          <w:i/>
          <w:sz w:val="28"/>
          <w:szCs w:val="28"/>
        </w:rPr>
        <w:t>ul</w:t>
      </w:r>
      <w:r w:rsidRPr="00322B0F">
        <w:rPr>
          <w:rFonts w:ascii="Times New Roman" w:hAnsi="Times New Roman" w:cs="Times New Roman"/>
          <w:i/>
          <w:sz w:val="28"/>
          <w:szCs w:val="28"/>
        </w:rPr>
        <w:t xml:space="preserve"> de audit.</w:t>
      </w:r>
    </w:p>
    <w:p w:rsidR="00322B0F" w:rsidRDefault="00322B0F" w:rsidP="00322B0F">
      <w:pPr>
        <w:pStyle w:val="Heading1"/>
        <w:spacing w:before="0" w:line="276" w:lineRule="auto"/>
        <w:jc w:val="both"/>
        <w:rPr>
          <w:rFonts w:ascii="Times New Roman" w:hAnsi="Times New Roman" w:cs="Times New Roman"/>
          <w:b/>
          <w:color w:val="auto"/>
          <w:sz w:val="28"/>
          <w:szCs w:val="28"/>
        </w:rPr>
      </w:pPr>
    </w:p>
    <w:p w:rsidR="00B319DD" w:rsidRPr="00C77119" w:rsidRDefault="00BB34DC" w:rsidP="003C4B9E">
      <w:pPr>
        <w:pStyle w:val="Heading1"/>
        <w:spacing w:before="0" w:line="276" w:lineRule="auto"/>
        <w:jc w:val="both"/>
        <w:rPr>
          <w:rFonts w:ascii="Times New Roman" w:hAnsi="Times New Roman" w:cs="Times New Roman"/>
          <w:b/>
          <w:color w:val="auto"/>
          <w:sz w:val="28"/>
          <w:szCs w:val="28"/>
        </w:rPr>
      </w:pPr>
      <w:bookmarkStart w:id="12" w:name="_Toc515894890"/>
      <w:r w:rsidRPr="00C77119">
        <w:rPr>
          <w:rFonts w:ascii="Times New Roman" w:hAnsi="Times New Roman" w:cs="Times New Roman"/>
          <w:b/>
          <w:color w:val="auto"/>
          <w:sz w:val="28"/>
          <w:szCs w:val="28"/>
        </w:rPr>
        <w:t>3</w:t>
      </w:r>
      <w:r w:rsidR="00C947DA" w:rsidRPr="00C77119">
        <w:rPr>
          <w:rFonts w:ascii="Times New Roman" w:hAnsi="Times New Roman" w:cs="Times New Roman"/>
          <w:b/>
          <w:color w:val="auto"/>
          <w:sz w:val="28"/>
          <w:szCs w:val="28"/>
        </w:rPr>
        <w:t>.4</w:t>
      </w:r>
      <w:r w:rsidR="00AE1F37" w:rsidRPr="00C77119">
        <w:rPr>
          <w:rFonts w:ascii="Times New Roman" w:hAnsi="Times New Roman" w:cs="Times New Roman"/>
          <w:b/>
          <w:color w:val="auto"/>
          <w:sz w:val="28"/>
          <w:szCs w:val="28"/>
        </w:rPr>
        <w:t xml:space="preserve">. </w:t>
      </w:r>
      <w:r w:rsidR="007B1415" w:rsidRPr="00C77119">
        <w:rPr>
          <w:rFonts w:ascii="Times New Roman" w:hAnsi="Times New Roman" w:cs="Times New Roman"/>
          <w:b/>
          <w:color w:val="auto"/>
          <w:sz w:val="28"/>
          <w:szCs w:val="28"/>
        </w:rPr>
        <w:t xml:space="preserve">Realizarea performanțelor </w:t>
      </w:r>
      <w:r w:rsidR="005477BB" w:rsidRPr="00C77119">
        <w:rPr>
          <w:rFonts w:ascii="Times New Roman" w:hAnsi="Times New Roman" w:cs="Times New Roman"/>
          <w:b/>
          <w:color w:val="auto"/>
          <w:sz w:val="28"/>
          <w:szCs w:val="28"/>
        </w:rPr>
        <w:t>în administrarea fiscală și vamală și dinamica</w:t>
      </w:r>
      <w:r w:rsidR="00BC3DD4" w:rsidRPr="00C77119">
        <w:rPr>
          <w:rFonts w:ascii="Times New Roman" w:hAnsi="Times New Roman" w:cs="Times New Roman"/>
          <w:b/>
          <w:color w:val="auto"/>
          <w:sz w:val="28"/>
          <w:szCs w:val="28"/>
        </w:rPr>
        <w:t xml:space="preserve"> costurilor </w:t>
      </w:r>
      <w:r w:rsidR="00B319DD" w:rsidRPr="00C77119">
        <w:rPr>
          <w:rFonts w:ascii="Times New Roman" w:hAnsi="Times New Roman" w:cs="Times New Roman"/>
          <w:b/>
          <w:color w:val="auto"/>
          <w:sz w:val="28"/>
          <w:szCs w:val="28"/>
        </w:rPr>
        <w:t>aferente</w:t>
      </w:r>
      <w:r w:rsidR="00812D86" w:rsidRPr="00C77119">
        <w:rPr>
          <w:rFonts w:ascii="Times New Roman" w:hAnsi="Times New Roman" w:cs="Times New Roman"/>
          <w:b/>
          <w:color w:val="auto"/>
          <w:sz w:val="28"/>
          <w:szCs w:val="28"/>
        </w:rPr>
        <w:t>.</w:t>
      </w:r>
      <w:bookmarkEnd w:id="12"/>
    </w:p>
    <w:p w:rsidR="00AE1F37" w:rsidRDefault="00AE1F37" w:rsidP="00322B0F">
      <w:pPr>
        <w:spacing w:after="0" w:line="276" w:lineRule="auto"/>
        <w:ind w:right="-2" w:firstLine="720"/>
        <w:jc w:val="both"/>
        <w:rPr>
          <w:rFonts w:ascii="Times New Roman" w:hAnsi="Times New Roman" w:cs="Times New Roman"/>
          <w:sz w:val="28"/>
          <w:szCs w:val="28"/>
        </w:rPr>
      </w:pPr>
      <w:r w:rsidRPr="001D0846">
        <w:rPr>
          <w:rFonts w:ascii="Times New Roman" w:hAnsi="Times New Roman" w:cs="Times New Roman"/>
          <w:i/>
          <w:sz w:val="28"/>
          <w:szCs w:val="28"/>
        </w:rPr>
        <w:t>Realizarea obiectivelor strategice în administrarea impozitelor și taxelor, prin atingerea performanțelor într-un mod mai eficient din punct</w:t>
      </w:r>
      <w:r w:rsidR="000A3203">
        <w:rPr>
          <w:rFonts w:ascii="Times New Roman" w:hAnsi="Times New Roman" w:cs="Times New Roman"/>
          <w:i/>
          <w:sz w:val="28"/>
          <w:szCs w:val="28"/>
        </w:rPr>
        <w:t>ul</w:t>
      </w:r>
      <w:r w:rsidRPr="001D0846">
        <w:rPr>
          <w:rFonts w:ascii="Times New Roman" w:hAnsi="Times New Roman" w:cs="Times New Roman"/>
          <w:i/>
          <w:sz w:val="28"/>
          <w:szCs w:val="28"/>
        </w:rPr>
        <w:t xml:space="preserve"> de vedere al costurilor</w:t>
      </w:r>
      <w:r w:rsidR="000A3203">
        <w:rPr>
          <w:rFonts w:ascii="Times New Roman" w:hAnsi="Times New Roman" w:cs="Times New Roman"/>
          <w:i/>
          <w:sz w:val="28"/>
          <w:szCs w:val="28"/>
        </w:rPr>
        <w:t>,</w:t>
      </w:r>
      <w:r w:rsidRPr="001D0846">
        <w:rPr>
          <w:rFonts w:ascii="Times New Roman" w:hAnsi="Times New Roman" w:cs="Times New Roman"/>
          <w:i/>
          <w:sz w:val="28"/>
          <w:szCs w:val="28"/>
        </w:rPr>
        <w:t xml:space="preserve"> reprezintă o prioritate în activitatea de colectare a veniturilor fiscale și vamale. Deși SFS și SV a</w:t>
      </w:r>
      <w:r w:rsidR="000A3203">
        <w:rPr>
          <w:rFonts w:ascii="Times New Roman" w:hAnsi="Times New Roman" w:cs="Times New Roman"/>
          <w:i/>
          <w:sz w:val="28"/>
          <w:szCs w:val="28"/>
        </w:rPr>
        <w:t>u</w:t>
      </w:r>
      <w:r w:rsidRPr="001D0846">
        <w:rPr>
          <w:rFonts w:ascii="Times New Roman" w:hAnsi="Times New Roman" w:cs="Times New Roman"/>
          <w:i/>
          <w:sz w:val="28"/>
          <w:szCs w:val="28"/>
        </w:rPr>
        <w:t xml:space="preserve"> depus</w:t>
      </w:r>
      <w:r w:rsidR="00825106" w:rsidRPr="001D0846">
        <w:rPr>
          <w:rFonts w:ascii="Times New Roman" w:hAnsi="Times New Roman" w:cs="Times New Roman"/>
          <w:i/>
          <w:sz w:val="28"/>
          <w:szCs w:val="28"/>
        </w:rPr>
        <w:t xml:space="preserve"> eforturi </w:t>
      </w:r>
      <w:r w:rsidR="000A3203">
        <w:rPr>
          <w:rFonts w:ascii="Times New Roman" w:hAnsi="Times New Roman" w:cs="Times New Roman"/>
          <w:i/>
          <w:sz w:val="28"/>
          <w:szCs w:val="28"/>
        </w:rPr>
        <w:t>pentru</w:t>
      </w:r>
      <w:r w:rsidR="00825106" w:rsidRPr="001D0846">
        <w:rPr>
          <w:rFonts w:ascii="Times New Roman" w:hAnsi="Times New Roman" w:cs="Times New Roman"/>
          <w:i/>
          <w:sz w:val="28"/>
          <w:szCs w:val="28"/>
        </w:rPr>
        <w:t xml:space="preserve"> a asigura eficiență</w:t>
      </w:r>
      <w:r w:rsidRPr="001D0846">
        <w:rPr>
          <w:rFonts w:ascii="Times New Roman" w:hAnsi="Times New Roman" w:cs="Times New Roman"/>
          <w:i/>
          <w:sz w:val="28"/>
          <w:szCs w:val="28"/>
        </w:rPr>
        <w:t xml:space="preserve"> maximă în colectarea veniturilor la costuri minime, auditul denotă că resursele utilizate pentru atingerea</w:t>
      </w:r>
      <w:r w:rsidR="00462050" w:rsidRPr="001D0846">
        <w:rPr>
          <w:rFonts w:ascii="Times New Roman" w:hAnsi="Times New Roman" w:cs="Times New Roman"/>
          <w:i/>
          <w:sz w:val="28"/>
          <w:szCs w:val="28"/>
        </w:rPr>
        <w:t xml:space="preserve"> obiectivelor sunt în creștere. </w:t>
      </w:r>
      <w:r w:rsidRPr="001D0846">
        <w:rPr>
          <w:rFonts w:ascii="Times New Roman" w:hAnsi="Times New Roman" w:cs="Times New Roman"/>
          <w:i/>
          <w:sz w:val="28"/>
          <w:szCs w:val="28"/>
        </w:rPr>
        <w:t>Cele menționate sunt cauzate</w:t>
      </w:r>
      <w:r w:rsidR="000A3203">
        <w:rPr>
          <w:rFonts w:ascii="Times New Roman" w:hAnsi="Times New Roman" w:cs="Times New Roman"/>
          <w:i/>
          <w:sz w:val="28"/>
          <w:szCs w:val="28"/>
        </w:rPr>
        <w:t>,</w:t>
      </w:r>
      <w:r w:rsidRPr="001D0846">
        <w:rPr>
          <w:rFonts w:ascii="Times New Roman" w:hAnsi="Times New Roman" w:cs="Times New Roman"/>
          <w:i/>
          <w:sz w:val="28"/>
          <w:szCs w:val="28"/>
        </w:rPr>
        <w:t xml:space="preserve"> în general</w:t>
      </w:r>
      <w:r w:rsidR="000A3203">
        <w:rPr>
          <w:rFonts w:ascii="Times New Roman" w:hAnsi="Times New Roman" w:cs="Times New Roman"/>
          <w:i/>
          <w:sz w:val="28"/>
          <w:szCs w:val="28"/>
        </w:rPr>
        <w:t>,</w:t>
      </w:r>
      <w:r w:rsidRPr="001D0846">
        <w:rPr>
          <w:rFonts w:ascii="Times New Roman" w:hAnsi="Times New Roman" w:cs="Times New Roman"/>
          <w:i/>
          <w:sz w:val="28"/>
          <w:szCs w:val="28"/>
        </w:rPr>
        <w:t xml:space="preserve"> de lipsa unei strategii a </w:t>
      </w:r>
      <w:r w:rsidRPr="004B0DE4">
        <w:rPr>
          <w:rFonts w:ascii="Times New Roman" w:hAnsi="Times New Roman" w:cs="Times New Roman"/>
          <w:i/>
          <w:sz w:val="28"/>
          <w:szCs w:val="28"/>
        </w:rPr>
        <w:t xml:space="preserve">managementului SFS și SV de a concentra eforturile de administrare în vederea creșterii eficienței utilizării resurselor în scopul încasării veniturilor la BPN prin </w:t>
      </w:r>
      <w:r w:rsidR="003E5046" w:rsidRPr="004B0DE4">
        <w:rPr>
          <w:rFonts w:ascii="Times New Roman" w:hAnsi="Times New Roman" w:cs="Times New Roman"/>
          <w:i/>
          <w:sz w:val="28"/>
          <w:szCs w:val="28"/>
        </w:rPr>
        <w:t>optimizarea</w:t>
      </w:r>
      <w:r w:rsidRPr="004B0DE4">
        <w:rPr>
          <w:rFonts w:ascii="Times New Roman" w:hAnsi="Times New Roman" w:cs="Times New Roman"/>
          <w:i/>
          <w:sz w:val="28"/>
          <w:szCs w:val="28"/>
        </w:rPr>
        <w:t xml:space="preserve"> costurilor</w:t>
      </w:r>
      <w:r w:rsidR="004B0DE4">
        <w:rPr>
          <w:rFonts w:ascii="Times New Roman" w:hAnsi="Times New Roman" w:cs="Times New Roman"/>
          <w:i/>
          <w:sz w:val="28"/>
          <w:szCs w:val="28"/>
        </w:rPr>
        <w:t xml:space="preserve">. </w:t>
      </w:r>
    </w:p>
    <w:p w:rsidR="00AE1F37" w:rsidRPr="003C4B9E" w:rsidRDefault="00D644C4" w:rsidP="00322B0F">
      <w:pPr>
        <w:pStyle w:val="ListParagraph"/>
        <w:tabs>
          <w:tab w:val="left" w:pos="0"/>
        </w:tabs>
        <w:spacing w:after="0" w:line="276" w:lineRule="auto"/>
        <w:ind w:left="0" w:right="-2"/>
        <w:jc w:val="both"/>
        <w:rPr>
          <w:rFonts w:ascii="Times New Roman" w:hAnsi="Times New Roman" w:cs="Times New Roman"/>
          <w:i/>
          <w:sz w:val="28"/>
          <w:szCs w:val="28"/>
        </w:rPr>
      </w:pPr>
      <w:r w:rsidRPr="001D0846">
        <w:rPr>
          <w:rFonts w:ascii="Times New Roman" w:hAnsi="Times New Roman" w:cs="Times New Roman"/>
          <w:b/>
          <w:i/>
          <w:sz w:val="28"/>
          <w:szCs w:val="28"/>
        </w:rPr>
        <w:tab/>
      </w:r>
      <w:r w:rsidR="00412223">
        <w:rPr>
          <w:rFonts w:ascii="Times New Roman" w:hAnsi="Times New Roman" w:cs="Times New Roman"/>
          <w:b/>
          <w:i/>
          <w:sz w:val="28"/>
          <w:szCs w:val="28"/>
        </w:rPr>
        <w:t>3.4.1</w:t>
      </w:r>
      <w:r w:rsidR="00412223" w:rsidRPr="008F67F8">
        <w:rPr>
          <w:rFonts w:ascii="Times New Roman" w:hAnsi="Times New Roman" w:cs="Times New Roman"/>
          <w:b/>
          <w:i/>
          <w:sz w:val="28"/>
          <w:szCs w:val="28"/>
        </w:rPr>
        <w:t xml:space="preserve">. </w:t>
      </w:r>
      <w:r w:rsidR="00AE1F37" w:rsidRPr="003C4B9E">
        <w:rPr>
          <w:rFonts w:ascii="Times New Roman" w:hAnsi="Times New Roman" w:cs="Times New Roman"/>
          <w:i/>
          <w:sz w:val="28"/>
          <w:szCs w:val="28"/>
        </w:rPr>
        <w:t xml:space="preserve">Informația privind încasările realizate și </w:t>
      </w:r>
      <w:r w:rsidR="00AE1F37" w:rsidRPr="00975002">
        <w:rPr>
          <w:rFonts w:ascii="Times New Roman" w:hAnsi="Times New Roman" w:cs="Times New Roman"/>
          <w:i/>
          <w:sz w:val="28"/>
          <w:szCs w:val="28"/>
        </w:rPr>
        <w:t>costurile suportate în perioada 2015-2017 de către SFS în activitatea de administrare, raportat</w:t>
      </w:r>
      <w:r w:rsidR="00975002">
        <w:rPr>
          <w:rFonts w:ascii="Times New Roman" w:hAnsi="Times New Roman" w:cs="Times New Roman"/>
          <w:i/>
          <w:sz w:val="28"/>
          <w:szCs w:val="28"/>
        </w:rPr>
        <w:t>e</w:t>
      </w:r>
      <w:r w:rsidR="00AE1F37" w:rsidRPr="003C4B9E">
        <w:rPr>
          <w:rFonts w:ascii="Times New Roman" w:hAnsi="Times New Roman" w:cs="Times New Roman"/>
          <w:i/>
          <w:sz w:val="28"/>
          <w:szCs w:val="28"/>
        </w:rPr>
        <w:t xml:space="preserve"> la numărul de personal și numărul de contribuabili administrați, </w:t>
      </w:r>
      <w:r w:rsidR="000A3203" w:rsidRPr="003C4B9E">
        <w:rPr>
          <w:rFonts w:ascii="Times New Roman" w:hAnsi="Times New Roman" w:cs="Times New Roman"/>
          <w:i/>
          <w:sz w:val="28"/>
          <w:szCs w:val="28"/>
        </w:rPr>
        <w:t>este</w:t>
      </w:r>
      <w:r w:rsidR="00AE1F37" w:rsidRPr="003C4B9E">
        <w:rPr>
          <w:rFonts w:ascii="Times New Roman" w:hAnsi="Times New Roman" w:cs="Times New Roman"/>
          <w:i/>
          <w:sz w:val="28"/>
          <w:szCs w:val="28"/>
        </w:rPr>
        <w:t xml:space="preserve"> prez</w:t>
      </w:r>
      <w:r w:rsidR="000A3203" w:rsidRPr="003C4B9E">
        <w:rPr>
          <w:rFonts w:ascii="Times New Roman" w:hAnsi="Times New Roman" w:cs="Times New Roman"/>
          <w:i/>
          <w:sz w:val="28"/>
          <w:szCs w:val="28"/>
        </w:rPr>
        <w:t>enta</w:t>
      </w:r>
      <w:r w:rsidR="00337117" w:rsidRPr="003C4B9E">
        <w:rPr>
          <w:rFonts w:ascii="Times New Roman" w:hAnsi="Times New Roman" w:cs="Times New Roman"/>
          <w:i/>
          <w:sz w:val="28"/>
          <w:szCs w:val="28"/>
        </w:rPr>
        <w:t>tă în detaliu în Tabelul nr.9 din Anexa nr.3</w:t>
      </w:r>
      <w:r w:rsidR="00AE1F37" w:rsidRPr="003C4B9E">
        <w:rPr>
          <w:rFonts w:ascii="Times New Roman" w:hAnsi="Times New Roman" w:cs="Times New Roman"/>
          <w:i/>
          <w:sz w:val="28"/>
          <w:szCs w:val="28"/>
        </w:rPr>
        <w:t xml:space="preserve"> la Raport</w:t>
      </w:r>
      <w:r w:rsidR="000A3203" w:rsidRPr="003C4B9E">
        <w:rPr>
          <w:rFonts w:ascii="Times New Roman" w:hAnsi="Times New Roman" w:cs="Times New Roman"/>
          <w:i/>
          <w:sz w:val="28"/>
          <w:szCs w:val="28"/>
        </w:rPr>
        <w:t>ul</w:t>
      </w:r>
      <w:r w:rsidR="00AE1F37" w:rsidRPr="003C4B9E">
        <w:rPr>
          <w:rFonts w:ascii="Times New Roman" w:hAnsi="Times New Roman" w:cs="Times New Roman"/>
          <w:i/>
          <w:sz w:val="28"/>
          <w:szCs w:val="28"/>
        </w:rPr>
        <w:t xml:space="preserve"> de audit. </w:t>
      </w:r>
    </w:p>
    <w:p w:rsidR="00CB49B1" w:rsidRPr="00412223" w:rsidRDefault="005D7E4B" w:rsidP="00412223">
      <w:pPr>
        <w:spacing w:after="0" w:line="276" w:lineRule="auto"/>
        <w:ind w:right="-2" w:firstLine="720"/>
        <w:jc w:val="both"/>
        <w:rPr>
          <w:rFonts w:ascii="Times New Roman" w:hAnsi="Times New Roman" w:cs="Times New Roman"/>
          <w:sz w:val="28"/>
          <w:szCs w:val="28"/>
        </w:rPr>
      </w:pPr>
      <w:r w:rsidRPr="001D0846">
        <w:rPr>
          <w:rFonts w:ascii="Times New Roman" w:hAnsi="Times New Roman" w:cs="Times New Roman"/>
          <w:sz w:val="28"/>
          <w:szCs w:val="28"/>
        </w:rPr>
        <w:t>Astfel</w:t>
      </w:r>
      <w:r w:rsidR="00AE1F37" w:rsidRPr="001D0846">
        <w:rPr>
          <w:rFonts w:ascii="Times New Roman" w:hAnsi="Times New Roman" w:cs="Times New Roman"/>
          <w:sz w:val="28"/>
          <w:szCs w:val="28"/>
        </w:rPr>
        <w:t>, pe fundalul creșterii veniturilor</w:t>
      </w:r>
      <w:r w:rsidR="000A3203">
        <w:rPr>
          <w:rFonts w:ascii="Times New Roman" w:hAnsi="Times New Roman" w:cs="Times New Roman"/>
          <w:sz w:val="28"/>
          <w:szCs w:val="28"/>
        </w:rPr>
        <w:t>,</w:t>
      </w:r>
      <w:r w:rsidR="00AE1F37" w:rsidRPr="001D0846">
        <w:rPr>
          <w:rFonts w:ascii="Times New Roman" w:hAnsi="Times New Roman" w:cs="Times New Roman"/>
          <w:sz w:val="28"/>
          <w:szCs w:val="28"/>
        </w:rPr>
        <w:t xml:space="preserve"> se atestă o dinamică ascendentă a costurilor (cheltuieli totale) suportate în activitatea de administrare, care în anul 2017 au atins plafonul maxim al perioadei analizate, însumând în total 442,3 </w:t>
      </w:r>
      <w:r w:rsidR="00AE1F37" w:rsidRPr="001D0846">
        <w:rPr>
          <w:rFonts w:ascii="Times New Roman" w:hAnsi="Times New Roman" w:cs="Times New Roman"/>
          <w:sz w:val="28"/>
          <w:szCs w:val="28"/>
        </w:rPr>
        <w:lastRenderedPageBreak/>
        <w:t>mil.lei</w:t>
      </w:r>
      <w:r w:rsidR="008B7A4E">
        <w:rPr>
          <w:rFonts w:ascii="Times New Roman" w:hAnsi="Times New Roman" w:cs="Times New Roman"/>
          <w:sz w:val="28"/>
          <w:szCs w:val="28"/>
        </w:rPr>
        <w:t xml:space="preserve"> și </w:t>
      </w:r>
      <w:r w:rsidR="00AE1F37" w:rsidRPr="001D0846">
        <w:rPr>
          <w:rFonts w:ascii="Times New Roman" w:hAnsi="Times New Roman" w:cs="Times New Roman"/>
          <w:sz w:val="28"/>
          <w:szCs w:val="28"/>
        </w:rPr>
        <w:t>fiind în creștere față de anul 2016 cu 172,2 mil.lei, sau 38,9%</w:t>
      </w:r>
      <w:r w:rsidR="000A3203">
        <w:rPr>
          <w:rFonts w:ascii="Times New Roman" w:hAnsi="Times New Roman" w:cs="Times New Roman"/>
          <w:sz w:val="28"/>
          <w:szCs w:val="28"/>
        </w:rPr>
        <w:t>,</w:t>
      </w:r>
      <w:r w:rsidR="00AE1F37" w:rsidRPr="001D0846">
        <w:rPr>
          <w:rFonts w:ascii="Times New Roman" w:hAnsi="Times New Roman" w:cs="Times New Roman"/>
          <w:sz w:val="28"/>
          <w:szCs w:val="28"/>
        </w:rPr>
        <w:t xml:space="preserve"> și </w:t>
      </w:r>
      <w:r w:rsidR="000A3203" w:rsidRPr="001D0846">
        <w:rPr>
          <w:rFonts w:ascii="Times New Roman" w:hAnsi="Times New Roman" w:cs="Times New Roman"/>
          <w:sz w:val="28"/>
          <w:szCs w:val="28"/>
        </w:rPr>
        <w:t>față de anul 2015</w:t>
      </w:r>
      <w:r w:rsidR="000A3203">
        <w:rPr>
          <w:rFonts w:ascii="Times New Roman" w:hAnsi="Times New Roman" w:cs="Times New Roman"/>
          <w:sz w:val="28"/>
          <w:szCs w:val="28"/>
        </w:rPr>
        <w:t xml:space="preserve"> - </w:t>
      </w:r>
      <w:r w:rsidR="00AE1F37" w:rsidRPr="001D0846">
        <w:rPr>
          <w:rFonts w:ascii="Times New Roman" w:hAnsi="Times New Roman" w:cs="Times New Roman"/>
          <w:sz w:val="28"/>
          <w:szCs w:val="28"/>
        </w:rPr>
        <w:t>cu 224</w:t>
      </w:r>
      <w:r w:rsidR="00DB1695">
        <w:rPr>
          <w:rFonts w:ascii="Times New Roman" w:hAnsi="Times New Roman" w:cs="Times New Roman"/>
          <w:sz w:val="28"/>
          <w:szCs w:val="28"/>
        </w:rPr>
        <w:t>,0</w:t>
      </w:r>
      <w:r w:rsidR="00AE1F37" w:rsidRPr="001D0846">
        <w:rPr>
          <w:rFonts w:ascii="Times New Roman" w:hAnsi="Times New Roman" w:cs="Times New Roman"/>
          <w:sz w:val="28"/>
          <w:szCs w:val="28"/>
        </w:rPr>
        <w:t xml:space="preserve"> mil.lei, sau 50,7 %. </w:t>
      </w:r>
      <w:r w:rsidR="00DB1695">
        <w:rPr>
          <w:rFonts w:ascii="Times New Roman" w:hAnsi="Times New Roman" w:cs="Times New Roman"/>
          <w:sz w:val="28"/>
          <w:szCs w:val="28"/>
        </w:rPr>
        <w:t>D</w:t>
      </w:r>
      <w:r w:rsidR="00AE1F37" w:rsidRPr="001D0846">
        <w:rPr>
          <w:rFonts w:ascii="Times New Roman" w:hAnsi="Times New Roman" w:cs="Times New Roman"/>
          <w:sz w:val="28"/>
          <w:szCs w:val="28"/>
        </w:rPr>
        <w:t>atele analizate relevă un ritm sporit de majorare a costurilor de colectare, care a depășit</w:t>
      </w:r>
      <w:r w:rsidR="00DB1695">
        <w:rPr>
          <w:rFonts w:ascii="Times New Roman" w:hAnsi="Times New Roman" w:cs="Times New Roman"/>
          <w:sz w:val="28"/>
          <w:szCs w:val="28"/>
        </w:rPr>
        <w:t>(</w:t>
      </w:r>
      <w:r w:rsidR="00AE1F37" w:rsidRPr="001D0846">
        <w:rPr>
          <w:rFonts w:ascii="Times New Roman" w:hAnsi="Times New Roman" w:cs="Times New Roman"/>
          <w:sz w:val="28"/>
          <w:szCs w:val="28"/>
        </w:rPr>
        <w:t>în cote procentuale</w:t>
      </w:r>
      <w:r w:rsidR="00DB1695">
        <w:rPr>
          <w:rFonts w:ascii="Times New Roman" w:hAnsi="Times New Roman" w:cs="Times New Roman"/>
          <w:sz w:val="28"/>
          <w:szCs w:val="28"/>
        </w:rPr>
        <w:t>)</w:t>
      </w:r>
      <w:r w:rsidR="00AE1F37" w:rsidRPr="001D0846">
        <w:rPr>
          <w:rFonts w:ascii="Times New Roman" w:hAnsi="Times New Roman" w:cs="Times New Roman"/>
          <w:sz w:val="28"/>
          <w:szCs w:val="28"/>
        </w:rPr>
        <w:t xml:space="preserve"> ritmul de creștere a veniturilor încasate în perioada 2015-2017. Analiza efectuată de audit relevă că în perioada 2015-2016 se atestă un ritm de creștere cu 9% a veniturilor încasate de SFS, pe când ritmul de creștere a costurilor în această perioad</w:t>
      </w:r>
      <w:r w:rsidR="008B7A4E">
        <w:rPr>
          <w:rFonts w:ascii="Times New Roman" w:hAnsi="Times New Roman" w:cs="Times New Roman"/>
          <w:sz w:val="28"/>
          <w:szCs w:val="28"/>
        </w:rPr>
        <w:t>ă</w:t>
      </w:r>
      <w:r w:rsidR="00AE1F37" w:rsidRPr="001D0846">
        <w:rPr>
          <w:rFonts w:ascii="Times New Roman" w:hAnsi="Times New Roman" w:cs="Times New Roman"/>
          <w:sz w:val="28"/>
          <w:szCs w:val="28"/>
        </w:rPr>
        <w:t xml:space="preserve"> a constituit 19,3%. În perioada 2016-2017 ritmul de creștere a veniturilor a constituit 15,6%, iar a costurilor – 38,9 %. Totodată, se menționează că, deși costurile administrării fiscale în perioada analizată au crescut, numărul mediu de personal și numărul cotribuabililor a</w:t>
      </w:r>
      <w:r w:rsidR="008B7A4E">
        <w:rPr>
          <w:rFonts w:ascii="Times New Roman" w:hAnsi="Times New Roman" w:cs="Times New Roman"/>
          <w:sz w:val="28"/>
          <w:szCs w:val="28"/>
        </w:rPr>
        <w:t>u</w:t>
      </w:r>
      <w:r w:rsidR="00AE1F37" w:rsidRPr="001D0846">
        <w:rPr>
          <w:rFonts w:ascii="Times New Roman" w:hAnsi="Times New Roman" w:cs="Times New Roman"/>
          <w:sz w:val="28"/>
          <w:szCs w:val="28"/>
        </w:rPr>
        <w:t xml:space="preserve"> scăzut.Astfel, se atestă o micșorare a numărului de personal de la 1774 </w:t>
      </w:r>
      <w:r w:rsidR="008B7A4E">
        <w:rPr>
          <w:rFonts w:ascii="Times New Roman" w:hAnsi="Times New Roman" w:cs="Times New Roman"/>
          <w:sz w:val="28"/>
          <w:szCs w:val="28"/>
        </w:rPr>
        <w:t xml:space="preserve">de </w:t>
      </w:r>
      <w:r w:rsidR="00AE1F37" w:rsidRPr="001D0846">
        <w:rPr>
          <w:rFonts w:ascii="Times New Roman" w:hAnsi="Times New Roman" w:cs="Times New Roman"/>
          <w:sz w:val="28"/>
          <w:szCs w:val="28"/>
        </w:rPr>
        <w:t xml:space="preserve">persoane </w:t>
      </w:r>
      <w:r w:rsidR="008B7A4E">
        <w:rPr>
          <w:rFonts w:ascii="Times New Roman" w:hAnsi="Times New Roman" w:cs="Times New Roman"/>
          <w:sz w:val="28"/>
          <w:szCs w:val="28"/>
        </w:rPr>
        <w:t xml:space="preserve">- </w:t>
      </w:r>
      <w:r w:rsidR="00AE1F37" w:rsidRPr="001D0846">
        <w:rPr>
          <w:rFonts w:ascii="Times New Roman" w:hAnsi="Times New Roman" w:cs="Times New Roman"/>
          <w:sz w:val="28"/>
          <w:szCs w:val="28"/>
        </w:rPr>
        <w:t>în anul 2015</w:t>
      </w:r>
      <w:r w:rsidR="008B7A4E">
        <w:rPr>
          <w:rFonts w:ascii="Times New Roman" w:hAnsi="Times New Roman" w:cs="Times New Roman"/>
          <w:sz w:val="28"/>
          <w:szCs w:val="28"/>
        </w:rPr>
        <w:t>, până</w:t>
      </w:r>
      <w:r w:rsidR="00AE1F37" w:rsidRPr="001D0846">
        <w:rPr>
          <w:rFonts w:ascii="Times New Roman" w:hAnsi="Times New Roman" w:cs="Times New Roman"/>
          <w:sz w:val="28"/>
          <w:szCs w:val="28"/>
        </w:rPr>
        <w:t xml:space="preserve"> la 1666</w:t>
      </w:r>
      <w:r w:rsidR="008B7A4E">
        <w:rPr>
          <w:rFonts w:ascii="Times New Roman" w:hAnsi="Times New Roman" w:cs="Times New Roman"/>
          <w:sz w:val="28"/>
          <w:szCs w:val="28"/>
        </w:rPr>
        <w:t xml:space="preserve"> de</w:t>
      </w:r>
      <w:r w:rsidR="00AE1F37" w:rsidRPr="001D0846">
        <w:rPr>
          <w:rFonts w:ascii="Times New Roman" w:hAnsi="Times New Roman" w:cs="Times New Roman"/>
          <w:sz w:val="28"/>
          <w:szCs w:val="28"/>
        </w:rPr>
        <w:t xml:space="preserve"> persoane </w:t>
      </w:r>
      <w:r w:rsidR="008B7A4E">
        <w:rPr>
          <w:rFonts w:ascii="Times New Roman" w:hAnsi="Times New Roman" w:cs="Times New Roman"/>
          <w:sz w:val="28"/>
          <w:szCs w:val="28"/>
        </w:rPr>
        <w:t xml:space="preserve">- </w:t>
      </w:r>
      <w:r w:rsidR="00AE1F37" w:rsidRPr="001D0846">
        <w:rPr>
          <w:rFonts w:ascii="Times New Roman" w:hAnsi="Times New Roman" w:cs="Times New Roman"/>
          <w:sz w:val="28"/>
          <w:szCs w:val="28"/>
        </w:rPr>
        <w:t>în anul 2017, sau</w:t>
      </w:r>
      <w:r w:rsidR="008B7A4E">
        <w:rPr>
          <w:rFonts w:ascii="Times New Roman" w:hAnsi="Times New Roman" w:cs="Times New Roman"/>
          <w:sz w:val="28"/>
          <w:szCs w:val="28"/>
        </w:rPr>
        <w:t>cu 108 persoane (circa 6%)</w:t>
      </w:r>
      <w:r w:rsidR="00AE1F37" w:rsidRPr="001D0846">
        <w:rPr>
          <w:rFonts w:ascii="Times New Roman" w:hAnsi="Times New Roman" w:cs="Times New Roman"/>
          <w:sz w:val="28"/>
          <w:szCs w:val="28"/>
        </w:rPr>
        <w:t xml:space="preserve"> mai puț</w:t>
      </w:r>
      <w:r w:rsidR="00412223">
        <w:rPr>
          <w:rFonts w:ascii="Times New Roman" w:hAnsi="Times New Roman" w:cs="Times New Roman"/>
          <w:sz w:val="28"/>
          <w:szCs w:val="28"/>
        </w:rPr>
        <w:t xml:space="preserve">in. </w:t>
      </w:r>
      <w:r w:rsidR="00AE1F37" w:rsidRPr="001D0846">
        <w:rPr>
          <w:rFonts w:ascii="Times New Roman" w:hAnsi="Times New Roman" w:cs="Times New Roman"/>
          <w:sz w:val="28"/>
          <w:szCs w:val="28"/>
        </w:rPr>
        <w:t xml:space="preserve">Concomitent, se relevă și o scădere a numărului contribuabililor administrați </w:t>
      </w:r>
      <w:r w:rsidR="008B7A4E">
        <w:rPr>
          <w:rFonts w:ascii="Times New Roman" w:hAnsi="Times New Roman" w:cs="Times New Roman"/>
          <w:sz w:val="28"/>
          <w:szCs w:val="28"/>
        </w:rPr>
        <w:t>(</w:t>
      </w:r>
      <w:r w:rsidR="00AE1F37" w:rsidRPr="001D0846">
        <w:rPr>
          <w:rFonts w:ascii="Times New Roman" w:hAnsi="Times New Roman" w:cs="Times New Roman"/>
          <w:sz w:val="28"/>
          <w:szCs w:val="28"/>
        </w:rPr>
        <w:t xml:space="preserve">de la 457097 în anul 2015 până la 351110 în anul 2017, sau </w:t>
      </w:r>
      <w:r w:rsidR="008B7A4E" w:rsidRPr="001D0846">
        <w:rPr>
          <w:rFonts w:ascii="Times New Roman" w:hAnsi="Times New Roman" w:cs="Times New Roman"/>
          <w:sz w:val="28"/>
          <w:szCs w:val="28"/>
        </w:rPr>
        <w:t>cu 105987 contribuabili (circa 23%)</w:t>
      </w:r>
      <w:r w:rsidR="00AE1F37" w:rsidRPr="001D0846">
        <w:rPr>
          <w:rFonts w:ascii="Times New Roman" w:hAnsi="Times New Roman" w:cs="Times New Roman"/>
          <w:sz w:val="28"/>
          <w:szCs w:val="28"/>
        </w:rPr>
        <w:t>mai puțin</w:t>
      </w:r>
      <w:r w:rsidR="008B7A4E">
        <w:rPr>
          <w:rFonts w:ascii="Times New Roman" w:hAnsi="Times New Roman" w:cs="Times New Roman"/>
          <w:sz w:val="28"/>
          <w:szCs w:val="28"/>
        </w:rPr>
        <w:t>)</w:t>
      </w:r>
      <w:r w:rsidR="00AE1F37" w:rsidRPr="001D0846">
        <w:rPr>
          <w:rFonts w:ascii="Times New Roman" w:hAnsi="Times New Roman" w:cs="Times New Roman"/>
          <w:sz w:val="28"/>
          <w:szCs w:val="28"/>
        </w:rPr>
        <w:t>.</w:t>
      </w:r>
      <w:r w:rsidR="001F7976" w:rsidRPr="001D0846">
        <w:rPr>
          <w:rFonts w:ascii="Times New Roman" w:eastAsia="Calibri" w:hAnsi="Times New Roman" w:cs="Times New Roman"/>
          <w:sz w:val="28"/>
          <w:szCs w:val="28"/>
        </w:rPr>
        <w:t xml:space="preserve">Potrivit </w:t>
      </w:r>
      <w:r w:rsidR="00F70435" w:rsidRPr="001D0846">
        <w:rPr>
          <w:rFonts w:ascii="Times New Roman" w:eastAsia="Calibri" w:hAnsi="Times New Roman" w:cs="Times New Roman"/>
          <w:sz w:val="28"/>
          <w:szCs w:val="28"/>
        </w:rPr>
        <w:t xml:space="preserve">motivației </w:t>
      </w:r>
      <w:r w:rsidR="001F7976" w:rsidRPr="001D0846">
        <w:rPr>
          <w:rFonts w:ascii="Times New Roman" w:eastAsia="Calibri" w:hAnsi="Times New Roman" w:cs="Times New Roman"/>
          <w:sz w:val="28"/>
          <w:szCs w:val="28"/>
        </w:rPr>
        <w:t xml:space="preserve">persoanelor responsabile din cadrul SFS, acest fapt se datorează acțiunilor întreprinse </w:t>
      </w:r>
      <w:r w:rsidR="00412223">
        <w:rPr>
          <w:rFonts w:ascii="Times New Roman" w:eastAsia="Calibri" w:hAnsi="Times New Roman" w:cs="Times New Roman"/>
          <w:sz w:val="28"/>
          <w:szCs w:val="28"/>
        </w:rPr>
        <w:t xml:space="preserve">conform </w:t>
      </w:r>
      <w:r w:rsidR="00E34020">
        <w:rPr>
          <w:rFonts w:ascii="Times New Roman" w:eastAsia="Calibri" w:hAnsi="Times New Roman" w:cs="Times New Roman"/>
          <w:sz w:val="28"/>
          <w:szCs w:val="28"/>
        </w:rPr>
        <w:t>normelor legale</w:t>
      </w:r>
      <w:r w:rsidR="00412223" w:rsidRPr="001D0846">
        <w:rPr>
          <w:rFonts w:ascii="Times New Roman" w:eastAsia="Calibri" w:hAnsi="Times New Roman" w:cs="Times New Roman"/>
          <w:sz w:val="28"/>
          <w:szCs w:val="28"/>
          <w:vertAlign w:val="superscript"/>
        </w:rPr>
        <w:footnoteReference w:id="16"/>
      </w:r>
      <w:r w:rsidR="00412223" w:rsidRPr="001D0846">
        <w:rPr>
          <w:rFonts w:ascii="Times New Roman" w:eastAsia="Calibri" w:hAnsi="Times New Roman" w:cs="Times New Roman"/>
          <w:sz w:val="28"/>
          <w:szCs w:val="28"/>
        </w:rPr>
        <w:t xml:space="preserve">, </w:t>
      </w:r>
      <w:r w:rsidR="001F7976" w:rsidRPr="001D0846">
        <w:rPr>
          <w:rFonts w:ascii="Times New Roman" w:eastAsia="Calibri" w:hAnsi="Times New Roman" w:cs="Times New Roman"/>
          <w:sz w:val="28"/>
          <w:szCs w:val="28"/>
        </w:rPr>
        <w:t>în vederea identificării și radierii din R</w:t>
      </w:r>
      <w:r w:rsidR="00412223">
        <w:rPr>
          <w:rFonts w:ascii="Times New Roman" w:eastAsia="Calibri" w:hAnsi="Times New Roman" w:cs="Times New Roman"/>
          <w:sz w:val="28"/>
          <w:szCs w:val="28"/>
        </w:rPr>
        <w:t>FS</w:t>
      </w:r>
      <w:r w:rsidR="001F7976" w:rsidRPr="001D0846">
        <w:rPr>
          <w:rFonts w:ascii="Times New Roman" w:eastAsia="Calibri" w:hAnsi="Times New Roman" w:cs="Times New Roman"/>
          <w:sz w:val="28"/>
          <w:szCs w:val="28"/>
        </w:rPr>
        <w:t xml:space="preserve"> a contribuabililor inactivi</w:t>
      </w:r>
      <w:r w:rsidR="00A43727">
        <w:rPr>
          <w:rFonts w:ascii="Times New Roman" w:eastAsia="Calibri" w:hAnsi="Times New Roman" w:cs="Times New Roman"/>
          <w:sz w:val="28"/>
          <w:szCs w:val="28"/>
        </w:rPr>
        <w:t xml:space="preserve">, </w:t>
      </w:r>
      <w:r w:rsidR="001F7976" w:rsidRPr="001D0846">
        <w:rPr>
          <w:rFonts w:ascii="Times New Roman" w:eastAsia="Calibri" w:hAnsi="Times New Roman" w:cs="Times New Roman"/>
          <w:sz w:val="28"/>
          <w:szCs w:val="28"/>
        </w:rPr>
        <w:t>c</w:t>
      </w:r>
      <w:r w:rsidR="00412223">
        <w:rPr>
          <w:rFonts w:ascii="Times New Roman" w:eastAsia="Calibri" w:hAnsi="Times New Roman" w:cs="Times New Roman"/>
          <w:sz w:val="28"/>
          <w:szCs w:val="28"/>
        </w:rPr>
        <w:t xml:space="preserve">are </w:t>
      </w:r>
      <w:r w:rsidR="001F7976" w:rsidRPr="001D0846">
        <w:rPr>
          <w:rFonts w:ascii="Times New Roman" w:eastAsia="Calibri" w:hAnsi="Times New Roman" w:cs="Times New Roman"/>
          <w:sz w:val="28"/>
          <w:szCs w:val="28"/>
        </w:rPr>
        <w:t xml:space="preserve">nu au prezentat dările de seamă fiscale prevăzute de legislație, nu au efectuat operațiuni </w:t>
      </w:r>
      <w:r w:rsidR="00412223">
        <w:rPr>
          <w:rFonts w:ascii="Times New Roman" w:eastAsia="Calibri" w:hAnsi="Times New Roman" w:cs="Times New Roman"/>
          <w:sz w:val="28"/>
          <w:szCs w:val="28"/>
        </w:rPr>
        <w:t>la conturile bancare</w:t>
      </w:r>
      <w:r w:rsidR="001F7976" w:rsidRPr="001D0846">
        <w:rPr>
          <w:rFonts w:ascii="Times New Roman" w:eastAsia="Calibri" w:hAnsi="Times New Roman" w:cs="Times New Roman"/>
          <w:sz w:val="28"/>
          <w:szCs w:val="28"/>
        </w:rPr>
        <w:t>, nu au datorii la BPN, nu sunt înregistrați în calitate de contribuabil</w:t>
      </w:r>
      <w:r w:rsidR="00A43727">
        <w:rPr>
          <w:rFonts w:ascii="Times New Roman" w:eastAsia="Calibri" w:hAnsi="Times New Roman" w:cs="Times New Roman"/>
          <w:sz w:val="28"/>
          <w:szCs w:val="28"/>
        </w:rPr>
        <w:t>i</w:t>
      </w:r>
      <w:r w:rsidR="001F7976" w:rsidRPr="001D0846">
        <w:rPr>
          <w:rFonts w:ascii="Times New Roman" w:eastAsia="Calibri" w:hAnsi="Times New Roman" w:cs="Times New Roman"/>
          <w:sz w:val="28"/>
          <w:szCs w:val="28"/>
        </w:rPr>
        <w:t xml:space="preserve"> a</w:t>
      </w:r>
      <w:r w:rsidR="00A43727">
        <w:rPr>
          <w:rFonts w:ascii="Times New Roman" w:eastAsia="Calibri" w:hAnsi="Times New Roman" w:cs="Times New Roman"/>
          <w:sz w:val="28"/>
          <w:szCs w:val="28"/>
        </w:rPr>
        <w:t>i</w:t>
      </w:r>
      <w:r w:rsidR="001F7976" w:rsidRPr="001D0846">
        <w:rPr>
          <w:rFonts w:ascii="Times New Roman" w:eastAsia="Calibri" w:hAnsi="Times New Roman" w:cs="Times New Roman"/>
          <w:sz w:val="28"/>
          <w:szCs w:val="28"/>
        </w:rPr>
        <w:t xml:space="preserve"> TVA și nu au înregistrate la SFS mașini de casă și de control cu memorie fiscală. În acest sens, pe parcursul anului 2016</w:t>
      </w:r>
      <w:r w:rsidR="00A43727">
        <w:rPr>
          <w:rFonts w:ascii="Times New Roman" w:eastAsia="Calibri" w:hAnsi="Times New Roman" w:cs="Times New Roman"/>
          <w:sz w:val="28"/>
          <w:szCs w:val="28"/>
        </w:rPr>
        <w:t>,</w:t>
      </w:r>
      <w:r w:rsidR="001F7976" w:rsidRPr="001D0846">
        <w:rPr>
          <w:rFonts w:ascii="Times New Roman" w:eastAsia="Calibri" w:hAnsi="Times New Roman" w:cs="Times New Roman"/>
          <w:sz w:val="28"/>
          <w:szCs w:val="28"/>
        </w:rPr>
        <w:t xml:space="preserve"> au fost radiate din R</w:t>
      </w:r>
      <w:r w:rsidR="00412223">
        <w:rPr>
          <w:rFonts w:ascii="Times New Roman" w:eastAsia="Calibri" w:hAnsi="Times New Roman" w:cs="Times New Roman"/>
          <w:sz w:val="28"/>
          <w:szCs w:val="28"/>
        </w:rPr>
        <w:t>FS</w:t>
      </w:r>
      <w:r w:rsidR="001F7976" w:rsidRPr="001D0846">
        <w:rPr>
          <w:rFonts w:ascii="Times New Roman" w:eastAsia="Calibri" w:hAnsi="Times New Roman" w:cs="Times New Roman"/>
          <w:sz w:val="28"/>
          <w:szCs w:val="28"/>
        </w:rPr>
        <w:t xml:space="preserve"> 84255</w:t>
      </w:r>
      <w:r w:rsidR="00412223" w:rsidRPr="001D0846">
        <w:rPr>
          <w:rFonts w:ascii="Times New Roman" w:eastAsia="Calibri" w:hAnsi="Times New Roman" w:cs="Times New Roman"/>
          <w:sz w:val="28"/>
          <w:szCs w:val="28"/>
        </w:rPr>
        <w:t>gospodării țărănești inactive</w:t>
      </w:r>
      <w:r w:rsidR="001F7976" w:rsidRPr="001D0846">
        <w:rPr>
          <w:rFonts w:ascii="Times New Roman" w:eastAsia="Calibri" w:hAnsi="Times New Roman" w:cs="Times New Roman"/>
          <w:sz w:val="28"/>
          <w:szCs w:val="28"/>
        </w:rPr>
        <w:t>, iar în anul 2017 – 14729. De asemenea, au fost îna</w:t>
      </w:r>
      <w:r w:rsidR="001F7976" w:rsidRPr="00E34020">
        <w:rPr>
          <w:rFonts w:ascii="Times New Roman" w:eastAsia="Calibri" w:hAnsi="Times New Roman" w:cs="Times New Roman"/>
          <w:sz w:val="28"/>
          <w:szCs w:val="28"/>
        </w:rPr>
        <w:t>inta</w:t>
      </w:r>
      <w:r w:rsidR="00A43727" w:rsidRPr="00E34020">
        <w:rPr>
          <w:rFonts w:ascii="Times New Roman" w:eastAsia="Calibri" w:hAnsi="Times New Roman" w:cs="Times New Roman"/>
          <w:sz w:val="28"/>
          <w:szCs w:val="28"/>
        </w:rPr>
        <w:t>ți</w:t>
      </w:r>
      <w:r w:rsidR="001F7976" w:rsidRPr="001D0846">
        <w:rPr>
          <w:rFonts w:ascii="Times New Roman" w:eastAsia="Calibri" w:hAnsi="Times New Roman" w:cs="Times New Roman"/>
          <w:sz w:val="28"/>
          <w:szCs w:val="28"/>
        </w:rPr>
        <w:t xml:space="preserve"> către A</w:t>
      </w:r>
      <w:r w:rsidR="00412223">
        <w:rPr>
          <w:rFonts w:ascii="Times New Roman" w:eastAsia="Calibri" w:hAnsi="Times New Roman" w:cs="Times New Roman"/>
          <w:sz w:val="28"/>
          <w:szCs w:val="28"/>
        </w:rPr>
        <w:t>SP</w:t>
      </w:r>
      <w:r w:rsidR="00A43727">
        <w:rPr>
          <w:rFonts w:ascii="Times New Roman" w:eastAsia="Calibri" w:hAnsi="Times New Roman" w:cs="Times New Roman"/>
          <w:sz w:val="28"/>
          <w:szCs w:val="28"/>
        </w:rPr>
        <w:t>,</w:t>
      </w:r>
      <w:r w:rsidR="001F7976" w:rsidRPr="001D0846">
        <w:rPr>
          <w:rFonts w:ascii="Times New Roman" w:eastAsia="Calibri" w:hAnsi="Times New Roman" w:cs="Times New Roman"/>
          <w:sz w:val="28"/>
          <w:szCs w:val="28"/>
        </w:rPr>
        <w:t xml:space="preserve"> pentru a decide asupra radierii din R</w:t>
      </w:r>
      <w:r w:rsidR="00412223">
        <w:rPr>
          <w:rFonts w:ascii="Times New Roman" w:eastAsia="Calibri" w:hAnsi="Times New Roman" w:cs="Times New Roman"/>
          <w:sz w:val="28"/>
          <w:szCs w:val="28"/>
        </w:rPr>
        <w:t>S</w:t>
      </w:r>
      <w:r w:rsidR="00A43727">
        <w:rPr>
          <w:rFonts w:ascii="Times New Roman" w:eastAsia="Calibri" w:hAnsi="Times New Roman" w:cs="Times New Roman"/>
          <w:sz w:val="28"/>
          <w:szCs w:val="28"/>
        </w:rPr>
        <w:t>,</w:t>
      </w:r>
      <w:r w:rsidR="001F7976" w:rsidRPr="001D0846">
        <w:rPr>
          <w:rFonts w:ascii="Times New Roman" w:eastAsia="Calibri" w:hAnsi="Times New Roman" w:cs="Times New Roman"/>
          <w:sz w:val="28"/>
          <w:szCs w:val="28"/>
        </w:rPr>
        <w:t xml:space="preserve"> în anul 2016 – 19202</w:t>
      </w:r>
      <w:r w:rsidR="00A43727">
        <w:rPr>
          <w:rFonts w:ascii="Times New Roman" w:eastAsia="Calibri" w:hAnsi="Times New Roman" w:cs="Times New Roman"/>
          <w:sz w:val="28"/>
          <w:szCs w:val="28"/>
        </w:rPr>
        <w:t xml:space="preserve"> contribuabili</w:t>
      </w:r>
      <w:r w:rsidR="001F7976" w:rsidRPr="001D0846">
        <w:rPr>
          <w:rFonts w:ascii="Times New Roman" w:eastAsia="Calibri" w:hAnsi="Times New Roman" w:cs="Times New Roman"/>
          <w:sz w:val="28"/>
          <w:szCs w:val="28"/>
        </w:rPr>
        <w:t xml:space="preserve">, iar </w:t>
      </w:r>
      <w:r w:rsidR="00A43727">
        <w:rPr>
          <w:rFonts w:ascii="Times New Roman" w:eastAsia="Calibri" w:hAnsi="Times New Roman" w:cs="Times New Roman"/>
          <w:sz w:val="28"/>
          <w:szCs w:val="28"/>
        </w:rPr>
        <w:t xml:space="preserve">în </w:t>
      </w:r>
      <w:r w:rsidR="001F7976" w:rsidRPr="001D0846">
        <w:rPr>
          <w:rFonts w:ascii="Times New Roman" w:eastAsia="Calibri" w:hAnsi="Times New Roman" w:cs="Times New Roman"/>
          <w:sz w:val="28"/>
          <w:szCs w:val="28"/>
        </w:rPr>
        <w:t>anul 2017 – 6001 contribuabili.</w:t>
      </w:r>
    </w:p>
    <w:p w:rsidR="00AE1F37" w:rsidRPr="001D0846" w:rsidRDefault="00AE1F37" w:rsidP="000A421F">
      <w:pPr>
        <w:spacing w:after="0" w:line="276" w:lineRule="auto"/>
        <w:ind w:right="-2"/>
        <w:jc w:val="both"/>
        <w:rPr>
          <w:rFonts w:ascii="Times New Roman" w:hAnsi="Times New Roman" w:cs="Times New Roman"/>
          <w:sz w:val="28"/>
          <w:szCs w:val="28"/>
        </w:rPr>
      </w:pPr>
      <w:r w:rsidRPr="001D0846">
        <w:rPr>
          <w:rFonts w:ascii="Times New Roman" w:hAnsi="Times New Roman" w:cs="Times New Roman"/>
          <w:sz w:val="28"/>
          <w:szCs w:val="28"/>
        </w:rPr>
        <w:tab/>
        <w:t>În scopul evaluării eficienței, eficacității și economicității în activitatea de administrare a impozitelor și taxelor</w:t>
      </w:r>
      <w:r w:rsidR="00A43727">
        <w:rPr>
          <w:rFonts w:ascii="Times New Roman" w:hAnsi="Times New Roman" w:cs="Times New Roman"/>
          <w:sz w:val="28"/>
          <w:szCs w:val="28"/>
        </w:rPr>
        <w:t>,</w:t>
      </w:r>
      <w:r w:rsidRPr="001D0846">
        <w:rPr>
          <w:rFonts w:ascii="Times New Roman" w:hAnsi="Times New Roman" w:cs="Times New Roman"/>
          <w:sz w:val="28"/>
          <w:szCs w:val="28"/>
        </w:rPr>
        <w:t xml:space="preserve"> realizată de către SFS, auditul a analizat următorii indicatori c</w:t>
      </w:r>
      <w:r w:rsidR="00A43727">
        <w:rPr>
          <w:rFonts w:ascii="Times New Roman" w:hAnsi="Times New Roman" w:cs="Times New Roman"/>
          <w:sz w:val="28"/>
          <w:szCs w:val="28"/>
        </w:rPr>
        <w:t>ar</w:t>
      </w:r>
      <w:r w:rsidRPr="001D0846">
        <w:rPr>
          <w:rFonts w:ascii="Times New Roman" w:hAnsi="Times New Roman" w:cs="Times New Roman"/>
          <w:sz w:val="28"/>
          <w:szCs w:val="28"/>
        </w:rPr>
        <w:t xml:space="preserve">e caracterizează nivelul de atingere a performanțelor stabilite: (1) Mii lei cheltuiți la 1 milion lei de venituri colectate; (2) Mii lei cheltuieli de personal la 1 milion lei de venituri colectate; (3) Venituri bugetare colectate la numărul mediu de personal; (4) Venituri bugetare colectate la numărul mediu de contribuabili.   </w:t>
      </w:r>
    </w:p>
    <w:p w:rsidR="00AE1F37" w:rsidRPr="001D0846" w:rsidRDefault="00AE1F37" w:rsidP="006358AD">
      <w:pPr>
        <w:spacing w:after="0" w:line="276" w:lineRule="auto"/>
        <w:ind w:right="-334" w:firstLine="720"/>
        <w:jc w:val="both"/>
        <w:rPr>
          <w:rFonts w:ascii="Times New Roman" w:hAnsi="Times New Roman" w:cs="Times New Roman"/>
          <w:sz w:val="28"/>
          <w:szCs w:val="28"/>
        </w:rPr>
      </w:pPr>
      <w:r w:rsidRPr="001D0846">
        <w:rPr>
          <w:rFonts w:ascii="Times New Roman" w:hAnsi="Times New Roman" w:cs="Times New Roman"/>
          <w:sz w:val="28"/>
          <w:szCs w:val="28"/>
        </w:rPr>
        <w:t>Astfel, analiza efectuată de audit asupra indicatorilor menționați relevă:</w:t>
      </w:r>
    </w:p>
    <w:p w:rsidR="00C31FCA" w:rsidRDefault="00C31FCA" w:rsidP="00C31FCA">
      <w:pPr>
        <w:tabs>
          <w:tab w:val="left" w:pos="630"/>
        </w:tabs>
        <w:spacing w:after="0" w:line="276" w:lineRule="auto"/>
        <w:ind w:right="-2"/>
        <w:jc w:val="both"/>
        <w:rPr>
          <w:rFonts w:ascii="Times New Roman" w:hAnsi="Times New Roman" w:cs="Times New Roman"/>
          <w:sz w:val="28"/>
          <w:szCs w:val="28"/>
        </w:rPr>
      </w:pPr>
      <w:r>
        <w:rPr>
          <w:rFonts w:ascii="Times New Roman" w:hAnsi="Times New Roman" w:cs="Times New Roman"/>
          <w:sz w:val="28"/>
          <w:szCs w:val="28"/>
        </w:rPr>
        <w:tab/>
        <w:t xml:space="preserve">(i) </w:t>
      </w:r>
      <w:r w:rsidR="00AE1F37" w:rsidRPr="00C31FCA">
        <w:rPr>
          <w:rFonts w:ascii="Times New Roman" w:hAnsi="Times New Roman" w:cs="Times New Roman"/>
          <w:sz w:val="28"/>
          <w:szCs w:val="28"/>
        </w:rPr>
        <w:t>creșterea în dinamică a cheltuielilor la 1 milion lei de venituri colectate</w:t>
      </w:r>
      <w:r w:rsidR="00A43727" w:rsidRPr="00C31FCA">
        <w:rPr>
          <w:rFonts w:ascii="Times New Roman" w:hAnsi="Times New Roman" w:cs="Times New Roman"/>
          <w:sz w:val="28"/>
          <w:szCs w:val="28"/>
        </w:rPr>
        <w:t xml:space="preserve"> (</w:t>
      </w:r>
      <w:r w:rsidR="00AE1F37" w:rsidRPr="00C31FCA">
        <w:rPr>
          <w:rFonts w:ascii="Times New Roman" w:hAnsi="Times New Roman" w:cs="Times New Roman"/>
          <w:sz w:val="28"/>
          <w:szCs w:val="28"/>
        </w:rPr>
        <w:t>de la</w:t>
      </w:r>
      <w:r w:rsidR="00F92DF9" w:rsidRPr="00C31FCA">
        <w:rPr>
          <w:rFonts w:ascii="Times New Roman" w:hAnsi="Times New Roman" w:cs="Times New Roman"/>
          <w:sz w:val="28"/>
          <w:szCs w:val="28"/>
        </w:rPr>
        <w:t xml:space="preserve"> 8,8 mii lei în anul 2015 până </w:t>
      </w:r>
      <w:r w:rsidR="00A43727" w:rsidRPr="00C31FCA">
        <w:rPr>
          <w:rFonts w:ascii="Times New Roman" w:hAnsi="Times New Roman" w:cs="Times New Roman"/>
          <w:sz w:val="28"/>
          <w:szCs w:val="28"/>
        </w:rPr>
        <w:t xml:space="preserve">la </w:t>
      </w:r>
      <w:r w:rsidR="00AE1F37" w:rsidRPr="00C31FCA">
        <w:rPr>
          <w:rFonts w:ascii="Times New Roman" w:hAnsi="Times New Roman" w:cs="Times New Roman"/>
          <w:sz w:val="28"/>
          <w:szCs w:val="28"/>
        </w:rPr>
        <w:t>13,5 mii lei în anul 2017</w:t>
      </w:r>
      <w:r w:rsidR="00A43727" w:rsidRPr="00C31FCA">
        <w:rPr>
          <w:rFonts w:ascii="Times New Roman" w:hAnsi="Times New Roman" w:cs="Times New Roman"/>
          <w:sz w:val="28"/>
          <w:szCs w:val="28"/>
        </w:rPr>
        <w:t>)</w:t>
      </w:r>
      <w:r>
        <w:rPr>
          <w:rFonts w:ascii="Times New Roman" w:hAnsi="Times New Roman" w:cs="Times New Roman"/>
          <w:sz w:val="28"/>
          <w:szCs w:val="28"/>
        </w:rPr>
        <w:t>;</w:t>
      </w:r>
    </w:p>
    <w:p w:rsidR="00C31FCA" w:rsidRDefault="00C31FCA" w:rsidP="00C31FCA">
      <w:pPr>
        <w:tabs>
          <w:tab w:val="left" w:pos="630"/>
        </w:tabs>
        <w:spacing w:after="0" w:line="276" w:lineRule="auto"/>
        <w:ind w:right="-2"/>
        <w:jc w:val="both"/>
        <w:rPr>
          <w:rFonts w:ascii="Times New Roman" w:hAnsi="Times New Roman" w:cs="Times New Roman"/>
          <w:sz w:val="28"/>
          <w:szCs w:val="28"/>
        </w:rPr>
      </w:pPr>
      <w:r>
        <w:rPr>
          <w:rFonts w:ascii="Times New Roman" w:hAnsi="Times New Roman" w:cs="Times New Roman"/>
          <w:sz w:val="28"/>
          <w:szCs w:val="28"/>
        </w:rPr>
        <w:tab/>
        <w:t xml:space="preserve">(ii) </w:t>
      </w:r>
      <w:r w:rsidR="009B3CC8" w:rsidRPr="00C31FCA">
        <w:rPr>
          <w:rFonts w:ascii="Times New Roman" w:hAnsi="Times New Roman" w:cs="Times New Roman"/>
          <w:sz w:val="28"/>
          <w:szCs w:val="28"/>
        </w:rPr>
        <w:t>evoluția</w:t>
      </w:r>
      <w:r w:rsidR="00AE1F37" w:rsidRPr="00C31FCA">
        <w:rPr>
          <w:rFonts w:ascii="Times New Roman" w:hAnsi="Times New Roman" w:cs="Times New Roman"/>
          <w:sz w:val="28"/>
          <w:szCs w:val="28"/>
        </w:rPr>
        <w:t xml:space="preserve"> în dinamică a cheltuielilor de personal la 1 milion de venituri colectate</w:t>
      </w:r>
      <w:r w:rsidR="00A43727" w:rsidRPr="00C31FCA">
        <w:rPr>
          <w:rFonts w:ascii="Times New Roman" w:hAnsi="Times New Roman" w:cs="Times New Roman"/>
          <w:sz w:val="28"/>
          <w:szCs w:val="28"/>
        </w:rPr>
        <w:t xml:space="preserve"> (</w:t>
      </w:r>
      <w:r w:rsidR="00AE1F37" w:rsidRPr="00C31FCA">
        <w:rPr>
          <w:rFonts w:ascii="Times New Roman" w:hAnsi="Times New Roman" w:cs="Times New Roman"/>
          <w:sz w:val="28"/>
          <w:szCs w:val="28"/>
        </w:rPr>
        <w:t xml:space="preserve">de la 6,2 mii lei în anul 2015 </w:t>
      </w:r>
      <w:r w:rsidR="00A43727" w:rsidRPr="00C31FCA">
        <w:rPr>
          <w:rFonts w:ascii="Times New Roman" w:hAnsi="Times New Roman" w:cs="Times New Roman"/>
          <w:sz w:val="28"/>
          <w:szCs w:val="28"/>
        </w:rPr>
        <w:t xml:space="preserve">până </w:t>
      </w:r>
      <w:r w:rsidR="00AE1F37" w:rsidRPr="00C31FCA">
        <w:rPr>
          <w:rFonts w:ascii="Times New Roman" w:hAnsi="Times New Roman" w:cs="Times New Roman"/>
          <w:sz w:val="28"/>
          <w:szCs w:val="28"/>
        </w:rPr>
        <w:t>la 10</w:t>
      </w:r>
      <w:r w:rsidR="00A43727" w:rsidRPr="00C31FCA">
        <w:rPr>
          <w:rFonts w:ascii="Times New Roman" w:hAnsi="Times New Roman" w:cs="Times New Roman"/>
          <w:sz w:val="28"/>
          <w:szCs w:val="28"/>
        </w:rPr>
        <w:t>,0</w:t>
      </w:r>
      <w:r w:rsidR="00AE1F37" w:rsidRPr="00C31FCA">
        <w:rPr>
          <w:rFonts w:ascii="Times New Roman" w:hAnsi="Times New Roman" w:cs="Times New Roman"/>
          <w:sz w:val="28"/>
          <w:szCs w:val="28"/>
        </w:rPr>
        <w:t xml:space="preserve"> mii lei în anul 2017</w:t>
      </w:r>
      <w:r w:rsidR="00A43727" w:rsidRPr="00C31FCA">
        <w:rPr>
          <w:rFonts w:ascii="Times New Roman" w:hAnsi="Times New Roman" w:cs="Times New Roman"/>
          <w:sz w:val="28"/>
          <w:szCs w:val="28"/>
        </w:rPr>
        <w:t>)</w:t>
      </w:r>
      <w:r w:rsidR="00AE1F37" w:rsidRPr="00C31FCA">
        <w:rPr>
          <w:rFonts w:ascii="Times New Roman" w:hAnsi="Times New Roman" w:cs="Times New Roman"/>
          <w:sz w:val="28"/>
          <w:szCs w:val="28"/>
        </w:rPr>
        <w:t>;</w:t>
      </w:r>
    </w:p>
    <w:p w:rsidR="00AE1F37" w:rsidRPr="00C31FCA" w:rsidRDefault="00C31FCA" w:rsidP="00C31FCA">
      <w:pPr>
        <w:tabs>
          <w:tab w:val="left" w:pos="630"/>
        </w:tabs>
        <w:spacing w:after="0" w:line="276" w:lineRule="auto"/>
        <w:ind w:right="-2"/>
        <w:jc w:val="both"/>
        <w:rPr>
          <w:rFonts w:ascii="Times New Roman" w:hAnsi="Times New Roman" w:cs="Times New Roman"/>
          <w:sz w:val="28"/>
          <w:szCs w:val="28"/>
        </w:rPr>
      </w:pPr>
      <w:r>
        <w:rPr>
          <w:rFonts w:ascii="Times New Roman" w:hAnsi="Times New Roman" w:cs="Times New Roman"/>
          <w:sz w:val="28"/>
          <w:szCs w:val="28"/>
        </w:rPr>
        <w:lastRenderedPageBreak/>
        <w:tab/>
        <w:t xml:space="preserve">(iii) </w:t>
      </w:r>
      <w:r w:rsidR="00AE1F37" w:rsidRPr="00C31FCA">
        <w:rPr>
          <w:rFonts w:ascii="Times New Roman" w:hAnsi="Times New Roman" w:cs="Times New Roman"/>
          <w:sz w:val="28"/>
          <w:szCs w:val="28"/>
        </w:rPr>
        <w:t>trend</w:t>
      </w:r>
      <w:r w:rsidR="009B3CC8" w:rsidRPr="00C31FCA">
        <w:rPr>
          <w:rFonts w:ascii="Times New Roman" w:hAnsi="Times New Roman" w:cs="Times New Roman"/>
          <w:sz w:val="28"/>
          <w:szCs w:val="28"/>
        </w:rPr>
        <w:t>ul</w:t>
      </w:r>
      <w:r w:rsidR="00AE1F37" w:rsidRPr="00C31FCA">
        <w:rPr>
          <w:rFonts w:ascii="Times New Roman" w:hAnsi="Times New Roman" w:cs="Times New Roman"/>
          <w:sz w:val="28"/>
          <w:szCs w:val="28"/>
        </w:rPr>
        <w:t xml:space="preserve"> ascendent a</w:t>
      </w:r>
      <w:r w:rsidR="00A43727" w:rsidRPr="00C31FCA">
        <w:rPr>
          <w:rFonts w:ascii="Times New Roman" w:hAnsi="Times New Roman" w:cs="Times New Roman"/>
          <w:sz w:val="28"/>
          <w:szCs w:val="28"/>
        </w:rPr>
        <w:t>l</w:t>
      </w:r>
      <w:r w:rsidR="00AE1F37" w:rsidRPr="00C31FCA">
        <w:rPr>
          <w:rFonts w:ascii="Times New Roman" w:hAnsi="Times New Roman" w:cs="Times New Roman"/>
          <w:sz w:val="28"/>
          <w:szCs w:val="28"/>
        </w:rPr>
        <w:t xml:space="preserve"> veniturilor bugetare colectate la numărul mediu de personal</w:t>
      </w:r>
      <w:r w:rsidR="00A43727" w:rsidRPr="00C31FCA">
        <w:rPr>
          <w:rFonts w:ascii="Times New Roman" w:hAnsi="Times New Roman" w:cs="Times New Roman"/>
          <w:sz w:val="28"/>
          <w:szCs w:val="28"/>
        </w:rPr>
        <w:t xml:space="preserve"> (</w:t>
      </w:r>
      <w:r w:rsidR="00AE1F37" w:rsidRPr="00C31FCA">
        <w:rPr>
          <w:rFonts w:ascii="Times New Roman" w:hAnsi="Times New Roman" w:cs="Times New Roman"/>
          <w:sz w:val="28"/>
          <w:szCs w:val="28"/>
        </w:rPr>
        <w:t>de la 14,1 mil.lei în anul 2015 până la 19,6 mil.lei în anul 2017</w:t>
      </w:r>
      <w:r w:rsidR="00A43727" w:rsidRPr="00C31FCA">
        <w:rPr>
          <w:rFonts w:ascii="Times New Roman" w:hAnsi="Times New Roman" w:cs="Times New Roman"/>
          <w:sz w:val="28"/>
          <w:szCs w:val="28"/>
        </w:rPr>
        <w:t>)</w:t>
      </w:r>
      <w:r w:rsidR="00AE1F37" w:rsidRPr="00C31FCA">
        <w:rPr>
          <w:rFonts w:ascii="Times New Roman" w:hAnsi="Times New Roman" w:cs="Times New Roman"/>
          <w:sz w:val="28"/>
          <w:szCs w:val="28"/>
        </w:rPr>
        <w:t>, pe fundalul micșorării numărului de personal cu circa 6%;</w:t>
      </w:r>
    </w:p>
    <w:p w:rsidR="00AE1F37" w:rsidRPr="00C31FCA" w:rsidRDefault="00C31FCA" w:rsidP="00C31FCA">
      <w:pPr>
        <w:tabs>
          <w:tab w:val="left" w:pos="630"/>
        </w:tabs>
        <w:spacing w:after="0" w:line="276" w:lineRule="auto"/>
        <w:ind w:right="-2"/>
        <w:jc w:val="both"/>
        <w:rPr>
          <w:rFonts w:ascii="Times New Roman" w:hAnsi="Times New Roman" w:cs="Times New Roman"/>
          <w:sz w:val="28"/>
          <w:szCs w:val="28"/>
        </w:rPr>
      </w:pPr>
      <w:r>
        <w:rPr>
          <w:rFonts w:ascii="Times New Roman" w:hAnsi="Times New Roman" w:cs="Times New Roman"/>
          <w:sz w:val="28"/>
          <w:szCs w:val="28"/>
        </w:rPr>
        <w:tab/>
        <w:t xml:space="preserve">(iv) </w:t>
      </w:r>
      <w:r w:rsidR="009B3CC8" w:rsidRPr="00C31FCA">
        <w:rPr>
          <w:rFonts w:ascii="Times New Roman" w:hAnsi="Times New Roman" w:cs="Times New Roman"/>
          <w:sz w:val="28"/>
          <w:szCs w:val="28"/>
        </w:rPr>
        <w:t>evoluția</w:t>
      </w:r>
      <w:r w:rsidR="00AE1F37" w:rsidRPr="00C31FCA">
        <w:rPr>
          <w:rFonts w:ascii="Times New Roman" w:hAnsi="Times New Roman" w:cs="Times New Roman"/>
          <w:sz w:val="28"/>
          <w:szCs w:val="28"/>
        </w:rPr>
        <w:t xml:space="preserve"> ascendentă a veniturilor bugetare colectate la numărul mediu de contribuabili</w:t>
      </w:r>
      <w:r w:rsidR="009309F9" w:rsidRPr="00C31FCA">
        <w:rPr>
          <w:rFonts w:ascii="Times New Roman" w:hAnsi="Times New Roman" w:cs="Times New Roman"/>
          <w:sz w:val="28"/>
          <w:szCs w:val="28"/>
        </w:rPr>
        <w:t xml:space="preserve"> (</w:t>
      </w:r>
      <w:r w:rsidR="00AE1F37" w:rsidRPr="00C31FCA">
        <w:rPr>
          <w:rFonts w:ascii="Times New Roman" w:hAnsi="Times New Roman" w:cs="Times New Roman"/>
          <w:sz w:val="28"/>
          <w:szCs w:val="28"/>
        </w:rPr>
        <w:t>de la 0,05 mil.lei în anul 2015 până la 0,09 mil.lei în anul 2017</w:t>
      </w:r>
      <w:r w:rsidR="009309F9" w:rsidRPr="00C31FCA">
        <w:rPr>
          <w:rFonts w:ascii="Times New Roman" w:hAnsi="Times New Roman" w:cs="Times New Roman"/>
          <w:sz w:val="28"/>
          <w:szCs w:val="28"/>
        </w:rPr>
        <w:t>)</w:t>
      </w:r>
      <w:r w:rsidR="00AE1F37" w:rsidRPr="00C31FCA">
        <w:rPr>
          <w:rFonts w:ascii="Times New Roman" w:hAnsi="Times New Roman" w:cs="Times New Roman"/>
          <w:sz w:val="28"/>
          <w:szCs w:val="28"/>
        </w:rPr>
        <w:t>, pe fundalul scăderii numărului de contribuabili administrați cu circa 23%.</w:t>
      </w:r>
    </w:p>
    <w:p w:rsidR="00662C9F" w:rsidRPr="001D0846" w:rsidRDefault="00662C9F" w:rsidP="00662C9F">
      <w:pPr>
        <w:pStyle w:val="ListParagraph"/>
        <w:tabs>
          <w:tab w:val="left" w:pos="630"/>
        </w:tabs>
        <w:spacing w:after="0" w:line="276" w:lineRule="auto"/>
        <w:ind w:left="270" w:right="-334"/>
        <w:jc w:val="both"/>
        <w:rPr>
          <w:rFonts w:ascii="Times New Roman" w:hAnsi="Times New Roman" w:cs="Times New Roman"/>
          <w:sz w:val="28"/>
          <w:szCs w:val="28"/>
        </w:rPr>
      </w:pPr>
    </w:p>
    <w:p w:rsidR="00AE1F37" w:rsidRPr="001D0846" w:rsidRDefault="00412223" w:rsidP="00412223">
      <w:pPr>
        <w:spacing w:after="0" w:line="276" w:lineRule="auto"/>
        <w:ind w:right="-2" w:firstLine="720"/>
        <w:jc w:val="both"/>
        <w:rPr>
          <w:rFonts w:ascii="Times New Roman" w:hAnsi="Times New Roman" w:cs="Times New Roman"/>
          <w:b/>
          <w:i/>
          <w:sz w:val="28"/>
          <w:szCs w:val="28"/>
        </w:rPr>
      </w:pPr>
      <w:r w:rsidRPr="00412223">
        <w:rPr>
          <w:rFonts w:ascii="Times New Roman" w:hAnsi="Times New Roman" w:cs="Times New Roman"/>
          <w:b/>
          <w:i/>
          <w:sz w:val="28"/>
          <w:szCs w:val="28"/>
        </w:rPr>
        <w:t>3.4.2</w:t>
      </w:r>
      <w:r w:rsidRPr="009309F9">
        <w:rPr>
          <w:rFonts w:ascii="Times New Roman" w:hAnsi="Times New Roman" w:cs="Times New Roman"/>
          <w:b/>
          <w:i/>
          <w:sz w:val="28"/>
          <w:szCs w:val="28"/>
        </w:rPr>
        <w:t>.</w:t>
      </w:r>
      <w:r w:rsidR="00AE1F37" w:rsidRPr="003C4B9E">
        <w:rPr>
          <w:rFonts w:ascii="Times New Roman" w:hAnsi="Times New Roman" w:cs="Times New Roman"/>
          <w:i/>
          <w:sz w:val="28"/>
          <w:szCs w:val="28"/>
        </w:rPr>
        <w:t xml:space="preserve">Informația privind încasările realizate și </w:t>
      </w:r>
      <w:r w:rsidR="00AE1F37" w:rsidRPr="00E34020">
        <w:rPr>
          <w:rFonts w:ascii="Times New Roman" w:hAnsi="Times New Roman" w:cs="Times New Roman"/>
          <w:i/>
          <w:sz w:val="28"/>
          <w:szCs w:val="28"/>
        </w:rPr>
        <w:t>costurile suportate în perioada 2015-2017 de către SV în activitatea de administrare, raportat</w:t>
      </w:r>
      <w:r w:rsidR="009309F9" w:rsidRPr="00E34020">
        <w:rPr>
          <w:rFonts w:ascii="Times New Roman" w:hAnsi="Times New Roman" w:cs="Times New Roman"/>
          <w:i/>
          <w:sz w:val="28"/>
          <w:szCs w:val="28"/>
        </w:rPr>
        <w:t>e</w:t>
      </w:r>
      <w:r w:rsidR="00AE1F37" w:rsidRPr="00E34020">
        <w:rPr>
          <w:rFonts w:ascii="Times New Roman" w:hAnsi="Times New Roman" w:cs="Times New Roman"/>
          <w:i/>
          <w:sz w:val="28"/>
          <w:szCs w:val="28"/>
        </w:rPr>
        <w:t xml:space="preserve"> la numărul de personal și numărul de plătitori administrați, </w:t>
      </w:r>
      <w:r w:rsidR="009309F9" w:rsidRPr="00E34020">
        <w:rPr>
          <w:rFonts w:ascii="Times New Roman" w:hAnsi="Times New Roman" w:cs="Times New Roman"/>
          <w:i/>
          <w:sz w:val="28"/>
          <w:szCs w:val="28"/>
        </w:rPr>
        <w:t>este</w:t>
      </w:r>
      <w:r w:rsidR="00AE1F37" w:rsidRPr="00E34020">
        <w:rPr>
          <w:rFonts w:ascii="Times New Roman" w:hAnsi="Times New Roman" w:cs="Times New Roman"/>
          <w:i/>
          <w:sz w:val="28"/>
          <w:szCs w:val="28"/>
        </w:rPr>
        <w:t xml:space="preserve"> prez</w:t>
      </w:r>
      <w:r w:rsidR="009309F9" w:rsidRPr="00E34020">
        <w:rPr>
          <w:rFonts w:ascii="Times New Roman" w:hAnsi="Times New Roman" w:cs="Times New Roman"/>
          <w:i/>
          <w:sz w:val="28"/>
          <w:szCs w:val="28"/>
        </w:rPr>
        <w:t>enta</w:t>
      </w:r>
      <w:r w:rsidR="00AE1F37" w:rsidRPr="00E34020">
        <w:rPr>
          <w:rFonts w:ascii="Times New Roman" w:hAnsi="Times New Roman" w:cs="Times New Roman"/>
          <w:i/>
          <w:sz w:val="28"/>
          <w:szCs w:val="28"/>
        </w:rPr>
        <w:t>tă în</w:t>
      </w:r>
      <w:r w:rsidR="00AE1F37" w:rsidRPr="003C4B9E">
        <w:rPr>
          <w:rFonts w:ascii="Times New Roman" w:hAnsi="Times New Roman" w:cs="Times New Roman"/>
          <w:i/>
          <w:sz w:val="28"/>
          <w:szCs w:val="28"/>
        </w:rPr>
        <w:t xml:space="preserve"> detaliu în Tabelul</w:t>
      </w:r>
      <w:r w:rsidR="003D035D" w:rsidRPr="003C4B9E">
        <w:rPr>
          <w:rFonts w:ascii="Times New Roman" w:hAnsi="Times New Roman" w:cs="Times New Roman"/>
          <w:i/>
          <w:sz w:val="28"/>
          <w:szCs w:val="28"/>
        </w:rPr>
        <w:t xml:space="preserve"> nr.10 din Anexa nr.3</w:t>
      </w:r>
      <w:r w:rsidR="00C26C38" w:rsidRPr="003C4B9E">
        <w:rPr>
          <w:rFonts w:ascii="Times New Roman" w:hAnsi="Times New Roman" w:cs="Times New Roman"/>
          <w:i/>
          <w:sz w:val="28"/>
          <w:szCs w:val="28"/>
        </w:rPr>
        <w:t xml:space="preserve"> la Raport</w:t>
      </w:r>
      <w:r w:rsidR="009309F9">
        <w:rPr>
          <w:rFonts w:ascii="Times New Roman" w:hAnsi="Times New Roman" w:cs="Times New Roman"/>
          <w:i/>
          <w:sz w:val="28"/>
          <w:szCs w:val="28"/>
        </w:rPr>
        <w:t>ul</w:t>
      </w:r>
      <w:r w:rsidR="00C26C38" w:rsidRPr="003C4B9E">
        <w:rPr>
          <w:rFonts w:ascii="Times New Roman" w:hAnsi="Times New Roman" w:cs="Times New Roman"/>
          <w:i/>
          <w:sz w:val="28"/>
          <w:szCs w:val="28"/>
        </w:rPr>
        <w:t xml:space="preserve"> de audit.</w:t>
      </w:r>
    </w:p>
    <w:p w:rsidR="00AE1F37" w:rsidRPr="001D0846" w:rsidRDefault="00AE1F37" w:rsidP="000A421F">
      <w:pPr>
        <w:spacing w:after="0" w:line="276" w:lineRule="auto"/>
        <w:ind w:right="-2" w:firstLine="720"/>
        <w:jc w:val="both"/>
        <w:rPr>
          <w:rFonts w:ascii="Times New Roman" w:hAnsi="Times New Roman" w:cs="Times New Roman"/>
          <w:sz w:val="28"/>
          <w:szCs w:val="28"/>
        </w:rPr>
      </w:pPr>
      <w:r w:rsidRPr="001D0846">
        <w:rPr>
          <w:rFonts w:ascii="Times New Roman" w:hAnsi="Times New Roman" w:cs="Times New Roman"/>
          <w:sz w:val="28"/>
          <w:szCs w:val="28"/>
        </w:rPr>
        <w:t xml:space="preserve">Analiza datelor prezentate în </w:t>
      </w:r>
      <w:r w:rsidR="009309F9">
        <w:rPr>
          <w:rFonts w:ascii="Times New Roman" w:hAnsi="Times New Roman" w:cs="Times New Roman"/>
          <w:sz w:val="28"/>
          <w:szCs w:val="28"/>
        </w:rPr>
        <w:t>t</w:t>
      </w:r>
      <w:r w:rsidRPr="001D0846">
        <w:rPr>
          <w:rFonts w:ascii="Times New Roman" w:hAnsi="Times New Roman" w:cs="Times New Roman"/>
          <w:sz w:val="28"/>
          <w:szCs w:val="28"/>
        </w:rPr>
        <w:t xml:space="preserve">abel relevă un trend ascendent al veniturilor bugetare </w:t>
      </w:r>
      <w:r w:rsidRPr="00E34020">
        <w:rPr>
          <w:rFonts w:ascii="Times New Roman" w:hAnsi="Times New Roman" w:cs="Times New Roman"/>
          <w:sz w:val="28"/>
          <w:szCs w:val="28"/>
        </w:rPr>
        <w:t>încasate la BS</w:t>
      </w:r>
      <w:r w:rsidR="009309F9" w:rsidRPr="00E34020">
        <w:rPr>
          <w:rFonts w:ascii="Times New Roman" w:hAnsi="Times New Roman" w:cs="Times New Roman"/>
          <w:sz w:val="28"/>
          <w:szCs w:val="28"/>
        </w:rPr>
        <w:t xml:space="preserve"> (</w:t>
      </w:r>
      <w:r w:rsidRPr="00E34020">
        <w:rPr>
          <w:rFonts w:ascii="Times New Roman" w:hAnsi="Times New Roman" w:cs="Times New Roman"/>
          <w:sz w:val="28"/>
          <w:szCs w:val="28"/>
        </w:rPr>
        <w:t>de la 15,8 ml</w:t>
      </w:r>
      <w:r w:rsidR="00E34020" w:rsidRPr="00E34020">
        <w:rPr>
          <w:rFonts w:ascii="Times New Roman" w:hAnsi="Times New Roman" w:cs="Times New Roman"/>
          <w:sz w:val="28"/>
          <w:szCs w:val="28"/>
        </w:rPr>
        <w:t>r</w:t>
      </w:r>
      <w:r w:rsidRPr="00E34020">
        <w:rPr>
          <w:rFonts w:ascii="Times New Roman" w:hAnsi="Times New Roman" w:cs="Times New Roman"/>
          <w:sz w:val="28"/>
          <w:szCs w:val="28"/>
        </w:rPr>
        <w:t>d.lei în anul 2015 până la 20,4 m</w:t>
      </w:r>
      <w:r w:rsidR="00E34020" w:rsidRPr="00E34020">
        <w:rPr>
          <w:rFonts w:ascii="Times New Roman" w:hAnsi="Times New Roman" w:cs="Times New Roman"/>
          <w:sz w:val="28"/>
          <w:szCs w:val="28"/>
        </w:rPr>
        <w:t>lrd</w:t>
      </w:r>
      <w:r w:rsidRPr="00E34020">
        <w:rPr>
          <w:rFonts w:ascii="Times New Roman" w:hAnsi="Times New Roman" w:cs="Times New Roman"/>
          <w:sz w:val="28"/>
          <w:szCs w:val="28"/>
        </w:rPr>
        <w:t>.lei în anul 2017</w:t>
      </w:r>
      <w:r w:rsidR="009309F9" w:rsidRPr="00E34020">
        <w:rPr>
          <w:rFonts w:ascii="Times New Roman" w:hAnsi="Times New Roman" w:cs="Times New Roman"/>
          <w:sz w:val="28"/>
          <w:szCs w:val="28"/>
        </w:rPr>
        <w:t>)</w:t>
      </w:r>
      <w:r w:rsidR="00E34020" w:rsidRPr="00E34020">
        <w:rPr>
          <w:rFonts w:ascii="Times New Roman" w:hAnsi="Times New Roman" w:cs="Times New Roman"/>
          <w:sz w:val="28"/>
          <w:szCs w:val="28"/>
        </w:rPr>
        <w:t>.</w:t>
      </w:r>
      <w:r w:rsidRPr="00E34020">
        <w:rPr>
          <w:rFonts w:ascii="Times New Roman" w:hAnsi="Times New Roman" w:cs="Times New Roman"/>
          <w:sz w:val="28"/>
          <w:szCs w:val="28"/>
        </w:rPr>
        <w:t>Concomitent, pe fundalul creșterii veniturilor</w:t>
      </w:r>
      <w:r w:rsidR="009309F9">
        <w:rPr>
          <w:rFonts w:ascii="Times New Roman" w:hAnsi="Times New Roman" w:cs="Times New Roman"/>
          <w:sz w:val="28"/>
          <w:szCs w:val="28"/>
        </w:rPr>
        <w:t>,</w:t>
      </w:r>
      <w:r w:rsidRPr="001D0846">
        <w:rPr>
          <w:rFonts w:ascii="Times New Roman" w:hAnsi="Times New Roman" w:cs="Times New Roman"/>
          <w:sz w:val="28"/>
          <w:szCs w:val="28"/>
        </w:rPr>
        <w:t xml:space="preserve"> se atestă o dinamică ascendentă a costurilor (cheltuieli totale) suportate în activitatea de administrare, care în anul 2017 au atins plafonul maxim al perioadei analizate, însumând în total 445,4 mil.lei</w:t>
      </w:r>
      <w:r w:rsidR="009309F9">
        <w:rPr>
          <w:rFonts w:ascii="Times New Roman" w:hAnsi="Times New Roman" w:cs="Times New Roman"/>
          <w:sz w:val="28"/>
          <w:szCs w:val="28"/>
        </w:rPr>
        <w:t xml:space="preserve"> și</w:t>
      </w:r>
      <w:r w:rsidRPr="001D0846">
        <w:rPr>
          <w:rFonts w:ascii="Times New Roman" w:hAnsi="Times New Roman" w:cs="Times New Roman"/>
          <w:sz w:val="28"/>
          <w:szCs w:val="28"/>
        </w:rPr>
        <w:t xml:space="preserve"> fiind în creștere față de anul 2015 cu 112,9 mil.lei, sau 25,3%</w:t>
      </w:r>
      <w:r w:rsidR="009309F9">
        <w:rPr>
          <w:rFonts w:ascii="Times New Roman" w:hAnsi="Times New Roman" w:cs="Times New Roman"/>
          <w:sz w:val="28"/>
          <w:szCs w:val="28"/>
        </w:rPr>
        <w:t>,</w:t>
      </w:r>
      <w:r w:rsidRPr="001D0846">
        <w:rPr>
          <w:rFonts w:ascii="Times New Roman" w:hAnsi="Times New Roman" w:cs="Times New Roman"/>
          <w:sz w:val="28"/>
          <w:szCs w:val="28"/>
        </w:rPr>
        <w:t xml:space="preserve"> și </w:t>
      </w:r>
      <w:r w:rsidR="009309F9" w:rsidRPr="001D0846">
        <w:rPr>
          <w:rFonts w:ascii="Times New Roman" w:hAnsi="Times New Roman" w:cs="Times New Roman"/>
          <w:sz w:val="28"/>
          <w:szCs w:val="28"/>
        </w:rPr>
        <w:t>față de anul 2016</w:t>
      </w:r>
      <w:r w:rsidR="009309F9">
        <w:rPr>
          <w:rFonts w:ascii="Times New Roman" w:hAnsi="Times New Roman" w:cs="Times New Roman"/>
          <w:sz w:val="28"/>
          <w:szCs w:val="28"/>
        </w:rPr>
        <w:t xml:space="preserve"> - </w:t>
      </w:r>
      <w:r w:rsidRPr="001D0846">
        <w:rPr>
          <w:rFonts w:ascii="Times New Roman" w:hAnsi="Times New Roman" w:cs="Times New Roman"/>
          <w:sz w:val="28"/>
          <w:szCs w:val="28"/>
        </w:rPr>
        <w:t>cu 147,3 mil.lei, sau 33,1%.</w:t>
      </w:r>
    </w:p>
    <w:p w:rsidR="00AE1F37" w:rsidRPr="001D0846" w:rsidRDefault="00AE1F37" w:rsidP="000A421F">
      <w:pPr>
        <w:spacing w:after="0" w:line="276" w:lineRule="auto"/>
        <w:ind w:right="-2" w:firstLine="720"/>
        <w:jc w:val="both"/>
      </w:pPr>
      <w:r w:rsidRPr="001D0846">
        <w:rPr>
          <w:rFonts w:ascii="Times New Roman" w:hAnsi="Times New Roman" w:cs="Times New Roman"/>
          <w:sz w:val="28"/>
          <w:szCs w:val="28"/>
        </w:rPr>
        <w:t>Astfel, datele analizate</w:t>
      </w:r>
      <w:r w:rsidR="009309F9">
        <w:rPr>
          <w:rFonts w:ascii="Times New Roman" w:hAnsi="Times New Roman" w:cs="Times New Roman"/>
          <w:sz w:val="28"/>
          <w:szCs w:val="28"/>
        </w:rPr>
        <w:t>indică</w:t>
      </w:r>
      <w:r w:rsidRPr="001D0846">
        <w:rPr>
          <w:rFonts w:ascii="Times New Roman" w:hAnsi="Times New Roman" w:cs="Times New Roman"/>
          <w:sz w:val="28"/>
          <w:szCs w:val="28"/>
        </w:rPr>
        <w:t xml:space="preserve"> un ritm de majorare a costurilor de colectare, care a depășit </w:t>
      </w:r>
      <w:r w:rsidR="009309F9">
        <w:rPr>
          <w:rFonts w:ascii="Times New Roman" w:hAnsi="Times New Roman" w:cs="Times New Roman"/>
          <w:sz w:val="28"/>
          <w:szCs w:val="28"/>
        </w:rPr>
        <w:t>(</w:t>
      </w:r>
      <w:r w:rsidRPr="001D0846">
        <w:rPr>
          <w:rFonts w:ascii="Times New Roman" w:hAnsi="Times New Roman" w:cs="Times New Roman"/>
          <w:sz w:val="28"/>
          <w:szCs w:val="28"/>
        </w:rPr>
        <w:t>în cote procentuale</w:t>
      </w:r>
      <w:r w:rsidR="009309F9">
        <w:rPr>
          <w:rFonts w:ascii="Times New Roman" w:hAnsi="Times New Roman" w:cs="Times New Roman"/>
          <w:sz w:val="28"/>
          <w:szCs w:val="28"/>
        </w:rPr>
        <w:t>)</w:t>
      </w:r>
      <w:r w:rsidRPr="001D0846">
        <w:rPr>
          <w:rFonts w:ascii="Times New Roman" w:hAnsi="Times New Roman" w:cs="Times New Roman"/>
          <w:sz w:val="28"/>
          <w:szCs w:val="28"/>
        </w:rPr>
        <w:t xml:space="preserve"> ritmul de creștere a veniturilor încasate în </w:t>
      </w:r>
      <w:r w:rsidR="009309F9">
        <w:rPr>
          <w:rFonts w:ascii="Times New Roman" w:hAnsi="Times New Roman" w:cs="Times New Roman"/>
          <w:sz w:val="28"/>
          <w:szCs w:val="28"/>
        </w:rPr>
        <w:t xml:space="preserve">anul </w:t>
      </w:r>
      <w:r w:rsidRPr="001D0846">
        <w:rPr>
          <w:rFonts w:ascii="Times New Roman" w:hAnsi="Times New Roman" w:cs="Times New Roman"/>
          <w:sz w:val="28"/>
          <w:szCs w:val="28"/>
        </w:rPr>
        <w:t xml:space="preserve"> 2017, deși în </w:t>
      </w:r>
      <w:r w:rsidR="009309F9">
        <w:rPr>
          <w:rFonts w:ascii="Times New Roman" w:hAnsi="Times New Roman" w:cs="Times New Roman"/>
          <w:sz w:val="28"/>
          <w:szCs w:val="28"/>
        </w:rPr>
        <w:t>anul</w:t>
      </w:r>
      <w:r w:rsidRPr="001D0846">
        <w:rPr>
          <w:rFonts w:ascii="Times New Roman" w:hAnsi="Times New Roman" w:cs="Times New Roman"/>
          <w:sz w:val="28"/>
          <w:szCs w:val="28"/>
        </w:rPr>
        <w:t xml:space="preserve"> 2016 s-a </w:t>
      </w:r>
      <w:r w:rsidR="009309F9">
        <w:rPr>
          <w:rFonts w:ascii="Times New Roman" w:hAnsi="Times New Roman" w:cs="Times New Roman"/>
          <w:sz w:val="28"/>
          <w:szCs w:val="28"/>
        </w:rPr>
        <w:t>atestat</w:t>
      </w:r>
      <w:r w:rsidRPr="001D0846">
        <w:rPr>
          <w:rFonts w:ascii="Times New Roman" w:hAnsi="Times New Roman" w:cs="Times New Roman"/>
          <w:sz w:val="28"/>
          <w:szCs w:val="28"/>
        </w:rPr>
        <w:t xml:space="preserve"> un ritm de micșorare a costurilor de colectare</w:t>
      </w:r>
      <w:r w:rsidR="00C26C38" w:rsidRPr="001D0846">
        <w:rPr>
          <w:rFonts w:ascii="Times New Roman" w:hAnsi="Times New Roman" w:cs="Times New Roman"/>
          <w:sz w:val="28"/>
          <w:szCs w:val="28"/>
        </w:rPr>
        <w:t>.</w:t>
      </w:r>
    </w:p>
    <w:p w:rsidR="00AE1F37" w:rsidRPr="001D0846" w:rsidRDefault="00ED4AA3" w:rsidP="000A421F">
      <w:pPr>
        <w:spacing w:after="0" w:line="276" w:lineRule="auto"/>
        <w:ind w:right="-2" w:firstLine="720"/>
        <w:jc w:val="both"/>
        <w:rPr>
          <w:rFonts w:ascii="Times New Roman" w:hAnsi="Times New Roman" w:cs="Times New Roman"/>
          <w:sz w:val="28"/>
          <w:szCs w:val="28"/>
        </w:rPr>
      </w:pPr>
      <w:r w:rsidRPr="001D0846">
        <w:rPr>
          <w:rFonts w:ascii="Times New Roman" w:hAnsi="Times New Roman" w:cs="Times New Roman"/>
          <w:sz w:val="28"/>
          <w:szCs w:val="28"/>
        </w:rPr>
        <w:t>A</w:t>
      </w:r>
      <w:r w:rsidR="00C26C38" w:rsidRPr="001D0846">
        <w:rPr>
          <w:rFonts w:ascii="Times New Roman" w:hAnsi="Times New Roman" w:cs="Times New Roman"/>
          <w:sz w:val="28"/>
          <w:szCs w:val="28"/>
        </w:rPr>
        <w:t>naliza efectuată de audit</w:t>
      </w:r>
      <w:r w:rsidR="00AE1F37" w:rsidRPr="001D0846">
        <w:rPr>
          <w:rFonts w:ascii="Times New Roman" w:hAnsi="Times New Roman" w:cs="Times New Roman"/>
          <w:sz w:val="28"/>
          <w:szCs w:val="28"/>
        </w:rPr>
        <w:t xml:space="preserve"> relevă că, în </w:t>
      </w:r>
      <w:r w:rsidR="00E205C4">
        <w:rPr>
          <w:rFonts w:ascii="Times New Roman" w:hAnsi="Times New Roman" w:cs="Times New Roman"/>
          <w:sz w:val="28"/>
          <w:szCs w:val="28"/>
        </w:rPr>
        <w:t>anul</w:t>
      </w:r>
      <w:r w:rsidR="00AE1F37" w:rsidRPr="001D0846">
        <w:rPr>
          <w:rFonts w:ascii="Times New Roman" w:hAnsi="Times New Roman" w:cs="Times New Roman"/>
          <w:sz w:val="28"/>
          <w:szCs w:val="28"/>
        </w:rPr>
        <w:t xml:space="preserve"> 2017 s</w:t>
      </w:r>
      <w:r w:rsidR="00E205C4">
        <w:rPr>
          <w:rFonts w:ascii="Times New Roman" w:hAnsi="Times New Roman" w:cs="Times New Roman"/>
          <w:sz w:val="28"/>
          <w:szCs w:val="28"/>
        </w:rPr>
        <w:t>-a înregistrat</w:t>
      </w:r>
      <w:r w:rsidR="00AE1F37" w:rsidRPr="001D0846">
        <w:rPr>
          <w:rFonts w:ascii="Times New Roman" w:hAnsi="Times New Roman" w:cs="Times New Roman"/>
          <w:sz w:val="28"/>
          <w:szCs w:val="28"/>
        </w:rPr>
        <w:t xml:space="preserve"> un ritm de creștere cu 14,2% a veniturilor încasate de SV, pe când ritmul de creștere a costurilor în această perioad</w:t>
      </w:r>
      <w:r w:rsidR="00E205C4">
        <w:rPr>
          <w:rFonts w:ascii="Times New Roman" w:hAnsi="Times New Roman" w:cs="Times New Roman"/>
          <w:sz w:val="28"/>
          <w:szCs w:val="28"/>
        </w:rPr>
        <w:t>ă</w:t>
      </w:r>
      <w:r w:rsidR="00AE1F37" w:rsidRPr="001D0846">
        <w:rPr>
          <w:rFonts w:ascii="Times New Roman" w:hAnsi="Times New Roman" w:cs="Times New Roman"/>
          <w:sz w:val="28"/>
          <w:szCs w:val="28"/>
        </w:rPr>
        <w:t xml:space="preserve"> a constituit 33,1%. În perioada </w:t>
      </w:r>
      <w:r w:rsidR="00E205C4">
        <w:rPr>
          <w:rFonts w:ascii="Times New Roman" w:hAnsi="Times New Roman" w:cs="Times New Roman"/>
          <w:sz w:val="28"/>
          <w:szCs w:val="28"/>
        </w:rPr>
        <w:t xml:space="preserve">anilor </w:t>
      </w:r>
      <w:r w:rsidR="00AE1F37" w:rsidRPr="001D0846">
        <w:rPr>
          <w:rFonts w:ascii="Times New Roman" w:hAnsi="Times New Roman" w:cs="Times New Roman"/>
          <w:sz w:val="28"/>
          <w:szCs w:val="28"/>
        </w:rPr>
        <w:t>2015-2016 ritmul de creștere a veniturilor a constituit 9,4%, iar ritmul costurilor a înregistr</w:t>
      </w:r>
      <w:r w:rsidRPr="001D0846">
        <w:rPr>
          <w:rFonts w:ascii="Times New Roman" w:hAnsi="Times New Roman" w:cs="Times New Roman"/>
          <w:sz w:val="28"/>
          <w:szCs w:val="28"/>
        </w:rPr>
        <w:t xml:space="preserve">at o descreștere cu 10,3%, ceea </w:t>
      </w:r>
      <w:r w:rsidR="00AE1F37" w:rsidRPr="001D0846">
        <w:rPr>
          <w:rFonts w:ascii="Times New Roman" w:hAnsi="Times New Roman" w:cs="Times New Roman"/>
          <w:sz w:val="28"/>
          <w:szCs w:val="28"/>
        </w:rPr>
        <w:t xml:space="preserve">ce reprezintă o tendință pozitivă de majorare a venturilor bugetare prin minimizarea costurilor. </w:t>
      </w:r>
    </w:p>
    <w:p w:rsidR="00AE1F37" w:rsidRPr="001D0846" w:rsidRDefault="00AE1F37" w:rsidP="000A421F">
      <w:pPr>
        <w:spacing w:after="0" w:line="276" w:lineRule="auto"/>
        <w:ind w:right="-2" w:firstLine="720"/>
        <w:jc w:val="both"/>
      </w:pPr>
      <w:r w:rsidRPr="001D0846">
        <w:rPr>
          <w:rFonts w:ascii="Times New Roman" w:hAnsi="Times New Roman" w:cs="Times New Roman"/>
          <w:sz w:val="28"/>
          <w:szCs w:val="28"/>
        </w:rPr>
        <w:t xml:space="preserve">Totodată, se menționează că, deși costurile administrării </w:t>
      </w:r>
      <w:r w:rsidR="0044065A" w:rsidRPr="001D0846">
        <w:rPr>
          <w:rFonts w:ascii="Times New Roman" w:hAnsi="Times New Roman" w:cs="Times New Roman"/>
          <w:sz w:val="28"/>
          <w:szCs w:val="28"/>
        </w:rPr>
        <w:t>vamale</w:t>
      </w:r>
      <w:r w:rsidRPr="001D0846">
        <w:rPr>
          <w:rFonts w:ascii="Times New Roman" w:hAnsi="Times New Roman" w:cs="Times New Roman"/>
          <w:sz w:val="28"/>
          <w:szCs w:val="28"/>
        </w:rPr>
        <w:t xml:space="preserve"> în </w:t>
      </w:r>
      <w:r w:rsidR="00E205C4">
        <w:rPr>
          <w:rFonts w:ascii="Times New Roman" w:hAnsi="Times New Roman" w:cs="Times New Roman"/>
          <w:sz w:val="28"/>
          <w:szCs w:val="28"/>
        </w:rPr>
        <w:t>anul</w:t>
      </w:r>
      <w:r w:rsidRPr="001D0846">
        <w:rPr>
          <w:rFonts w:ascii="Times New Roman" w:hAnsi="Times New Roman" w:cs="Times New Roman"/>
          <w:sz w:val="28"/>
          <w:szCs w:val="28"/>
        </w:rPr>
        <w:t xml:space="preserve"> 2017 au crescut, numărul mediu de personal în această perioadă este în scădere cu 138 </w:t>
      </w:r>
      <w:r w:rsidR="00E205C4">
        <w:rPr>
          <w:rFonts w:ascii="Times New Roman" w:hAnsi="Times New Roman" w:cs="Times New Roman"/>
          <w:sz w:val="28"/>
          <w:szCs w:val="28"/>
        </w:rPr>
        <w:t xml:space="preserve">de </w:t>
      </w:r>
      <w:r w:rsidRPr="001D0846">
        <w:rPr>
          <w:rFonts w:ascii="Times New Roman" w:hAnsi="Times New Roman" w:cs="Times New Roman"/>
          <w:sz w:val="28"/>
          <w:szCs w:val="28"/>
        </w:rPr>
        <w:t xml:space="preserve">persoane, sau </w:t>
      </w:r>
      <w:r w:rsidR="00E205C4">
        <w:rPr>
          <w:rFonts w:ascii="Times New Roman" w:hAnsi="Times New Roman" w:cs="Times New Roman"/>
          <w:sz w:val="28"/>
          <w:szCs w:val="28"/>
        </w:rPr>
        <w:t xml:space="preserve">cu </w:t>
      </w:r>
      <w:r w:rsidRPr="001D0846">
        <w:rPr>
          <w:rFonts w:ascii="Times New Roman" w:hAnsi="Times New Roman" w:cs="Times New Roman"/>
          <w:sz w:val="28"/>
          <w:szCs w:val="28"/>
        </w:rPr>
        <w:t xml:space="preserve">circa 8% față de </w:t>
      </w:r>
      <w:r w:rsidR="00E205C4">
        <w:rPr>
          <w:rFonts w:ascii="Times New Roman" w:hAnsi="Times New Roman" w:cs="Times New Roman"/>
          <w:sz w:val="28"/>
          <w:szCs w:val="28"/>
        </w:rPr>
        <w:t>anii</w:t>
      </w:r>
      <w:r w:rsidRPr="001D0846">
        <w:rPr>
          <w:rFonts w:ascii="Times New Roman" w:hAnsi="Times New Roman" w:cs="Times New Roman"/>
          <w:sz w:val="28"/>
          <w:szCs w:val="28"/>
        </w:rPr>
        <w:t xml:space="preserve"> 2015-2016, iar numărul plătitorilor este în creștere de la 403758 plătitori în anul 2015 până la 515536 plătitori, sau circa 21%</w:t>
      </w:r>
      <w:r w:rsidR="00E205C4">
        <w:rPr>
          <w:rFonts w:ascii="Times New Roman" w:hAnsi="Times New Roman" w:cs="Times New Roman"/>
          <w:sz w:val="28"/>
          <w:szCs w:val="28"/>
        </w:rPr>
        <w:t xml:space="preserve">, </w:t>
      </w:r>
      <w:r w:rsidRPr="001D0846">
        <w:rPr>
          <w:rFonts w:ascii="Times New Roman" w:hAnsi="Times New Roman" w:cs="Times New Roman"/>
          <w:sz w:val="28"/>
          <w:szCs w:val="28"/>
        </w:rPr>
        <w:t xml:space="preserve"> în anul 2017.</w:t>
      </w:r>
    </w:p>
    <w:p w:rsidR="00AE1F37" w:rsidRPr="001D0846" w:rsidRDefault="00AE1F37" w:rsidP="000A421F">
      <w:pPr>
        <w:spacing w:after="0" w:line="276" w:lineRule="auto"/>
        <w:ind w:right="-2" w:firstLine="720"/>
        <w:jc w:val="both"/>
        <w:rPr>
          <w:rFonts w:ascii="Times New Roman" w:hAnsi="Times New Roman" w:cs="Times New Roman"/>
          <w:sz w:val="28"/>
          <w:szCs w:val="28"/>
        </w:rPr>
      </w:pPr>
      <w:r w:rsidRPr="001D0846">
        <w:rPr>
          <w:rFonts w:ascii="Times New Roman" w:hAnsi="Times New Roman" w:cs="Times New Roman"/>
          <w:sz w:val="28"/>
          <w:szCs w:val="28"/>
        </w:rPr>
        <w:t xml:space="preserve">În scopul evaluării eficienței, eficacității și economicității în activitatea de administrare a impozitelor și taxelor realizată de către SV, auditul a analizat următorii indicatori ce caracterizează nivelul de atingere a performanțelor stabilite: (1) Mii lei cheltuiți la 1 milion lei de venituri colectate; (2) Mii lei cheltuieli de personal la 1 milion lei de venituri colectate; (3) Venituri bugetare colectate la </w:t>
      </w:r>
      <w:r w:rsidRPr="001D0846">
        <w:rPr>
          <w:rFonts w:ascii="Times New Roman" w:hAnsi="Times New Roman" w:cs="Times New Roman"/>
          <w:sz w:val="28"/>
          <w:szCs w:val="28"/>
        </w:rPr>
        <w:lastRenderedPageBreak/>
        <w:t xml:space="preserve">numărul mediu de personal; (4) Venituri bugetare colectate la numărul mediu de contribuabili.   </w:t>
      </w:r>
    </w:p>
    <w:p w:rsidR="00AE1F37" w:rsidRPr="001D0846" w:rsidRDefault="00AE1F37" w:rsidP="006358AD">
      <w:pPr>
        <w:spacing w:after="0" w:line="276" w:lineRule="auto"/>
        <w:ind w:right="-334" w:firstLine="720"/>
        <w:jc w:val="both"/>
        <w:rPr>
          <w:rFonts w:ascii="Times New Roman" w:hAnsi="Times New Roman" w:cs="Times New Roman"/>
          <w:sz w:val="28"/>
          <w:szCs w:val="28"/>
        </w:rPr>
      </w:pPr>
      <w:r w:rsidRPr="001D0846">
        <w:rPr>
          <w:rFonts w:ascii="Times New Roman" w:hAnsi="Times New Roman" w:cs="Times New Roman"/>
          <w:sz w:val="28"/>
          <w:szCs w:val="28"/>
        </w:rPr>
        <w:t>Astfel, analiza efectuată de audit asupra indicatorilor menționați relevă:</w:t>
      </w:r>
    </w:p>
    <w:p w:rsidR="00AE1F37" w:rsidRPr="00C31FCA" w:rsidRDefault="00C31FCA" w:rsidP="00C31FCA">
      <w:pPr>
        <w:tabs>
          <w:tab w:val="left" w:pos="630"/>
        </w:tabs>
        <w:spacing w:after="0" w:line="276" w:lineRule="auto"/>
        <w:ind w:right="-2"/>
        <w:jc w:val="both"/>
        <w:rPr>
          <w:rFonts w:ascii="Times New Roman" w:hAnsi="Times New Roman" w:cs="Times New Roman"/>
          <w:sz w:val="28"/>
          <w:szCs w:val="28"/>
        </w:rPr>
      </w:pPr>
      <w:r>
        <w:rPr>
          <w:rFonts w:ascii="Times New Roman" w:hAnsi="Times New Roman" w:cs="Times New Roman"/>
          <w:sz w:val="28"/>
          <w:szCs w:val="28"/>
        </w:rPr>
        <w:tab/>
        <w:t xml:space="preserve">(i) </w:t>
      </w:r>
      <w:r w:rsidR="00AE1F37" w:rsidRPr="00C31FCA">
        <w:rPr>
          <w:rFonts w:ascii="Times New Roman" w:hAnsi="Times New Roman" w:cs="Times New Roman"/>
          <w:sz w:val="28"/>
          <w:szCs w:val="28"/>
        </w:rPr>
        <w:t>creșterea în dinamică a cheltuielilor la 1 milion lei de venituri colectate</w:t>
      </w:r>
      <w:r w:rsidR="00E205C4" w:rsidRPr="00C31FCA">
        <w:rPr>
          <w:rFonts w:ascii="Times New Roman" w:hAnsi="Times New Roman" w:cs="Times New Roman"/>
          <w:sz w:val="28"/>
          <w:szCs w:val="28"/>
        </w:rPr>
        <w:t xml:space="preserve"> (</w:t>
      </w:r>
      <w:r w:rsidR="00AE1F37" w:rsidRPr="00C31FCA">
        <w:rPr>
          <w:rFonts w:ascii="Times New Roman" w:hAnsi="Times New Roman" w:cs="Times New Roman"/>
          <w:sz w:val="28"/>
          <w:szCs w:val="28"/>
        </w:rPr>
        <w:t xml:space="preserve"> de la 21</w:t>
      </w:r>
      <w:r w:rsidR="00E205C4" w:rsidRPr="00C31FCA">
        <w:rPr>
          <w:rFonts w:ascii="Times New Roman" w:hAnsi="Times New Roman" w:cs="Times New Roman"/>
          <w:sz w:val="28"/>
          <w:szCs w:val="28"/>
        </w:rPr>
        <w:t>,0</w:t>
      </w:r>
      <w:r w:rsidR="00AE1F37" w:rsidRPr="00C31FCA">
        <w:rPr>
          <w:rFonts w:ascii="Times New Roman" w:hAnsi="Times New Roman" w:cs="Times New Roman"/>
          <w:sz w:val="28"/>
          <w:szCs w:val="28"/>
        </w:rPr>
        <w:t xml:space="preserve"> mii lei în anul 2015 până la 22</w:t>
      </w:r>
      <w:r w:rsidR="00E205C4" w:rsidRPr="00C31FCA">
        <w:rPr>
          <w:rFonts w:ascii="Times New Roman" w:hAnsi="Times New Roman" w:cs="Times New Roman"/>
          <w:sz w:val="28"/>
          <w:szCs w:val="28"/>
        </w:rPr>
        <w:t>,0</w:t>
      </w:r>
      <w:r w:rsidR="00AE1F37" w:rsidRPr="00C31FCA">
        <w:rPr>
          <w:rFonts w:ascii="Times New Roman" w:hAnsi="Times New Roman" w:cs="Times New Roman"/>
          <w:sz w:val="28"/>
          <w:szCs w:val="28"/>
        </w:rPr>
        <w:t xml:space="preserve"> mii lei în anul 2017</w:t>
      </w:r>
      <w:r w:rsidR="00E205C4" w:rsidRPr="00C31FCA">
        <w:rPr>
          <w:rFonts w:ascii="Times New Roman" w:hAnsi="Times New Roman" w:cs="Times New Roman"/>
          <w:sz w:val="28"/>
          <w:szCs w:val="28"/>
        </w:rPr>
        <w:t>)</w:t>
      </w:r>
      <w:r w:rsidR="00AE1F37" w:rsidRPr="00C31FCA">
        <w:rPr>
          <w:rFonts w:ascii="Times New Roman" w:hAnsi="Times New Roman" w:cs="Times New Roman"/>
          <w:sz w:val="28"/>
          <w:szCs w:val="28"/>
        </w:rPr>
        <w:t>, cu o descreștere în anul 2016 până la 17,1 mii lei;</w:t>
      </w:r>
    </w:p>
    <w:p w:rsidR="00AE1F37" w:rsidRPr="00C31FCA" w:rsidRDefault="00C31FCA" w:rsidP="00C31FCA">
      <w:pPr>
        <w:tabs>
          <w:tab w:val="left" w:pos="630"/>
        </w:tabs>
        <w:spacing w:after="0" w:line="276" w:lineRule="auto"/>
        <w:ind w:right="-2"/>
        <w:jc w:val="both"/>
        <w:rPr>
          <w:rFonts w:ascii="Times New Roman" w:hAnsi="Times New Roman" w:cs="Times New Roman"/>
          <w:sz w:val="28"/>
          <w:szCs w:val="28"/>
        </w:rPr>
      </w:pPr>
      <w:r>
        <w:rPr>
          <w:rFonts w:ascii="Times New Roman" w:hAnsi="Times New Roman" w:cs="Times New Roman"/>
          <w:sz w:val="28"/>
          <w:szCs w:val="28"/>
        </w:rPr>
        <w:tab/>
        <w:t xml:space="preserve">(ii) </w:t>
      </w:r>
      <w:r w:rsidR="00BD4258" w:rsidRPr="00C31FCA">
        <w:rPr>
          <w:rFonts w:ascii="Times New Roman" w:hAnsi="Times New Roman" w:cs="Times New Roman"/>
          <w:sz w:val="28"/>
          <w:szCs w:val="28"/>
        </w:rPr>
        <w:t>evoluția</w:t>
      </w:r>
      <w:r w:rsidR="00AE1F37" w:rsidRPr="00C31FCA">
        <w:rPr>
          <w:rFonts w:ascii="Times New Roman" w:hAnsi="Times New Roman" w:cs="Times New Roman"/>
          <w:sz w:val="28"/>
          <w:szCs w:val="28"/>
        </w:rPr>
        <w:t xml:space="preserve"> în dinamică a cheltuielilor de personal la 1 milion de venituri colectate</w:t>
      </w:r>
      <w:r w:rsidR="00E205C4" w:rsidRPr="00C31FCA">
        <w:rPr>
          <w:rFonts w:ascii="Times New Roman" w:hAnsi="Times New Roman" w:cs="Times New Roman"/>
          <w:sz w:val="28"/>
          <w:szCs w:val="28"/>
        </w:rPr>
        <w:t xml:space="preserve"> (</w:t>
      </w:r>
      <w:r w:rsidR="00AE1F37" w:rsidRPr="00C31FCA">
        <w:rPr>
          <w:rFonts w:ascii="Times New Roman" w:hAnsi="Times New Roman" w:cs="Times New Roman"/>
          <w:sz w:val="28"/>
          <w:szCs w:val="28"/>
        </w:rPr>
        <w:t xml:space="preserve"> de la 10,1 mii lei în anul 2015 </w:t>
      </w:r>
      <w:r w:rsidR="00E205C4" w:rsidRPr="00C31FCA">
        <w:rPr>
          <w:rFonts w:ascii="Times New Roman" w:hAnsi="Times New Roman" w:cs="Times New Roman"/>
          <w:sz w:val="28"/>
          <w:szCs w:val="28"/>
        </w:rPr>
        <w:t xml:space="preserve">până </w:t>
      </w:r>
      <w:r w:rsidR="00AE1F37" w:rsidRPr="00C31FCA">
        <w:rPr>
          <w:rFonts w:ascii="Times New Roman" w:hAnsi="Times New Roman" w:cs="Times New Roman"/>
          <w:sz w:val="28"/>
          <w:szCs w:val="28"/>
        </w:rPr>
        <w:t>la 14,8 mii lei în anul 2017</w:t>
      </w:r>
      <w:r w:rsidR="00E205C4" w:rsidRPr="00C31FCA">
        <w:rPr>
          <w:rFonts w:ascii="Times New Roman" w:hAnsi="Times New Roman" w:cs="Times New Roman"/>
          <w:sz w:val="28"/>
          <w:szCs w:val="28"/>
        </w:rPr>
        <w:t>)</w:t>
      </w:r>
      <w:r w:rsidR="00AE1F37" w:rsidRPr="00C31FCA">
        <w:rPr>
          <w:rFonts w:ascii="Times New Roman" w:hAnsi="Times New Roman" w:cs="Times New Roman"/>
          <w:sz w:val="28"/>
          <w:szCs w:val="28"/>
        </w:rPr>
        <w:t>;</w:t>
      </w:r>
    </w:p>
    <w:p w:rsidR="00AE1F37" w:rsidRPr="00C31FCA" w:rsidRDefault="00C31FCA" w:rsidP="00C31FCA">
      <w:pPr>
        <w:tabs>
          <w:tab w:val="left" w:pos="630"/>
        </w:tabs>
        <w:spacing w:after="0" w:line="276" w:lineRule="auto"/>
        <w:ind w:right="-2"/>
        <w:jc w:val="both"/>
        <w:rPr>
          <w:rFonts w:ascii="Times New Roman" w:hAnsi="Times New Roman" w:cs="Times New Roman"/>
          <w:sz w:val="28"/>
          <w:szCs w:val="28"/>
        </w:rPr>
      </w:pPr>
      <w:r>
        <w:rPr>
          <w:rFonts w:ascii="Times New Roman" w:hAnsi="Times New Roman" w:cs="Times New Roman"/>
          <w:sz w:val="28"/>
          <w:szCs w:val="28"/>
        </w:rPr>
        <w:tab/>
        <w:t xml:space="preserve">(iii) </w:t>
      </w:r>
      <w:r w:rsidR="00AE1F37" w:rsidRPr="00C31FCA">
        <w:rPr>
          <w:rFonts w:ascii="Times New Roman" w:hAnsi="Times New Roman" w:cs="Times New Roman"/>
          <w:sz w:val="28"/>
          <w:szCs w:val="28"/>
        </w:rPr>
        <w:t>trend</w:t>
      </w:r>
      <w:r w:rsidR="00BD4258" w:rsidRPr="00C31FCA">
        <w:rPr>
          <w:rFonts w:ascii="Times New Roman" w:hAnsi="Times New Roman" w:cs="Times New Roman"/>
          <w:sz w:val="28"/>
          <w:szCs w:val="28"/>
        </w:rPr>
        <w:t>ul</w:t>
      </w:r>
      <w:r w:rsidR="00AE1F37" w:rsidRPr="00C31FCA">
        <w:rPr>
          <w:rFonts w:ascii="Times New Roman" w:hAnsi="Times New Roman" w:cs="Times New Roman"/>
          <w:sz w:val="28"/>
          <w:szCs w:val="28"/>
        </w:rPr>
        <w:t xml:space="preserve"> ascendent a</w:t>
      </w:r>
      <w:r w:rsidR="00E205C4" w:rsidRPr="00C31FCA">
        <w:rPr>
          <w:rFonts w:ascii="Times New Roman" w:hAnsi="Times New Roman" w:cs="Times New Roman"/>
          <w:sz w:val="28"/>
          <w:szCs w:val="28"/>
        </w:rPr>
        <w:t>l</w:t>
      </w:r>
      <w:r w:rsidR="00AE1F37" w:rsidRPr="00C31FCA">
        <w:rPr>
          <w:rFonts w:ascii="Times New Roman" w:hAnsi="Times New Roman" w:cs="Times New Roman"/>
          <w:sz w:val="28"/>
          <w:szCs w:val="28"/>
        </w:rPr>
        <w:t xml:space="preserve"> veniturilor bugetare colectate la numărul mediu de personal</w:t>
      </w:r>
      <w:r w:rsidR="00E205C4" w:rsidRPr="00C31FCA">
        <w:rPr>
          <w:rFonts w:ascii="Times New Roman" w:hAnsi="Times New Roman" w:cs="Times New Roman"/>
          <w:sz w:val="28"/>
          <w:szCs w:val="28"/>
        </w:rPr>
        <w:t xml:space="preserve"> (</w:t>
      </w:r>
      <w:r w:rsidR="00AE1F37" w:rsidRPr="00C31FCA">
        <w:rPr>
          <w:rFonts w:ascii="Times New Roman" w:hAnsi="Times New Roman" w:cs="Times New Roman"/>
          <w:sz w:val="28"/>
          <w:szCs w:val="28"/>
        </w:rPr>
        <w:t>de la 9160,9 mii lei în anul 2015 până la 12813 mii lei în anul 2017</w:t>
      </w:r>
      <w:r w:rsidR="00E205C4" w:rsidRPr="00C31FCA">
        <w:rPr>
          <w:rFonts w:ascii="Times New Roman" w:hAnsi="Times New Roman" w:cs="Times New Roman"/>
          <w:sz w:val="28"/>
          <w:szCs w:val="28"/>
        </w:rPr>
        <w:t>)</w:t>
      </w:r>
      <w:r w:rsidR="00AE1F37" w:rsidRPr="00C31FCA">
        <w:rPr>
          <w:rFonts w:ascii="Times New Roman" w:hAnsi="Times New Roman" w:cs="Times New Roman"/>
          <w:sz w:val="28"/>
          <w:szCs w:val="28"/>
        </w:rPr>
        <w:t>, pe fundalul micșorării numărului de personal cu circa 8%;</w:t>
      </w:r>
    </w:p>
    <w:p w:rsidR="009040FF" w:rsidRPr="00C31FCA" w:rsidRDefault="00C31FCA" w:rsidP="00C31FCA">
      <w:pPr>
        <w:tabs>
          <w:tab w:val="left" w:pos="630"/>
        </w:tabs>
        <w:spacing w:after="0" w:line="276" w:lineRule="auto"/>
        <w:ind w:right="-2"/>
        <w:jc w:val="both"/>
        <w:rPr>
          <w:rFonts w:ascii="Times New Roman" w:hAnsi="Times New Roman" w:cs="Times New Roman"/>
          <w:sz w:val="28"/>
          <w:szCs w:val="28"/>
        </w:rPr>
      </w:pPr>
      <w:r>
        <w:rPr>
          <w:rFonts w:ascii="Times New Roman" w:hAnsi="Times New Roman" w:cs="Times New Roman"/>
          <w:sz w:val="28"/>
          <w:szCs w:val="28"/>
        </w:rPr>
        <w:tab/>
        <w:t xml:space="preserve">(iv) </w:t>
      </w:r>
      <w:r w:rsidR="00BD4258" w:rsidRPr="00C31FCA">
        <w:rPr>
          <w:rFonts w:ascii="Times New Roman" w:hAnsi="Times New Roman" w:cs="Times New Roman"/>
          <w:sz w:val="28"/>
          <w:szCs w:val="28"/>
        </w:rPr>
        <w:t>evoluția</w:t>
      </w:r>
      <w:r w:rsidR="00AE1F37" w:rsidRPr="00C31FCA">
        <w:rPr>
          <w:rFonts w:ascii="Times New Roman" w:hAnsi="Times New Roman" w:cs="Times New Roman"/>
          <w:sz w:val="28"/>
          <w:szCs w:val="28"/>
        </w:rPr>
        <w:t xml:space="preserve"> ascendentă a veniturilor bugetare colectate la numărul mediu de contribuabili</w:t>
      </w:r>
      <w:r w:rsidR="00E205C4" w:rsidRPr="00C31FCA">
        <w:rPr>
          <w:rFonts w:ascii="Times New Roman" w:hAnsi="Times New Roman" w:cs="Times New Roman"/>
          <w:sz w:val="28"/>
          <w:szCs w:val="28"/>
        </w:rPr>
        <w:t xml:space="preserve"> (</w:t>
      </w:r>
      <w:r w:rsidR="00AE1F37" w:rsidRPr="00C31FCA">
        <w:rPr>
          <w:rFonts w:ascii="Times New Roman" w:hAnsi="Times New Roman" w:cs="Times New Roman"/>
          <w:sz w:val="28"/>
          <w:szCs w:val="28"/>
        </w:rPr>
        <w:t xml:space="preserve"> de la 39,2 mii lei în anul 2015 până la 39,5 mii lei în anul 2017</w:t>
      </w:r>
      <w:r w:rsidR="00E205C4" w:rsidRPr="00C31FCA">
        <w:rPr>
          <w:rFonts w:ascii="Times New Roman" w:hAnsi="Times New Roman" w:cs="Times New Roman"/>
          <w:sz w:val="28"/>
          <w:szCs w:val="28"/>
        </w:rPr>
        <w:t>)</w:t>
      </w:r>
      <w:r w:rsidR="00AE1F37" w:rsidRPr="00C31FCA">
        <w:rPr>
          <w:rFonts w:ascii="Times New Roman" w:hAnsi="Times New Roman" w:cs="Times New Roman"/>
          <w:sz w:val="28"/>
          <w:szCs w:val="28"/>
        </w:rPr>
        <w:t>, pe fundalul scăderii numărului de contribuabili administrați cu circa 21%.</w:t>
      </w:r>
    </w:p>
    <w:p w:rsidR="007A091A" w:rsidRPr="001D0846" w:rsidRDefault="007A091A" w:rsidP="009A55F2">
      <w:pPr>
        <w:spacing w:after="0" w:line="276" w:lineRule="auto"/>
        <w:ind w:right="-6" w:firstLine="720"/>
        <w:jc w:val="both"/>
        <w:rPr>
          <w:rFonts w:ascii="Times New Roman" w:hAnsi="Times New Roman" w:cs="Times New Roman"/>
          <w:sz w:val="28"/>
          <w:szCs w:val="28"/>
        </w:rPr>
      </w:pPr>
      <w:r w:rsidRPr="001D0846">
        <w:rPr>
          <w:rFonts w:ascii="Times New Roman" w:hAnsi="Times New Roman" w:cs="Times New Roman"/>
          <w:sz w:val="28"/>
          <w:szCs w:val="28"/>
        </w:rPr>
        <w:t xml:space="preserve">Potrivit motivației persoanelor responsabile din cadrul SV, tendința de creștere a costurilor aferente administrării vamale, care în anul 2017 </w:t>
      </w:r>
      <w:r w:rsidRPr="00C31FCA">
        <w:rPr>
          <w:rFonts w:ascii="Times New Roman" w:hAnsi="Times New Roman" w:cs="Times New Roman"/>
          <w:sz w:val="28"/>
          <w:szCs w:val="28"/>
        </w:rPr>
        <w:t>a</w:t>
      </w:r>
      <w:r w:rsidR="00D14ED4" w:rsidRPr="00C31FCA">
        <w:rPr>
          <w:rFonts w:ascii="Times New Roman" w:hAnsi="Times New Roman" w:cs="Times New Roman"/>
          <w:sz w:val="28"/>
          <w:szCs w:val="28"/>
        </w:rPr>
        <w:t>u</w:t>
      </w:r>
      <w:r w:rsidRPr="001D0846">
        <w:rPr>
          <w:rFonts w:ascii="Times New Roman" w:hAnsi="Times New Roman" w:cs="Times New Roman"/>
          <w:sz w:val="28"/>
          <w:szCs w:val="28"/>
        </w:rPr>
        <w:t xml:space="preserve"> atins plafonul maxim, se explică prin faptul că SV</w:t>
      </w:r>
      <w:r w:rsidR="00E205C4">
        <w:rPr>
          <w:rFonts w:ascii="Times New Roman" w:hAnsi="Times New Roman" w:cs="Times New Roman"/>
          <w:sz w:val="28"/>
          <w:szCs w:val="28"/>
        </w:rPr>
        <w:t>,</w:t>
      </w:r>
      <w:r w:rsidRPr="001D0846">
        <w:rPr>
          <w:rFonts w:ascii="Times New Roman" w:hAnsi="Times New Roman" w:cs="Times New Roman"/>
          <w:sz w:val="28"/>
          <w:szCs w:val="28"/>
        </w:rPr>
        <w:t xml:space="preserve"> asum</w:t>
      </w:r>
      <w:r w:rsidR="00E205C4">
        <w:rPr>
          <w:rFonts w:ascii="Times New Roman" w:hAnsi="Times New Roman" w:cs="Times New Roman"/>
          <w:sz w:val="28"/>
          <w:szCs w:val="28"/>
        </w:rPr>
        <w:t>â</w:t>
      </w:r>
      <w:r w:rsidRPr="001D0846">
        <w:rPr>
          <w:rFonts w:ascii="Times New Roman" w:hAnsi="Times New Roman" w:cs="Times New Roman"/>
          <w:sz w:val="28"/>
          <w:szCs w:val="28"/>
        </w:rPr>
        <w:t>ndu-și obligativitatea de implementare</w:t>
      </w:r>
      <w:r w:rsidR="00E205C4">
        <w:rPr>
          <w:rFonts w:ascii="Times New Roman" w:hAnsi="Times New Roman" w:cs="Times New Roman"/>
          <w:sz w:val="28"/>
          <w:szCs w:val="28"/>
        </w:rPr>
        <w:t>,</w:t>
      </w:r>
      <w:r w:rsidR="001B0FE3" w:rsidRPr="001D0846">
        <w:rPr>
          <w:rFonts w:ascii="Times New Roman" w:hAnsi="Times New Roman" w:cs="Times New Roman"/>
          <w:sz w:val="28"/>
          <w:szCs w:val="28"/>
        </w:rPr>
        <w:t>inclusiv</w:t>
      </w:r>
      <w:r w:rsidRPr="001D0846">
        <w:rPr>
          <w:rFonts w:ascii="Times New Roman" w:hAnsi="Times New Roman" w:cs="Times New Roman"/>
          <w:sz w:val="28"/>
          <w:szCs w:val="28"/>
        </w:rPr>
        <w:t xml:space="preserve"> a Acordului de asociere RM-UE, se obligă să implementeze instrumente noi de administrare vamală. Astfel, SV a suportat cheltuieli </w:t>
      </w:r>
      <w:r w:rsidR="00E205C4">
        <w:rPr>
          <w:rFonts w:ascii="Times New Roman" w:hAnsi="Times New Roman" w:cs="Times New Roman"/>
          <w:sz w:val="28"/>
          <w:szCs w:val="28"/>
        </w:rPr>
        <w:t>legate de</w:t>
      </w:r>
      <w:r w:rsidRPr="001D0846">
        <w:rPr>
          <w:rFonts w:ascii="Times New Roman" w:hAnsi="Times New Roman" w:cs="Times New Roman"/>
          <w:sz w:val="28"/>
          <w:szCs w:val="28"/>
        </w:rPr>
        <w:t xml:space="preserve"> moderniz</w:t>
      </w:r>
      <w:r w:rsidR="00E205C4">
        <w:rPr>
          <w:rFonts w:ascii="Times New Roman" w:hAnsi="Times New Roman" w:cs="Times New Roman"/>
          <w:sz w:val="28"/>
          <w:szCs w:val="28"/>
        </w:rPr>
        <w:t xml:space="preserve">area </w:t>
      </w:r>
      <w:r w:rsidRPr="001D0846">
        <w:rPr>
          <w:rFonts w:ascii="Times New Roman" w:hAnsi="Times New Roman" w:cs="Times New Roman"/>
          <w:sz w:val="28"/>
          <w:szCs w:val="28"/>
        </w:rPr>
        <w:t xml:space="preserve"> infrastructurii vamale, dotarea SV cu echipament special de control, investiții în SI, achiziționarea automobilelor, dezvoltarea sistemului de video monitorizare, instruiri, schimb de bune practice</w:t>
      </w:r>
      <w:r w:rsidR="00D14ED4">
        <w:rPr>
          <w:rFonts w:ascii="Times New Roman" w:hAnsi="Times New Roman" w:cs="Times New Roman"/>
          <w:sz w:val="28"/>
          <w:szCs w:val="28"/>
        </w:rPr>
        <w:t xml:space="preserve"> etc.</w:t>
      </w:r>
      <w:r w:rsidRPr="001D0846">
        <w:rPr>
          <w:rFonts w:ascii="Times New Roman" w:hAnsi="Times New Roman" w:cs="Times New Roman"/>
          <w:sz w:val="28"/>
          <w:szCs w:val="28"/>
        </w:rPr>
        <w:t xml:space="preserve"> , toate acestea contribui</w:t>
      </w:r>
      <w:r w:rsidR="00D14ED4">
        <w:rPr>
          <w:rFonts w:ascii="Times New Roman" w:hAnsi="Times New Roman" w:cs="Times New Roman"/>
          <w:sz w:val="28"/>
          <w:szCs w:val="28"/>
        </w:rPr>
        <w:t>nd,</w:t>
      </w:r>
      <w:r w:rsidRPr="001D0846">
        <w:rPr>
          <w:rFonts w:ascii="Times New Roman" w:hAnsi="Times New Roman" w:cs="Times New Roman"/>
          <w:sz w:val="28"/>
          <w:szCs w:val="28"/>
        </w:rPr>
        <w:t xml:space="preserve"> pe de o parte</w:t>
      </w:r>
      <w:r w:rsidR="00D14ED4">
        <w:rPr>
          <w:rFonts w:ascii="Times New Roman" w:hAnsi="Times New Roman" w:cs="Times New Roman"/>
          <w:sz w:val="28"/>
          <w:szCs w:val="28"/>
        </w:rPr>
        <w:t>,</w:t>
      </w:r>
      <w:r w:rsidRPr="001D0846">
        <w:rPr>
          <w:rFonts w:ascii="Times New Roman" w:hAnsi="Times New Roman" w:cs="Times New Roman"/>
          <w:sz w:val="28"/>
          <w:szCs w:val="28"/>
        </w:rPr>
        <w:t xml:space="preserve"> la majorarea costurilor, iar pe de altă parte </w:t>
      </w:r>
      <w:r w:rsidR="00D14ED4">
        <w:rPr>
          <w:rFonts w:ascii="Times New Roman" w:hAnsi="Times New Roman" w:cs="Times New Roman"/>
          <w:sz w:val="28"/>
          <w:szCs w:val="28"/>
        </w:rPr>
        <w:t xml:space="preserve">- </w:t>
      </w:r>
      <w:r w:rsidRPr="001D0846">
        <w:rPr>
          <w:rFonts w:ascii="Times New Roman" w:hAnsi="Times New Roman" w:cs="Times New Roman"/>
          <w:sz w:val="28"/>
          <w:szCs w:val="28"/>
        </w:rPr>
        <w:t>la majorarea veniturilor vamale.</w:t>
      </w:r>
    </w:p>
    <w:p w:rsidR="007A091A" w:rsidRPr="001D0846" w:rsidRDefault="009040FF" w:rsidP="009A55F2">
      <w:pPr>
        <w:spacing w:after="0" w:line="276" w:lineRule="auto"/>
        <w:ind w:right="-6" w:firstLine="720"/>
        <w:jc w:val="both"/>
        <w:rPr>
          <w:rFonts w:ascii="Times New Roman" w:hAnsi="Times New Roman" w:cs="Times New Roman"/>
          <w:sz w:val="28"/>
          <w:szCs w:val="28"/>
        </w:rPr>
      </w:pPr>
      <w:r w:rsidRPr="001D0846">
        <w:rPr>
          <w:rFonts w:ascii="Times New Roman" w:hAnsi="Times New Roman" w:cs="Times New Roman"/>
          <w:sz w:val="28"/>
          <w:szCs w:val="28"/>
        </w:rPr>
        <w:t>Auditul relevă că,</w:t>
      </w:r>
      <w:r w:rsidR="005F3A88" w:rsidRPr="001D0846">
        <w:rPr>
          <w:rFonts w:ascii="Times New Roman" w:hAnsi="Times New Roman" w:cs="Times New Roman"/>
          <w:sz w:val="28"/>
          <w:szCs w:val="28"/>
        </w:rPr>
        <w:t xml:space="preserve"> pe fundalul majorării veniturilorîn buget </w:t>
      </w:r>
      <w:r w:rsidRPr="001D0846">
        <w:rPr>
          <w:rFonts w:ascii="Times New Roman" w:hAnsi="Times New Roman" w:cs="Times New Roman"/>
          <w:sz w:val="28"/>
          <w:szCs w:val="28"/>
        </w:rPr>
        <w:t>în anul 2017</w:t>
      </w:r>
      <w:r w:rsidR="005F3A88" w:rsidRPr="001D0846">
        <w:rPr>
          <w:rFonts w:ascii="Times New Roman" w:hAnsi="Times New Roman" w:cs="Times New Roman"/>
          <w:sz w:val="28"/>
          <w:szCs w:val="28"/>
        </w:rPr>
        <w:t>,</w:t>
      </w:r>
      <w:r w:rsidRPr="001D0846">
        <w:rPr>
          <w:rFonts w:ascii="Times New Roman" w:hAnsi="Times New Roman" w:cs="Times New Roman"/>
          <w:sz w:val="28"/>
          <w:szCs w:val="28"/>
        </w:rPr>
        <w:t xml:space="preserve"> creșterea costurilor aferente activității de administrare fiscală și vamală a fost influențată și de creșterea salariilor angajaților SFS și SV</w:t>
      </w:r>
      <w:r w:rsidR="00D14ED4">
        <w:rPr>
          <w:rFonts w:ascii="Times New Roman" w:hAnsi="Times New Roman" w:cs="Times New Roman"/>
          <w:sz w:val="28"/>
          <w:szCs w:val="28"/>
        </w:rPr>
        <w:t>, ca</w:t>
      </w:r>
      <w:r w:rsidRPr="001D0846">
        <w:rPr>
          <w:rFonts w:ascii="Times New Roman" w:hAnsi="Times New Roman" w:cs="Times New Roman"/>
          <w:sz w:val="28"/>
          <w:szCs w:val="28"/>
        </w:rPr>
        <w:t xml:space="preserve"> urmare </w:t>
      </w:r>
      <w:r w:rsidR="00D14ED4">
        <w:rPr>
          <w:rFonts w:ascii="Times New Roman" w:hAnsi="Times New Roman" w:cs="Times New Roman"/>
          <w:sz w:val="28"/>
          <w:szCs w:val="28"/>
        </w:rPr>
        <w:t xml:space="preserve">a </w:t>
      </w:r>
      <w:r w:rsidR="00456909">
        <w:rPr>
          <w:rFonts w:ascii="Times New Roman" w:hAnsi="Times New Roman" w:cs="Times New Roman"/>
          <w:sz w:val="28"/>
          <w:szCs w:val="28"/>
        </w:rPr>
        <w:t xml:space="preserve">modificărilor legale și a </w:t>
      </w:r>
      <w:r w:rsidRPr="001D0846">
        <w:rPr>
          <w:rFonts w:ascii="Times New Roman" w:hAnsi="Times New Roman" w:cs="Times New Roman"/>
          <w:sz w:val="28"/>
          <w:szCs w:val="28"/>
        </w:rPr>
        <w:t>procesului de reorganizare instituțională.</w:t>
      </w:r>
    </w:p>
    <w:p w:rsidR="00412223" w:rsidRDefault="00412223" w:rsidP="00412223">
      <w:pPr>
        <w:pStyle w:val="Heading1"/>
        <w:spacing w:before="0" w:line="276" w:lineRule="auto"/>
        <w:rPr>
          <w:rFonts w:ascii="Times New Roman" w:hAnsi="Times New Roman" w:cs="Times New Roman"/>
          <w:b/>
          <w:color w:val="auto"/>
          <w:sz w:val="28"/>
          <w:szCs w:val="28"/>
        </w:rPr>
      </w:pPr>
    </w:p>
    <w:p w:rsidR="009D7FCE" w:rsidRPr="00C77119" w:rsidRDefault="00D80449" w:rsidP="003C4B9E">
      <w:pPr>
        <w:pStyle w:val="Heading1"/>
        <w:spacing w:before="0" w:line="276" w:lineRule="auto"/>
        <w:jc w:val="both"/>
        <w:rPr>
          <w:rFonts w:ascii="Times New Roman" w:hAnsi="Times New Roman" w:cs="Times New Roman"/>
          <w:b/>
          <w:color w:val="auto"/>
          <w:sz w:val="28"/>
          <w:szCs w:val="28"/>
        </w:rPr>
      </w:pPr>
      <w:bookmarkStart w:id="13" w:name="_Toc515894891"/>
      <w:r w:rsidRPr="00C77119">
        <w:rPr>
          <w:rFonts w:ascii="Times New Roman" w:hAnsi="Times New Roman" w:cs="Times New Roman"/>
          <w:b/>
          <w:color w:val="auto"/>
          <w:sz w:val="28"/>
          <w:szCs w:val="28"/>
        </w:rPr>
        <w:t>3</w:t>
      </w:r>
      <w:r w:rsidR="00C947DA" w:rsidRPr="00C77119">
        <w:rPr>
          <w:rFonts w:ascii="Times New Roman" w:hAnsi="Times New Roman" w:cs="Times New Roman"/>
          <w:b/>
          <w:color w:val="auto"/>
          <w:sz w:val="28"/>
          <w:szCs w:val="28"/>
        </w:rPr>
        <w:t>.5</w:t>
      </w:r>
      <w:r w:rsidR="00C26C38" w:rsidRPr="00C77119">
        <w:rPr>
          <w:rFonts w:ascii="Times New Roman" w:hAnsi="Times New Roman" w:cs="Times New Roman"/>
          <w:b/>
          <w:color w:val="auto"/>
          <w:sz w:val="28"/>
          <w:szCs w:val="28"/>
        </w:rPr>
        <w:t xml:space="preserve">. </w:t>
      </w:r>
      <w:r w:rsidR="005477BB" w:rsidRPr="00C77119">
        <w:rPr>
          <w:rFonts w:ascii="Times New Roman" w:hAnsi="Times New Roman" w:cs="Times New Roman"/>
          <w:b/>
          <w:color w:val="auto"/>
          <w:sz w:val="28"/>
          <w:szCs w:val="28"/>
        </w:rPr>
        <w:t>Administrarea</w:t>
      </w:r>
      <w:r w:rsidR="007E56FE" w:rsidRPr="00C77119">
        <w:rPr>
          <w:rFonts w:ascii="Times New Roman" w:hAnsi="Times New Roman" w:cs="Times New Roman"/>
          <w:b/>
          <w:color w:val="auto"/>
          <w:sz w:val="28"/>
          <w:szCs w:val="28"/>
        </w:rPr>
        <w:t xml:space="preserve"> restanțelor la BPN </w:t>
      </w:r>
      <w:r w:rsidR="001A2AFC" w:rsidRPr="00C77119">
        <w:rPr>
          <w:rFonts w:ascii="Times New Roman" w:hAnsi="Times New Roman" w:cs="Times New Roman"/>
          <w:b/>
          <w:color w:val="auto"/>
          <w:sz w:val="28"/>
          <w:szCs w:val="28"/>
        </w:rPr>
        <w:t>de către organele fiscale și vamale</w:t>
      </w:r>
      <w:r w:rsidR="00D86926" w:rsidRPr="00C77119">
        <w:rPr>
          <w:rFonts w:ascii="Times New Roman" w:hAnsi="Times New Roman" w:cs="Times New Roman"/>
          <w:b/>
          <w:color w:val="auto"/>
          <w:sz w:val="28"/>
          <w:szCs w:val="28"/>
        </w:rPr>
        <w:t>.</w:t>
      </w:r>
      <w:bookmarkEnd w:id="13"/>
    </w:p>
    <w:p w:rsidR="00C26C38" w:rsidRPr="001D0846" w:rsidRDefault="00C26C38" w:rsidP="004B0DE4">
      <w:pPr>
        <w:spacing w:after="0" w:line="276" w:lineRule="auto"/>
        <w:ind w:firstLine="720"/>
        <w:jc w:val="both"/>
        <w:rPr>
          <w:rFonts w:ascii="Times New Roman" w:hAnsi="Times New Roman" w:cs="Times New Roman"/>
          <w:i/>
          <w:sz w:val="28"/>
          <w:szCs w:val="28"/>
        </w:rPr>
      </w:pPr>
      <w:r w:rsidRPr="001D0846">
        <w:rPr>
          <w:rFonts w:ascii="Times New Roman" w:hAnsi="Times New Roman" w:cs="Times New Roman"/>
          <w:i/>
          <w:sz w:val="28"/>
          <w:szCs w:val="28"/>
        </w:rPr>
        <w:t xml:space="preserve">Potrivit funcțiilor și atribuțiilor în domeniul administrării impozitelor și taxelor, SFS și SV urmau să asigure colectarea maximă a restanțelor la BPN. Deși </w:t>
      </w:r>
      <w:r w:rsidR="003776F2">
        <w:rPr>
          <w:rFonts w:ascii="Times New Roman" w:hAnsi="Times New Roman" w:cs="Times New Roman"/>
          <w:i/>
          <w:sz w:val="28"/>
          <w:szCs w:val="28"/>
        </w:rPr>
        <w:t>s-</w:t>
      </w:r>
      <w:r w:rsidRPr="001D0846">
        <w:rPr>
          <w:rFonts w:ascii="Times New Roman" w:hAnsi="Times New Roman" w:cs="Times New Roman"/>
          <w:i/>
          <w:sz w:val="28"/>
          <w:szCs w:val="28"/>
        </w:rPr>
        <w:t>au întreprins măsuri în vederea încasării plăților restante, fiind atinse unele rezultate în domeniu, situațiile constatate de audit relevă per ansamblu o evoluție ascendentă a restanțelor la BPN, inclusiv a celor nerecuperabile</w:t>
      </w:r>
      <w:r w:rsidR="003776F2">
        <w:rPr>
          <w:rFonts w:ascii="Times New Roman" w:hAnsi="Times New Roman" w:cs="Times New Roman"/>
          <w:i/>
          <w:sz w:val="28"/>
          <w:szCs w:val="28"/>
        </w:rPr>
        <w:t>,</w:t>
      </w:r>
      <w:r w:rsidRPr="001D0846">
        <w:rPr>
          <w:rFonts w:ascii="Times New Roman" w:hAnsi="Times New Roman" w:cs="Times New Roman"/>
          <w:i/>
          <w:sz w:val="28"/>
          <w:szCs w:val="28"/>
        </w:rPr>
        <w:t xml:space="preserve"> cauzată</w:t>
      </w:r>
      <w:r w:rsidR="003776F2">
        <w:rPr>
          <w:rFonts w:ascii="Times New Roman" w:hAnsi="Times New Roman" w:cs="Times New Roman"/>
          <w:i/>
          <w:sz w:val="28"/>
          <w:szCs w:val="28"/>
        </w:rPr>
        <w:t>,</w:t>
      </w:r>
      <w:r w:rsidRPr="001D0846">
        <w:rPr>
          <w:rFonts w:ascii="Times New Roman" w:hAnsi="Times New Roman" w:cs="Times New Roman"/>
          <w:i/>
          <w:sz w:val="28"/>
          <w:szCs w:val="28"/>
        </w:rPr>
        <w:t xml:space="preserve"> în special</w:t>
      </w:r>
      <w:r w:rsidR="003776F2">
        <w:rPr>
          <w:rFonts w:ascii="Times New Roman" w:hAnsi="Times New Roman" w:cs="Times New Roman"/>
          <w:i/>
          <w:sz w:val="28"/>
          <w:szCs w:val="28"/>
        </w:rPr>
        <w:t>,</w:t>
      </w:r>
      <w:r w:rsidRPr="001D0846">
        <w:rPr>
          <w:rFonts w:ascii="Times New Roman" w:hAnsi="Times New Roman" w:cs="Times New Roman"/>
          <w:i/>
          <w:sz w:val="28"/>
          <w:szCs w:val="28"/>
        </w:rPr>
        <w:t xml:space="preserve"> de gradul redus de conformare voluntară a contribuabililor, lipsa unui plan de colectare a re</w:t>
      </w:r>
      <w:r w:rsidR="004B0DE4">
        <w:rPr>
          <w:rFonts w:ascii="Times New Roman" w:hAnsi="Times New Roman" w:cs="Times New Roman"/>
          <w:i/>
          <w:sz w:val="28"/>
          <w:szCs w:val="28"/>
        </w:rPr>
        <w:t xml:space="preserve">stanțelor la BPN, </w:t>
      </w:r>
      <w:r w:rsidR="004B0DE4" w:rsidRPr="004B0DE4">
        <w:rPr>
          <w:rFonts w:ascii="Times New Roman" w:hAnsi="Times New Roman" w:cs="Times New Roman"/>
          <w:i/>
          <w:sz w:val="28"/>
          <w:szCs w:val="28"/>
        </w:rPr>
        <w:t>rezerve</w:t>
      </w:r>
      <w:r w:rsidR="003776F2">
        <w:rPr>
          <w:rFonts w:ascii="Times New Roman" w:hAnsi="Times New Roman" w:cs="Times New Roman"/>
          <w:i/>
          <w:sz w:val="28"/>
          <w:szCs w:val="28"/>
        </w:rPr>
        <w:t>le</w:t>
      </w:r>
      <w:r w:rsidR="004B0DE4" w:rsidRPr="004B0DE4">
        <w:rPr>
          <w:rFonts w:ascii="Times New Roman" w:hAnsi="Times New Roman" w:cs="Times New Roman"/>
          <w:i/>
          <w:sz w:val="28"/>
          <w:szCs w:val="28"/>
        </w:rPr>
        <w:t xml:space="preserve"> în monitorizarea activității subdiviziunilor cu atribuții de încasare silită a obligațiilor fiscale și vamale, </w:t>
      </w:r>
      <w:r w:rsidR="004B0DE4" w:rsidRPr="004B0DE4">
        <w:rPr>
          <w:rFonts w:ascii="Times New Roman" w:hAnsi="Times New Roman" w:cs="Times New Roman"/>
          <w:i/>
          <w:sz w:val="28"/>
          <w:szCs w:val="28"/>
        </w:rPr>
        <w:lastRenderedPageBreak/>
        <w:t>insuficiența, rezultativitatea și funcționalitatea redus</w:t>
      </w:r>
      <w:r w:rsidR="003776F2">
        <w:rPr>
          <w:rFonts w:ascii="Times New Roman" w:hAnsi="Times New Roman" w:cs="Times New Roman"/>
          <w:i/>
          <w:sz w:val="28"/>
          <w:szCs w:val="28"/>
        </w:rPr>
        <w:t>e,</w:t>
      </w:r>
      <w:r w:rsidR="004B0DE4" w:rsidRPr="004B0DE4">
        <w:rPr>
          <w:rFonts w:ascii="Times New Roman" w:hAnsi="Times New Roman" w:cs="Times New Roman"/>
          <w:i/>
          <w:sz w:val="28"/>
          <w:szCs w:val="28"/>
        </w:rPr>
        <w:t xml:space="preserve"> în unele cazuri</w:t>
      </w:r>
      <w:r w:rsidR="003776F2">
        <w:rPr>
          <w:rFonts w:ascii="Times New Roman" w:hAnsi="Times New Roman" w:cs="Times New Roman"/>
          <w:i/>
          <w:sz w:val="28"/>
          <w:szCs w:val="28"/>
        </w:rPr>
        <w:t>,</w:t>
      </w:r>
      <w:r w:rsidR="004B0DE4" w:rsidRPr="004B0DE4">
        <w:rPr>
          <w:rFonts w:ascii="Times New Roman" w:hAnsi="Times New Roman" w:cs="Times New Roman"/>
          <w:i/>
          <w:sz w:val="28"/>
          <w:szCs w:val="28"/>
        </w:rPr>
        <w:t xml:space="preserve"> a măsurilor/ mecanismelor aplicate de SFS și SV în vederea recuperării restanțelor.</w:t>
      </w:r>
      <w:r w:rsidRPr="001D0846">
        <w:rPr>
          <w:rFonts w:ascii="Times New Roman" w:hAnsi="Times New Roman" w:cs="Times New Roman"/>
          <w:i/>
          <w:color w:val="000000"/>
          <w:sz w:val="28"/>
          <w:szCs w:val="28"/>
        </w:rPr>
        <w:t xml:space="preserve">Astfel, evaluările și activitățile desfășurate de auditul public extern în cadrul SFS și SV relevă că situația </w:t>
      </w:r>
      <w:r w:rsidR="003776F2">
        <w:rPr>
          <w:rFonts w:ascii="Times New Roman" w:hAnsi="Times New Roman" w:cs="Times New Roman"/>
          <w:i/>
          <w:color w:val="000000"/>
          <w:sz w:val="28"/>
          <w:szCs w:val="28"/>
        </w:rPr>
        <w:t xml:space="preserve">privind </w:t>
      </w:r>
      <w:r w:rsidRPr="001D0846">
        <w:rPr>
          <w:rFonts w:ascii="Times New Roman" w:hAnsi="Times New Roman" w:cs="Times New Roman"/>
          <w:i/>
          <w:color w:val="000000"/>
          <w:sz w:val="28"/>
          <w:szCs w:val="28"/>
        </w:rPr>
        <w:t>administr</w:t>
      </w:r>
      <w:r w:rsidR="003776F2">
        <w:rPr>
          <w:rFonts w:ascii="Times New Roman" w:hAnsi="Times New Roman" w:cs="Times New Roman"/>
          <w:i/>
          <w:color w:val="000000"/>
          <w:sz w:val="28"/>
          <w:szCs w:val="28"/>
        </w:rPr>
        <w:t>area</w:t>
      </w:r>
      <w:r w:rsidRPr="001D0846">
        <w:rPr>
          <w:rFonts w:ascii="Times New Roman" w:hAnsi="Times New Roman" w:cs="Times New Roman"/>
          <w:i/>
          <w:color w:val="000000"/>
          <w:sz w:val="28"/>
          <w:szCs w:val="28"/>
        </w:rPr>
        <w:t xml:space="preserve"> restanțelor la BPN rămâne a fi o problemă sistemică a administratorilor de venituri, care pe parcursul ultimilor ani nu </w:t>
      </w:r>
      <w:r w:rsidR="003776F2">
        <w:rPr>
          <w:rFonts w:ascii="Times New Roman" w:hAnsi="Times New Roman" w:cs="Times New Roman"/>
          <w:i/>
          <w:color w:val="000000"/>
          <w:sz w:val="28"/>
          <w:szCs w:val="28"/>
        </w:rPr>
        <w:t>s-</w:t>
      </w:r>
      <w:r w:rsidRPr="001D0846">
        <w:rPr>
          <w:rFonts w:ascii="Times New Roman" w:hAnsi="Times New Roman" w:cs="Times New Roman"/>
          <w:i/>
          <w:color w:val="000000"/>
          <w:sz w:val="28"/>
          <w:szCs w:val="28"/>
        </w:rPr>
        <w:t xml:space="preserve">a ameliorat, restanțele contribuabililor la BPN fiind semnificative, </w:t>
      </w:r>
      <w:r w:rsidRPr="001D0846">
        <w:rPr>
          <w:rFonts w:ascii="Times New Roman" w:hAnsi="Times New Roman" w:cs="Times New Roman"/>
          <w:i/>
          <w:sz w:val="28"/>
          <w:szCs w:val="28"/>
        </w:rPr>
        <w:t>fapt care limitează eficiența și eficacitatea administrării restanțelor.</w:t>
      </w:r>
    </w:p>
    <w:p w:rsidR="007000B1" w:rsidRDefault="004B0DE4" w:rsidP="000A475E">
      <w:pPr>
        <w:spacing w:after="0" w:line="276" w:lineRule="auto"/>
        <w:ind w:firstLine="720"/>
        <w:jc w:val="both"/>
        <w:rPr>
          <w:rFonts w:ascii="Times New Roman" w:eastAsia="Calibri" w:hAnsi="Times New Roman" w:cs="Times New Roman"/>
          <w:i/>
          <w:sz w:val="28"/>
          <w:szCs w:val="28"/>
        </w:rPr>
      </w:pPr>
      <w:r w:rsidRPr="004B0DE4">
        <w:rPr>
          <w:rFonts w:ascii="Times New Roman" w:eastAsia="Calibri" w:hAnsi="Times New Roman" w:cs="Times New Roman"/>
          <w:b/>
          <w:i/>
          <w:sz w:val="28"/>
          <w:szCs w:val="28"/>
        </w:rPr>
        <w:t>3.5.1.</w:t>
      </w:r>
      <w:r w:rsidR="00C26C38" w:rsidRPr="00C31FCA">
        <w:rPr>
          <w:rFonts w:ascii="Times New Roman" w:eastAsia="Calibri" w:hAnsi="Times New Roman" w:cs="Times New Roman"/>
          <w:sz w:val="28"/>
          <w:szCs w:val="28"/>
        </w:rPr>
        <w:t xml:space="preserve">Evidența generală a obligațiilor fiscale </w:t>
      </w:r>
      <w:r w:rsidR="00456909">
        <w:rPr>
          <w:rFonts w:ascii="Times New Roman" w:eastAsia="Calibri" w:hAnsi="Times New Roman" w:cs="Times New Roman"/>
          <w:sz w:val="28"/>
          <w:szCs w:val="28"/>
        </w:rPr>
        <w:t xml:space="preserve">restante </w:t>
      </w:r>
      <w:r w:rsidR="00C26C38" w:rsidRPr="00C31FCA">
        <w:rPr>
          <w:rFonts w:ascii="Times New Roman" w:eastAsia="Calibri" w:hAnsi="Times New Roman" w:cs="Times New Roman"/>
          <w:sz w:val="28"/>
          <w:szCs w:val="28"/>
        </w:rPr>
        <w:t>la BPN</w:t>
      </w:r>
      <w:r w:rsidR="003776F2" w:rsidRPr="00C31FCA">
        <w:rPr>
          <w:rFonts w:ascii="Times New Roman" w:eastAsia="Calibri" w:hAnsi="Times New Roman" w:cs="Times New Roman"/>
          <w:sz w:val="28"/>
          <w:szCs w:val="28"/>
        </w:rPr>
        <w:t>,</w:t>
      </w:r>
      <w:r w:rsidR="00C26C38" w:rsidRPr="00C31FCA">
        <w:rPr>
          <w:rFonts w:ascii="Times New Roman" w:eastAsia="Calibri" w:hAnsi="Times New Roman" w:cs="Times New Roman"/>
          <w:sz w:val="28"/>
          <w:szCs w:val="28"/>
        </w:rPr>
        <w:t xml:space="preserve"> administrată de SFS</w:t>
      </w:r>
      <w:r w:rsidR="003776F2" w:rsidRPr="00C31FCA">
        <w:rPr>
          <w:rFonts w:ascii="Times New Roman" w:eastAsia="Calibri" w:hAnsi="Times New Roman" w:cs="Times New Roman"/>
          <w:sz w:val="28"/>
          <w:szCs w:val="28"/>
        </w:rPr>
        <w:t>,</w:t>
      </w:r>
      <w:r w:rsidR="00C26C38" w:rsidRPr="00C31FCA">
        <w:rPr>
          <w:rFonts w:ascii="Times New Roman" w:eastAsia="Calibri" w:hAnsi="Times New Roman" w:cs="Times New Roman"/>
          <w:sz w:val="28"/>
          <w:szCs w:val="28"/>
        </w:rPr>
        <w:t xml:space="preserve"> însumează obligații în valoare totală</w:t>
      </w:r>
      <w:r w:rsidR="007000B1" w:rsidRPr="00C31FCA">
        <w:rPr>
          <w:rFonts w:ascii="Times New Roman" w:eastAsia="Calibri" w:hAnsi="Times New Roman" w:cs="Times New Roman"/>
          <w:sz w:val="28"/>
          <w:szCs w:val="28"/>
        </w:rPr>
        <w:t xml:space="preserve"> de 11216,3 mil.lei</w:t>
      </w:r>
      <w:r w:rsidR="003776F2" w:rsidRPr="00C31FCA">
        <w:rPr>
          <w:rFonts w:ascii="Times New Roman" w:eastAsia="Calibri" w:hAnsi="Times New Roman" w:cs="Times New Roman"/>
          <w:sz w:val="28"/>
          <w:szCs w:val="28"/>
        </w:rPr>
        <w:t>,</w:t>
      </w:r>
      <w:r w:rsidR="007000B1" w:rsidRPr="00C31FCA">
        <w:rPr>
          <w:rFonts w:ascii="Times New Roman" w:eastAsia="Calibri" w:hAnsi="Times New Roman" w:cs="Times New Roman"/>
          <w:sz w:val="28"/>
          <w:szCs w:val="28"/>
        </w:rPr>
        <w:t xml:space="preserve"> ce includ</w:t>
      </w:r>
      <w:r w:rsidR="00C26C38" w:rsidRPr="00C31FCA">
        <w:rPr>
          <w:rFonts w:ascii="Times New Roman" w:eastAsia="Calibri" w:hAnsi="Times New Roman" w:cs="Times New Roman"/>
          <w:sz w:val="28"/>
          <w:szCs w:val="28"/>
        </w:rPr>
        <w:t xml:space="preserve"> obligațiile luate la evidența</w:t>
      </w:r>
      <w:r w:rsidR="00C26C38" w:rsidRPr="001D0846">
        <w:rPr>
          <w:rFonts w:ascii="Times New Roman" w:eastAsia="Calibri" w:hAnsi="Times New Roman" w:cs="Times New Roman"/>
          <w:sz w:val="28"/>
          <w:szCs w:val="28"/>
        </w:rPr>
        <w:t xml:space="preserve"> specială (temporar nerecuperabile</w:t>
      </w:r>
      <w:r w:rsidR="003776F2">
        <w:rPr>
          <w:rFonts w:ascii="Times New Roman" w:eastAsia="Calibri" w:hAnsi="Times New Roman" w:cs="Times New Roman"/>
          <w:sz w:val="28"/>
          <w:szCs w:val="28"/>
        </w:rPr>
        <w:t>,</w:t>
      </w:r>
      <w:r w:rsidR="00C26C38" w:rsidRPr="001D0846">
        <w:rPr>
          <w:rFonts w:ascii="Times New Roman" w:eastAsia="Calibri" w:hAnsi="Times New Roman" w:cs="Times New Roman"/>
          <w:sz w:val="28"/>
          <w:szCs w:val="28"/>
        </w:rPr>
        <w:t xml:space="preserve"> sau cu grad redus de recuperare)</w:t>
      </w:r>
      <w:r w:rsidR="003776F2">
        <w:rPr>
          <w:rFonts w:ascii="Times New Roman" w:eastAsia="Calibri" w:hAnsi="Times New Roman" w:cs="Times New Roman"/>
          <w:sz w:val="28"/>
          <w:szCs w:val="28"/>
        </w:rPr>
        <w:t>,</w:t>
      </w:r>
      <w:r w:rsidR="00C26C38" w:rsidRPr="001D0846">
        <w:rPr>
          <w:rFonts w:ascii="Times New Roman" w:eastAsia="Calibri" w:hAnsi="Times New Roman" w:cs="Times New Roman"/>
          <w:sz w:val="28"/>
          <w:szCs w:val="28"/>
        </w:rPr>
        <w:t xml:space="preserve"> care la 31.12.20</w:t>
      </w:r>
      <w:r w:rsidR="00C31FCA">
        <w:rPr>
          <w:rFonts w:ascii="Times New Roman" w:eastAsia="Calibri" w:hAnsi="Times New Roman" w:cs="Times New Roman"/>
          <w:sz w:val="28"/>
          <w:szCs w:val="28"/>
        </w:rPr>
        <w:t>17 au constituit 9034,3 mil.lei(</w:t>
      </w:r>
      <w:r w:rsidR="00C26C38" w:rsidRPr="001D0846">
        <w:rPr>
          <w:rFonts w:ascii="Times New Roman" w:eastAsia="Calibri" w:hAnsi="Times New Roman" w:cs="Times New Roman"/>
          <w:sz w:val="28"/>
          <w:szCs w:val="28"/>
        </w:rPr>
        <w:t>80,5% din totalul obligațiilor fiscale</w:t>
      </w:r>
      <w:r w:rsidR="00C31FCA">
        <w:rPr>
          <w:rFonts w:ascii="Times New Roman" w:eastAsia="Calibri" w:hAnsi="Times New Roman" w:cs="Times New Roman"/>
          <w:sz w:val="28"/>
          <w:szCs w:val="28"/>
        </w:rPr>
        <w:t>)</w:t>
      </w:r>
      <w:r w:rsidR="00C26C38" w:rsidRPr="001D0846">
        <w:rPr>
          <w:rFonts w:ascii="Times New Roman" w:eastAsia="Calibri" w:hAnsi="Times New Roman" w:cs="Times New Roman"/>
          <w:sz w:val="28"/>
          <w:szCs w:val="28"/>
        </w:rPr>
        <w:t>, precum și restanțele contribuabililor (recuperabile)</w:t>
      </w:r>
      <w:r w:rsidR="003776F2">
        <w:rPr>
          <w:rFonts w:ascii="Times New Roman" w:eastAsia="Calibri" w:hAnsi="Times New Roman" w:cs="Times New Roman"/>
          <w:sz w:val="28"/>
          <w:szCs w:val="28"/>
        </w:rPr>
        <w:t>,</w:t>
      </w:r>
      <w:r w:rsidR="00C26C38" w:rsidRPr="001D0846">
        <w:rPr>
          <w:rFonts w:ascii="Times New Roman" w:eastAsia="Calibri" w:hAnsi="Times New Roman" w:cs="Times New Roman"/>
          <w:sz w:val="28"/>
          <w:szCs w:val="28"/>
        </w:rPr>
        <w:t xml:space="preserve"> care la 31.12.2017 constitui</w:t>
      </w:r>
      <w:r w:rsidR="003776F2">
        <w:rPr>
          <w:rFonts w:ascii="Times New Roman" w:eastAsia="Calibri" w:hAnsi="Times New Roman" w:cs="Times New Roman"/>
          <w:sz w:val="28"/>
          <w:szCs w:val="28"/>
        </w:rPr>
        <w:t>au</w:t>
      </w:r>
      <w:r w:rsidR="00C26C38" w:rsidRPr="001D0846">
        <w:rPr>
          <w:rFonts w:ascii="Times New Roman" w:eastAsia="Calibri" w:hAnsi="Times New Roman" w:cs="Times New Roman"/>
          <w:sz w:val="28"/>
          <w:szCs w:val="28"/>
        </w:rPr>
        <w:t xml:space="preserve"> 2182</w:t>
      </w:r>
      <w:r w:rsidR="003776F2">
        <w:rPr>
          <w:rFonts w:ascii="Times New Roman" w:eastAsia="Calibri" w:hAnsi="Times New Roman" w:cs="Times New Roman"/>
          <w:sz w:val="28"/>
          <w:szCs w:val="28"/>
        </w:rPr>
        <w:t>,0</w:t>
      </w:r>
      <w:r w:rsidR="00C26C38" w:rsidRPr="001D0846">
        <w:rPr>
          <w:rFonts w:ascii="Times New Roman" w:eastAsia="Calibri" w:hAnsi="Times New Roman" w:cs="Times New Roman"/>
          <w:sz w:val="28"/>
          <w:szCs w:val="28"/>
        </w:rPr>
        <w:t xml:space="preserve"> mil.lei, sau 19,5% din totalul obligațiilor fiscale.</w:t>
      </w:r>
      <w:r w:rsidR="000876B4" w:rsidRPr="004B0DE4">
        <w:rPr>
          <w:rFonts w:ascii="Times New Roman" w:eastAsia="Calibri" w:hAnsi="Times New Roman" w:cs="Times New Roman"/>
          <w:i/>
          <w:sz w:val="28"/>
          <w:szCs w:val="28"/>
        </w:rPr>
        <w:t>Structura obligațiilor fiscal</w:t>
      </w:r>
      <w:r w:rsidRPr="004B0DE4">
        <w:rPr>
          <w:rFonts w:ascii="Times New Roman" w:eastAsia="Calibri" w:hAnsi="Times New Roman" w:cs="Times New Roman"/>
          <w:i/>
          <w:sz w:val="28"/>
          <w:szCs w:val="28"/>
        </w:rPr>
        <w:t>e</w:t>
      </w:r>
      <w:r w:rsidR="007000B1">
        <w:rPr>
          <w:rFonts w:ascii="Times New Roman" w:eastAsia="Calibri" w:hAnsi="Times New Roman" w:cs="Times New Roman"/>
          <w:i/>
          <w:sz w:val="28"/>
          <w:szCs w:val="28"/>
        </w:rPr>
        <w:t xml:space="preserve">restante la BPN </w:t>
      </w:r>
      <w:r w:rsidR="003776F2">
        <w:rPr>
          <w:rFonts w:ascii="Times New Roman" w:eastAsia="Calibri" w:hAnsi="Times New Roman" w:cs="Times New Roman"/>
          <w:i/>
          <w:sz w:val="28"/>
          <w:szCs w:val="28"/>
        </w:rPr>
        <w:t>este</w:t>
      </w:r>
      <w:r w:rsidR="000876B4" w:rsidRPr="004B0DE4">
        <w:rPr>
          <w:rFonts w:ascii="Times New Roman" w:eastAsia="Calibri" w:hAnsi="Times New Roman" w:cs="Times New Roman"/>
          <w:i/>
          <w:sz w:val="28"/>
          <w:szCs w:val="28"/>
        </w:rPr>
        <w:t xml:space="preserve"> prez</w:t>
      </w:r>
      <w:r w:rsidR="003776F2">
        <w:rPr>
          <w:rFonts w:ascii="Times New Roman" w:eastAsia="Calibri" w:hAnsi="Times New Roman" w:cs="Times New Roman"/>
          <w:i/>
          <w:sz w:val="28"/>
          <w:szCs w:val="28"/>
        </w:rPr>
        <w:t>enta</w:t>
      </w:r>
      <w:r w:rsidR="000876B4" w:rsidRPr="004B0DE4">
        <w:rPr>
          <w:rFonts w:ascii="Times New Roman" w:eastAsia="Calibri" w:hAnsi="Times New Roman" w:cs="Times New Roman"/>
          <w:i/>
          <w:sz w:val="28"/>
          <w:szCs w:val="28"/>
        </w:rPr>
        <w:t xml:space="preserve">tă </w:t>
      </w:r>
      <w:r w:rsidR="007000B1">
        <w:rPr>
          <w:rFonts w:ascii="Times New Roman" w:eastAsia="Calibri" w:hAnsi="Times New Roman" w:cs="Times New Roman"/>
          <w:i/>
          <w:sz w:val="28"/>
          <w:szCs w:val="28"/>
        </w:rPr>
        <w:t>în Tabelul nr.11.</w:t>
      </w:r>
    </w:p>
    <w:p w:rsidR="007000B1" w:rsidRPr="007000B1" w:rsidRDefault="007000B1" w:rsidP="007000B1">
      <w:pPr>
        <w:spacing w:after="0" w:line="276" w:lineRule="auto"/>
        <w:ind w:firstLine="720"/>
        <w:jc w:val="right"/>
        <w:rPr>
          <w:rFonts w:ascii="Times New Roman" w:eastAsia="Calibri" w:hAnsi="Times New Roman" w:cs="Times New Roman"/>
          <w:b/>
          <w:i/>
          <w:sz w:val="28"/>
          <w:szCs w:val="28"/>
        </w:rPr>
      </w:pPr>
      <w:r w:rsidRPr="007000B1">
        <w:rPr>
          <w:rFonts w:ascii="Times New Roman" w:eastAsia="Calibri" w:hAnsi="Times New Roman" w:cs="Times New Roman"/>
          <w:b/>
          <w:i/>
          <w:sz w:val="28"/>
          <w:szCs w:val="28"/>
        </w:rPr>
        <w:t>Tabelul nr.11</w:t>
      </w:r>
    </w:p>
    <w:p w:rsidR="007000B1" w:rsidRDefault="007000B1" w:rsidP="007000B1">
      <w:pPr>
        <w:spacing w:after="0" w:line="276" w:lineRule="auto"/>
        <w:ind w:firstLine="720"/>
        <w:jc w:val="right"/>
        <w:rPr>
          <w:rFonts w:ascii="Times New Roman" w:eastAsia="Calibri" w:hAnsi="Times New Roman" w:cs="Times New Roman"/>
          <w:i/>
          <w:sz w:val="28"/>
          <w:szCs w:val="28"/>
        </w:rPr>
      </w:pPr>
      <w:r>
        <w:rPr>
          <w:rFonts w:ascii="Times New Roman" w:eastAsia="Calibri" w:hAnsi="Times New Roman" w:cs="Times New Roman"/>
          <w:i/>
          <w:sz w:val="28"/>
          <w:szCs w:val="28"/>
        </w:rPr>
        <w:t>(mil.lei)</w:t>
      </w:r>
    </w:p>
    <w:tbl>
      <w:tblPr>
        <w:tblStyle w:val="TableGrid"/>
        <w:tblpPr w:leftFromText="180" w:rightFromText="180" w:vertAnchor="text" w:horzAnchor="margin" w:tblpY="7"/>
        <w:tblW w:w="0" w:type="auto"/>
        <w:tblLook w:val="04A0"/>
      </w:tblPr>
      <w:tblGrid>
        <w:gridCol w:w="724"/>
        <w:gridCol w:w="3321"/>
        <w:gridCol w:w="3025"/>
        <w:gridCol w:w="2274"/>
      </w:tblGrid>
      <w:tr w:rsidR="007000B1" w:rsidTr="007000B1">
        <w:tc>
          <w:tcPr>
            <w:tcW w:w="724" w:type="dxa"/>
          </w:tcPr>
          <w:p w:rsidR="007000B1" w:rsidRPr="007000B1" w:rsidRDefault="007000B1" w:rsidP="007000B1">
            <w:pPr>
              <w:spacing w:line="276" w:lineRule="auto"/>
              <w:jc w:val="center"/>
              <w:rPr>
                <w:rFonts w:ascii="Times New Roman" w:eastAsia="Calibri" w:hAnsi="Times New Roman" w:cs="Times New Roman"/>
                <w:b/>
                <w:sz w:val="24"/>
                <w:szCs w:val="24"/>
              </w:rPr>
            </w:pPr>
            <w:r w:rsidRPr="007000B1">
              <w:rPr>
                <w:rFonts w:ascii="Times New Roman" w:eastAsia="Calibri" w:hAnsi="Times New Roman" w:cs="Times New Roman"/>
                <w:b/>
                <w:sz w:val="24"/>
                <w:szCs w:val="24"/>
              </w:rPr>
              <w:t>Anul</w:t>
            </w:r>
          </w:p>
        </w:tc>
        <w:tc>
          <w:tcPr>
            <w:tcW w:w="3321" w:type="dxa"/>
          </w:tcPr>
          <w:p w:rsidR="007000B1" w:rsidRPr="007000B1" w:rsidRDefault="007000B1" w:rsidP="007000B1">
            <w:pPr>
              <w:spacing w:line="276" w:lineRule="auto"/>
              <w:jc w:val="both"/>
              <w:rPr>
                <w:rFonts w:ascii="Times New Roman" w:eastAsia="Calibri" w:hAnsi="Times New Roman" w:cs="Times New Roman"/>
                <w:b/>
                <w:sz w:val="24"/>
                <w:szCs w:val="24"/>
              </w:rPr>
            </w:pPr>
            <w:r w:rsidRPr="007000B1">
              <w:rPr>
                <w:rFonts w:ascii="Times New Roman" w:eastAsia="Calibri" w:hAnsi="Times New Roman" w:cs="Times New Roman"/>
                <w:b/>
                <w:sz w:val="24"/>
                <w:szCs w:val="24"/>
              </w:rPr>
              <w:t>Total</w:t>
            </w:r>
            <w:r w:rsidR="003776F2">
              <w:rPr>
                <w:rFonts w:ascii="Times New Roman" w:eastAsia="Calibri" w:hAnsi="Times New Roman" w:cs="Times New Roman"/>
                <w:b/>
                <w:sz w:val="24"/>
                <w:szCs w:val="24"/>
              </w:rPr>
              <w:t>,</w:t>
            </w:r>
            <w:r w:rsidRPr="007000B1">
              <w:rPr>
                <w:rFonts w:ascii="Times New Roman" w:eastAsia="Calibri" w:hAnsi="Times New Roman" w:cs="Times New Roman"/>
                <w:b/>
                <w:sz w:val="24"/>
                <w:szCs w:val="24"/>
              </w:rPr>
              <w:t xml:space="preserve"> obligații fiscale restante</w:t>
            </w:r>
          </w:p>
        </w:tc>
        <w:tc>
          <w:tcPr>
            <w:tcW w:w="3025" w:type="dxa"/>
          </w:tcPr>
          <w:p w:rsidR="007000B1" w:rsidRPr="007000B1" w:rsidRDefault="00020547" w:rsidP="00020547">
            <w:pPr>
              <w:spacing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Obligații fiscale </w:t>
            </w:r>
            <w:r w:rsidR="007000B1" w:rsidRPr="00020547">
              <w:rPr>
                <w:rFonts w:ascii="Times New Roman" w:eastAsia="Calibri" w:hAnsi="Times New Roman" w:cs="Times New Roman"/>
                <w:b/>
                <w:sz w:val="24"/>
                <w:szCs w:val="24"/>
              </w:rPr>
              <w:t>luate la evidența specială</w:t>
            </w:r>
          </w:p>
        </w:tc>
        <w:tc>
          <w:tcPr>
            <w:tcW w:w="2274" w:type="dxa"/>
          </w:tcPr>
          <w:p w:rsidR="007000B1" w:rsidRPr="007000B1" w:rsidRDefault="007000B1" w:rsidP="00020547">
            <w:pPr>
              <w:spacing w:line="276" w:lineRule="auto"/>
              <w:jc w:val="center"/>
              <w:rPr>
                <w:rFonts w:ascii="Times New Roman" w:eastAsia="Calibri" w:hAnsi="Times New Roman" w:cs="Times New Roman"/>
                <w:b/>
                <w:sz w:val="24"/>
                <w:szCs w:val="24"/>
              </w:rPr>
            </w:pPr>
            <w:r w:rsidRPr="00020547">
              <w:rPr>
                <w:rFonts w:ascii="Times New Roman" w:eastAsia="Calibri" w:hAnsi="Times New Roman" w:cs="Times New Roman"/>
                <w:b/>
                <w:sz w:val="24"/>
                <w:szCs w:val="24"/>
              </w:rPr>
              <w:t xml:space="preserve">Restanțe </w:t>
            </w:r>
            <w:r w:rsidR="00020547">
              <w:rPr>
                <w:rFonts w:ascii="Times New Roman" w:eastAsia="Calibri" w:hAnsi="Times New Roman" w:cs="Times New Roman"/>
                <w:b/>
                <w:sz w:val="24"/>
                <w:szCs w:val="24"/>
              </w:rPr>
              <w:t>ale contribuabililor</w:t>
            </w:r>
          </w:p>
        </w:tc>
      </w:tr>
      <w:tr w:rsidR="007000B1" w:rsidRPr="007000B1" w:rsidTr="007000B1">
        <w:tc>
          <w:tcPr>
            <w:tcW w:w="724" w:type="dxa"/>
          </w:tcPr>
          <w:p w:rsidR="007000B1" w:rsidRPr="007000B1" w:rsidRDefault="007000B1" w:rsidP="007000B1">
            <w:pPr>
              <w:spacing w:line="276" w:lineRule="auto"/>
              <w:jc w:val="center"/>
              <w:rPr>
                <w:rFonts w:ascii="Times New Roman" w:eastAsia="Calibri" w:hAnsi="Times New Roman" w:cs="Times New Roman"/>
                <w:sz w:val="24"/>
                <w:szCs w:val="24"/>
              </w:rPr>
            </w:pPr>
            <w:r w:rsidRPr="007000B1">
              <w:rPr>
                <w:rFonts w:ascii="Times New Roman" w:eastAsia="Calibri" w:hAnsi="Times New Roman" w:cs="Times New Roman"/>
                <w:sz w:val="24"/>
                <w:szCs w:val="24"/>
              </w:rPr>
              <w:t>2015</w:t>
            </w:r>
          </w:p>
        </w:tc>
        <w:tc>
          <w:tcPr>
            <w:tcW w:w="3321" w:type="dxa"/>
          </w:tcPr>
          <w:p w:rsidR="007000B1" w:rsidRPr="007000B1" w:rsidRDefault="007000B1" w:rsidP="007000B1">
            <w:pPr>
              <w:spacing w:line="276" w:lineRule="auto"/>
              <w:jc w:val="center"/>
              <w:rPr>
                <w:rFonts w:ascii="Times New Roman" w:eastAsia="Calibri" w:hAnsi="Times New Roman" w:cs="Times New Roman"/>
                <w:b/>
                <w:sz w:val="24"/>
                <w:szCs w:val="24"/>
              </w:rPr>
            </w:pPr>
            <w:r w:rsidRPr="007000B1">
              <w:rPr>
                <w:rFonts w:ascii="Times New Roman" w:eastAsia="Times New Roman" w:hAnsi="Times New Roman" w:cs="Times New Roman"/>
                <w:sz w:val="24"/>
                <w:szCs w:val="24"/>
                <w:lang w:eastAsia="ru-RU"/>
              </w:rPr>
              <w:t>6411,7</w:t>
            </w:r>
          </w:p>
        </w:tc>
        <w:tc>
          <w:tcPr>
            <w:tcW w:w="3025" w:type="dxa"/>
          </w:tcPr>
          <w:p w:rsidR="007000B1" w:rsidRPr="007000B1" w:rsidRDefault="007000B1" w:rsidP="007000B1">
            <w:pPr>
              <w:spacing w:line="276" w:lineRule="auto"/>
              <w:jc w:val="center"/>
              <w:rPr>
                <w:rFonts w:ascii="Times New Roman" w:eastAsia="Calibri" w:hAnsi="Times New Roman" w:cs="Times New Roman"/>
                <w:i/>
                <w:sz w:val="24"/>
                <w:szCs w:val="24"/>
              </w:rPr>
            </w:pPr>
            <w:r w:rsidRPr="007000B1">
              <w:rPr>
                <w:rFonts w:ascii="Times New Roman" w:eastAsia="Times New Roman" w:hAnsi="Times New Roman" w:cs="Times New Roman"/>
                <w:sz w:val="24"/>
                <w:szCs w:val="24"/>
                <w:lang w:eastAsia="ru-RU"/>
              </w:rPr>
              <w:t>4567,1</w:t>
            </w:r>
          </w:p>
        </w:tc>
        <w:tc>
          <w:tcPr>
            <w:tcW w:w="2274" w:type="dxa"/>
          </w:tcPr>
          <w:p w:rsidR="007000B1" w:rsidRPr="007000B1" w:rsidRDefault="007000B1" w:rsidP="007000B1">
            <w:pPr>
              <w:spacing w:line="276" w:lineRule="auto"/>
              <w:jc w:val="center"/>
              <w:rPr>
                <w:rFonts w:ascii="Times New Roman" w:eastAsia="Calibri" w:hAnsi="Times New Roman" w:cs="Times New Roman"/>
                <w:b/>
                <w:i/>
                <w:sz w:val="24"/>
                <w:szCs w:val="24"/>
              </w:rPr>
            </w:pPr>
            <w:r w:rsidRPr="007000B1">
              <w:rPr>
                <w:rFonts w:ascii="Times New Roman" w:eastAsia="Times New Roman" w:hAnsi="Times New Roman" w:cs="Times New Roman"/>
                <w:iCs/>
                <w:sz w:val="24"/>
                <w:szCs w:val="24"/>
              </w:rPr>
              <w:t>1844,6</w:t>
            </w:r>
          </w:p>
        </w:tc>
      </w:tr>
      <w:tr w:rsidR="007000B1" w:rsidRPr="007000B1" w:rsidTr="007000B1">
        <w:tc>
          <w:tcPr>
            <w:tcW w:w="724" w:type="dxa"/>
          </w:tcPr>
          <w:p w:rsidR="007000B1" w:rsidRPr="007000B1" w:rsidRDefault="007000B1" w:rsidP="007000B1">
            <w:pPr>
              <w:spacing w:line="276" w:lineRule="auto"/>
              <w:jc w:val="center"/>
              <w:rPr>
                <w:rFonts w:ascii="Times New Roman" w:eastAsia="Calibri" w:hAnsi="Times New Roman" w:cs="Times New Roman"/>
                <w:sz w:val="24"/>
                <w:szCs w:val="24"/>
              </w:rPr>
            </w:pPr>
            <w:r w:rsidRPr="007000B1">
              <w:rPr>
                <w:rFonts w:ascii="Times New Roman" w:eastAsia="Calibri" w:hAnsi="Times New Roman" w:cs="Times New Roman"/>
                <w:sz w:val="24"/>
                <w:szCs w:val="24"/>
              </w:rPr>
              <w:t>2016</w:t>
            </w:r>
          </w:p>
        </w:tc>
        <w:tc>
          <w:tcPr>
            <w:tcW w:w="3321" w:type="dxa"/>
          </w:tcPr>
          <w:p w:rsidR="007000B1" w:rsidRPr="007000B1" w:rsidRDefault="007000B1" w:rsidP="007000B1">
            <w:pPr>
              <w:spacing w:line="276" w:lineRule="auto"/>
              <w:jc w:val="center"/>
              <w:rPr>
                <w:rFonts w:ascii="Times New Roman" w:eastAsia="Calibri" w:hAnsi="Times New Roman" w:cs="Times New Roman"/>
                <w:i/>
                <w:sz w:val="24"/>
                <w:szCs w:val="24"/>
              </w:rPr>
            </w:pPr>
            <w:r w:rsidRPr="007000B1">
              <w:rPr>
                <w:rFonts w:ascii="Times New Roman" w:eastAsia="Times New Roman" w:hAnsi="Times New Roman" w:cs="Times New Roman"/>
                <w:sz w:val="24"/>
                <w:szCs w:val="24"/>
                <w:lang w:eastAsia="ru-RU"/>
              </w:rPr>
              <w:t>6971,6</w:t>
            </w:r>
          </w:p>
        </w:tc>
        <w:tc>
          <w:tcPr>
            <w:tcW w:w="3025" w:type="dxa"/>
          </w:tcPr>
          <w:p w:rsidR="007000B1" w:rsidRPr="007000B1" w:rsidRDefault="007000B1" w:rsidP="007000B1">
            <w:pPr>
              <w:spacing w:line="276" w:lineRule="auto"/>
              <w:jc w:val="center"/>
              <w:rPr>
                <w:rFonts w:ascii="Times New Roman" w:eastAsia="Calibri" w:hAnsi="Times New Roman" w:cs="Times New Roman"/>
                <w:i/>
                <w:sz w:val="24"/>
                <w:szCs w:val="24"/>
              </w:rPr>
            </w:pPr>
            <w:r w:rsidRPr="007000B1">
              <w:rPr>
                <w:rFonts w:ascii="Times New Roman" w:eastAsia="Times New Roman" w:hAnsi="Times New Roman" w:cs="Times New Roman"/>
                <w:sz w:val="24"/>
                <w:szCs w:val="24"/>
                <w:lang w:eastAsia="ru-RU"/>
              </w:rPr>
              <w:t>5145,6</w:t>
            </w:r>
          </w:p>
        </w:tc>
        <w:tc>
          <w:tcPr>
            <w:tcW w:w="2274" w:type="dxa"/>
          </w:tcPr>
          <w:p w:rsidR="007000B1" w:rsidRPr="007000B1" w:rsidRDefault="007000B1" w:rsidP="007000B1">
            <w:pPr>
              <w:spacing w:line="276" w:lineRule="auto"/>
              <w:jc w:val="center"/>
              <w:rPr>
                <w:rFonts w:ascii="Times New Roman" w:eastAsia="Calibri" w:hAnsi="Times New Roman" w:cs="Times New Roman"/>
                <w:i/>
                <w:sz w:val="24"/>
                <w:szCs w:val="24"/>
              </w:rPr>
            </w:pPr>
            <w:r w:rsidRPr="007000B1">
              <w:rPr>
                <w:rFonts w:ascii="Times New Roman" w:eastAsia="Times New Roman" w:hAnsi="Times New Roman" w:cs="Times New Roman"/>
                <w:iCs/>
                <w:sz w:val="24"/>
                <w:szCs w:val="24"/>
              </w:rPr>
              <w:t>1826,0</w:t>
            </w:r>
          </w:p>
        </w:tc>
      </w:tr>
      <w:tr w:rsidR="007000B1" w:rsidRPr="007000B1" w:rsidTr="007000B1">
        <w:tc>
          <w:tcPr>
            <w:tcW w:w="724" w:type="dxa"/>
          </w:tcPr>
          <w:p w:rsidR="007000B1" w:rsidRPr="007000B1" w:rsidRDefault="007000B1" w:rsidP="007000B1">
            <w:pPr>
              <w:spacing w:line="276" w:lineRule="auto"/>
              <w:jc w:val="center"/>
              <w:rPr>
                <w:rFonts w:ascii="Times New Roman" w:eastAsia="Calibri" w:hAnsi="Times New Roman" w:cs="Times New Roman"/>
                <w:sz w:val="24"/>
                <w:szCs w:val="24"/>
              </w:rPr>
            </w:pPr>
            <w:r w:rsidRPr="007000B1">
              <w:rPr>
                <w:rFonts w:ascii="Times New Roman" w:eastAsia="Calibri" w:hAnsi="Times New Roman" w:cs="Times New Roman"/>
                <w:sz w:val="24"/>
                <w:szCs w:val="24"/>
              </w:rPr>
              <w:t>2017</w:t>
            </w:r>
          </w:p>
        </w:tc>
        <w:tc>
          <w:tcPr>
            <w:tcW w:w="3321" w:type="dxa"/>
          </w:tcPr>
          <w:p w:rsidR="007000B1" w:rsidRPr="007000B1" w:rsidRDefault="007000B1" w:rsidP="007000B1">
            <w:pPr>
              <w:spacing w:line="276" w:lineRule="auto"/>
              <w:jc w:val="center"/>
              <w:rPr>
                <w:rFonts w:ascii="Times New Roman" w:eastAsia="Calibri" w:hAnsi="Times New Roman" w:cs="Times New Roman"/>
                <w:i/>
                <w:sz w:val="24"/>
                <w:szCs w:val="24"/>
              </w:rPr>
            </w:pPr>
            <w:r w:rsidRPr="007000B1">
              <w:rPr>
                <w:rFonts w:ascii="Times New Roman" w:eastAsia="Times New Roman" w:hAnsi="Times New Roman" w:cs="Times New Roman"/>
                <w:sz w:val="24"/>
                <w:szCs w:val="24"/>
                <w:lang w:eastAsia="ru-RU"/>
              </w:rPr>
              <w:t>11216,2</w:t>
            </w:r>
          </w:p>
        </w:tc>
        <w:tc>
          <w:tcPr>
            <w:tcW w:w="3025" w:type="dxa"/>
          </w:tcPr>
          <w:p w:rsidR="007000B1" w:rsidRPr="007000B1" w:rsidRDefault="007000B1" w:rsidP="007000B1">
            <w:pPr>
              <w:spacing w:line="276" w:lineRule="auto"/>
              <w:jc w:val="center"/>
              <w:rPr>
                <w:rFonts w:ascii="Times New Roman" w:eastAsia="Calibri" w:hAnsi="Times New Roman" w:cs="Times New Roman"/>
                <w:i/>
                <w:sz w:val="24"/>
                <w:szCs w:val="24"/>
              </w:rPr>
            </w:pPr>
            <w:r w:rsidRPr="007000B1">
              <w:rPr>
                <w:rFonts w:ascii="Times New Roman" w:eastAsia="Times New Roman" w:hAnsi="Times New Roman" w:cs="Times New Roman"/>
                <w:sz w:val="24"/>
                <w:szCs w:val="24"/>
                <w:lang w:eastAsia="ru-RU"/>
              </w:rPr>
              <w:t>9034,3</w:t>
            </w:r>
          </w:p>
        </w:tc>
        <w:tc>
          <w:tcPr>
            <w:tcW w:w="2274" w:type="dxa"/>
          </w:tcPr>
          <w:p w:rsidR="007000B1" w:rsidRPr="007000B1" w:rsidRDefault="007000B1" w:rsidP="007000B1">
            <w:pPr>
              <w:spacing w:line="276" w:lineRule="auto"/>
              <w:jc w:val="center"/>
              <w:rPr>
                <w:rFonts w:ascii="Times New Roman" w:eastAsia="Calibri" w:hAnsi="Times New Roman" w:cs="Times New Roman"/>
                <w:i/>
                <w:sz w:val="24"/>
                <w:szCs w:val="24"/>
              </w:rPr>
            </w:pPr>
            <w:r w:rsidRPr="007000B1">
              <w:rPr>
                <w:rFonts w:ascii="Times New Roman" w:eastAsia="Times New Roman" w:hAnsi="Times New Roman" w:cs="Times New Roman"/>
                <w:iCs/>
                <w:sz w:val="24"/>
                <w:szCs w:val="24"/>
              </w:rPr>
              <w:t>2181,9</w:t>
            </w:r>
          </w:p>
        </w:tc>
      </w:tr>
    </w:tbl>
    <w:p w:rsidR="00085D11" w:rsidRPr="001D0846" w:rsidRDefault="00085D11" w:rsidP="00092C9C">
      <w:pPr>
        <w:spacing w:after="0" w:line="276" w:lineRule="auto"/>
        <w:jc w:val="both"/>
        <w:rPr>
          <w:rFonts w:ascii="Times New Roman" w:eastAsia="Calibri" w:hAnsi="Times New Roman" w:cs="Times New Roman"/>
          <w:sz w:val="20"/>
          <w:szCs w:val="20"/>
        </w:rPr>
      </w:pPr>
      <w:r w:rsidRPr="001D0846">
        <w:rPr>
          <w:rFonts w:ascii="Times New Roman" w:eastAsia="Calibri" w:hAnsi="Times New Roman" w:cs="Times New Roman"/>
          <w:b/>
          <w:i/>
          <w:sz w:val="20"/>
          <w:szCs w:val="20"/>
        </w:rPr>
        <w:t>Sursă:</w:t>
      </w:r>
      <w:r w:rsidRPr="001D0846">
        <w:rPr>
          <w:rFonts w:ascii="Times New Roman" w:eastAsia="Calibri" w:hAnsi="Times New Roman" w:cs="Times New Roman"/>
          <w:i/>
          <w:sz w:val="20"/>
          <w:szCs w:val="20"/>
        </w:rPr>
        <w:t xml:space="preserve"> Date generalizate de către echipa de audit în baza dărilor de seamă privind restanțele la BPN administrate de SFS pe anii 2015-2017.</w:t>
      </w:r>
    </w:p>
    <w:p w:rsidR="00085D11" w:rsidRPr="001D0846" w:rsidRDefault="00085D11" w:rsidP="00085D11">
      <w:pPr>
        <w:spacing w:after="0" w:line="276" w:lineRule="auto"/>
        <w:ind w:firstLine="720"/>
        <w:jc w:val="both"/>
        <w:rPr>
          <w:rFonts w:ascii="Times New Roman" w:eastAsia="Calibri" w:hAnsi="Times New Roman" w:cs="Times New Roman"/>
          <w:sz w:val="20"/>
          <w:szCs w:val="20"/>
        </w:rPr>
      </w:pPr>
    </w:p>
    <w:p w:rsidR="00C26C38" w:rsidRPr="001D0846" w:rsidRDefault="00C26C38" w:rsidP="006358AD">
      <w:pPr>
        <w:spacing w:after="0" w:line="276" w:lineRule="auto"/>
        <w:ind w:firstLine="709"/>
        <w:jc w:val="both"/>
        <w:rPr>
          <w:rFonts w:ascii="Times New Roman" w:eastAsia="Calibri" w:hAnsi="Times New Roman" w:cs="Times New Roman"/>
          <w:i/>
          <w:sz w:val="28"/>
          <w:szCs w:val="28"/>
        </w:rPr>
      </w:pPr>
      <w:r w:rsidRPr="00020547">
        <w:rPr>
          <w:rFonts w:ascii="Times New Roman" w:eastAsia="Calibri" w:hAnsi="Times New Roman" w:cs="Times New Roman"/>
          <w:i/>
          <w:sz w:val="28"/>
          <w:szCs w:val="28"/>
        </w:rPr>
        <w:t>Informația privind evoluția în dinamică a obligațiilor fiscale</w:t>
      </w:r>
      <w:r w:rsidR="00456909">
        <w:rPr>
          <w:rFonts w:ascii="Times New Roman" w:eastAsia="Calibri" w:hAnsi="Times New Roman" w:cs="Times New Roman"/>
          <w:i/>
          <w:sz w:val="28"/>
          <w:szCs w:val="28"/>
        </w:rPr>
        <w:t xml:space="preserve">restante </w:t>
      </w:r>
      <w:r w:rsidRPr="00020547">
        <w:rPr>
          <w:rFonts w:ascii="Times New Roman" w:eastAsia="Calibri" w:hAnsi="Times New Roman" w:cs="Times New Roman"/>
          <w:i/>
          <w:sz w:val="28"/>
          <w:szCs w:val="28"/>
        </w:rPr>
        <w:t xml:space="preserve">la BPN din evidența generală administrată de SFS </w:t>
      </w:r>
      <w:r w:rsidR="003776F2" w:rsidRPr="00020547">
        <w:rPr>
          <w:rFonts w:ascii="Times New Roman" w:eastAsia="Calibri" w:hAnsi="Times New Roman" w:cs="Times New Roman"/>
          <w:i/>
          <w:sz w:val="28"/>
          <w:szCs w:val="28"/>
        </w:rPr>
        <w:t>este</w:t>
      </w:r>
      <w:r w:rsidR="00183E36" w:rsidRPr="00020547">
        <w:rPr>
          <w:rFonts w:ascii="Times New Roman" w:eastAsia="Calibri" w:hAnsi="Times New Roman" w:cs="Times New Roman"/>
          <w:i/>
          <w:sz w:val="28"/>
          <w:szCs w:val="28"/>
        </w:rPr>
        <w:t xml:space="preserve"> prez</w:t>
      </w:r>
      <w:r w:rsidR="003776F2" w:rsidRPr="00020547">
        <w:rPr>
          <w:rFonts w:ascii="Times New Roman" w:eastAsia="Calibri" w:hAnsi="Times New Roman" w:cs="Times New Roman"/>
          <w:i/>
          <w:sz w:val="28"/>
          <w:szCs w:val="28"/>
        </w:rPr>
        <w:t>enta</w:t>
      </w:r>
      <w:r w:rsidR="00183E36" w:rsidRPr="00020547">
        <w:rPr>
          <w:rFonts w:ascii="Times New Roman" w:eastAsia="Calibri" w:hAnsi="Times New Roman" w:cs="Times New Roman"/>
          <w:i/>
          <w:sz w:val="28"/>
          <w:szCs w:val="28"/>
        </w:rPr>
        <w:t>tă în Tabelul nr.1</w:t>
      </w:r>
      <w:r w:rsidR="00576E18" w:rsidRPr="00020547">
        <w:rPr>
          <w:rFonts w:ascii="Times New Roman" w:eastAsia="Calibri" w:hAnsi="Times New Roman" w:cs="Times New Roman"/>
          <w:i/>
          <w:sz w:val="28"/>
          <w:szCs w:val="28"/>
        </w:rPr>
        <w:t>2</w:t>
      </w:r>
      <w:r w:rsidR="00183E36" w:rsidRPr="00020547">
        <w:rPr>
          <w:rFonts w:ascii="Times New Roman" w:eastAsia="Calibri" w:hAnsi="Times New Roman" w:cs="Times New Roman"/>
          <w:i/>
          <w:sz w:val="28"/>
          <w:szCs w:val="28"/>
        </w:rPr>
        <w:t xml:space="preserve"> din Anexa nr.3</w:t>
      </w:r>
      <w:r w:rsidRPr="00020547">
        <w:rPr>
          <w:rFonts w:ascii="Times New Roman" w:eastAsia="Calibri" w:hAnsi="Times New Roman" w:cs="Times New Roman"/>
          <w:i/>
          <w:sz w:val="28"/>
          <w:szCs w:val="28"/>
        </w:rPr>
        <w:t xml:space="preserve"> la Raport</w:t>
      </w:r>
      <w:r w:rsidR="003776F2" w:rsidRPr="00020547">
        <w:rPr>
          <w:rFonts w:ascii="Times New Roman" w:eastAsia="Calibri" w:hAnsi="Times New Roman" w:cs="Times New Roman"/>
          <w:i/>
          <w:sz w:val="28"/>
          <w:szCs w:val="28"/>
        </w:rPr>
        <w:t>ul</w:t>
      </w:r>
      <w:r w:rsidRPr="00020547">
        <w:rPr>
          <w:rFonts w:ascii="Times New Roman" w:eastAsia="Calibri" w:hAnsi="Times New Roman" w:cs="Times New Roman"/>
          <w:i/>
          <w:sz w:val="28"/>
          <w:szCs w:val="28"/>
        </w:rPr>
        <w:t xml:space="preserve"> de audit.</w:t>
      </w:r>
    </w:p>
    <w:p w:rsidR="00C26C38" w:rsidRPr="001D0846" w:rsidRDefault="00C26C38" w:rsidP="006358AD">
      <w:pPr>
        <w:spacing w:after="0" w:line="276" w:lineRule="auto"/>
        <w:ind w:firstLine="709"/>
        <w:jc w:val="both"/>
        <w:rPr>
          <w:rFonts w:ascii="Times New Roman" w:eastAsia="Times New Roman" w:hAnsi="Times New Roman" w:cs="Times New Roman"/>
          <w:sz w:val="28"/>
          <w:szCs w:val="28"/>
          <w:lang w:eastAsia="ru-RU"/>
        </w:rPr>
      </w:pPr>
      <w:r w:rsidRPr="001D0846">
        <w:rPr>
          <w:rFonts w:ascii="Times New Roman" w:eastAsia="Calibri" w:hAnsi="Times New Roman" w:cs="Times New Roman"/>
          <w:sz w:val="28"/>
          <w:szCs w:val="28"/>
        </w:rPr>
        <w:t xml:space="preserve">Analiza datelor prezentate în </w:t>
      </w:r>
      <w:r w:rsidR="003776F2">
        <w:rPr>
          <w:rFonts w:ascii="Times New Roman" w:eastAsia="Calibri" w:hAnsi="Times New Roman" w:cs="Times New Roman"/>
          <w:sz w:val="28"/>
          <w:szCs w:val="28"/>
        </w:rPr>
        <w:t>t</w:t>
      </w:r>
      <w:r w:rsidRPr="001D0846">
        <w:rPr>
          <w:rFonts w:ascii="Times New Roman" w:eastAsia="Calibri" w:hAnsi="Times New Roman" w:cs="Times New Roman"/>
          <w:sz w:val="28"/>
          <w:szCs w:val="28"/>
        </w:rPr>
        <w:t>abel relevă</w:t>
      </w:r>
      <w:r w:rsidR="003776F2">
        <w:rPr>
          <w:rFonts w:ascii="Times New Roman" w:eastAsia="Calibri" w:hAnsi="Times New Roman" w:cs="Times New Roman"/>
          <w:sz w:val="28"/>
          <w:szCs w:val="28"/>
        </w:rPr>
        <w:t>,</w:t>
      </w:r>
      <w:r w:rsidRPr="001D0846">
        <w:rPr>
          <w:rFonts w:ascii="Times New Roman" w:eastAsia="Calibri" w:hAnsi="Times New Roman" w:cs="Times New Roman"/>
          <w:sz w:val="28"/>
          <w:szCs w:val="28"/>
        </w:rPr>
        <w:t xml:space="preserve"> per ansamblu</w:t>
      </w:r>
      <w:r w:rsidR="003776F2">
        <w:rPr>
          <w:rFonts w:ascii="Times New Roman" w:eastAsia="Calibri" w:hAnsi="Times New Roman" w:cs="Times New Roman"/>
          <w:sz w:val="28"/>
          <w:szCs w:val="28"/>
        </w:rPr>
        <w:t>,</w:t>
      </w:r>
      <w:r w:rsidRPr="001D0846">
        <w:rPr>
          <w:rFonts w:ascii="Times New Roman" w:eastAsia="Calibri" w:hAnsi="Times New Roman" w:cs="Times New Roman"/>
          <w:sz w:val="28"/>
          <w:szCs w:val="28"/>
        </w:rPr>
        <w:t xml:space="preserve">o dinamică ascendenă a </w:t>
      </w:r>
      <w:r w:rsidRPr="00020547">
        <w:rPr>
          <w:rFonts w:ascii="Times New Roman" w:eastAsia="Calibri" w:hAnsi="Times New Roman" w:cs="Times New Roman"/>
          <w:sz w:val="28"/>
          <w:szCs w:val="28"/>
        </w:rPr>
        <w:t>obligațiilor fiscale</w:t>
      </w:r>
      <w:r w:rsidR="00020547" w:rsidRPr="00020547">
        <w:rPr>
          <w:rFonts w:ascii="Times New Roman" w:eastAsia="Calibri" w:hAnsi="Times New Roman" w:cs="Times New Roman"/>
          <w:sz w:val="28"/>
          <w:szCs w:val="28"/>
        </w:rPr>
        <w:t xml:space="preserve"> restante </w:t>
      </w:r>
      <w:r w:rsidRPr="00020547">
        <w:rPr>
          <w:rFonts w:ascii="Times New Roman" w:eastAsia="Calibri" w:hAnsi="Times New Roman" w:cs="Times New Roman"/>
          <w:sz w:val="28"/>
          <w:szCs w:val="28"/>
        </w:rPr>
        <w:t>la BPN, care au înregistrat o creștere de la 6411,7 mil.lei în anul 2015 p</w:t>
      </w:r>
      <w:r w:rsidR="004251A7" w:rsidRPr="00020547">
        <w:rPr>
          <w:rFonts w:ascii="Times New Roman" w:eastAsia="Calibri" w:hAnsi="Times New Roman" w:cs="Times New Roman"/>
          <w:sz w:val="28"/>
          <w:szCs w:val="28"/>
        </w:rPr>
        <w:t>â</w:t>
      </w:r>
      <w:r w:rsidRPr="00020547">
        <w:rPr>
          <w:rFonts w:ascii="Times New Roman" w:eastAsia="Calibri" w:hAnsi="Times New Roman" w:cs="Times New Roman"/>
          <w:sz w:val="28"/>
          <w:szCs w:val="28"/>
        </w:rPr>
        <w:t>nă la 11216,2 mil</w:t>
      </w:r>
      <w:r w:rsidRPr="001D0846">
        <w:rPr>
          <w:rFonts w:ascii="Times New Roman" w:eastAsia="Calibri" w:hAnsi="Times New Roman" w:cs="Times New Roman"/>
          <w:sz w:val="28"/>
          <w:szCs w:val="28"/>
        </w:rPr>
        <w:t xml:space="preserve">.lei, sau cu </w:t>
      </w:r>
      <w:r w:rsidR="00A416D1">
        <w:rPr>
          <w:rFonts w:ascii="Times New Roman" w:eastAsia="Calibri" w:hAnsi="Times New Roman" w:cs="Times New Roman"/>
          <w:sz w:val="28"/>
          <w:szCs w:val="28"/>
        </w:rPr>
        <w:t xml:space="preserve">74 </w:t>
      </w:r>
      <w:r w:rsidRPr="001D0846">
        <w:rPr>
          <w:rFonts w:ascii="Times New Roman" w:eastAsia="Calibri" w:hAnsi="Times New Roman" w:cs="Times New Roman"/>
          <w:sz w:val="28"/>
          <w:szCs w:val="28"/>
        </w:rPr>
        <w:t>%</w:t>
      </w:r>
      <w:r w:rsidR="004251A7">
        <w:rPr>
          <w:rFonts w:ascii="Times New Roman" w:eastAsia="Calibri" w:hAnsi="Times New Roman" w:cs="Times New Roman"/>
          <w:sz w:val="28"/>
          <w:szCs w:val="28"/>
        </w:rPr>
        <w:t>,</w:t>
      </w:r>
      <w:r w:rsidRPr="001D0846">
        <w:rPr>
          <w:rFonts w:ascii="Times New Roman" w:eastAsia="Calibri" w:hAnsi="Times New Roman" w:cs="Times New Roman"/>
          <w:sz w:val="28"/>
          <w:szCs w:val="28"/>
        </w:rPr>
        <w:t xml:space="preserve"> în anul 2017. În totalul obligațiilor fiscale</w:t>
      </w:r>
      <w:r w:rsidR="004251A7">
        <w:rPr>
          <w:rFonts w:ascii="Times New Roman" w:eastAsia="Calibri" w:hAnsi="Times New Roman" w:cs="Times New Roman"/>
          <w:sz w:val="28"/>
          <w:szCs w:val="28"/>
        </w:rPr>
        <w:t>,ponderea</w:t>
      </w:r>
      <w:r w:rsidRPr="001D0846">
        <w:rPr>
          <w:rFonts w:ascii="Times New Roman" w:eastAsia="Calibri" w:hAnsi="Times New Roman" w:cs="Times New Roman"/>
          <w:sz w:val="28"/>
          <w:szCs w:val="28"/>
        </w:rPr>
        <w:t xml:space="preserve"> semnificativă </w:t>
      </w:r>
      <w:r w:rsidR="004251A7">
        <w:rPr>
          <w:rFonts w:ascii="Times New Roman" w:eastAsia="Calibri" w:hAnsi="Times New Roman" w:cs="Times New Roman"/>
          <w:sz w:val="28"/>
          <w:szCs w:val="28"/>
        </w:rPr>
        <w:t>o dețin</w:t>
      </w:r>
      <w:r w:rsidRPr="001D0846">
        <w:rPr>
          <w:rFonts w:ascii="Times New Roman" w:eastAsia="Calibri" w:hAnsi="Times New Roman" w:cs="Times New Roman"/>
          <w:sz w:val="28"/>
          <w:szCs w:val="28"/>
        </w:rPr>
        <w:t xml:space="preserve"> obligațiil</w:t>
      </w:r>
      <w:r w:rsidR="004251A7">
        <w:rPr>
          <w:rFonts w:ascii="Times New Roman" w:eastAsia="Calibri" w:hAnsi="Times New Roman" w:cs="Times New Roman"/>
          <w:sz w:val="28"/>
          <w:szCs w:val="28"/>
        </w:rPr>
        <w:t>e</w:t>
      </w:r>
      <w:r w:rsidRPr="001D0846">
        <w:rPr>
          <w:rFonts w:ascii="Times New Roman" w:eastAsia="Calibri" w:hAnsi="Times New Roman" w:cs="Times New Roman"/>
          <w:sz w:val="28"/>
          <w:szCs w:val="28"/>
        </w:rPr>
        <w:t xml:space="preserve"> fiscale înregistrate în evidența specială</w:t>
      </w:r>
      <w:r w:rsidR="004251A7">
        <w:rPr>
          <w:rFonts w:ascii="Times New Roman" w:eastAsia="Calibri" w:hAnsi="Times New Roman" w:cs="Times New Roman"/>
          <w:sz w:val="28"/>
          <w:szCs w:val="28"/>
        </w:rPr>
        <w:t>,</w:t>
      </w:r>
      <w:r w:rsidRPr="001D0846">
        <w:rPr>
          <w:rFonts w:ascii="Times New Roman" w:eastAsia="Calibri" w:hAnsi="Times New Roman" w:cs="Times New Roman"/>
          <w:sz w:val="28"/>
          <w:szCs w:val="28"/>
        </w:rPr>
        <w:t xml:space="preserve"> care la </w:t>
      </w:r>
      <w:r w:rsidRPr="001D0846">
        <w:rPr>
          <w:rFonts w:ascii="Times New Roman" w:eastAsia="Times New Roman" w:hAnsi="Times New Roman" w:cs="Times New Roman"/>
          <w:sz w:val="28"/>
          <w:szCs w:val="28"/>
          <w:lang w:eastAsia="ru-RU"/>
        </w:rPr>
        <w:t>31.12.2017 constitui</w:t>
      </w:r>
      <w:r w:rsidR="004251A7">
        <w:rPr>
          <w:rFonts w:ascii="Times New Roman" w:eastAsia="Times New Roman" w:hAnsi="Times New Roman" w:cs="Times New Roman"/>
          <w:sz w:val="28"/>
          <w:szCs w:val="28"/>
          <w:lang w:eastAsia="ru-RU"/>
        </w:rPr>
        <w:t>au</w:t>
      </w:r>
      <w:r w:rsidRPr="001D0846">
        <w:rPr>
          <w:rFonts w:ascii="Times New Roman" w:eastAsia="Times New Roman" w:hAnsi="Times New Roman" w:cs="Times New Roman"/>
          <w:sz w:val="28"/>
          <w:szCs w:val="28"/>
          <w:lang w:eastAsia="ru-RU"/>
        </w:rPr>
        <w:t xml:space="preserve"> 9034,3 mil.lei, fiind în creștere cu 4467,2 mil.lei, sau cu </w:t>
      </w:r>
      <w:r w:rsidR="00A416D1">
        <w:rPr>
          <w:rFonts w:ascii="Times New Roman" w:eastAsia="Times New Roman" w:hAnsi="Times New Roman" w:cs="Times New Roman"/>
          <w:sz w:val="28"/>
          <w:szCs w:val="28"/>
          <w:lang w:eastAsia="ru-RU"/>
        </w:rPr>
        <w:t>97</w:t>
      </w:r>
      <w:r w:rsidRPr="001D0846">
        <w:rPr>
          <w:rFonts w:ascii="Times New Roman" w:eastAsia="Times New Roman" w:hAnsi="Times New Roman" w:cs="Times New Roman"/>
          <w:sz w:val="28"/>
          <w:szCs w:val="28"/>
          <w:lang w:eastAsia="ru-RU"/>
        </w:rPr>
        <w:t xml:space="preserve"> %</w:t>
      </w:r>
      <w:r w:rsidR="004251A7">
        <w:rPr>
          <w:rFonts w:ascii="Times New Roman" w:eastAsia="Times New Roman" w:hAnsi="Times New Roman" w:cs="Times New Roman"/>
          <w:sz w:val="28"/>
          <w:szCs w:val="28"/>
          <w:lang w:eastAsia="ru-RU"/>
        </w:rPr>
        <w:t xml:space="preserve">, </w:t>
      </w:r>
      <w:r w:rsidRPr="001D0846">
        <w:rPr>
          <w:rFonts w:ascii="Times New Roman" w:eastAsia="Times New Roman" w:hAnsi="Times New Roman" w:cs="Times New Roman"/>
          <w:sz w:val="28"/>
          <w:szCs w:val="28"/>
          <w:lang w:eastAsia="ru-RU"/>
        </w:rPr>
        <w:t xml:space="preserve">față de anul 2015, </w:t>
      </w:r>
      <w:r w:rsidR="004251A7">
        <w:rPr>
          <w:rFonts w:ascii="Times New Roman" w:eastAsia="Times New Roman" w:hAnsi="Times New Roman" w:cs="Times New Roman"/>
          <w:sz w:val="28"/>
          <w:szCs w:val="28"/>
          <w:lang w:eastAsia="ru-RU"/>
        </w:rPr>
        <w:t xml:space="preserve">și </w:t>
      </w:r>
      <w:r w:rsidRPr="001D0846">
        <w:rPr>
          <w:rFonts w:ascii="Times New Roman" w:eastAsia="Times New Roman" w:hAnsi="Times New Roman" w:cs="Times New Roman"/>
          <w:sz w:val="28"/>
          <w:szCs w:val="28"/>
          <w:lang w:eastAsia="ru-RU"/>
        </w:rPr>
        <w:t>care</w:t>
      </w:r>
      <w:r w:rsidR="004251A7">
        <w:rPr>
          <w:rFonts w:ascii="Times New Roman" w:eastAsia="Times New Roman" w:hAnsi="Times New Roman" w:cs="Times New Roman"/>
          <w:sz w:val="28"/>
          <w:szCs w:val="28"/>
          <w:lang w:eastAsia="ru-RU"/>
        </w:rPr>
        <w:t>,</w:t>
      </w:r>
      <w:r w:rsidRPr="001D0846">
        <w:rPr>
          <w:rFonts w:ascii="Times New Roman" w:eastAsia="Times New Roman" w:hAnsi="Times New Roman" w:cs="Times New Roman"/>
          <w:sz w:val="28"/>
          <w:szCs w:val="28"/>
          <w:lang w:eastAsia="ru-RU"/>
        </w:rPr>
        <w:t xml:space="preserve"> reieșind din prevederile CF</w:t>
      </w:r>
      <w:r w:rsidR="004251A7">
        <w:rPr>
          <w:rFonts w:ascii="Times New Roman" w:eastAsia="Times New Roman" w:hAnsi="Times New Roman" w:cs="Times New Roman"/>
          <w:sz w:val="28"/>
          <w:szCs w:val="28"/>
          <w:lang w:eastAsia="ru-RU"/>
        </w:rPr>
        <w:t>,</w:t>
      </w:r>
      <w:r w:rsidRPr="001D0846">
        <w:rPr>
          <w:rFonts w:ascii="Times New Roman" w:eastAsia="Times New Roman" w:hAnsi="Times New Roman" w:cs="Times New Roman"/>
          <w:sz w:val="28"/>
          <w:szCs w:val="28"/>
          <w:lang w:eastAsia="ru-RU"/>
        </w:rPr>
        <w:t xml:space="preserve"> nu se consideră restanțe.</w:t>
      </w:r>
    </w:p>
    <w:p w:rsidR="00C26C38" w:rsidRPr="001D0846" w:rsidRDefault="00C26C38" w:rsidP="006358AD">
      <w:pPr>
        <w:spacing w:after="0" w:line="276" w:lineRule="auto"/>
        <w:ind w:firstLine="706"/>
        <w:jc w:val="both"/>
        <w:rPr>
          <w:rFonts w:ascii="Times New Roman" w:eastAsia="Times New Roman" w:hAnsi="Times New Roman" w:cs="Times New Roman"/>
          <w:b/>
          <w:sz w:val="28"/>
          <w:szCs w:val="28"/>
        </w:rPr>
      </w:pPr>
      <w:r w:rsidRPr="00020547">
        <w:rPr>
          <w:rFonts w:ascii="Times New Roman" w:eastAsia="Times New Roman" w:hAnsi="Times New Roman" w:cs="Times New Roman"/>
          <w:i/>
          <w:sz w:val="28"/>
          <w:szCs w:val="28"/>
          <w:lang w:eastAsia="ru-RU"/>
        </w:rPr>
        <w:t xml:space="preserve">Informația privind structura plăților aferente obligațiilor fiscale </w:t>
      </w:r>
      <w:r w:rsidR="00456909">
        <w:rPr>
          <w:rFonts w:ascii="Times New Roman" w:eastAsia="Times New Roman" w:hAnsi="Times New Roman" w:cs="Times New Roman"/>
          <w:i/>
          <w:sz w:val="28"/>
          <w:szCs w:val="28"/>
          <w:lang w:eastAsia="ru-RU"/>
        </w:rPr>
        <w:t xml:space="preserve">restante </w:t>
      </w:r>
      <w:r w:rsidRPr="00020547">
        <w:rPr>
          <w:rFonts w:ascii="Times New Roman" w:eastAsia="Times New Roman" w:hAnsi="Times New Roman" w:cs="Times New Roman"/>
          <w:i/>
          <w:sz w:val="28"/>
          <w:szCs w:val="28"/>
          <w:lang w:eastAsia="ru-RU"/>
        </w:rPr>
        <w:t>luate la evidență specială de către SFS</w:t>
      </w:r>
      <w:r w:rsidR="004251A7" w:rsidRPr="00020547">
        <w:rPr>
          <w:rFonts w:ascii="Times New Roman" w:eastAsia="Times New Roman" w:hAnsi="Times New Roman" w:cs="Times New Roman"/>
          <w:i/>
          <w:sz w:val="28"/>
          <w:szCs w:val="28"/>
          <w:lang w:eastAsia="ru-RU"/>
        </w:rPr>
        <w:t>este</w:t>
      </w:r>
      <w:r w:rsidRPr="00020547">
        <w:rPr>
          <w:rFonts w:ascii="Times New Roman" w:eastAsia="Times New Roman" w:hAnsi="Times New Roman" w:cs="Times New Roman"/>
          <w:i/>
          <w:sz w:val="28"/>
          <w:szCs w:val="28"/>
          <w:lang w:eastAsia="ru-RU"/>
        </w:rPr>
        <w:t xml:space="preserve"> prez</w:t>
      </w:r>
      <w:r w:rsidR="004251A7" w:rsidRPr="00020547">
        <w:rPr>
          <w:rFonts w:ascii="Times New Roman" w:eastAsia="Times New Roman" w:hAnsi="Times New Roman" w:cs="Times New Roman"/>
          <w:i/>
          <w:sz w:val="28"/>
          <w:szCs w:val="28"/>
          <w:lang w:eastAsia="ru-RU"/>
        </w:rPr>
        <w:t>enta</w:t>
      </w:r>
      <w:r w:rsidRPr="00020547">
        <w:rPr>
          <w:rFonts w:ascii="Times New Roman" w:eastAsia="Times New Roman" w:hAnsi="Times New Roman" w:cs="Times New Roman"/>
          <w:i/>
          <w:sz w:val="28"/>
          <w:szCs w:val="28"/>
          <w:lang w:eastAsia="ru-RU"/>
        </w:rPr>
        <w:t xml:space="preserve">tă în Tabelul </w:t>
      </w:r>
      <w:r w:rsidR="00576E18" w:rsidRPr="00020547">
        <w:rPr>
          <w:rFonts w:ascii="Times New Roman" w:eastAsia="Times New Roman" w:hAnsi="Times New Roman" w:cs="Times New Roman"/>
          <w:i/>
          <w:sz w:val="28"/>
          <w:szCs w:val="28"/>
          <w:lang w:eastAsia="ru-RU"/>
        </w:rPr>
        <w:t>nr.13</w:t>
      </w:r>
      <w:r w:rsidR="00183E36" w:rsidRPr="00020547">
        <w:rPr>
          <w:rFonts w:ascii="Times New Roman" w:eastAsia="Times New Roman" w:hAnsi="Times New Roman" w:cs="Times New Roman"/>
          <w:i/>
          <w:sz w:val="28"/>
          <w:szCs w:val="28"/>
          <w:lang w:eastAsia="ru-RU"/>
        </w:rPr>
        <w:t xml:space="preserve"> din Anexa nr.3</w:t>
      </w:r>
      <w:r w:rsidRPr="00020547">
        <w:rPr>
          <w:rFonts w:ascii="Times New Roman" w:eastAsia="Times New Roman" w:hAnsi="Times New Roman" w:cs="Times New Roman"/>
          <w:i/>
          <w:sz w:val="28"/>
          <w:szCs w:val="28"/>
          <w:lang w:eastAsia="ru-RU"/>
        </w:rPr>
        <w:t xml:space="preserve"> la</w:t>
      </w:r>
      <w:r w:rsidRPr="001D0846">
        <w:rPr>
          <w:rFonts w:ascii="Times New Roman" w:eastAsia="Times New Roman" w:hAnsi="Times New Roman" w:cs="Times New Roman"/>
          <w:i/>
          <w:sz w:val="28"/>
          <w:szCs w:val="28"/>
          <w:lang w:eastAsia="ru-RU"/>
        </w:rPr>
        <w:t xml:space="preserve">  Raport</w:t>
      </w:r>
      <w:r w:rsidR="004251A7">
        <w:rPr>
          <w:rFonts w:ascii="Times New Roman" w:eastAsia="Times New Roman" w:hAnsi="Times New Roman" w:cs="Times New Roman"/>
          <w:i/>
          <w:sz w:val="28"/>
          <w:szCs w:val="28"/>
          <w:lang w:eastAsia="ru-RU"/>
        </w:rPr>
        <w:t>ul</w:t>
      </w:r>
      <w:r w:rsidRPr="001D0846">
        <w:rPr>
          <w:rFonts w:ascii="Times New Roman" w:eastAsia="Times New Roman" w:hAnsi="Times New Roman" w:cs="Times New Roman"/>
          <w:i/>
          <w:sz w:val="28"/>
          <w:szCs w:val="28"/>
          <w:lang w:eastAsia="ru-RU"/>
        </w:rPr>
        <w:t xml:space="preserve"> de audit.</w:t>
      </w:r>
      <w:r w:rsidRPr="001D0846">
        <w:rPr>
          <w:rFonts w:ascii="Times New Roman" w:eastAsia="Times New Roman" w:hAnsi="Times New Roman" w:cs="Times New Roman"/>
          <w:sz w:val="28"/>
          <w:szCs w:val="28"/>
          <w:lang w:eastAsia="ru-RU"/>
        </w:rPr>
        <w:t xml:space="preserve">Datele </w:t>
      </w:r>
      <w:r w:rsidR="004251A7">
        <w:rPr>
          <w:rFonts w:ascii="Times New Roman" w:eastAsia="Times New Roman" w:hAnsi="Times New Roman" w:cs="Times New Roman"/>
          <w:sz w:val="28"/>
          <w:szCs w:val="28"/>
          <w:lang w:eastAsia="ru-RU"/>
        </w:rPr>
        <w:t>dint</w:t>
      </w:r>
      <w:r w:rsidRPr="001D0846">
        <w:rPr>
          <w:rFonts w:ascii="Times New Roman" w:eastAsia="Times New Roman" w:hAnsi="Times New Roman" w:cs="Times New Roman"/>
          <w:sz w:val="28"/>
          <w:szCs w:val="28"/>
          <w:lang w:eastAsia="ru-RU"/>
        </w:rPr>
        <w:t xml:space="preserve">abel </w:t>
      </w:r>
      <w:r w:rsidR="004251A7">
        <w:rPr>
          <w:rFonts w:ascii="Times New Roman" w:eastAsia="Times New Roman" w:hAnsi="Times New Roman" w:cs="Times New Roman"/>
          <w:sz w:val="28"/>
          <w:szCs w:val="28"/>
          <w:lang w:eastAsia="ru-RU"/>
        </w:rPr>
        <w:t>indică</w:t>
      </w:r>
      <w:r w:rsidRPr="001D0846">
        <w:rPr>
          <w:rFonts w:ascii="Times New Roman" w:eastAsia="Times New Roman" w:hAnsi="Times New Roman" w:cs="Times New Roman"/>
          <w:sz w:val="28"/>
          <w:szCs w:val="28"/>
          <w:lang w:eastAsia="ru-RU"/>
        </w:rPr>
        <w:t xml:space="preserve"> că</w:t>
      </w:r>
      <w:r w:rsidR="004251A7">
        <w:rPr>
          <w:rFonts w:ascii="Times New Roman" w:eastAsia="Times New Roman" w:hAnsi="Times New Roman" w:cs="Times New Roman"/>
          <w:sz w:val="28"/>
          <w:szCs w:val="28"/>
          <w:lang w:eastAsia="ru-RU"/>
        </w:rPr>
        <w:t>,</w:t>
      </w:r>
      <w:r w:rsidRPr="001D0846">
        <w:rPr>
          <w:rFonts w:ascii="Times New Roman" w:eastAsia="Times New Roman" w:hAnsi="Times New Roman" w:cs="Times New Roman"/>
          <w:sz w:val="28"/>
          <w:szCs w:val="28"/>
          <w:lang w:eastAsia="ru-RU"/>
        </w:rPr>
        <w:t xml:space="preserve"> la 31.12.2017, evidența specială include</w:t>
      </w:r>
      <w:r w:rsidR="00020547">
        <w:rPr>
          <w:rFonts w:ascii="Times New Roman" w:eastAsia="Times New Roman" w:hAnsi="Times New Roman" w:cs="Times New Roman"/>
          <w:sz w:val="28"/>
          <w:szCs w:val="28"/>
          <w:lang w:eastAsia="ru-RU"/>
        </w:rPr>
        <w:t>a</w:t>
      </w:r>
      <w:r w:rsidRPr="001D0846">
        <w:rPr>
          <w:rFonts w:ascii="Times New Roman" w:eastAsia="Times New Roman" w:hAnsi="Times New Roman" w:cs="Times New Roman"/>
          <w:sz w:val="28"/>
          <w:szCs w:val="28"/>
          <w:lang w:eastAsia="ru-RU"/>
        </w:rPr>
        <w:t xml:space="preserve"> obligațiile fiscale a 2578 de contribuabili</w:t>
      </w:r>
      <w:r w:rsidR="004251A7">
        <w:rPr>
          <w:rFonts w:ascii="Times New Roman" w:eastAsia="Times New Roman" w:hAnsi="Times New Roman" w:cs="Times New Roman"/>
          <w:sz w:val="28"/>
          <w:szCs w:val="28"/>
          <w:lang w:eastAsia="ru-RU"/>
        </w:rPr>
        <w:t>,</w:t>
      </w:r>
      <w:r w:rsidRPr="001D0846">
        <w:rPr>
          <w:rFonts w:ascii="Times New Roman" w:eastAsia="Times New Roman" w:hAnsi="Times New Roman" w:cs="Times New Roman"/>
          <w:sz w:val="28"/>
          <w:szCs w:val="28"/>
          <w:lang w:eastAsia="ru-RU"/>
        </w:rPr>
        <w:t xml:space="preserve"> în sumă totală de </w:t>
      </w:r>
      <w:r w:rsidRPr="001D0846">
        <w:rPr>
          <w:rFonts w:ascii="Times New Roman" w:eastAsia="Times New Roman" w:hAnsi="Times New Roman" w:cs="Times New Roman"/>
          <w:sz w:val="28"/>
          <w:szCs w:val="28"/>
          <w:lang w:eastAsia="ru-RU"/>
        </w:rPr>
        <w:lastRenderedPageBreak/>
        <w:t xml:space="preserve">9034,3 mil.lei, inclusiv </w:t>
      </w:r>
      <w:r w:rsidRPr="001D0846">
        <w:rPr>
          <w:rFonts w:ascii="Times New Roman" w:eastAsia="Times New Roman" w:hAnsi="Times New Roman" w:cs="Times New Roman"/>
          <w:iCs/>
          <w:sz w:val="28"/>
          <w:szCs w:val="28"/>
          <w:lang w:eastAsia="ru-RU"/>
        </w:rPr>
        <w:t>plăți de bază</w:t>
      </w:r>
      <w:r w:rsidRPr="001D0846">
        <w:rPr>
          <w:rFonts w:ascii="Times New Roman" w:eastAsia="Times New Roman" w:hAnsi="Times New Roman" w:cs="Times New Roman"/>
          <w:iCs/>
          <w:sz w:val="28"/>
          <w:szCs w:val="28"/>
        </w:rPr>
        <w:t>–</w:t>
      </w:r>
      <w:r w:rsidRPr="001D0846">
        <w:rPr>
          <w:rFonts w:ascii="Times New Roman" w:eastAsia="Times New Roman" w:hAnsi="Times New Roman" w:cs="Times New Roman"/>
          <w:sz w:val="28"/>
          <w:szCs w:val="28"/>
          <w:lang w:eastAsia="ru-RU"/>
        </w:rPr>
        <w:t xml:space="preserve"> 4711,08 mil.lei, </w:t>
      </w:r>
      <w:r w:rsidRPr="001D0846">
        <w:rPr>
          <w:rFonts w:ascii="Times New Roman" w:eastAsia="Times New Roman" w:hAnsi="Times New Roman" w:cs="Times New Roman"/>
          <w:iCs/>
          <w:sz w:val="28"/>
          <w:szCs w:val="28"/>
          <w:lang w:eastAsia="ru-RU"/>
        </w:rPr>
        <w:t>penalități</w:t>
      </w:r>
      <w:r w:rsidRPr="001D0846">
        <w:rPr>
          <w:rFonts w:ascii="Times New Roman" w:eastAsia="Times New Roman" w:hAnsi="Times New Roman" w:cs="Times New Roman"/>
          <w:iCs/>
          <w:sz w:val="28"/>
          <w:szCs w:val="28"/>
        </w:rPr>
        <w:t xml:space="preserve">– </w:t>
      </w:r>
      <w:r w:rsidRPr="001D0846">
        <w:rPr>
          <w:rFonts w:ascii="Times New Roman" w:eastAsia="Times New Roman" w:hAnsi="Times New Roman" w:cs="Times New Roman"/>
          <w:sz w:val="28"/>
          <w:szCs w:val="28"/>
          <w:lang w:eastAsia="ru-RU"/>
        </w:rPr>
        <w:t>1548,4 mil.lei</w:t>
      </w:r>
      <w:r w:rsidR="004251A7">
        <w:rPr>
          <w:rFonts w:ascii="Times New Roman" w:eastAsia="Times New Roman" w:hAnsi="Times New Roman" w:cs="Times New Roman"/>
          <w:sz w:val="28"/>
          <w:szCs w:val="28"/>
          <w:lang w:eastAsia="ru-RU"/>
        </w:rPr>
        <w:t>,</w:t>
      </w:r>
      <w:r w:rsidRPr="001D0846">
        <w:rPr>
          <w:rFonts w:ascii="Times New Roman" w:eastAsia="Times New Roman" w:hAnsi="Times New Roman" w:cs="Times New Roman"/>
          <w:sz w:val="28"/>
          <w:szCs w:val="28"/>
          <w:lang w:eastAsia="ru-RU"/>
        </w:rPr>
        <w:t xml:space="preserve"> și </w:t>
      </w:r>
      <w:r w:rsidRPr="001D0846">
        <w:rPr>
          <w:rFonts w:ascii="Times New Roman" w:eastAsia="Times New Roman" w:hAnsi="Times New Roman" w:cs="Times New Roman"/>
          <w:iCs/>
          <w:sz w:val="28"/>
          <w:szCs w:val="28"/>
          <w:lang w:eastAsia="ru-RU"/>
        </w:rPr>
        <w:t xml:space="preserve">amenzi </w:t>
      </w:r>
      <w:r w:rsidRPr="001D0846">
        <w:rPr>
          <w:rFonts w:ascii="Times New Roman" w:eastAsia="Times New Roman" w:hAnsi="Times New Roman" w:cs="Times New Roman"/>
          <w:iCs/>
          <w:sz w:val="28"/>
          <w:szCs w:val="28"/>
        </w:rPr>
        <w:t xml:space="preserve">– </w:t>
      </w:r>
      <w:r w:rsidRPr="001D0846">
        <w:rPr>
          <w:rFonts w:ascii="Times New Roman" w:eastAsia="Times New Roman" w:hAnsi="Times New Roman" w:cs="Times New Roman"/>
          <w:sz w:val="28"/>
          <w:szCs w:val="28"/>
          <w:lang w:eastAsia="ru-RU"/>
        </w:rPr>
        <w:t>2774,8 mil.lei, c</w:t>
      </w:r>
      <w:r w:rsidR="004251A7">
        <w:rPr>
          <w:rFonts w:ascii="Times New Roman" w:eastAsia="Times New Roman" w:hAnsi="Times New Roman" w:cs="Times New Roman"/>
          <w:sz w:val="28"/>
          <w:szCs w:val="28"/>
          <w:lang w:eastAsia="ru-RU"/>
        </w:rPr>
        <w:t>are</w:t>
      </w:r>
      <w:r w:rsidRPr="001D0846">
        <w:rPr>
          <w:rFonts w:ascii="Times New Roman" w:eastAsia="Times New Roman" w:hAnsi="Times New Roman" w:cs="Times New Roman"/>
          <w:sz w:val="28"/>
          <w:szCs w:val="28"/>
          <w:lang w:eastAsia="ru-RU"/>
        </w:rPr>
        <w:t xml:space="preserve"> constituie 27,5% din totalul veniturilor BPN. </w:t>
      </w:r>
    </w:p>
    <w:p w:rsidR="00C26C38" w:rsidRPr="001D0846" w:rsidRDefault="00C26C38" w:rsidP="006358AD">
      <w:pPr>
        <w:spacing w:after="0" w:line="276" w:lineRule="auto"/>
        <w:ind w:firstLine="706"/>
        <w:jc w:val="both"/>
        <w:rPr>
          <w:rFonts w:ascii="Times New Roman" w:eastAsia="Times New Roman" w:hAnsi="Times New Roman" w:cs="Times New Roman"/>
          <w:sz w:val="28"/>
          <w:szCs w:val="28"/>
        </w:rPr>
      </w:pPr>
      <w:r w:rsidRPr="001D0846">
        <w:rPr>
          <w:rFonts w:ascii="Times New Roman" w:eastAsia="Times New Roman" w:hAnsi="Times New Roman" w:cs="Times New Roman"/>
          <w:sz w:val="28"/>
          <w:szCs w:val="28"/>
        </w:rPr>
        <w:t xml:space="preserve">Restanțele administrate de SFS </w:t>
      </w:r>
      <w:r w:rsidR="004251A7">
        <w:rPr>
          <w:rFonts w:ascii="Times New Roman" w:eastAsia="Times New Roman" w:hAnsi="Times New Roman" w:cs="Times New Roman"/>
          <w:sz w:val="28"/>
          <w:szCs w:val="28"/>
        </w:rPr>
        <w:t>au</w:t>
      </w:r>
      <w:r w:rsidRPr="001D0846">
        <w:rPr>
          <w:rFonts w:ascii="Times New Roman" w:eastAsia="Times New Roman" w:hAnsi="Times New Roman" w:cs="Times New Roman"/>
          <w:sz w:val="28"/>
          <w:szCs w:val="28"/>
        </w:rPr>
        <w:t xml:space="preserve"> o evoluție ascendentă, fiind în creștere de la 1844,6 mil.lei în anul 2015 până la 2182,0 mil.lei în anul 2017. În </w:t>
      </w:r>
      <w:r w:rsidR="004251A7">
        <w:rPr>
          <w:rFonts w:ascii="Times New Roman" w:eastAsia="Times New Roman" w:hAnsi="Times New Roman" w:cs="Times New Roman"/>
          <w:sz w:val="28"/>
          <w:szCs w:val="28"/>
        </w:rPr>
        <w:t>anul</w:t>
      </w:r>
      <w:r w:rsidRPr="001D0846">
        <w:rPr>
          <w:rFonts w:ascii="Times New Roman" w:eastAsia="Times New Roman" w:hAnsi="Times New Roman" w:cs="Times New Roman"/>
          <w:sz w:val="28"/>
          <w:szCs w:val="28"/>
        </w:rPr>
        <w:t xml:space="preserve"> 2016 se </w:t>
      </w:r>
      <w:r w:rsidR="004251A7">
        <w:rPr>
          <w:rFonts w:ascii="Times New Roman" w:eastAsia="Times New Roman" w:hAnsi="Times New Roman" w:cs="Times New Roman"/>
          <w:sz w:val="28"/>
          <w:szCs w:val="28"/>
        </w:rPr>
        <w:t>înregistrează</w:t>
      </w:r>
      <w:r w:rsidRPr="001D0846">
        <w:rPr>
          <w:rFonts w:ascii="Times New Roman" w:eastAsia="Times New Roman" w:hAnsi="Times New Roman" w:cs="Times New Roman"/>
          <w:sz w:val="28"/>
          <w:szCs w:val="28"/>
        </w:rPr>
        <w:t xml:space="preserve"> o micșorare a soldului restanței până la 1826</w:t>
      </w:r>
      <w:r w:rsidR="004251A7">
        <w:rPr>
          <w:rFonts w:ascii="Times New Roman" w:eastAsia="Times New Roman" w:hAnsi="Times New Roman" w:cs="Times New Roman"/>
          <w:sz w:val="28"/>
          <w:szCs w:val="28"/>
        </w:rPr>
        <w:t>,0</w:t>
      </w:r>
      <w:r w:rsidRPr="001D0846">
        <w:rPr>
          <w:rFonts w:ascii="Times New Roman" w:eastAsia="Times New Roman" w:hAnsi="Times New Roman" w:cs="Times New Roman"/>
          <w:sz w:val="28"/>
          <w:szCs w:val="28"/>
        </w:rPr>
        <w:t xml:space="preserve"> mil.lei, situație determinată</w:t>
      </w:r>
      <w:r w:rsidR="004251A7">
        <w:rPr>
          <w:rFonts w:ascii="Times New Roman" w:eastAsia="Times New Roman" w:hAnsi="Times New Roman" w:cs="Times New Roman"/>
          <w:sz w:val="28"/>
          <w:szCs w:val="28"/>
        </w:rPr>
        <w:t>,</w:t>
      </w:r>
      <w:r w:rsidRPr="001D0846">
        <w:rPr>
          <w:rFonts w:ascii="Times New Roman" w:eastAsia="Times New Roman" w:hAnsi="Times New Roman" w:cs="Times New Roman"/>
          <w:sz w:val="28"/>
          <w:szCs w:val="28"/>
        </w:rPr>
        <w:t xml:space="preserve"> în mare parte</w:t>
      </w:r>
      <w:r w:rsidR="004251A7">
        <w:rPr>
          <w:rFonts w:ascii="Times New Roman" w:eastAsia="Times New Roman" w:hAnsi="Times New Roman" w:cs="Times New Roman"/>
          <w:sz w:val="28"/>
          <w:szCs w:val="28"/>
        </w:rPr>
        <w:t>,</w:t>
      </w:r>
      <w:r w:rsidRPr="001D0846">
        <w:rPr>
          <w:rFonts w:ascii="Times New Roman" w:eastAsia="Times New Roman" w:hAnsi="Times New Roman" w:cs="Times New Roman"/>
          <w:sz w:val="28"/>
          <w:szCs w:val="28"/>
        </w:rPr>
        <w:t xml:space="preserve"> de înscrierea obligațiilor fiscale în evidența specială, care la 31.12.2016 au constituit 4717,8 mil.lei.</w:t>
      </w:r>
    </w:p>
    <w:p w:rsidR="00C26C38" w:rsidRPr="001D0846" w:rsidRDefault="00C26C38" w:rsidP="006358AD">
      <w:pPr>
        <w:spacing w:after="0" w:line="276" w:lineRule="auto"/>
        <w:ind w:firstLine="706"/>
        <w:jc w:val="both"/>
        <w:rPr>
          <w:rFonts w:ascii="Times New Roman" w:eastAsia="Calibri" w:hAnsi="Times New Roman" w:cs="Times New Roman"/>
          <w:b/>
          <w:i/>
          <w:sz w:val="28"/>
          <w:szCs w:val="28"/>
        </w:rPr>
      </w:pPr>
      <w:r w:rsidRPr="00576E18">
        <w:rPr>
          <w:rFonts w:ascii="Times New Roman" w:eastAsia="Times New Roman" w:hAnsi="Times New Roman" w:cs="Times New Roman"/>
          <w:sz w:val="28"/>
          <w:szCs w:val="28"/>
        </w:rPr>
        <w:t>În aspectul componentelor BPN, cea mai semnificativă creștere în anul 2017</w:t>
      </w:r>
      <w:r w:rsidR="0029546B">
        <w:rPr>
          <w:rFonts w:ascii="Times New Roman" w:eastAsia="Times New Roman" w:hAnsi="Times New Roman" w:cs="Times New Roman"/>
          <w:sz w:val="28"/>
          <w:szCs w:val="28"/>
        </w:rPr>
        <w:t>,</w:t>
      </w:r>
      <w:r w:rsidRPr="00576E18">
        <w:rPr>
          <w:rFonts w:ascii="Times New Roman" w:eastAsia="Times New Roman" w:hAnsi="Times New Roman" w:cs="Times New Roman"/>
          <w:sz w:val="28"/>
          <w:szCs w:val="28"/>
        </w:rPr>
        <w:t xml:space="preserve"> față de </w:t>
      </w:r>
      <w:r w:rsidR="0029546B">
        <w:rPr>
          <w:rFonts w:ascii="Times New Roman" w:eastAsia="Times New Roman" w:hAnsi="Times New Roman" w:cs="Times New Roman"/>
          <w:sz w:val="28"/>
          <w:szCs w:val="28"/>
        </w:rPr>
        <w:t>anul</w:t>
      </w:r>
      <w:r w:rsidRPr="00576E18">
        <w:rPr>
          <w:rFonts w:ascii="Times New Roman" w:eastAsia="Times New Roman" w:hAnsi="Times New Roman" w:cs="Times New Roman"/>
          <w:sz w:val="28"/>
          <w:szCs w:val="28"/>
        </w:rPr>
        <w:t xml:space="preserve"> 2016</w:t>
      </w:r>
      <w:r w:rsidR="0029546B">
        <w:rPr>
          <w:rFonts w:ascii="Times New Roman" w:eastAsia="Times New Roman" w:hAnsi="Times New Roman" w:cs="Times New Roman"/>
          <w:sz w:val="28"/>
          <w:szCs w:val="28"/>
        </w:rPr>
        <w:t>,o înregistrează restanța</w:t>
      </w:r>
      <w:r w:rsidRPr="00576E18">
        <w:rPr>
          <w:rFonts w:ascii="Times New Roman" w:eastAsia="Times New Roman" w:hAnsi="Times New Roman" w:cs="Times New Roman"/>
          <w:sz w:val="28"/>
          <w:szCs w:val="28"/>
        </w:rPr>
        <w:t xml:space="preserve"> la BS – cu 346,3 mil.lei</w:t>
      </w:r>
      <w:r w:rsidR="0029546B">
        <w:rPr>
          <w:rFonts w:ascii="Times New Roman" w:eastAsia="Times New Roman" w:hAnsi="Times New Roman" w:cs="Times New Roman"/>
          <w:sz w:val="28"/>
          <w:szCs w:val="28"/>
        </w:rPr>
        <w:t>,</w:t>
      </w:r>
      <w:r w:rsidRPr="00576E18">
        <w:rPr>
          <w:rFonts w:ascii="Times New Roman" w:eastAsia="Times New Roman" w:hAnsi="Times New Roman" w:cs="Times New Roman"/>
          <w:sz w:val="28"/>
          <w:szCs w:val="28"/>
        </w:rPr>
        <w:t xml:space="preserve"> sau </w:t>
      </w:r>
      <w:r w:rsidR="0029546B">
        <w:rPr>
          <w:rFonts w:ascii="Times New Roman" w:eastAsia="Times New Roman" w:hAnsi="Times New Roman" w:cs="Times New Roman"/>
          <w:sz w:val="28"/>
          <w:szCs w:val="28"/>
        </w:rPr>
        <w:t xml:space="preserve">cu </w:t>
      </w:r>
      <w:r w:rsidRPr="00576E18">
        <w:rPr>
          <w:rFonts w:ascii="Times New Roman" w:eastAsia="Times New Roman" w:hAnsi="Times New Roman" w:cs="Times New Roman"/>
          <w:sz w:val="28"/>
          <w:szCs w:val="28"/>
        </w:rPr>
        <w:t>23,6 %, succedată de restanța la BASS – cu 27,9 mil.lei. Totodată, se relevă o descreștere a restanțe</w:t>
      </w:r>
      <w:r w:rsidR="0029546B">
        <w:rPr>
          <w:rFonts w:ascii="Times New Roman" w:eastAsia="Times New Roman" w:hAnsi="Times New Roman" w:cs="Times New Roman"/>
          <w:sz w:val="28"/>
          <w:szCs w:val="28"/>
        </w:rPr>
        <w:t>lor</w:t>
      </w:r>
      <w:r w:rsidRPr="00576E18">
        <w:rPr>
          <w:rFonts w:ascii="Times New Roman" w:eastAsia="Times New Roman" w:hAnsi="Times New Roman" w:cs="Times New Roman"/>
          <w:sz w:val="28"/>
          <w:szCs w:val="28"/>
        </w:rPr>
        <w:t xml:space="preserve"> la BUAT și FAOAM în </w:t>
      </w:r>
      <w:r w:rsidR="0029546B">
        <w:rPr>
          <w:rFonts w:ascii="Times New Roman" w:eastAsia="Times New Roman" w:hAnsi="Times New Roman" w:cs="Times New Roman"/>
          <w:sz w:val="28"/>
          <w:szCs w:val="28"/>
        </w:rPr>
        <w:t>anul</w:t>
      </w:r>
      <w:r w:rsidRPr="00576E18">
        <w:rPr>
          <w:rFonts w:ascii="Times New Roman" w:eastAsia="Times New Roman" w:hAnsi="Times New Roman" w:cs="Times New Roman"/>
          <w:sz w:val="28"/>
          <w:szCs w:val="28"/>
        </w:rPr>
        <w:t xml:space="preserve"> 2017</w:t>
      </w:r>
      <w:r w:rsidR="0029546B">
        <w:rPr>
          <w:rFonts w:ascii="Times New Roman" w:eastAsia="Times New Roman" w:hAnsi="Times New Roman" w:cs="Times New Roman"/>
          <w:sz w:val="28"/>
          <w:szCs w:val="28"/>
        </w:rPr>
        <w:t>,</w:t>
      </w:r>
      <w:r w:rsidRPr="00576E18">
        <w:rPr>
          <w:rFonts w:ascii="Times New Roman" w:eastAsia="Times New Roman" w:hAnsi="Times New Roman" w:cs="Times New Roman"/>
          <w:sz w:val="28"/>
          <w:szCs w:val="28"/>
        </w:rPr>
        <w:t xml:space="preserve"> față de </w:t>
      </w:r>
      <w:r w:rsidR="0029546B">
        <w:rPr>
          <w:rFonts w:ascii="Times New Roman" w:eastAsia="Times New Roman" w:hAnsi="Times New Roman" w:cs="Times New Roman"/>
          <w:sz w:val="28"/>
          <w:szCs w:val="28"/>
        </w:rPr>
        <w:t>anul</w:t>
      </w:r>
      <w:r w:rsidRPr="00576E18">
        <w:rPr>
          <w:rFonts w:ascii="Times New Roman" w:eastAsia="Times New Roman" w:hAnsi="Times New Roman" w:cs="Times New Roman"/>
          <w:sz w:val="28"/>
          <w:szCs w:val="28"/>
        </w:rPr>
        <w:t xml:space="preserve"> 2016</w:t>
      </w:r>
      <w:r w:rsidR="0029546B">
        <w:rPr>
          <w:rFonts w:ascii="Times New Roman" w:eastAsia="Times New Roman" w:hAnsi="Times New Roman" w:cs="Times New Roman"/>
          <w:sz w:val="28"/>
          <w:szCs w:val="28"/>
        </w:rPr>
        <w:t>,</w:t>
      </w:r>
      <w:r w:rsidRPr="00576E18">
        <w:rPr>
          <w:rFonts w:ascii="Times New Roman" w:eastAsia="Times New Roman" w:hAnsi="Times New Roman" w:cs="Times New Roman"/>
          <w:sz w:val="28"/>
          <w:szCs w:val="28"/>
        </w:rPr>
        <w:t xml:space="preserve"> cu 17,4 mil.lei și</w:t>
      </w:r>
      <w:r w:rsidR="0029546B">
        <w:rPr>
          <w:rFonts w:ascii="Times New Roman" w:eastAsia="Times New Roman" w:hAnsi="Times New Roman" w:cs="Times New Roman"/>
          <w:sz w:val="28"/>
          <w:szCs w:val="28"/>
        </w:rPr>
        <w:t>,</w:t>
      </w:r>
      <w:r w:rsidRPr="00576E18">
        <w:rPr>
          <w:rFonts w:ascii="Times New Roman" w:eastAsia="Times New Roman" w:hAnsi="Times New Roman" w:cs="Times New Roman"/>
          <w:sz w:val="28"/>
          <w:szCs w:val="28"/>
        </w:rPr>
        <w:t xml:space="preserve"> respectiv</w:t>
      </w:r>
      <w:r w:rsidR="0029546B">
        <w:rPr>
          <w:rFonts w:ascii="Times New Roman" w:eastAsia="Times New Roman" w:hAnsi="Times New Roman" w:cs="Times New Roman"/>
          <w:sz w:val="28"/>
          <w:szCs w:val="28"/>
        </w:rPr>
        <w:t>, cu</w:t>
      </w:r>
      <w:r w:rsidRPr="00576E18">
        <w:rPr>
          <w:rFonts w:ascii="Times New Roman" w:eastAsia="Times New Roman" w:hAnsi="Times New Roman" w:cs="Times New Roman"/>
          <w:sz w:val="28"/>
          <w:szCs w:val="28"/>
        </w:rPr>
        <w:t xml:space="preserve"> 0,6 mil.lei. </w:t>
      </w:r>
      <w:r w:rsidRPr="00576E18">
        <w:rPr>
          <w:rFonts w:ascii="Times New Roman" w:eastAsia="Times New Roman" w:hAnsi="Times New Roman" w:cs="Times New Roman"/>
          <w:i/>
          <w:sz w:val="28"/>
          <w:szCs w:val="28"/>
        </w:rPr>
        <w:t xml:space="preserve">Informația privind evoluția restanțelor la BPN administrate de SFS </w:t>
      </w:r>
      <w:r w:rsidR="0029546B">
        <w:rPr>
          <w:rFonts w:ascii="Times New Roman" w:eastAsia="Times New Roman" w:hAnsi="Times New Roman" w:cs="Times New Roman"/>
          <w:i/>
          <w:sz w:val="28"/>
          <w:szCs w:val="28"/>
        </w:rPr>
        <w:t>este</w:t>
      </w:r>
      <w:r w:rsidRPr="00576E18">
        <w:rPr>
          <w:rFonts w:ascii="Times New Roman" w:eastAsia="Times New Roman" w:hAnsi="Times New Roman" w:cs="Times New Roman"/>
          <w:i/>
          <w:sz w:val="28"/>
          <w:szCs w:val="28"/>
        </w:rPr>
        <w:t xml:space="preserve"> prez</w:t>
      </w:r>
      <w:r w:rsidR="0029546B">
        <w:rPr>
          <w:rFonts w:ascii="Times New Roman" w:eastAsia="Times New Roman" w:hAnsi="Times New Roman" w:cs="Times New Roman"/>
          <w:i/>
          <w:sz w:val="28"/>
          <w:szCs w:val="28"/>
        </w:rPr>
        <w:t>enta</w:t>
      </w:r>
      <w:r w:rsidRPr="00576E18">
        <w:rPr>
          <w:rFonts w:ascii="Times New Roman" w:eastAsia="Times New Roman" w:hAnsi="Times New Roman" w:cs="Times New Roman"/>
          <w:i/>
          <w:sz w:val="28"/>
          <w:szCs w:val="28"/>
        </w:rPr>
        <w:t>tă în Diagrama nr.</w:t>
      </w:r>
      <w:r w:rsidR="00576E18" w:rsidRPr="00576E18">
        <w:rPr>
          <w:rFonts w:ascii="Times New Roman" w:eastAsia="Times New Roman" w:hAnsi="Times New Roman" w:cs="Times New Roman"/>
          <w:i/>
          <w:sz w:val="28"/>
          <w:szCs w:val="28"/>
        </w:rPr>
        <w:t>10</w:t>
      </w:r>
      <w:r w:rsidR="00183E36" w:rsidRPr="00576E18">
        <w:rPr>
          <w:rFonts w:ascii="Times New Roman" w:eastAsia="Times New Roman" w:hAnsi="Times New Roman" w:cs="Times New Roman"/>
          <w:i/>
          <w:sz w:val="28"/>
          <w:szCs w:val="28"/>
        </w:rPr>
        <w:t xml:space="preserve"> din Anexa nr.4</w:t>
      </w:r>
      <w:r w:rsidR="001C437F" w:rsidRPr="00576E18">
        <w:rPr>
          <w:rFonts w:ascii="Times New Roman" w:eastAsia="Times New Roman" w:hAnsi="Times New Roman" w:cs="Times New Roman"/>
          <w:i/>
          <w:sz w:val="28"/>
          <w:szCs w:val="28"/>
        </w:rPr>
        <w:t xml:space="preserve"> la Raport</w:t>
      </w:r>
      <w:r w:rsidR="0029546B">
        <w:rPr>
          <w:rFonts w:ascii="Times New Roman" w:eastAsia="Times New Roman" w:hAnsi="Times New Roman" w:cs="Times New Roman"/>
          <w:i/>
          <w:sz w:val="28"/>
          <w:szCs w:val="28"/>
        </w:rPr>
        <w:t>ul</w:t>
      </w:r>
      <w:r w:rsidR="001C437F" w:rsidRPr="00576E18">
        <w:rPr>
          <w:rFonts w:ascii="Times New Roman" w:eastAsia="Times New Roman" w:hAnsi="Times New Roman" w:cs="Times New Roman"/>
          <w:i/>
          <w:sz w:val="28"/>
          <w:szCs w:val="28"/>
        </w:rPr>
        <w:t xml:space="preserve"> de audit</w:t>
      </w:r>
      <w:r w:rsidRPr="00576E18">
        <w:rPr>
          <w:rFonts w:ascii="Times New Roman" w:eastAsia="Times New Roman" w:hAnsi="Times New Roman" w:cs="Times New Roman"/>
          <w:i/>
          <w:sz w:val="28"/>
          <w:szCs w:val="28"/>
        </w:rPr>
        <w:t>.</w:t>
      </w:r>
    </w:p>
    <w:p w:rsidR="00C26C38" w:rsidRPr="001D0846" w:rsidRDefault="00C26C38" w:rsidP="006358AD">
      <w:pPr>
        <w:spacing w:after="0" w:line="276" w:lineRule="auto"/>
        <w:ind w:firstLine="709"/>
        <w:jc w:val="both"/>
        <w:rPr>
          <w:rFonts w:ascii="Times New Roman" w:eastAsia="Times New Roman" w:hAnsi="Times New Roman" w:cs="Times New Roman"/>
          <w:i/>
          <w:sz w:val="28"/>
          <w:szCs w:val="28"/>
        </w:rPr>
      </w:pPr>
      <w:r w:rsidRPr="001D0846">
        <w:rPr>
          <w:rFonts w:ascii="Times New Roman" w:eastAsia="Times New Roman" w:hAnsi="Times New Roman" w:cs="Times New Roman"/>
          <w:iCs/>
          <w:sz w:val="28"/>
          <w:szCs w:val="28"/>
        </w:rPr>
        <w:t xml:space="preserve">Analiza structurii restanței la BPNdenotă o creștere a restanței la plățile de bază </w:t>
      </w:r>
      <w:r w:rsidRPr="001D0846">
        <w:rPr>
          <w:rFonts w:ascii="Times New Roman" w:eastAsia="Times New Roman" w:hAnsi="Times New Roman" w:cs="Times New Roman"/>
          <w:sz w:val="28"/>
          <w:szCs w:val="28"/>
        </w:rPr>
        <w:t xml:space="preserve">de la 1002,5 mil.lei în anul 2015 până la 1137,1 mil.lei în anul 2017. O evoluție ascendentă se atestă și în cazul restanțelor la penalități și </w:t>
      </w:r>
      <w:r w:rsidR="0029546B">
        <w:rPr>
          <w:rFonts w:ascii="Times New Roman" w:eastAsia="Times New Roman" w:hAnsi="Times New Roman" w:cs="Times New Roman"/>
          <w:sz w:val="28"/>
          <w:szCs w:val="28"/>
        </w:rPr>
        <w:t xml:space="preserve">la </w:t>
      </w:r>
      <w:r w:rsidRPr="001D0846">
        <w:rPr>
          <w:rFonts w:ascii="Times New Roman" w:eastAsia="Times New Roman" w:hAnsi="Times New Roman" w:cs="Times New Roman"/>
          <w:sz w:val="28"/>
          <w:szCs w:val="28"/>
        </w:rPr>
        <w:t>amenzi</w:t>
      </w:r>
      <w:r w:rsidR="0029546B">
        <w:rPr>
          <w:rFonts w:ascii="Times New Roman" w:eastAsia="Times New Roman" w:hAnsi="Times New Roman" w:cs="Times New Roman"/>
          <w:sz w:val="28"/>
          <w:szCs w:val="28"/>
        </w:rPr>
        <w:t>,</w:t>
      </w:r>
      <w:r w:rsidRPr="001D0846">
        <w:rPr>
          <w:rFonts w:ascii="Times New Roman" w:eastAsia="Times New Roman" w:hAnsi="Times New Roman" w:cs="Times New Roman"/>
          <w:sz w:val="28"/>
          <w:szCs w:val="28"/>
        </w:rPr>
        <w:t xml:space="preserve"> care în anul 2017 au constituit 627,4 mil.lei, sau </w:t>
      </w:r>
      <w:r w:rsidR="0029546B" w:rsidRPr="001D0846">
        <w:rPr>
          <w:rFonts w:ascii="Times New Roman" w:eastAsia="Times New Roman" w:hAnsi="Times New Roman" w:cs="Times New Roman"/>
          <w:sz w:val="28"/>
          <w:szCs w:val="28"/>
        </w:rPr>
        <w:t xml:space="preserve">cu 146,9 mil.lei </w:t>
      </w:r>
      <w:r w:rsidRPr="001D0846">
        <w:rPr>
          <w:rFonts w:ascii="Times New Roman" w:eastAsia="Times New Roman" w:hAnsi="Times New Roman" w:cs="Times New Roman"/>
          <w:sz w:val="28"/>
          <w:szCs w:val="28"/>
        </w:rPr>
        <w:t>mai mult față de anul 2015, și</w:t>
      </w:r>
      <w:r w:rsidR="0029546B">
        <w:rPr>
          <w:rFonts w:ascii="Times New Roman" w:eastAsia="Times New Roman" w:hAnsi="Times New Roman" w:cs="Times New Roman"/>
          <w:sz w:val="28"/>
          <w:szCs w:val="28"/>
        </w:rPr>
        <w:t>,</w:t>
      </w:r>
      <w:r w:rsidRPr="001D0846">
        <w:rPr>
          <w:rFonts w:ascii="Times New Roman" w:eastAsia="Times New Roman" w:hAnsi="Times New Roman" w:cs="Times New Roman"/>
          <w:sz w:val="28"/>
          <w:szCs w:val="28"/>
        </w:rPr>
        <w:t xml:space="preserve"> respectiv</w:t>
      </w:r>
      <w:r w:rsidR="0029546B">
        <w:rPr>
          <w:rFonts w:ascii="Times New Roman" w:eastAsia="Times New Roman" w:hAnsi="Times New Roman" w:cs="Times New Roman"/>
          <w:sz w:val="28"/>
          <w:szCs w:val="28"/>
        </w:rPr>
        <w:t>,</w:t>
      </w:r>
      <w:r w:rsidRPr="001D0846">
        <w:rPr>
          <w:rFonts w:ascii="Times New Roman" w:eastAsia="Times New Roman" w:hAnsi="Times New Roman" w:cs="Times New Roman"/>
          <w:sz w:val="28"/>
          <w:szCs w:val="28"/>
        </w:rPr>
        <w:t xml:space="preserve"> 417,4 mil.lei, sau </w:t>
      </w:r>
      <w:r w:rsidR="0029546B" w:rsidRPr="001D0846">
        <w:rPr>
          <w:rFonts w:ascii="Times New Roman" w:eastAsia="Times New Roman" w:hAnsi="Times New Roman" w:cs="Times New Roman"/>
          <w:sz w:val="28"/>
          <w:szCs w:val="28"/>
        </w:rPr>
        <w:t xml:space="preserve">cu 55,8 mil.lei </w:t>
      </w:r>
      <w:r w:rsidRPr="001D0846">
        <w:rPr>
          <w:rFonts w:ascii="Times New Roman" w:eastAsia="Times New Roman" w:hAnsi="Times New Roman" w:cs="Times New Roman"/>
          <w:sz w:val="28"/>
          <w:szCs w:val="28"/>
        </w:rPr>
        <w:t>mai mult față de anul 2015</w:t>
      </w:r>
      <w:r w:rsidRPr="003C4B9E">
        <w:rPr>
          <w:rFonts w:ascii="Times New Roman" w:eastAsia="Times New Roman" w:hAnsi="Times New Roman" w:cs="Times New Roman"/>
          <w:i/>
          <w:sz w:val="28"/>
          <w:szCs w:val="28"/>
        </w:rPr>
        <w:t>. Informația privind structura restanței la BPN pe anii 2015-2017</w:t>
      </w:r>
      <w:r w:rsidR="00B350CA" w:rsidRPr="003C4B9E">
        <w:rPr>
          <w:rFonts w:ascii="Times New Roman" w:eastAsia="Times New Roman" w:hAnsi="Times New Roman" w:cs="Times New Roman"/>
          <w:i/>
          <w:sz w:val="28"/>
          <w:szCs w:val="28"/>
        </w:rPr>
        <w:t>,</w:t>
      </w:r>
      <w:r w:rsidR="00A31846" w:rsidRPr="003C4B9E">
        <w:rPr>
          <w:rFonts w:ascii="Times New Roman" w:eastAsia="Times New Roman" w:hAnsi="Times New Roman" w:cs="Times New Roman"/>
          <w:i/>
          <w:sz w:val="28"/>
          <w:szCs w:val="28"/>
        </w:rPr>
        <w:t xml:space="preserve"> în aspectul tipurilor de bugete</w:t>
      </w:r>
      <w:r w:rsidR="00B350CA" w:rsidRPr="003C4B9E">
        <w:rPr>
          <w:rFonts w:ascii="Times New Roman" w:eastAsia="Times New Roman" w:hAnsi="Times New Roman" w:cs="Times New Roman"/>
          <w:i/>
          <w:sz w:val="28"/>
          <w:szCs w:val="28"/>
        </w:rPr>
        <w:t>,</w:t>
      </w:r>
      <w:r w:rsidR="00B350CA">
        <w:rPr>
          <w:rFonts w:ascii="Times New Roman" w:eastAsia="Times New Roman" w:hAnsi="Times New Roman" w:cs="Times New Roman"/>
          <w:i/>
          <w:sz w:val="28"/>
          <w:szCs w:val="28"/>
        </w:rPr>
        <w:t>este</w:t>
      </w:r>
      <w:r w:rsidRPr="001D0846">
        <w:rPr>
          <w:rFonts w:ascii="Times New Roman" w:eastAsia="Times New Roman" w:hAnsi="Times New Roman" w:cs="Times New Roman"/>
          <w:i/>
          <w:sz w:val="28"/>
          <w:szCs w:val="28"/>
        </w:rPr>
        <w:t xml:space="preserve"> prez</w:t>
      </w:r>
      <w:r w:rsidR="00B350CA">
        <w:rPr>
          <w:rFonts w:ascii="Times New Roman" w:eastAsia="Times New Roman" w:hAnsi="Times New Roman" w:cs="Times New Roman"/>
          <w:i/>
          <w:sz w:val="28"/>
          <w:szCs w:val="28"/>
        </w:rPr>
        <w:t>enta</w:t>
      </w:r>
      <w:r w:rsidRPr="001D0846">
        <w:rPr>
          <w:rFonts w:ascii="Times New Roman" w:eastAsia="Times New Roman" w:hAnsi="Times New Roman" w:cs="Times New Roman"/>
          <w:i/>
          <w:sz w:val="28"/>
          <w:szCs w:val="28"/>
        </w:rPr>
        <w:t xml:space="preserve">tă în Tabelul </w:t>
      </w:r>
      <w:r w:rsidR="001C437F" w:rsidRPr="001D0846">
        <w:rPr>
          <w:rFonts w:ascii="Times New Roman" w:eastAsia="Times New Roman" w:hAnsi="Times New Roman" w:cs="Times New Roman"/>
          <w:i/>
          <w:sz w:val="28"/>
          <w:szCs w:val="28"/>
        </w:rPr>
        <w:t>nr.</w:t>
      </w:r>
      <w:r w:rsidR="00A31846" w:rsidRPr="001D0846">
        <w:rPr>
          <w:rFonts w:ascii="Times New Roman" w:eastAsia="Times New Roman" w:hAnsi="Times New Roman" w:cs="Times New Roman"/>
          <w:i/>
          <w:sz w:val="28"/>
          <w:szCs w:val="28"/>
        </w:rPr>
        <w:t>1</w:t>
      </w:r>
      <w:r w:rsidR="00365962">
        <w:rPr>
          <w:rFonts w:ascii="Times New Roman" w:eastAsia="Times New Roman" w:hAnsi="Times New Roman" w:cs="Times New Roman"/>
          <w:i/>
          <w:sz w:val="28"/>
          <w:szCs w:val="28"/>
        </w:rPr>
        <w:t>4</w:t>
      </w:r>
      <w:r w:rsidR="00A31846" w:rsidRPr="001D0846">
        <w:rPr>
          <w:rFonts w:ascii="Times New Roman" w:eastAsia="Times New Roman" w:hAnsi="Times New Roman" w:cs="Times New Roman"/>
          <w:i/>
          <w:sz w:val="28"/>
          <w:szCs w:val="28"/>
        </w:rPr>
        <w:t>.</w:t>
      </w:r>
    </w:p>
    <w:p w:rsidR="00A31846" w:rsidRPr="001D0846" w:rsidRDefault="00A31846" w:rsidP="00A31846">
      <w:pPr>
        <w:spacing w:after="0" w:line="276" w:lineRule="auto"/>
        <w:ind w:firstLine="709"/>
        <w:jc w:val="right"/>
        <w:rPr>
          <w:rFonts w:ascii="Times New Roman" w:eastAsia="Times New Roman" w:hAnsi="Times New Roman" w:cs="Times New Roman"/>
          <w:b/>
          <w:i/>
          <w:sz w:val="28"/>
          <w:szCs w:val="28"/>
        </w:rPr>
      </w:pPr>
      <w:r w:rsidRPr="001D0846">
        <w:rPr>
          <w:rFonts w:ascii="Times New Roman" w:eastAsia="Times New Roman" w:hAnsi="Times New Roman" w:cs="Times New Roman"/>
          <w:b/>
          <w:i/>
          <w:sz w:val="28"/>
          <w:szCs w:val="28"/>
        </w:rPr>
        <w:t>Tabelul nr.1</w:t>
      </w:r>
      <w:r w:rsidR="00365962">
        <w:rPr>
          <w:rFonts w:ascii="Times New Roman" w:eastAsia="Times New Roman" w:hAnsi="Times New Roman" w:cs="Times New Roman"/>
          <w:b/>
          <w:i/>
          <w:sz w:val="28"/>
          <w:szCs w:val="28"/>
        </w:rPr>
        <w:t>4</w:t>
      </w:r>
    </w:p>
    <w:p w:rsidR="00576E18" w:rsidRDefault="00A31846" w:rsidP="00A31846">
      <w:pPr>
        <w:spacing w:after="0" w:line="276" w:lineRule="auto"/>
        <w:ind w:firstLine="709"/>
        <w:jc w:val="center"/>
        <w:rPr>
          <w:rFonts w:ascii="Times New Roman" w:eastAsia="Times New Roman" w:hAnsi="Times New Roman" w:cs="Times New Roman"/>
          <w:i/>
          <w:sz w:val="28"/>
          <w:szCs w:val="28"/>
        </w:rPr>
      </w:pPr>
      <w:r w:rsidRPr="001D0846">
        <w:rPr>
          <w:rFonts w:ascii="Times New Roman" w:eastAsia="Times New Roman" w:hAnsi="Times New Roman" w:cs="Times New Roman"/>
          <w:i/>
          <w:sz w:val="28"/>
          <w:szCs w:val="28"/>
        </w:rPr>
        <w:t>Informația privind structura restanței</w:t>
      </w:r>
      <w:r w:rsidR="00B350CA">
        <w:rPr>
          <w:rFonts w:ascii="Times New Roman" w:eastAsia="Times New Roman" w:hAnsi="Times New Roman" w:cs="Times New Roman"/>
          <w:i/>
          <w:sz w:val="28"/>
          <w:szCs w:val="28"/>
        </w:rPr>
        <w:t>,</w:t>
      </w:r>
      <w:r w:rsidRPr="001D0846">
        <w:rPr>
          <w:rFonts w:ascii="Times New Roman" w:eastAsia="Times New Roman" w:hAnsi="Times New Roman" w:cs="Times New Roman"/>
          <w:i/>
          <w:sz w:val="28"/>
          <w:szCs w:val="28"/>
        </w:rPr>
        <w:t xml:space="preserve"> în aspectul componentelor BPN</w:t>
      </w:r>
      <w:r w:rsidR="00B350CA">
        <w:rPr>
          <w:rFonts w:ascii="Times New Roman" w:eastAsia="Times New Roman" w:hAnsi="Times New Roman" w:cs="Times New Roman"/>
          <w:i/>
          <w:sz w:val="28"/>
          <w:szCs w:val="28"/>
        </w:rPr>
        <w:t>,</w:t>
      </w:r>
      <w:r w:rsidRPr="001D0846">
        <w:rPr>
          <w:rFonts w:ascii="Times New Roman" w:eastAsia="Times New Roman" w:hAnsi="Times New Roman" w:cs="Times New Roman"/>
          <w:i/>
          <w:sz w:val="28"/>
          <w:szCs w:val="28"/>
        </w:rPr>
        <w:t xml:space="preserve"> pe anii 2015-2017</w:t>
      </w:r>
      <w:r w:rsidR="00B350CA">
        <w:rPr>
          <w:rFonts w:ascii="Times New Roman" w:eastAsia="Times New Roman" w:hAnsi="Times New Roman" w:cs="Times New Roman"/>
          <w:i/>
          <w:sz w:val="28"/>
          <w:szCs w:val="28"/>
        </w:rPr>
        <w:t>,</w:t>
      </w:r>
      <w:r w:rsidRPr="00020547">
        <w:rPr>
          <w:rFonts w:ascii="Times New Roman" w:eastAsia="Times New Roman" w:hAnsi="Times New Roman" w:cs="Times New Roman"/>
          <w:i/>
          <w:sz w:val="28"/>
          <w:szCs w:val="28"/>
        </w:rPr>
        <w:t>adm</w:t>
      </w:r>
      <w:r w:rsidR="00B350CA" w:rsidRPr="00020547">
        <w:rPr>
          <w:rFonts w:ascii="Times New Roman" w:eastAsia="Times New Roman" w:hAnsi="Times New Roman" w:cs="Times New Roman"/>
          <w:i/>
          <w:sz w:val="28"/>
          <w:szCs w:val="28"/>
        </w:rPr>
        <w:t>i</w:t>
      </w:r>
      <w:r w:rsidRPr="00020547">
        <w:rPr>
          <w:rFonts w:ascii="Times New Roman" w:eastAsia="Times New Roman" w:hAnsi="Times New Roman" w:cs="Times New Roman"/>
          <w:i/>
          <w:sz w:val="28"/>
          <w:szCs w:val="28"/>
        </w:rPr>
        <w:t>nistrat</w:t>
      </w:r>
      <w:r w:rsidR="00B350CA" w:rsidRPr="00020547">
        <w:rPr>
          <w:rFonts w:ascii="Times New Roman" w:eastAsia="Times New Roman" w:hAnsi="Times New Roman" w:cs="Times New Roman"/>
          <w:i/>
          <w:sz w:val="28"/>
          <w:szCs w:val="28"/>
        </w:rPr>
        <w:t>ă</w:t>
      </w:r>
      <w:r w:rsidRPr="00020547">
        <w:rPr>
          <w:rFonts w:ascii="Times New Roman" w:eastAsia="Times New Roman" w:hAnsi="Times New Roman" w:cs="Times New Roman"/>
          <w:i/>
          <w:sz w:val="28"/>
          <w:szCs w:val="28"/>
        </w:rPr>
        <w:t xml:space="preserve"> de către SFS</w:t>
      </w:r>
    </w:p>
    <w:p w:rsidR="00576E18" w:rsidRPr="001D0846" w:rsidRDefault="00576E18" w:rsidP="00576E18">
      <w:pPr>
        <w:spacing w:after="0" w:line="276" w:lineRule="auto"/>
        <w:ind w:firstLine="709"/>
        <w:jc w:val="right"/>
        <w:rPr>
          <w:rFonts w:ascii="Times New Roman" w:eastAsia="Times New Roman" w:hAnsi="Times New Roman" w:cs="Times New Roman"/>
          <w:i/>
          <w:sz w:val="28"/>
          <w:szCs w:val="28"/>
        </w:rPr>
      </w:pPr>
      <w:r>
        <w:rPr>
          <w:rFonts w:ascii="Times New Roman" w:eastAsia="Calibri" w:hAnsi="Times New Roman" w:cs="Times New Roman"/>
          <w:i/>
          <w:sz w:val="28"/>
          <w:szCs w:val="28"/>
        </w:rPr>
        <w:t>(mil.lei)</w:t>
      </w:r>
    </w:p>
    <w:tbl>
      <w:tblPr>
        <w:tblStyle w:val="TableGrid"/>
        <w:tblW w:w="9986" w:type="dxa"/>
        <w:tblInd w:w="-721" w:type="dxa"/>
        <w:tblLayout w:type="fixed"/>
        <w:tblLook w:val="04A0"/>
      </w:tblPr>
      <w:tblGrid>
        <w:gridCol w:w="966"/>
        <w:gridCol w:w="656"/>
        <w:gridCol w:w="656"/>
        <w:gridCol w:w="576"/>
        <w:gridCol w:w="576"/>
        <w:gridCol w:w="496"/>
        <w:gridCol w:w="656"/>
        <w:gridCol w:w="656"/>
        <w:gridCol w:w="576"/>
        <w:gridCol w:w="576"/>
        <w:gridCol w:w="496"/>
        <w:gridCol w:w="656"/>
        <w:gridCol w:w="656"/>
        <w:gridCol w:w="576"/>
        <w:gridCol w:w="576"/>
        <w:gridCol w:w="636"/>
      </w:tblGrid>
      <w:tr w:rsidR="00954AF4" w:rsidRPr="001D0846" w:rsidTr="00576E18">
        <w:tc>
          <w:tcPr>
            <w:tcW w:w="966" w:type="dxa"/>
            <w:vMerge w:val="restart"/>
          </w:tcPr>
          <w:p w:rsidR="00954AF4" w:rsidRPr="001D0846" w:rsidRDefault="00954AF4" w:rsidP="00116114">
            <w:pPr>
              <w:spacing w:line="276" w:lineRule="auto"/>
              <w:jc w:val="center"/>
              <w:rPr>
                <w:rFonts w:ascii="Times New Roman" w:eastAsia="Times New Roman" w:hAnsi="Times New Roman" w:cs="Times New Roman"/>
                <w:b/>
                <w:color w:val="000000"/>
                <w:sz w:val="18"/>
                <w:szCs w:val="18"/>
              </w:rPr>
            </w:pPr>
            <w:r w:rsidRPr="001D0846">
              <w:rPr>
                <w:rFonts w:ascii="Times New Roman" w:eastAsia="Times New Roman" w:hAnsi="Times New Roman" w:cs="Times New Roman"/>
                <w:b/>
                <w:color w:val="000000"/>
                <w:sz w:val="18"/>
                <w:szCs w:val="18"/>
              </w:rPr>
              <w:t>Sumele restante la:</w:t>
            </w:r>
          </w:p>
        </w:tc>
        <w:tc>
          <w:tcPr>
            <w:tcW w:w="2960" w:type="dxa"/>
            <w:gridSpan w:val="5"/>
            <w:tcBorders>
              <w:bottom w:val="single" w:sz="18" w:space="0" w:color="auto"/>
              <w:right w:val="single" w:sz="18" w:space="0" w:color="auto"/>
            </w:tcBorders>
          </w:tcPr>
          <w:p w:rsidR="00954AF4" w:rsidRPr="001D0846" w:rsidRDefault="00954AF4" w:rsidP="00116114">
            <w:pPr>
              <w:spacing w:line="276" w:lineRule="auto"/>
              <w:jc w:val="center"/>
              <w:rPr>
                <w:rFonts w:ascii="Times New Roman" w:eastAsia="Times New Roman" w:hAnsi="Times New Roman" w:cs="Times New Roman"/>
                <w:b/>
                <w:sz w:val="28"/>
                <w:szCs w:val="28"/>
              </w:rPr>
            </w:pPr>
            <w:r w:rsidRPr="001D0846">
              <w:rPr>
                <w:rFonts w:ascii="Times New Roman" w:eastAsia="Times New Roman" w:hAnsi="Times New Roman" w:cs="Times New Roman"/>
                <w:b/>
                <w:color w:val="000000"/>
                <w:sz w:val="16"/>
                <w:szCs w:val="16"/>
              </w:rPr>
              <w:t>Anul 2015</w:t>
            </w:r>
          </w:p>
        </w:tc>
        <w:tc>
          <w:tcPr>
            <w:tcW w:w="2960" w:type="dxa"/>
            <w:gridSpan w:val="5"/>
            <w:tcBorders>
              <w:left w:val="single" w:sz="18" w:space="0" w:color="auto"/>
              <w:bottom w:val="single" w:sz="18" w:space="0" w:color="auto"/>
              <w:right w:val="single" w:sz="18" w:space="0" w:color="auto"/>
            </w:tcBorders>
          </w:tcPr>
          <w:p w:rsidR="00954AF4" w:rsidRPr="001D0846" w:rsidRDefault="00954AF4" w:rsidP="00116114">
            <w:pPr>
              <w:spacing w:line="276" w:lineRule="auto"/>
              <w:jc w:val="center"/>
              <w:rPr>
                <w:rFonts w:ascii="Times New Roman" w:eastAsia="Times New Roman" w:hAnsi="Times New Roman" w:cs="Times New Roman"/>
                <w:b/>
                <w:sz w:val="28"/>
                <w:szCs w:val="28"/>
              </w:rPr>
            </w:pPr>
            <w:r w:rsidRPr="001D0846">
              <w:rPr>
                <w:rFonts w:ascii="Times New Roman" w:eastAsia="Times New Roman" w:hAnsi="Times New Roman" w:cs="Times New Roman"/>
                <w:b/>
                <w:color w:val="000000"/>
                <w:sz w:val="16"/>
                <w:szCs w:val="16"/>
              </w:rPr>
              <w:t>Anul 2016</w:t>
            </w:r>
          </w:p>
        </w:tc>
        <w:tc>
          <w:tcPr>
            <w:tcW w:w="3100" w:type="dxa"/>
            <w:gridSpan w:val="5"/>
            <w:tcBorders>
              <w:left w:val="single" w:sz="18" w:space="0" w:color="auto"/>
              <w:bottom w:val="single" w:sz="18" w:space="0" w:color="auto"/>
              <w:right w:val="single" w:sz="18" w:space="0" w:color="auto"/>
            </w:tcBorders>
          </w:tcPr>
          <w:p w:rsidR="00954AF4" w:rsidRPr="001D0846" w:rsidRDefault="00954AF4" w:rsidP="00116114">
            <w:pPr>
              <w:spacing w:line="276" w:lineRule="auto"/>
              <w:jc w:val="center"/>
              <w:rPr>
                <w:rFonts w:ascii="Times New Roman" w:eastAsia="Times New Roman" w:hAnsi="Times New Roman" w:cs="Times New Roman"/>
                <w:b/>
                <w:sz w:val="28"/>
                <w:szCs w:val="28"/>
              </w:rPr>
            </w:pPr>
            <w:r w:rsidRPr="001D0846">
              <w:rPr>
                <w:rFonts w:ascii="Times New Roman" w:eastAsia="Times New Roman" w:hAnsi="Times New Roman" w:cs="Times New Roman"/>
                <w:b/>
                <w:color w:val="000000"/>
                <w:sz w:val="16"/>
                <w:szCs w:val="16"/>
              </w:rPr>
              <w:t>Anul 2017</w:t>
            </w:r>
          </w:p>
        </w:tc>
      </w:tr>
      <w:tr w:rsidR="00A31846" w:rsidRPr="001D0846" w:rsidTr="00576E18">
        <w:trPr>
          <w:cantSplit/>
          <w:trHeight w:val="956"/>
        </w:trPr>
        <w:tc>
          <w:tcPr>
            <w:tcW w:w="966" w:type="dxa"/>
            <w:vMerge/>
          </w:tcPr>
          <w:p w:rsidR="00954AF4" w:rsidRPr="001D0846" w:rsidRDefault="00954AF4" w:rsidP="00116114">
            <w:pPr>
              <w:spacing w:line="276" w:lineRule="auto"/>
              <w:jc w:val="center"/>
              <w:rPr>
                <w:rFonts w:ascii="Times New Roman" w:eastAsia="Times New Roman" w:hAnsi="Times New Roman" w:cs="Times New Roman"/>
                <w:b/>
                <w:sz w:val="18"/>
                <w:szCs w:val="18"/>
              </w:rPr>
            </w:pPr>
          </w:p>
        </w:tc>
        <w:tc>
          <w:tcPr>
            <w:tcW w:w="656" w:type="dxa"/>
            <w:tcBorders>
              <w:top w:val="single" w:sz="18" w:space="0" w:color="auto"/>
            </w:tcBorders>
            <w:textDirection w:val="btLr"/>
            <w:vAlign w:val="center"/>
          </w:tcPr>
          <w:p w:rsidR="00954AF4" w:rsidRPr="001D0846" w:rsidRDefault="00954AF4" w:rsidP="006C10A0">
            <w:pPr>
              <w:ind w:left="113" w:right="113"/>
              <w:jc w:val="center"/>
              <w:rPr>
                <w:rFonts w:ascii="Times New Roman" w:eastAsia="Times New Roman" w:hAnsi="Times New Roman" w:cs="Times New Roman"/>
                <w:b/>
                <w:bCs/>
                <w:color w:val="000000"/>
                <w:sz w:val="16"/>
                <w:szCs w:val="16"/>
              </w:rPr>
            </w:pPr>
            <w:r w:rsidRPr="001D0846">
              <w:rPr>
                <w:rFonts w:ascii="Times New Roman" w:eastAsia="Times New Roman" w:hAnsi="Times New Roman" w:cs="Times New Roman"/>
                <w:b/>
                <w:bCs/>
                <w:color w:val="000000"/>
                <w:sz w:val="16"/>
                <w:szCs w:val="16"/>
              </w:rPr>
              <w:t>BPN</w:t>
            </w:r>
          </w:p>
        </w:tc>
        <w:tc>
          <w:tcPr>
            <w:tcW w:w="656" w:type="dxa"/>
            <w:tcBorders>
              <w:top w:val="single" w:sz="18" w:space="0" w:color="auto"/>
            </w:tcBorders>
            <w:textDirection w:val="btLr"/>
            <w:vAlign w:val="center"/>
          </w:tcPr>
          <w:p w:rsidR="00954AF4" w:rsidRPr="001D0846" w:rsidRDefault="00954AF4" w:rsidP="006C10A0">
            <w:pPr>
              <w:ind w:left="113" w:right="113"/>
              <w:jc w:val="center"/>
              <w:rPr>
                <w:rFonts w:ascii="Times New Roman" w:eastAsia="Times New Roman" w:hAnsi="Times New Roman" w:cs="Times New Roman"/>
                <w:b/>
                <w:bCs/>
                <w:color w:val="000000"/>
                <w:sz w:val="16"/>
                <w:szCs w:val="16"/>
              </w:rPr>
            </w:pPr>
            <w:r w:rsidRPr="001D0846">
              <w:rPr>
                <w:rFonts w:ascii="Times New Roman" w:eastAsia="Times New Roman" w:hAnsi="Times New Roman" w:cs="Times New Roman"/>
                <w:b/>
                <w:bCs/>
                <w:color w:val="000000"/>
                <w:sz w:val="16"/>
                <w:szCs w:val="16"/>
              </w:rPr>
              <w:t>BS</w:t>
            </w:r>
          </w:p>
        </w:tc>
        <w:tc>
          <w:tcPr>
            <w:tcW w:w="576" w:type="dxa"/>
            <w:tcBorders>
              <w:top w:val="single" w:sz="18" w:space="0" w:color="auto"/>
            </w:tcBorders>
            <w:textDirection w:val="btLr"/>
            <w:vAlign w:val="center"/>
          </w:tcPr>
          <w:p w:rsidR="00954AF4" w:rsidRPr="001D0846" w:rsidRDefault="00954AF4" w:rsidP="006C10A0">
            <w:pPr>
              <w:ind w:left="113" w:right="113"/>
              <w:jc w:val="center"/>
              <w:rPr>
                <w:rFonts w:ascii="Times New Roman" w:eastAsia="Times New Roman" w:hAnsi="Times New Roman" w:cs="Times New Roman"/>
                <w:b/>
                <w:bCs/>
                <w:color w:val="000000"/>
                <w:sz w:val="16"/>
                <w:szCs w:val="16"/>
              </w:rPr>
            </w:pPr>
            <w:r w:rsidRPr="001D0846">
              <w:rPr>
                <w:rFonts w:ascii="Times New Roman" w:eastAsia="Times New Roman" w:hAnsi="Times New Roman" w:cs="Times New Roman"/>
                <w:b/>
                <w:bCs/>
                <w:color w:val="000000"/>
                <w:sz w:val="16"/>
                <w:szCs w:val="16"/>
              </w:rPr>
              <w:t>BUAT</w:t>
            </w:r>
          </w:p>
        </w:tc>
        <w:tc>
          <w:tcPr>
            <w:tcW w:w="576" w:type="dxa"/>
            <w:tcBorders>
              <w:top w:val="single" w:sz="18" w:space="0" w:color="auto"/>
            </w:tcBorders>
            <w:textDirection w:val="btLr"/>
            <w:vAlign w:val="center"/>
          </w:tcPr>
          <w:p w:rsidR="00954AF4" w:rsidRPr="001D0846" w:rsidRDefault="00954AF4" w:rsidP="006C10A0">
            <w:pPr>
              <w:ind w:left="113" w:right="113"/>
              <w:jc w:val="center"/>
              <w:rPr>
                <w:rFonts w:ascii="Times New Roman" w:eastAsia="Times New Roman" w:hAnsi="Times New Roman" w:cs="Times New Roman"/>
                <w:b/>
                <w:bCs/>
                <w:color w:val="000000"/>
                <w:sz w:val="16"/>
                <w:szCs w:val="16"/>
              </w:rPr>
            </w:pPr>
            <w:r w:rsidRPr="001D0846">
              <w:rPr>
                <w:rFonts w:ascii="Times New Roman" w:eastAsia="Times New Roman" w:hAnsi="Times New Roman" w:cs="Times New Roman"/>
                <w:b/>
                <w:bCs/>
                <w:color w:val="000000"/>
                <w:sz w:val="16"/>
                <w:szCs w:val="16"/>
              </w:rPr>
              <w:t>BASS</w:t>
            </w:r>
          </w:p>
        </w:tc>
        <w:tc>
          <w:tcPr>
            <w:tcW w:w="496" w:type="dxa"/>
            <w:tcBorders>
              <w:top w:val="single" w:sz="18" w:space="0" w:color="auto"/>
              <w:right w:val="single" w:sz="18" w:space="0" w:color="auto"/>
            </w:tcBorders>
            <w:textDirection w:val="btLr"/>
            <w:vAlign w:val="center"/>
          </w:tcPr>
          <w:p w:rsidR="00954AF4" w:rsidRPr="001D0846" w:rsidRDefault="00954AF4" w:rsidP="006C10A0">
            <w:pPr>
              <w:ind w:left="113" w:right="113"/>
              <w:jc w:val="center"/>
              <w:rPr>
                <w:rFonts w:ascii="Times New Roman" w:eastAsia="Times New Roman" w:hAnsi="Times New Roman" w:cs="Times New Roman"/>
                <w:b/>
                <w:bCs/>
                <w:color w:val="000000"/>
                <w:sz w:val="16"/>
                <w:szCs w:val="16"/>
              </w:rPr>
            </w:pPr>
            <w:r w:rsidRPr="001D0846">
              <w:rPr>
                <w:rFonts w:ascii="Times New Roman" w:eastAsia="Times New Roman" w:hAnsi="Times New Roman" w:cs="Times New Roman"/>
                <w:b/>
                <w:bCs/>
                <w:color w:val="000000"/>
                <w:sz w:val="16"/>
                <w:szCs w:val="16"/>
              </w:rPr>
              <w:t>FAOAM</w:t>
            </w:r>
          </w:p>
        </w:tc>
        <w:tc>
          <w:tcPr>
            <w:tcW w:w="656" w:type="dxa"/>
            <w:tcBorders>
              <w:left w:val="single" w:sz="18" w:space="0" w:color="auto"/>
            </w:tcBorders>
            <w:textDirection w:val="btLr"/>
            <w:vAlign w:val="center"/>
          </w:tcPr>
          <w:p w:rsidR="00954AF4" w:rsidRPr="001D0846" w:rsidRDefault="00954AF4" w:rsidP="006C10A0">
            <w:pPr>
              <w:ind w:left="113" w:right="113"/>
              <w:jc w:val="center"/>
              <w:rPr>
                <w:rFonts w:ascii="Times New Roman" w:eastAsia="Times New Roman" w:hAnsi="Times New Roman" w:cs="Times New Roman"/>
                <w:b/>
                <w:bCs/>
                <w:color w:val="000000"/>
                <w:sz w:val="16"/>
                <w:szCs w:val="16"/>
              </w:rPr>
            </w:pPr>
            <w:r w:rsidRPr="001D0846">
              <w:rPr>
                <w:rFonts w:ascii="Times New Roman" w:eastAsia="Times New Roman" w:hAnsi="Times New Roman" w:cs="Times New Roman"/>
                <w:b/>
                <w:bCs/>
                <w:color w:val="000000"/>
                <w:sz w:val="16"/>
                <w:szCs w:val="16"/>
              </w:rPr>
              <w:t>BPN</w:t>
            </w:r>
          </w:p>
        </w:tc>
        <w:tc>
          <w:tcPr>
            <w:tcW w:w="656" w:type="dxa"/>
            <w:textDirection w:val="btLr"/>
            <w:vAlign w:val="center"/>
          </w:tcPr>
          <w:p w:rsidR="00954AF4" w:rsidRPr="001D0846" w:rsidRDefault="00954AF4" w:rsidP="006C10A0">
            <w:pPr>
              <w:ind w:left="113" w:right="113"/>
              <w:jc w:val="center"/>
              <w:rPr>
                <w:rFonts w:ascii="Times New Roman" w:eastAsia="Times New Roman" w:hAnsi="Times New Roman" w:cs="Times New Roman"/>
                <w:b/>
                <w:bCs/>
                <w:color w:val="000000"/>
                <w:sz w:val="16"/>
                <w:szCs w:val="16"/>
              </w:rPr>
            </w:pPr>
            <w:r w:rsidRPr="001D0846">
              <w:rPr>
                <w:rFonts w:ascii="Times New Roman" w:eastAsia="Times New Roman" w:hAnsi="Times New Roman" w:cs="Times New Roman"/>
                <w:b/>
                <w:bCs/>
                <w:color w:val="000000"/>
                <w:sz w:val="16"/>
                <w:szCs w:val="16"/>
              </w:rPr>
              <w:t>BS</w:t>
            </w:r>
          </w:p>
        </w:tc>
        <w:tc>
          <w:tcPr>
            <w:tcW w:w="576" w:type="dxa"/>
            <w:textDirection w:val="btLr"/>
            <w:vAlign w:val="center"/>
          </w:tcPr>
          <w:p w:rsidR="00954AF4" w:rsidRPr="001D0846" w:rsidRDefault="00954AF4" w:rsidP="006C10A0">
            <w:pPr>
              <w:ind w:left="113" w:right="113"/>
              <w:jc w:val="center"/>
              <w:rPr>
                <w:rFonts w:ascii="Times New Roman" w:eastAsia="Times New Roman" w:hAnsi="Times New Roman" w:cs="Times New Roman"/>
                <w:b/>
                <w:bCs/>
                <w:color w:val="000000"/>
                <w:sz w:val="16"/>
                <w:szCs w:val="16"/>
              </w:rPr>
            </w:pPr>
            <w:r w:rsidRPr="001D0846">
              <w:rPr>
                <w:rFonts w:ascii="Times New Roman" w:eastAsia="Times New Roman" w:hAnsi="Times New Roman" w:cs="Times New Roman"/>
                <w:b/>
                <w:bCs/>
                <w:color w:val="000000"/>
                <w:sz w:val="16"/>
                <w:szCs w:val="16"/>
              </w:rPr>
              <w:t>BUAT</w:t>
            </w:r>
          </w:p>
        </w:tc>
        <w:tc>
          <w:tcPr>
            <w:tcW w:w="576" w:type="dxa"/>
            <w:textDirection w:val="btLr"/>
            <w:vAlign w:val="center"/>
          </w:tcPr>
          <w:p w:rsidR="00954AF4" w:rsidRPr="001D0846" w:rsidRDefault="00954AF4" w:rsidP="006C10A0">
            <w:pPr>
              <w:ind w:left="113" w:right="113"/>
              <w:jc w:val="center"/>
              <w:rPr>
                <w:rFonts w:ascii="Times New Roman" w:eastAsia="Times New Roman" w:hAnsi="Times New Roman" w:cs="Times New Roman"/>
                <w:b/>
                <w:bCs/>
                <w:color w:val="000000"/>
                <w:sz w:val="16"/>
                <w:szCs w:val="16"/>
              </w:rPr>
            </w:pPr>
            <w:r w:rsidRPr="001D0846">
              <w:rPr>
                <w:rFonts w:ascii="Times New Roman" w:eastAsia="Times New Roman" w:hAnsi="Times New Roman" w:cs="Times New Roman"/>
                <w:b/>
                <w:bCs/>
                <w:color w:val="000000"/>
                <w:sz w:val="16"/>
                <w:szCs w:val="16"/>
              </w:rPr>
              <w:t>BASS</w:t>
            </w:r>
          </w:p>
        </w:tc>
        <w:tc>
          <w:tcPr>
            <w:tcW w:w="496" w:type="dxa"/>
            <w:tcBorders>
              <w:right w:val="single" w:sz="18" w:space="0" w:color="auto"/>
            </w:tcBorders>
            <w:textDirection w:val="btLr"/>
            <w:vAlign w:val="center"/>
          </w:tcPr>
          <w:p w:rsidR="00954AF4" w:rsidRPr="001D0846" w:rsidRDefault="00954AF4" w:rsidP="006C10A0">
            <w:pPr>
              <w:ind w:left="113" w:right="113"/>
              <w:jc w:val="center"/>
              <w:rPr>
                <w:rFonts w:ascii="Times New Roman" w:eastAsia="Times New Roman" w:hAnsi="Times New Roman" w:cs="Times New Roman"/>
                <w:b/>
                <w:sz w:val="28"/>
                <w:szCs w:val="28"/>
              </w:rPr>
            </w:pPr>
            <w:r w:rsidRPr="001D0846">
              <w:rPr>
                <w:rFonts w:ascii="Times New Roman" w:eastAsia="Times New Roman" w:hAnsi="Times New Roman" w:cs="Times New Roman"/>
                <w:b/>
                <w:bCs/>
                <w:color w:val="000000"/>
                <w:sz w:val="16"/>
                <w:szCs w:val="16"/>
              </w:rPr>
              <w:t>FAOAM</w:t>
            </w:r>
          </w:p>
        </w:tc>
        <w:tc>
          <w:tcPr>
            <w:tcW w:w="656" w:type="dxa"/>
            <w:tcBorders>
              <w:left w:val="single" w:sz="18" w:space="0" w:color="auto"/>
            </w:tcBorders>
            <w:textDirection w:val="btLr"/>
            <w:vAlign w:val="center"/>
          </w:tcPr>
          <w:p w:rsidR="00954AF4" w:rsidRPr="001D0846" w:rsidRDefault="00954AF4" w:rsidP="006C10A0">
            <w:pPr>
              <w:ind w:left="113" w:right="113"/>
              <w:jc w:val="center"/>
              <w:rPr>
                <w:rFonts w:ascii="Times New Roman" w:eastAsia="Times New Roman" w:hAnsi="Times New Roman" w:cs="Times New Roman"/>
                <w:b/>
                <w:bCs/>
                <w:color w:val="000000"/>
                <w:sz w:val="16"/>
                <w:szCs w:val="16"/>
              </w:rPr>
            </w:pPr>
            <w:r w:rsidRPr="001D0846">
              <w:rPr>
                <w:rFonts w:ascii="Times New Roman" w:eastAsia="Times New Roman" w:hAnsi="Times New Roman" w:cs="Times New Roman"/>
                <w:b/>
                <w:bCs/>
                <w:color w:val="000000"/>
                <w:sz w:val="16"/>
                <w:szCs w:val="16"/>
              </w:rPr>
              <w:t>BPN</w:t>
            </w:r>
          </w:p>
        </w:tc>
        <w:tc>
          <w:tcPr>
            <w:tcW w:w="656" w:type="dxa"/>
            <w:textDirection w:val="btLr"/>
            <w:vAlign w:val="center"/>
          </w:tcPr>
          <w:p w:rsidR="00954AF4" w:rsidRPr="001D0846" w:rsidRDefault="00954AF4" w:rsidP="006C10A0">
            <w:pPr>
              <w:ind w:left="113" w:right="113"/>
              <w:jc w:val="center"/>
              <w:rPr>
                <w:rFonts w:ascii="Times New Roman" w:eastAsia="Times New Roman" w:hAnsi="Times New Roman" w:cs="Times New Roman"/>
                <w:b/>
                <w:bCs/>
                <w:color w:val="000000"/>
                <w:sz w:val="16"/>
                <w:szCs w:val="16"/>
              </w:rPr>
            </w:pPr>
            <w:r w:rsidRPr="001D0846">
              <w:rPr>
                <w:rFonts w:ascii="Times New Roman" w:eastAsia="Times New Roman" w:hAnsi="Times New Roman" w:cs="Times New Roman"/>
                <w:b/>
                <w:bCs/>
                <w:color w:val="000000"/>
                <w:sz w:val="16"/>
                <w:szCs w:val="16"/>
              </w:rPr>
              <w:t>BS</w:t>
            </w:r>
          </w:p>
        </w:tc>
        <w:tc>
          <w:tcPr>
            <w:tcW w:w="576" w:type="dxa"/>
            <w:textDirection w:val="btLr"/>
            <w:vAlign w:val="center"/>
          </w:tcPr>
          <w:p w:rsidR="00954AF4" w:rsidRPr="001D0846" w:rsidRDefault="00954AF4" w:rsidP="006C10A0">
            <w:pPr>
              <w:ind w:left="113" w:right="113"/>
              <w:jc w:val="center"/>
              <w:rPr>
                <w:rFonts w:ascii="Times New Roman" w:eastAsia="Times New Roman" w:hAnsi="Times New Roman" w:cs="Times New Roman"/>
                <w:b/>
                <w:bCs/>
                <w:color w:val="000000"/>
                <w:sz w:val="16"/>
                <w:szCs w:val="16"/>
              </w:rPr>
            </w:pPr>
            <w:r w:rsidRPr="001D0846">
              <w:rPr>
                <w:rFonts w:ascii="Times New Roman" w:eastAsia="Times New Roman" w:hAnsi="Times New Roman" w:cs="Times New Roman"/>
                <w:b/>
                <w:bCs/>
                <w:color w:val="000000"/>
                <w:sz w:val="16"/>
                <w:szCs w:val="16"/>
              </w:rPr>
              <w:t>BUAT</w:t>
            </w:r>
          </w:p>
        </w:tc>
        <w:tc>
          <w:tcPr>
            <w:tcW w:w="576" w:type="dxa"/>
            <w:textDirection w:val="btLr"/>
            <w:vAlign w:val="center"/>
          </w:tcPr>
          <w:p w:rsidR="00954AF4" w:rsidRPr="001D0846" w:rsidRDefault="00954AF4" w:rsidP="006C10A0">
            <w:pPr>
              <w:ind w:left="113" w:right="113"/>
              <w:jc w:val="center"/>
              <w:rPr>
                <w:rFonts w:ascii="Times New Roman" w:eastAsia="Times New Roman" w:hAnsi="Times New Roman" w:cs="Times New Roman"/>
                <w:b/>
                <w:bCs/>
                <w:color w:val="000000"/>
                <w:sz w:val="16"/>
                <w:szCs w:val="16"/>
              </w:rPr>
            </w:pPr>
            <w:r w:rsidRPr="001D0846">
              <w:rPr>
                <w:rFonts w:ascii="Times New Roman" w:eastAsia="Times New Roman" w:hAnsi="Times New Roman" w:cs="Times New Roman"/>
                <w:b/>
                <w:bCs/>
                <w:color w:val="000000"/>
                <w:sz w:val="16"/>
                <w:szCs w:val="16"/>
              </w:rPr>
              <w:t>BASS</w:t>
            </w:r>
          </w:p>
        </w:tc>
        <w:tc>
          <w:tcPr>
            <w:tcW w:w="636" w:type="dxa"/>
            <w:tcBorders>
              <w:right w:val="single" w:sz="18" w:space="0" w:color="auto"/>
            </w:tcBorders>
            <w:textDirection w:val="btLr"/>
            <w:vAlign w:val="center"/>
          </w:tcPr>
          <w:p w:rsidR="00954AF4" w:rsidRPr="001D0846" w:rsidRDefault="00954AF4" w:rsidP="006C10A0">
            <w:pPr>
              <w:ind w:left="113" w:right="113"/>
              <w:jc w:val="center"/>
              <w:rPr>
                <w:rFonts w:ascii="Times New Roman" w:eastAsia="Times New Roman" w:hAnsi="Times New Roman" w:cs="Times New Roman"/>
                <w:b/>
                <w:bCs/>
                <w:color w:val="000000"/>
                <w:sz w:val="16"/>
                <w:szCs w:val="16"/>
              </w:rPr>
            </w:pPr>
            <w:r w:rsidRPr="001D0846">
              <w:rPr>
                <w:rFonts w:ascii="Times New Roman" w:eastAsia="Times New Roman" w:hAnsi="Times New Roman" w:cs="Times New Roman"/>
                <w:b/>
                <w:bCs/>
                <w:color w:val="000000"/>
                <w:sz w:val="16"/>
                <w:szCs w:val="16"/>
              </w:rPr>
              <w:t>FAOAM</w:t>
            </w:r>
          </w:p>
        </w:tc>
      </w:tr>
      <w:tr w:rsidR="00A31846" w:rsidRPr="001D0846" w:rsidTr="00576E18">
        <w:tc>
          <w:tcPr>
            <w:tcW w:w="966" w:type="dxa"/>
          </w:tcPr>
          <w:p w:rsidR="00954AF4" w:rsidRPr="001D0846" w:rsidRDefault="00954AF4" w:rsidP="00A31846">
            <w:pPr>
              <w:spacing w:line="276" w:lineRule="auto"/>
              <w:rPr>
                <w:rFonts w:ascii="Times New Roman" w:eastAsia="Times New Roman" w:hAnsi="Times New Roman" w:cs="Times New Roman"/>
                <w:sz w:val="18"/>
                <w:szCs w:val="18"/>
              </w:rPr>
            </w:pPr>
            <w:r w:rsidRPr="001D0846">
              <w:rPr>
                <w:rFonts w:ascii="Times New Roman" w:eastAsia="Times New Roman" w:hAnsi="Times New Roman" w:cs="Times New Roman"/>
                <w:color w:val="000000"/>
                <w:sz w:val="18"/>
                <w:szCs w:val="18"/>
              </w:rPr>
              <w:t>plăți</w:t>
            </w:r>
            <w:r w:rsidR="00B350CA">
              <w:rPr>
                <w:rFonts w:ascii="Times New Roman" w:eastAsia="Times New Roman" w:hAnsi="Times New Roman" w:cs="Times New Roman"/>
                <w:color w:val="000000"/>
                <w:sz w:val="18"/>
                <w:szCs w:val="18"/>
              </w:rPr>
              <w:t>le</w:t>
            </w:r>
            <w:r w:rsidRPr="001D0846">
              <w:rPr>
                <w:rFonts w:ascii="Times New Roman" w:eastAsia="Times New Roman" w:hAnsi="Times New Roman" w:cs="Times New Roman"/>
                <w:color w:val="000000"/>
                <w:sz w:val="18"/>
                <w:szCs w:val="18"/>
              </w:rPr>
              <w:t xml:space="preserve"> de bază</w:t>
            </w:r>
          </w:p>
        </w:tc>
        <w:tc>
          <w:tcPr>
            <w:tcW w:w="656" w:type="dxa"/>
            <w:vAlign w:val="center"/>
          </w:tcPr>
          <w:p w:rsidR="00954AF4" w:rsidRPr="001D0846" w:rsidRDefault="00954AF4" w:rsidP="006C10A0">
            <w:pPr>
              <w:jc w:val="center"/>
              <w:rPr>
                <w:rFonts w:ascii="Times New Roman" w:eastAsia="Times New Roman" w:hAnsi="Times New Roman" w:cs="Times New Roman"/>
                <w:color w:val="000000"/>
                <w:sz w:val="16"/>
                <w:szCs w:val="16"/>
              </w:rPr>
            </w:pPr>
            <w:r w:rsidRPr="001D0846">
              <w:rPr>
                <w:rFonts w:ascii="Times New Roman" w:eastAsia="Times New Roman" w:hAnsi="Times New Roman" w:cs="Times New Roman"/>
                <w:color w:val="000000"/>
                <w:sz w:val="16"/>
                <w:szCs w:val="16"/>
              </w:rPr>
              <w:t>1002,5</w:t>
            </w:r>
          </w:p>
        </w:tc>
        <w:tc>
          <w:tcPr>
            <w:tcW w:w="656" w:type="dxa"/>
            <w:vAlign w:val="center"/>
          </w:tcPr>
          <w:p w:rsidR="00954AF4" w:rsidRPr="001D0846" w:rsidRDefault="00954AF4" w:rsidP="006C10A0">
            <w:pPr>
              <w:jc w:val="center"/>
              <w:rPr>
                <w:rFonts w:ascii="Times New Roman" w:eastAsia="Times New Roman" w:hAnsi="Times New Roman" w:cs="Times New Roman"/>
                <w:color w:val="000000"/>
                <w:sz w:val="16"/>
                <w:szCs w:val="16"/>
              </w:rPr>
            </w:pPr>
            <w:r w:rsidRPr="001D0846">
              <w:rPr>
                <w:rFonts w:ascii="Times New Roman" w:eastAsia="Times New Roman" w:hAnsi="Times New Roman" w:cs="Times New Roman"/>
                <w:color w:val="000000"/>
                <w:sz w:val="16"/>
                <w:szCs w:val="16"/>
              </w:rPr>
              <w:t>559,6</w:t>
            </w:r>
          </w:p>
        </w:tc>
        <w:tc>
          <w:tcPr>
            <w:tcW w:w="576" w:type="dxa"/>
            <w:vAlign w:val="center"/>
          </w:tcPr>
          <w:p w:rsidR="00954AF4" w:rsidRPr="001D0846" w:rsidRDefault="00954AF4" w:rsidP="006C10A0">
            <w:pPr>
              <w:jc w:val="center"/>
              <w:rPr>
                <w:rFonts w:ascii="Times New Roman" w:eastAsia="Times New Roman" w:hAnsi="Times New Roman" w:cs="Times New Roman"/>
                <w:color w:val="000000"/>
                <w:sz w:val="16"/>
                <w:szCs w:val="16"/>
              </w:rPr>
            </w:pPr>
            <w:r w:rsidRPr="001D0846">
              <w:rPr>
                <w:rFonts w:ascii="Times New Roman" w:eastAsia="Times New Roman" w:hAnsi="Times New Roman" w:cs="Times New Roman"/>
                <w:color w:val="000000"/>
                <w:sz w:val="16"/>
                <w:szCs w:val="16"/>
              </w:rPr>
              <w:t>166,2</w:t>
            </w:r>
          </w:p>
        </w:tc>
        <w:tc>
          <w:tcPr>
            <w:tcW w:w="576" w:type="dxa"/>
            <w:vAlign w:val="center"/>
          </w:tcPr>
          <w:p w:rsidR="00954AF4" w:rsidRPr="001D0846" w:rsidRDefault="00954AF4" w:rsidP="006C10A0">
            <w:pPr>
              <w:jc w:val="center"/>
              <w:rPr>
                <w:rFonts w:ascii="Times New Roman" w:eastAsia="Times New Roman" w:hAnsi="Times New Roman" w:cs="Times New Roman"/>
                <w:color w:val="000000"/>
                <w:sz w:val="16"/>
                <w:szCs w:val="16"/>
              </w:rPr>
            </w:pPr>
            <w:r w:rsidRPr="001D0846">
              <w:rPr>
                <w:rFonts w:ascii="Times New Roman" w:eastAsia="Times New Roman" w:hAnsi="Times New Roman" w:cs="Times New Roman"/>
                <w:color w:val="000000"/>
                <w:sz w:val="16"/>
                <w:szCs w:val="16"/>
              </w:rPr>
              <w:t>245,3</w:t>
            </w:r>
          </w:p>
        </w:tc>
        <w:tc>
          <w:tcPr>
            <w:tcW w:w="496" w:type="dxa"/>
            <w:tcBorders>
              <w:right w:val="single" w:sz="18" w:space="0" w:color="auto"/>
            </w:tcBorders>
            <w:vAlign w:val="center"/>
          </w:tcPr>
          <w:p w:rsidR="00954AF4" w:rsidRPr="001D0846" w:rsidRDefault="00954AF4" w:rsidP="006C10A0">
            <w:pPr>
              <w:jc w:val="center"/>
              <w:rPr>
                <w:rFonts w:ascii="Times New Roman" w:eastAsia="Times New Roman" w:hAnsi="Times New Roman" w:cs="Times New Roman"/>
                <w:color w:val="000000"/>
                <w:sz w:val="16"/>
                <w:szCs w:val="16"/>
              </w:rPr>
            </w:pPr>
            <w:r w:rsidRPr="001D0846">
              <w:rPr>
                <w:rFonts w:ascii="Times New Roman" w:eastAsia="Times New Roman" w:hAnsi="Times New Roman" w:cs="Times New Roman"/>
                <w:color w:val="000000"/>
                <w:sz w:val="16"/>
                <w:szCs w:val="16"/>
              </w:rPr>
              <w:t>31,4</w:t>
            </w:r>
          </w:p>
        </w:tc>
        <w:tc>
          <w:tcPr>
            <w:tcW w:w="656" w:type="dxa"/>
            <w:tcBorders>
              <w:left w:val="single" w:sz="18" w:space="0" w:color="auto"/>
            </w:tcBorders>
            <w:vAlign w:val="center"/>
          </w:tcPr>
          <w:p w:rsidR="00954AF4" w:rsidRPr="001D0846" w:rsidRDefault="00954AF4" w:rsidP="006C10A0">
            <w:pPr>
              <w:jc w:val="center"/>
              <w:rPr>
                <w:rFonts w:ascii="Times New Roman" w:eastAsia="Times New Roman" w:hAnsi="Times New Roman" w:cs="Times New Roman"/>
                <w:color w:val="000000"/>
                <w:sz w:val="16"/>
                <w:szCs w:val="16"/>
              </w:rPr>
            </w:pPr>
            <w:r w:rsidRPr="001D0846">
              <w:rPr>
                <w:rFonts w:ascii="Times New Roman" w:eastAsia="Times New Roman" w:hAnsi="Times New Roman" w:cs="Times New Roman"/>
                <w:color w:val="000000"/>
                <w:sz w:val="16"/>
                <w:szCs w:val="16"/>
              </w:rPr>
              <w:t>967,2</w:t>
            </w:r>
          </w:p>
        </w:tc>
        <w:tc>
          <w:tcPr>
            <w:tcW w:w="656" w:type="dxa"/>
            <w:vAlign w:val="center"/>
          </w:tcPr>
          <w:p w:rsidR="00954AF4" w:rsidRPr="001D0846" w:rsidRDefault="00954AF4" w:rsidP="006C10A0">
            <w:pPr>
              <w:jc w:val="center"/>
              <w:rPr>
                <w:rFonts w:ascii="Times New Roman" w:eastAsia="Times New Roman" w:hAnsi="Times New Roman" w:cs="Times New Roman"/>
                <w:color w:val="000000"/>
                <w:sz w:val="16"/>
                <w:szCs w:val="16"/>
              </w:rPr>
            </w:pPr>
            <w:r w:rsidRPr="001D0846">
              <w:rPr>
                <w:rFonts w:ascii="Times New Roman" w:eastAsia="Times New Roman" w:hAnsi="Times New Roman" w:cs="Times New Roman"/>
                <w:color w:val="000000"/>
                <w:sz w:val="16"/>
                <w:szCs w:val="16"/>
              </w:rPr>
              <w:t>544,7</w:t>
            </w:r>
          </w:p>
        </w:tc>
        <w:tc>
          <w:tcPr>
            <w:tcW w:w="576" w:type="dxa"/>
            <w:vAlign w:val="center"/>
          </w:tcPr>
          <w:p w:rsidR="00954AF4" w:rsidRPr="001D0846" w:rsidRDefault="00954AF4" w:rsidP="006C10A0">
            <w:pPr>
              <w:jc w:val="center"/>
              <w:rPr>
                <w:rFonts w:ascii="Times New Roman" w:eastAsia="Times New Roman" w:hAnsi="Times New Roman" w:cs="Times New Roman"/>
                <w:color w:val="000000"/>
                <w:sz w:val="16"/>
                <w:szCs w:val="16"/>
              </w:rPr>
            </w:pPr>
            <w:r w:rsidRPr="001D0846">
              <w:rPr>
                <w:rFonts w:ascii="Times New Roman" w:eastAsia="Times New Roman" w:hAnsi="Times New Roman" w:cs="Times New Roman"/>
                <w:color w:val="000000"/>
                <w:sz w:val="16"/>
                <w:szCs w:val="16"/>
              </w:rPr>
              <w:t>206,7</w:t>
            </w:r>
          </w:p>
        </w:tc>
        <w:tc>
          <w:tcPr>
            <w:tcW w:w="576" w:type="dxa"/>
            <w:vAlign w:val="center"/>
          </w:tcPr>
          <w:p w:rsidR="00954AF4" w:rsidRPr="001D0846" w:rsidRDefault="00954AF4" w:rsidP="006C10A0">
            <w:pPr>
              <w:jc w:val="center"/>
              <w:rPr>
                <w:rFonts w:ascii="Times New Roman" w:eastAsia="Times New Roman" w:hAnsi="Times New Roman" w:cs="Times New Roman"/>
                <w:color w:val="000000"/>
                <w:sz w:val="16"/>
                <w:szCs w:val="16"/>
              </w:rPr>
            </w:pPr>
            <w:r w:rsidRPr="001D0846">
              <w:rPr>
                <w:rFonts w:ascii="Times New Roman" w:eastAsia="Times New Roman" w:hAnsi="Times New Roman" w:cs="Times New Roman"/>
                <w:color w:val="000000"/>
                <w:sz w:val="16"/>
                <w:szCs w:val="16"/>
              </w:rPr>
              <w:t>192,9</w:t>
            </w:r>
          </w:p>
        </w:tc>
        <w:tc>
          <w:tcPr>
            <w:tcW w:w="496" w:type="dxa"/>
            <w:tcBorders>
              <w:right w:val="single" w:sz="18" w:space="0" w:color="auto"/>
            </w:tcBorders>
            <w:vAlign w:val="center"/>
          </w:tcPr>
          <w:p w:rsidR="00954AF4" w:rsidRPr="001D0846" w:rsidRDefault="00954AF4" w:rsidP="006C10A0">
            <w:pPr>
              <w:jc w:val="center"/>
              <w:rPr>
                <w:rFonts w:ascii="Times New Roman" w:eastAsia="Times New Roman" w:hAnsi="Times New Roman" w:cs="Times New Roman"/>
                <w:b/>
                <w:sz w:val="16"/>
                <w:szCs w:val="16"/>
              </w:rPr>
            </w:pPr>
            <w:r w:rsidRPr="001D0846">
              <w:rPr>
                <w:rFonts w:ascii="Times New Roman" w:eastAsia="Times New Roman" w:hAnsi="Times New Roman" w:cs="Times New Roman"/>
                <w:color w:val="000000"/>
                <w:sz w:val="16"/>
                <w:szCs w:val="16"/>
              </w:rPr>
              <w:t>22,9</w:t>
            </w:r>
          </w:p>
        </w:tc>
        <w:tc>
          <w:tcPr>
            <w:tcW w:w="656" w:type="dxa"/>
            <w:tcBorders>
              <w:left w:val="single" w:sz="18" w:space="0" w:color="auto"/>
            </w:tcBorders>
            <w:vAlign w:val="center"/>
          </w:tcPr>
          <w:p w:rsidR="00954AF4" w:rsidRPr="001D0846" w:rsidRDefault="00954AF4" w:rsidP="006C10A0">
            <w:pPr>
              <w:jc w:val="center"/>
              <w:rPr>
                <w:rFonts w:ascii="Times New Roman" w:eastAsia="Times New Roman" w:hAnsi="Times New Roman" w:cs="Times New Roman"/>
                <w:color w:val="000000"/>
                <w:sz w:val="16"/>
                <w:szCs w:val="16"/>
              </w:rPr>
            </w:pPr>
            <w:r w:rsidRPr="001D0846">
              <w:rPr>
                <w:rFonts w:ascii="Times New Roman" w:eastAsia="Times New Roman" w:hAnsi="Times New Roman" w:cs="Times New Roman"/>
                <w:color w:val="000000"/>
                <w:sz w:val="16"/>
                <w:szCs w:val="16"/>
              </w:rPr>
              <w:t>1137,1</w:t>
            </w:r>
          </w:p>
        </w:tc>
        <w:tc>
          <w:tcPr>
            <w:tcW w:w="656" w:type="dxa"/>
            <w:vAlign w:val="center"/>
          </w:tcPr>
          <w:p w:rsidR="00954AF4" w:rsidRPr="001D0846" w:rsidRDefault="00954AF4" w:rsidP="006C10A0">
            <w:pPr>
              <w:jc w:val="center"/>
              <w:rPr>
                <w:rFonts w:ascii="Times New Roman" w:eastAsia="Times New Roman" w:hAnsi="Times New Roman" w:cs="Times New Roman"/>
                <w:color w:val="000000"/>
                <w:sz w:val="16"/>
                <w:szCs w:val="16"/>
              </w:rPr>
            </w:pPr>
            <w:r w:rsidRPr="001D0846">
              <w:rPr>
                <w:rFonts w:ascii="Times New Roman" w:eastAsia="Times New Roman" w:hAnsi="Times New Roman" w:cs="Times New Roman"/>
                <w:color w:val="000000"/>
                <w:sz w:val="16"/>
                <w:szCs w:val="16"/>
              </w:rPr>
              <w:t>727,4</w:t>
            </w:r>
          </w:p>
        </w:tc>
        <w:tc>
          <w:tcPr>
            <w:tcW w:w="576" w:type="dxa"/>
            <w:vAlign w:val="center"/>
          </w:tcPr>
          <w:p w:rsidR="00954AF4" w:rsidRPr="001D0846" w:rsidRDefault="00954AF4" w:rsidP="006C10A0">
            <w:pPr>
              <w:jc w:val="center"/>
              <w:rPr>
                <w:rFonts w:ascii="Times New Roman" w:eastAsia="Times New Roman" w:hAnsi="Times New Roman" w:cs="Times New Roman"/>
                <w:color w:val="000000"/>
                <w:sz w:val="16"/>
                <w:szCs w:val="16"/>
              </w:rPr>
            </w:pPr>
            <w:r w:rsidRPr="001D0846">
              <w:rPr>
                <w:rFonts w:ascii="Times New Roman" w:eastAsia="Times New Roman" w:hAnsi="Times New Roman" w:cs="Times New Roman"/>
                <w:color w:val="000000"/>
                <w:sz w:val="16"/>
                <w:szCs w:val="16"/>
              </w:rPr>
              <w:t>189,2</w:t>
            </w:r>
          </w:p>
        </w:tc>
        <w:tc>
          <w:tcPr>
            <w:tcW w:w="576" w:type="dxa"/>
            <w:vAlign w:val="center"/>
          </w:tcPr>
          <w:p w:rsidR="00954AF4" w:rsidRPr="001D0846" w:rsidRDefault="00954AF4" w:rsidP="006C10A0">
            <w:pPr>
              <w:jc w:val="center"/>
              <w:rPr>
                <w:rFonts w:ascii="Times New Roman" w:eastAsia="Times New Roman" w:hAnsi="Times New Roman" w:cs="Times New Roman"/>
                <w:color w:val="000000"/>
                <w:sz w:val="16"/>
                <w:szCs w:val="16"/>
              </w:rPr>
            </w:pPr>
            <w:r w:rsidRPr="001D0846">
              <w:rPr>
                <w:rFonts w:ascii="Times New Roman" w:eastAsia="Times New Roman" w:hAnsi="Times New Roman" w:cs="Times New Roman"/>
                <w:color w:val="000000"/>
                <w:sz w:val="16"/>
                <w:szCs w:val="16"/>
              </w:rPr>
              <w:t>198,9</w:t>
            </w:r>
          </w:p>
        </w:tc>
        <w:tc>
          <w:tcPr>
            <w:tcW w:w="636" w:type="dxa"/>
            <w:tcBorders>
              <w:right w:val="single" w:sz="18" w:space="0" w:color="auto"/>
            </w:tcBorders>
            <w:vAlign w:val="center"/>
          </w:tcPr>
          <w:p w:rsidR="00954AF4" w:rsidRPr="001D0846" w:rsidRDefault="00954AF4" w:rsidP="006C10A0">
            <w:pPr>
              <w:jc w:val="center"/>
              <w:rPr>
                <w:rFonts w:ascii="Times New Roman" w:eastAsia="Times New Roman" w:hAnsi="Times New Roman" w:cs="Times New Roman"/>
                <w:color w:val="000000"/>
                <w:sz w:val="16"/>
                <w:szCs w:val="16"/>
              </w:rPr>
            </w:pPr>
            <w:r w:rsidRPr="001D0846">
              <w:rPr>
                <w:rFonts w:ascii="Times New Roman" w:eastAsia="Times New Roman" w:hAnsi="Times New Roman" w:cs="Times New Roman"/>
                <w:color w:val="000000"/>
                <w:sz w:val="16"/>
                <w:szCs w:val="16"/>
              </w:rPr>
              <w:t>21,7</w:t>
            </w:r>
          </w:p>
        </w:tc>
      </w:tr>
      <w:tr w:rsidR="00A31846" w:rsidRPr="001D0846" w:rsidTr="00576E18">
        <w:tc>
          <w:tcPr>
            <w:tcW w:w="966" w:type="dxa"/>
          </w:tcPr>
          <w:p w:rsidR="00954AF4" w:rsidRPr="001D0846" w:rsidRDefault="0013046F" w:rsidP="00A31846">
            <w:pPr>
              <w:spacing w:line="276" w:lineRule="auto"/>
              <w:rPr>
                <w:rFonts w:ascii="Times New Roman" w:eastAsia="Times New Roman" w:hAnsi="Times New Roman" w:cs="Times New Roman"/>
                <w:sz w:val="18"/>
                <w:szCs w:val="18"/>
              </w:rPr>
            </w:pPr>
            <w:r w:rsidRPr="001D0846">
              <w:rPr>
                <w:rFonts w:ascii="Times New Roman" w:eastAsia="Times New Roman" w:hAnsi="Times New Roman" w:cs="Times New Roman"/>
                <w:color w:val="000000"/>
                <w:sz w:val="18"/>
                <w:szCs w:val="18"/>
              </w:rPr>
              <w:t>majorări</w:t>
            </w:r>
            <w:r w:rsidR="00B350CA">
              <w:rPr>
                <w:rFonts w:ascii="Times New Roman" w:eastAsia="Times New Roman" w:hAnsi="Times New Roman" w:cs="Times New Roman"/>
                <w:color w:val="000000"/>
                <w:sz w:val="18"/>
                <w:szCs w:val="18"/>
              </w:rPr>
              <w:t>le</w:t>
            </w:r>
            <w:r w:rsidR="00954AF4" w:rsidRPr="001D0846">
              <w:rPr>
                <w:rFonts w:ascii="Times New Roman" w:eastAsia="Times New Roman" w:hAnsi="Times New Roman" w:cs="Times New Roman"/>
                <w:color w:val="000000"/>
                <w:sz w:val="18"/>
                <w:szCs w:val="18"/>
              </w:rPr>
              <w:t xml:space="preserve"> de întârziere</w:t>
            </w:r>
          </w:p>
        </w:tc>
        <w:tc>
          <w:tcPr>
            <w:tcW w:w="656" w:type="dxa"/>
            <w:vAlign w:val="center"/>
          </w:tcPr>
          <w:p w:rsidR="00954AF4" w:rsidRPr="001D0846" w:rsidRDefault="00954AF4" w:rsidP="006C10A0">
            <w:pPr>
              <w:jc w:val="center"/>
              <w:rPr>
                <w:rFonts w:ascii="Times New Roman" w:eastAsia="Times New Roman" w:hAnsi="Times New Roman" w:cs="Times New Roman"/>
                <w:color w:val="000000"/>
                <w:sz w:val="16"/>
                <w:szCs w:val="16"/>
              </w:rPr>
            </w:pPr>
            <w:r w:rsidRPr="001D0846">
              <w:rPr>
                <w:rFonts w:ascii="Times New Roman" w:eastAsia="Times New Roman" w:hAnsi="Times New Roman" w:cs="Times New Roman"/>
                <w:color w:val="000000"/>
                <w:sz w:val="16"/>
                <w:szCs w:val="16"/>
              </w:rPr>
              <w:t>480,5</w:t>
            </w:r>
          </w:p>
        </w:tc>
        <w:tc>
          <w:tcPr>
            <w:tcW w:w="656" w:type="dxa"/>
            <w:vAlign w:val="center"/>
          </w:tcPr>
          <w:p w:rsidR="00954AF4" w:rsidRPr="001D0846" w:rsidRDefault="00954AF4" w:rsidP="006C10A0">
            <w:pPr>
              <w:jc w:val="center"/>
              <w:rPr>
                <w:rFonts w:ascii="Times New Roman" w:eastAsia="Times New Roman" w:hAnsi="Times New Roman" w:cs="Times New Roman"/>
                <w:color w:val="000000"/>
                <w:sz w:val="16"/>
                <w:szCs w:val="16"/>
              </w:rPr>
            </w:pPr>
            <w:r w:rsidRPr="001D0846">
              <w:rPr>
                <w:rFonts w:ascii="Times New Roman" w:eastAsia="Times New Roman" w:hAnsi="Times New Roman" w:cs="Times New Roman"/>
                <w:color w:val="000000"/>
                <w:sz w:val="16"/>
                <w:szCs w:val="16"/>
              </w:rPr>
              <w:t>213,7</w:t>
            </w:r>
          </w:p>
        </w:tc>
        <w:tc>
          <w:tcPr>
            <w:tcW w:w="576" w:type="dxa"/>
            <w:vAlign w:val="center"/>
          </w:tcPr>
          <w:p w:rsidR="00954AF4" w:rsidRPr="001D0846" w:rsidRDefault="00954AF4" w:rsidP="006C10A0">
            <w:pPr>
              <w:jc w:val="center"/>
              <w:rPr>
                <w:rFonts w:ascii="Times New Roman" w:eastAsia="Times New Roman" w:hAnsi="Times New Roman" w:cs="Times New Roman"/>
                <w:color w:val="000000"/>
                <w:sz w:val="16"/>
                <w:szCs w:val="16"/>
              </w:rPr>
            </w:pPr>
            <w:r w:rsidRPr="001D0846">
              <w:rPr>
                <w:rFonts w:ascii="Times New Roman" w:eastAsia="Times New Roman" w:hAnsi="Times New Roman" w:cs="Times New Roman"/>
                <w:color w:val="000000"/>
                <w:sz w:val="16"/>
                <w:szCs w:val="16"/>
              </w:rPr>
              <w:t>62,4</w:t>
            </w:r>
          </w:p>
        </w:tc>
        <w:tc>
          <w:tcPr>
            <w:tcW w:w="576" w:type="dxa"/>
            <w:vAlign w:val="center"/>
          </w:tcPr>
          <w:p w:rsidR="00954AF4" w:rsidRPr="001D0846" w:rsidRDefault="00954AF4" w:rsidP="006C10A0">
            <w:pPr>
              <w:jc w:val="center"/>
              <w:rPr>
                <w:rFonts w:ascii="Times New Roman" w:eastAsia="Times New Roman" w:hAnsi="Times New Roman" w:cs="Times New Roman"/>
                <w:color w:val="000000"/>
                <w:sz w:val="16"/>
                <w:szCs w:val="16"/>
              </w:rPr>
            </w:pPr>
            <w:r w:rsidRPr="001D0846">
              <w:rPr>
                <w:rFonts w:ascii="Times New Roman" w:eastAsia="Times New Roman" w:hAnsi="Times New Roman" w:cs="Times New Roman"/>
                <w:color w:val="000000"/>
                <w:sz w:val="16"/>
                <w:szCs w:val="16"/>
              </w:rPr>
              <w:t>178,1</w:t>
            </w:r>
          </w:p>
        </w:tc>
        <w:tc>
          <w:tcPr>
            <w:tcW w:w="496" w:type="dxa"/>
            <w:tcBorders>
              <w:right w:val="single" w:sz="18" w:space="0" w:color="auto"/>
            </w:tcBorders>
            <w:vAlign w:val="center"/>
          </w:tcPr>
          <w:p w:rsidR="00954AF4" w:rsidRPr="001D0846" w:rsidRDefault="00954AF4" w:rsidP="006C10A0">
            <w:pPr>
              <w:jc w:val="center"/>
              <w:rPr>
                <w:rFonts w:ascii="Times New Roman" w:eastAsia="Times New Roman" w:hAnsi="Times New Roman" w:cs="Times New Roman"/>
                <w:color w:val="000000"/>
                <w:sz w:val="16"/>
                <w:szCs w:val="16"/>
              </w:rPr>
            </w:pPr>
            <w:r w:rsidRPr="001D0846">
              <w:rPr>
                <w:rFonts w:ascii="Times New Roman" w:eastAsia="Times New Roman" w:hAnsi="Times New Roman" w:cs="Times New Roman"/>
                <w:color w:val="000000"/>
                <w:sz w:val="16"/>
                <w:szCs w:val="16"/>
              </w:rPr>
              <w:t>26,4</w:t>
            </w:r>
          </w:p>
        </w:tc>
        <w:tc>
          <w:tcPr>
            <w:tcW w:w="656" w:type="dxa"/>
            <w:tcBorders>
              <w:left w:val="single" w:sz="18" w:space="0" w:color="auto"/>
            </w:tcBorders>
            <w:vAlign w:val="center"/>
          </w:tcPr>
          <w:p w:rsidR="00954AF4" w:rsidRPr="001D0846" w:rsidRDefault="00954AF4" w:rsidP="006C10A0">
            <w:pPr>
              <w:jc w:val="center"/>
              <w:rPr>
                <w:rFonts w:ascii="Times New Roman" w:eastAsia="Times New Roman" w:hAnsi="Times New Roman" w:cs="Times New Roman"/>
                <w:color w:val="000000"/>
                <w:sz w:val="16"/>
                <w:szCs w:val="16"/>
              </w:rPr>
            </w:pPr>
            <w:r w:rsidRPr="001D0846">
              <w:rPr>
                <w:rFonts w:ascii="Times New Roman" w:eastAsia="Times New Roman" w:hAnsi="Times New Roman" w:cs="Times New Roman"/>
                <w:color w:val="000000"/>
                <w:sz w:val="16"/>
                <w:szCs w:val="16"/>
              </w:rPr>
              <w:t>544,3</w:t>
            </w:r>
          </w:p>
        </w:tc>
        <w:tc>
          <w:tcPr>
            <w:tcW w:w="656" w:type="dxa"/>
            <w:vAlign w:val="center"/>
          </w:tcPr>
          <w:p w:rsidR="00954AF4" w:rsidRPr="001D0846" w:rsidRDefault="00954AF4" w:rsidP="006C10A0">
            <w:pPr>
              <w:jc w:val="center"/>
              <w:rPr>
                <w:rFonts w:ascii="Times New Roman" w:eastAsia="Times New Roman" w:hAnsi="Times New Roman" w:cs="Times New Roman"/>
                <w:color w:val="000000"/>
                <w:sz w:val="16"/>
                <w:szCs w:val="16"/>
              </w:rPr>
            </w:pPr>
            <w:r w:rsidRPr="001D0846">
              <w:rPr>
                <w:rFonts w:ascii="Times New Roman" w:eastAsia="Times New Roman" w:hAnsi="Times New Roman" w:cs="Times New Roman"/>
                <w:color w:val="000000"/>
                <w:sz w:val="16"/>
                <w:szCs w:val="16"/>
              </w:rPr>
              <w:t>266,2</w:t>
            </w:r>
          </w:p>
        </w:tc>
        <w:tc>
          <w:tcPr>
            <w:tcW w:w="576" w:type="dxa"/>
            <w:vAlign w:val="center"/>
          </w:tcPr>
          <w:p w:rsidR="00954AF4" w:rsidRPr="001D0846" w:rsidRDefault="00954AF4" w:rsidP="006C10A0">
            <w:pPr>
              <w:jc w:val="center"/>
              <w:rPr>
                <w:rFonts w:ascii="Times New Roman" w:eastAsia="Times New Roman" w:hAnsi="Times New Roman" w:cs="Times New Roman"/>
                <w:color w:val="000000"/>
                <w:sz w:val="16"/>
                <w:szCs w:val="16"/>
              </w:rPr>
            </w:pPr>
            <w:r w:rsidRPr="001D0846">
              <w:rPr>
                <w:rFonts w:ascii="Times New Roman" w:eastAsia="Times New Roman" w:hAnsi="Times New Roman" w:cs="Times New Roman"/>
                <w:color w:val="000000"/>
                <w:sz w:val="16"/>
                <w:szCs w:val="16"/>
              </w:rPr>
              <w:t>87,2</w:t>
            </w:r>
          </w:p>
        </w:tc>
        <w:tc>
          <w:tcPr>
            <w:tcW w:w="576" w:type="dxa"/>
            <w:vAlign w:val="center"/>
          </w:tcPr>
          <w:p w:rsidR="00954AF4" w:rsidRPr="001D0846" w:rsidRDefault="00954AF4" w:rsidP="006C10A0">
            <w:pPr>
              <w:jc w:val="center"/>
              <w:rPr>
                <w:rFonts w:ascii="Times New Roman" w:eastAsia="Times New Roman" w:hAnsi="Times New Roman" w:cs="Times New Roman"/>
                <w:color w:val="000000"/>
                <w:sz w:val="16"/>
                <w:szCs w:val="16"/>
              </w:rPr>
            </w:pPr>
            <w:r w:rsidRPr="001D0846">
              <w:rPr>
                <w:rFonts w:ascii="Times New Roman" w:eastAsia="Times New Roman" w:hAnsi="Times New Roman" w:cs="Times New Roman"/>
                <w:color w:val="000000"/>
                <w:sz w:val="16"/>
                <w:szCs w:val="16"/>
              </w:rPr>
              <w:t>165,3</w:t>
            </w:r>
          </w:p>
        </w:tc>
        <w:tc>
          <w:tcPr>
            <w:tcW w:w="496" w:type="dxa"/>
            <w:tcBorders>
              <w:right w:val="single" w:sz="18" w:space="0" w:color="auto"/>
            </w:tcBorders>
            <w:vAlign w:val="center"/>
          </w:tcPr>
          <w:p w:rsidR="00954AF4" w:rsidRPr="001D0846" w:rsidRDefault="00954AF4" w:rsidP="006C10A0">
            <w:pPr>
              <w:jc w:val="center"/>
              <w:rPr>
                <w:rFonts w:ascii="Times New Roman" w:eastAsia="Times New Roman" w:hAnsi="Times New Roman" w:cs="Times New Roman"/>
                <w:b/>
                <w:sz w:val="16"/>
                <w:szCs w:val="16"/>
              </w:rPr>
            </w:pPr>
            <w:r w:rsidRPr="001D0846">
              <w:rPr>
                <w:rFonts w:ascii="Times New Roman" w:eastAsia="Times New Roman" w:hAnsi="Times New Roman" w:cs="Times New Roman"/>
                <w:color w:val="000000"/>
                <w:sz w:val="16"/>
                <w:szCs w:val="16"/>
              </w:rPr>
              <w:t>25,5</w:t>
            </w:r>
          </w:p>
        </w:tc>
        <w:tc>
          <w:tcPr>
            <w:tcW w:w="656" w:type="dxa"/>
            <w:tcBorders>
              <w:left w:val="single" w:sz="18" w:space="0" w:color="auto"/>
            </w:tcBorders>
            <w:vAlign w:val="center"/>
          </w:tcPr>
          <w:p w:rsidR="00954AF4" w:rsidRPr="001D0846" w:rsidRDefault="00954AF4" w:rsidP="006C10A0">
            <w:pPr>
              <w:jc w:val="center"/>
              <w:rPr>
                <w:rFonts w:ascii="Times New Roman" w:eastAsia="Times New Roman" w:hAnsi="Times New Roman" w:cs="Times New Roman"/>
                <w:color w:val="000000"/>
                <w:sz w:val="16"/>
                <w:szCs w:val="16"/>
              </w:rPr>
            </w:pPr>
            <w:r w:rsidRPr="001D0846">
              <w:rPr>
                <w:rFonts w:ascii="Times New Roman" w:eastAsia="Times New Roman" w:hAnsi="Times New Roman" w:cs="Times New Roman"/>
                <w:color w:val="000000"/>
                <w:sz w:val="16"/>
                <w:szCs w:val="16"/>
              </w:rPr>
              <w:t>627,5</w:t>
            </w:r>
          </w:p>
        </w:tc>
        <w:tc>
          <w:tcPr>
            <w:tcW w:w="656" w:type="dxa"/>
            <w:vAlign w:val="center"/>
          </w:tcPr>
          <w:p w:rsidR="00954AF4" w:rsidRPr="001D0846" w:rsidRDefault="00954AF4" w:rsidP="006C10A0">
            <w:pPr>
              <w:jc w:val="center"/>
              <w:rPr>
                <w:rFonts w:ascii="Times New Roman" w:eastAsia="Times New Roman" w:hAnsi="Times New Roman" w:cs="Times New Roman"/>
                <w:color w:val="000000"/>
                <w:sz w:val="16"/>
                <w:szCs w:val="16"/>
              </w:rPr>
            </w:pPr>
            <w:r w:rsidRPr="001D0846">
              <w:rPr>
                <w:rFonts w:ascii="Times New Roman" w:eastAsia="Times New Roman" w:hAnsi="Times New Roman" w:cs="Times New Roman"/>
                <w:color w:val="000000"/>
                <w:sz w:val="16"/>
                <w:szCs w:val="16"/>
              </w:rPr>
              <w:t>340,5</w:t>
            </w:r>
          </w:p>
        </w:tc>
        <w:tc>
          <w:tcPr>
            <w:tcW w:w="576" w:type="dxa"/>
            <w:vAlign w:val="center"/>
          </w:tcPr>
          <w:p w:rsidR="00954AF4" w:rsidRPr="001D0846" w:rsidRDefault="00954AF4" w:rsidP="006C10A0">
            <w:pPr>
              <w:jc w:val="center"/>
              <w:rPr>
                <w:rFonts w:ascii="Times New Roman" w:eastAsia="Times New Roman" w:hAnsi="Times New Roman" w:cs="Times New Roman"/>
                <w:color w:val="000000"/>
                <w:sz w:val="16"/>
                <w:szCs w:val="16"/>
              </w:rPr>
            </w:pPr>
            <w:r w:rsidRPr="001D0846">
              <w:rPr>
                <w:rFonts w:ascii="Times New Roman" w:eastAsia="Times New Roman" w:hAnsi="Times New Roman" w:cs="Times New Roman"/>
                <w:color w:val="000000"/>
                <w:sz w:val="16"/>
                <w:szCs w:val="16"/>
              </w:rPr>
              <w:t>87,2</w:t>
            </w:r>
          </w:p>
        </w:tc>
        <w:tc>
          <w:tcPr>
            <w:tcW w:w="576" w:type="dxa"/>
            <w:vAlign w:val="center"/>
          </w:tcPr>
          <w:p w:rsidR="00954AF4" w:rsidRPr="001D0846" w:rsidRDefault="00954AF4" w:rsidP="006C10A0">
            <w:pPr>
              <w:jc w:val="center"/>
              <w:rPr>
                <w:rFonts w:ascii="Times New Roman" w:eastAsia="Times New Roman" w:hAnsi="Times New Roman" w:cs="Times New Roman"/>
                <w:color w:val="000000"/>
                <w:sz w:val="16"/>
                <w:szCs w:val="16"/>
              </w:rPr>
            </w:pPr>
            <w:r w:rsidRPr="001D0846">
              <w:rPr>
                <w:rFonts w:ascii="Times New Roman" w:eastAsia="Times New Roman" w:hAnsi="Times New Roman" w:cs="Times New Roman"/>
                <w:color w:val="000000"/>
                <w:sz w:val="16"/>
                <w:szCs w:val="16"/>
              </w:rPr>
              <w:t>175,6</w:t>
            </w:r>
          </w:p>
        </w:tc>
        <w:tc>
          <w:tcPr>
            <w:tcW w:w="636" w:type="dxa"/>
            <w:tcBorders>
              <w:right w:val="single" w:sz="18" w:space="0" w:color="auto"/>
            </w:tcBorders>
            <w:vAlign w:val="center"/>
          </w:tcPr>
          <w:p w:rsidR="00954AF4" w:rsidRPr="001D0846" w:rsidRDefault="00954AF4" w:rsidP="006C10A0">
            <w:pPr>
              <w:jc w:val="center"/>
              <w:rPr>
                <w:rFonts w:ascii="Times New Roman" w:eastAsia="Times New Roman" w:hAnsi="Times New Roman" w:cs="Times New Roman"/>
                <w:color w:val="000000"/>
                <w:sz w:val="16"/>
                <w:szCs w:val="16"/>
              </w:rPr>
            </w:pPr>
            <w:r w:rsidRPr="001D0846">
              <w:rPr>
                <w:rFonts w:ascii="Times New Roman" w:eastAsia="Times New Roman" w:hAnsi="Times New Roman" w:cs="Times New Roman"/>
                <w:color w:val="000000"/>
                <w:sz w:val="16"/>
                <w:szCs w:val="16"/>
              </w:rPr>
              <w:t>24,2</w:t>
            </w:r>
          </w:p>
        </w:tc>
      </w:tr>
      <w:tr w:rsidR="00A31846" w:rsidRPr="001D0846" w:rsidTr="00576E18">
        <w:tc>
          <w:tcPr>
            <w:tcW w:w="966" w:type="dxa"/>
          </w:tcPr>
          <w:p w:rsidR="00954AF4" w:rsidRPr="001D0846" w:rsidRDefault="00954AF4" w:rsidP="00A31846">
            <w:pPr>
              <w:spacing w:line="276" w:lineRule="auto"/>
              <w:rPr>
                <w:rFonts w:ascii="Times New Roman" w:eastAsia="Times New Roman" w:hAnsi="Times New Roman" w:cs="Times New Roman"/>
                <w:sz w:val="18"/>
                <w:szCs w:val="18"/>
              </w:rPr>
            </w:pPr>
            <w:r w:rsidRPr="001D0846">
              <w:rPr>
                <w:rFonts w:ascii="Times New Roman" w:eastAsia="Times New Roman" w:hAnsi="Times New Roman" w:cs="Times New Roman"/>
                <w:color w:val="000000"/>
                <w:sz w:val="18"/>
                <w:szCs w:val="18"/>
              </w:rPr>
              <w:t>amenzi</w:t>
            </w:r>
          </w:p>
        </w:tc>
        <w:tc>
          <w:tcPr>
            <w:tcW w:w="656" w:type="dxa"/>
            <w:vAlign w:val="center"/>
          </w:tcPr>
          <w:p w:rsidR="00954AF4" w:rsidRPr="001D0846" w:rsidRDefault="00954AF4" w:rsidP="006C10A0">
            <w:pPr>
              <w:jc w:val="center"/>
              <w:rPr>
                <w:rFonts w:ascii="Times New Roman" w:eastAsia="Times New Roman" w:hAnsi="Times New Roman" w:cs="Times New Roman"/>
                <w:color w:val="000000"/>
                <w:sz w:val="16"/>
                <w:szCs w:val="16"/>
              </w:rPr>
            </w:pPr>
            <w:r w:rsidRPr="001D0846">
              <w:rPr>
                <w:rFonts w:ascii="Times New Roman" w:eastAsia="Times New Roman" w:hAnsi="Times New Roman" w:cs="Times New Roman"/>
                <w:color w:val="000000"/>
                <w:sz w:val="16"/>
                <w:szCs w:val="16"/>
              </w:rPr>
              <w:t>361,6</w:t>
            </w:r>
          </w:p>
        </w:tc>
        <w:tc>
          <w:tcPr>
            <w:tcW w:w="656" w:type="dxa"/>
            <w:vAlign w:val="center"/>
          </w:tcPr>
          <w:p w:rsidR="00954AF4" w:rsidRPr="001D0846" w:rsidRDefault="00954AF4" w:rsidP="006C10A0">
            <w:pPr>
              <w:jc w:val="center"/>
              <w:rPr>
                <w:rFonts w:ascii="Times New Roman" w:eastAsia="Times New Roman" w:hAnsi="Times New Roman" w:cs="Times New Roman"/>
                <w:color w:val="000000"/>
                <w:sz w:val="16"/>
                <w:szCs w:val="16"/>
              </w:rPr>
            </w:pPr>
            <w:r w:rsidRPr="001D0846">
              <w:rPr>
                <w:rFonts w:ascii="Times New Roman" w:eastAsia="Times New Roman" w:hAnsi="Times New Roman" w:cs="Times New Roman"/>
                <w:color w:val="000000"/>
                <w:sz w:val="16"/>
                <w:szCs w:val="16"/>
              </w:rPr>
              <w:t>356,2</w:t>
            </w:r>
          </w:p>
        </w:tc>
        <w:tc>
          <w:tcPr>
            <w:tcW w:w="576" w:type="dxa"/>
            <w:vAlign w:val="center"/>
          </w:tcPr>
          <w:p w:rsidR="00954AF4" w:rsidRPr="001D0846" w:rsidRDefault="00954AF4" w:rsidP="006C10A0">
            <w:pPr>
              <w:jc w:val="center"/>
              <w:rPr>
                <w:rFonts w:ascii="Times New Roman" w:eastAsia="Times New Roman" w:hAnsi="Times New Roman" w:cs="Times New Roman"/>
                <w:color w:val="000000"/>
                <w:sz w:val="16"/>
                <w:szCs w:val="16"/>
              </w:rPr>
            </w:pPr>
            <w:r w:rsidRPr="001D0846">
              <w:rPr>
                <w:rFonts w:ascii="Times New Roman" w:eastAsia="Times New Roman" w:hAnsi="Times New Roman" w:cs="Times New Roman"/>
                <w:color w:val="000000"/>
                <w:sz w:val="16"/>
                <w:szCs w:val="16"/>
              </w:rPr>
              <w:t>0,0</w:t>
            </w:r>
          </w:p>
        </w:tc>
        <w:tc>
          <w:tcPr>
            <w:tcW w:w="576" w:type="dxa"/>
            <w:vAlign w:val="center"/>
          </w:tcPr>
          <w:p w:rsidR="00954AF4" w:rsidRPr="001D0846" w:rsidRDefault="00954AF4" w:rsidP="006C10A0">
            <w:pPr>
              <w:jc w:val="center"/>
              <w:rPr>
                <w:rFonts w:ascii="Times New Roman" w:eastAsia="Times New Roman" w:hAnsi="Times New Roman" w:cs="Times New Roman"/>
                <w:color w:val="000000"/>
                <w:sz w:val="16"/>
                <w:szCs w:val="16"/>
              </w:rPr>
            </w:pPr>
            <w:r w:rsidRPr="001D0846">
              <w:rPr>
                <w:rFonts w:ascii="Times New Roman" w:eastAsia="Times New Roman" w:hAnsi="Times New Roman" w:cs="Times New Roman"/>
                <w:color w:val="000000"/>
                <w:sz w:val="16"/>
                <w:szCs w:val="16"/>
              </w:rPr>
              <w:t>3,3</w:t>
            </w:r>
          </w:p>
        </w:tc>
        <w:tc>
          <w:tcPr>
            <w:tcW w:w="496" w:type="dxa"/>
            <w:tcBorders>
              <w:right w:val="single" w:sz="18" w:space="0" w:color="auto"/>
            </w:tcBorders>
            <w:vAlign w:val="center"/>
          </w:tcPr>
          <w:p w:rsidR="00954AF4" w:rsidRPr="001D0846" w:rsidRDefault="00954AF4" w:rsidP="006C10A0">
            <w:pPr>
              <w:jc w:val="center"/>
              <w:rPr>
                <w:rFonts w:ascii="Times New Roman" w:eastAsia="Times New Roman" w:hAnsi="Times New Roman" w:cs="Times New Roman"/>
                <w:color w:val="000000"/>
                <w:sz w:val="16"/>
                <w:szCs w:val="16"/>
              </w:rPr>
            </w:pPr>
            <w:r w:rsidRPr="001D0846">
              <w:rPr>
                <w:rFonts w:ascii="Times New Roman" w:eastAsia="Times New Roman" w:hAnsi="Times New Roman" w:cs="Times New Roman"/>
                <w:color w:val="000000"/>
                <w:sz w:val="16"/>
                <w:szCs w:val="16"/>
              </w:rPr>
              <w:t>2,1</w:t>
            </w:r>
          </w:p>
        </w:tc>
        <w:tc>
          <w:tcPr>
            <w:tcW w:w="656" w:type="dxa"/>
            <w:tcBorders>
              <w:left w:val="single" w:sz="18" w:space="0" w:color="auto"/>
            </w:tcBorders>
            <w:vAlign w:val="center"/>
          </w:tcPr>
          <w:p w:rsidR="00954AF4" w:rsidRPr="001D0846" w:rsidRDefault="00954AF4" w:rsidP="006C10A0">
            <w:pPr>
              <w:jc w:val="center"/>
              <w:rPr>
                <w:rFonts w:ascii="Times New Roman" w:eastAsia="Times New Roman" w:hAnsi="Times New Roman" w:cs="Times New Roman"/>
                <w:color w:val="000000"/>
                <w:sz w:val="16"/>
                <w:szCs w:val="16"/>
              </w:rPr>
            </w:pPr>
            <w:r w:rsidRPr="001D0846">
              <w:rPr>
                <w:rFonts w:ascii="Times New Roman" w:eastAsia="Times New Roman" w:hAnsi="Times New Roman" w:cs="Times New Roman"/>
                <w:color w:val="000000"/>
                <w:sz w:val="16"/>
                <w:szCs w:val="16"/>
              </w:rPr>
              <w:t>314,5</w:t>
            </w:r>
          </w:p>
        </w:tc>
        <w:tc>
          <w:tcPr>
            <w:tcW w:w="656" w:type="dxa"/>
            <w:vAlign w:val="center"/>
          </w:tcPr>
          <w:p w:rsidR="00954AF4" w:rsidRPr="001D0846" w:rsidRDefault="00954AF4" w:rsidP="006C10A0">
            <w:pPr>
              <w:jc w:val="center"/>
              <w:rPr>
                <w:rFonts w:ascii="Times New Roman" w:eastAsia="Times New Roman" w:hAnsi="Times New Roman" w:cs="Times New Roman"/>
                <w:color w:val="000000"/>
                <w:sz w:val="16"/>
                <w:szCs w:val="16"/>
              </w:rPr>
            </w:pPr>
            <w:r w:rsidRPr="001D0846">
              <w:rPr>
                <w:rFonts w:ascii="Times New Roman" w:eastAsia="Times New Roman" w:hAnsi="Times New Roman" w:cs="Times New Roman"/>
                <w:color w:val="000000"/>
                <w:sz w:val="16"/>
                <w:szCs w:val="16"/>
              </w:rPr>
              <w:t>309,7</w:t>
            </w:r>
          </w:p>
        </w:tc>
        <w:tc>
          <w:tcPr>
            <w:tcW w:w="576" w:type="dxa"/>
            <w:vAlign w:val="center"/>
          </w:tcPr>
          <w:p w:rsidR="00954AF4" w:rsidRPr="001D0846" w:rsidRDefault="00954AF4" w:rsidP="006C10A0">
            <w:pPr>
              <w:jc w:val="center"/>
              <w:rPr>
                <w:rFonts w:ascii="Times New Roman" w:eastAsia="Times New Roman" w:hAnsi="Times New Roman" w:cs="Times New Roman"/>
                <w:color w:val="000000"/>
                <w:sz w:val="16"/>
                <w:szCs w:val="16"/>
              </w:rPr>
            </w:pPr>
            <w:r w:rsidRPr="001D0846">
              <w:rPr>
                <w:rFonts w:ascii="Times New Roman" w:eastAsia="Times New Roman" w:hAnsi="Times New Roman" w:cs="Times New Roman"/>
                <w:color w:val="000000"/>
                <w:sz w:val="16"/>
                <w:szCs w:val="16"/>
              </w:rPr>
              <w:t>0,0</w:t>
            </w:r>
          </w:p>
        </w:tc>
        <w:tc>
          <w:tcPr>
            <w:tcW w:w="576" w:type="dxa"/>
            <w:vAlign w:val="center"/>
          </w:tcPr>
          <w:p w:rsidR="00954AF4" w:rsidRPr="001D0846" w:rsidRDefault="00954AF4" w:rsidP="006C10A0">
            <w:pPr>
              <w:jc w:val="center"/>
              <w:rPr>
                <w:rFonts w:ascii="Times New Roman" w:eastAsia="Times New Roman" w:hAnsi="Times New Roman" w:cs="Times New Roman"/>
                <w:color w:val="000000"/>
                <w:sz w:val="16"/>
                <w:szCs w:val="16"/>
              </w:rPr>
            </w:pPr>
            <w:r w:rsidRPr="001D0846">
              <w:rPr>
                <w:rFonts w:ascii="Times New Roman" w:eastAsia="Times New Roman" w:hAnsi="Times New Roman" w:cs="Times New Roman"/>
                <w:color w:val="000000"/>
                <w:sz w:val="16"/>
                <w:szCs w:val="16"/>
              </w:rPr>
              <w:t>3,3</w:t>
            </w:r>
          </w:p>
        </w:tc>
        <w:tc>
          <w:tcPr>
            <w:tcW w:w="496" w:type="dxa"/>
            <w:tcBorders>
              <w:right w:val="single" w:sz="18" w:space="0" w:color="auto"/>
            </w:tcBorders>
            <w:vAlign w:val="center"/>
          </w:tcPr>
          <w:p w:rsidR="00954AF4" w:rsidRPr="001D0846" w:rsidRDefault="00954AF4" w:rsidP="006C10A0">
            <w:pPr>
              <w:jc w:val="center"/>
              <w:rPr>
                <w:rFonts w:ascii="Times New Roman" w:eastAsia="Times New Roman" w:hAnsi="Times New Roman" w:cs="Times New Roman"/>
                <w:b/>
                <w:sz w:val="16"/>
                <w:szCs w:val="16"/>
              </w:rPr>
            </w:pPr>
            <w:r w:rsidRPr="001D0846">
              <w:rPr>
                <w:rFonts w:ascii="Times New Roman" w:eastAsia="Times New Roman" w:hAnsi="Times New Roman" w:cs="Times New Roman"/>
                <w:color w:val="000000"/>
                <w:sz w:val="16"/>
                <w:szCs w:val="16"/>
              </w:rPr>
              <w:t>1,5</w:t>
            </w:r>
          </w:p>
        </w:tc>
        <w:tc>
          <w:tcPr>
            <w:tcW w:w="656" w:type="dxa"/>
            <w:tcBorders>
              <w:left w:val="single" w:sz="18" w:space="0" w:color="auto"/>
            </w:tcBorders>
            <w:vAlign w:val="center"/>
          </w:tcPr>
          <w:p w:rsidR="00954AF4" w:rsidRPr="001D0846" w:rsidRDefault="00954AF4" w:rsidP="006C10A0">
            <w:pPr>
              <w:jc w:val="center"/>
              <w:rPr>
                <w:rFonts w:ascii="Times New Roman" w:eastAsia="Times New Roman" w:hAnsi="Times New Roman" w:cs="Times New Roman"/>
                <w:color w:val="000000"/>
                <w:sz w:val="16"/>
                <w:szCs w:val="16"/>
              </w:rPr>
            </w:pPr>
            <w:r w:rsidRPr="001D0846">
              <w:rPr>
                <w:rFonts w:ascii="Times New Roman" w:eastAsia="Times New Roman" w:hAnsi="Times New Roman" w:cs="Times New Roman"/>
                <w:color w:val="000000"/>
                <w:sz w:val="16"/>
                <w:szCs w:val="16"/>
              </w:rPr>
              <w:t>417,4</w:t>
            </w:r>
          </w:p>
        </w:tc>
        <w:tc>
          <w:tcPr>
            <w:tcW w:w="656" w:type="dxa"/>
            <w:vAlign w:val="center"/>
          </w:tcPr>
          <w:p w:rsidR="00954AF4" w:rsidRPr="001D0846" w:rsidRDefault="00954AF4" w:rsidP="006C10A0">
            <w:pPr>
              <w:jc w:val="center"/>
              <w:rPr>
                <w:rFonts w:ascii="Times New Roman" w:eastAsia="Times New Roman" w:hAnsi="Times New Roman" w:cs="Times New Roman"/>
                <w:color w:val="000000"/>
                <w:sz w:val="16"/>
                <w:szCs w:val="16"/>
              </w:rPr>
            </w:pPr>
            <w:r w:rsidRPr="001D0846">
              <w:rPr>
                <w:rFonts w:ascii="Times New Roman" w:eastAsia="Times New Roman" w:hAnsi="Times New Roman" w:cs="Times New Roman"/>
                <w:color w:val="000000"/>
                <w:sz w:val="16"/>
                <w:szCs w:val="16"/>
              </w:rPr>
              <w:t>399,1</w:t>
            </w:r>
          </w:p>
        </w:tc>
        <w:tc>
          <w:tcPr>
            <w:tcW w:w="576" w:type="dxa"/>
            <w:vAlign w:val="center"/>
          </w:tcPr>
          <w:p w:rsidR="00954AF4" w:rsidRPr="001D0846" w:rsidRDefault="00954AF4" w:rsidP="006C10A0">
            <w:pPr>
              <w:jc w:val="center"/>
              <w:rPr>
                <w:rFonts w:ascii="Times New Roman" w:eastAsia="Times New Roman" w:hAnsi="Times New Roman" w:cs="Times New Roman"/>
                <w:color w:val="000000"/>
                <w:sz w:val="16"/>
                <w:szCs w:val="16"/>
              </w:rPr>
            </w:pPr>
            <w:r w:rsidRPr="001D0846">
              <w:rPr>
                <w:rFonts w:ascii="Times New Roman" w:eastAsia="Times New Roman" w:hAnsi="Times New Roman" w:cs="Times New Roman"/>
                <w:color w:val="000000"/>
                <w:sz w:val="16"/>
                <w:szCs w:val="16"/>
              </w:rPr>
              <w:t>0,0</w:t>
            </w:r>
          </w:p>
        </w:tc>
        <w:tc>
          <w:tcPr>
            <w:tcW w:w="576" w:type="dxa"/>
            <w:vAlign w:val="center"/>
          </w:tcPr>
          <w:p w:rsidR="00954AF4" w:rsidRPr="001D0846" w:rsidRDefault="00954AF4" w:rsidP="006C10A0">
            <w:pPr>
              <w:jc w:val="center"/>
              <w:rPr>
                <w:rFonts w:ascii="Times New Roman" w:eastAsia="Times New Roman" w:hAnsi="Times New Roman" w:cs="Times New Roman"/>
                <w:color w:val="000000"/>
                <w:sz w:val="16"/>
                <w:szCs w:val="16"/>
              </w:rPr>
            </w:pPr>
            <w:r w:rsidRPr="001D0846">
              <w:rPr>
                <w:rFonts w:ascii="Times New Roman" w:eastAsia="Times New Roman" w:hAnsi="Times New Roman" w:cs="Times New Roman"/>
                <w:color w:val="000000"/>
                <w:sz w:val="16"/>
                <w:szCs w:val="16"/>
              </w:rPr>
              <w:t>15,0</w:t>
            </w:r>
          </w:p>
        </w:tc>
        <w:tc>
          <w:tcPr>
            <w:tcW w:w="636" w:type="dxa"/>
            <w:tcBorders>
              <w:right w:val="single" w:sz="18" w:space="0" w:color="auto"/>
            </w:tcBorders>
            <w:vAlign w:val="center"/>
          </w:tcPr>
          <w:p w:rsidR="00954AF4" w:rsidRPr="001D0846" w:rsidRDefault="00954AF4" w:rsidP="006C10A0">
            <w:pPr>
              <w:jc w:val="center"/>
              <w:rPr>
                <w:rFonts w:ascii="Times New Roman" w:eastAsia="Times New Roman" w:hAnsi="Times New Roman" w:cs="Times New Roman"/>
                <w:color w:val="000000"/>
                <w:sz w:val="16"/>
                <w:szCs w:val="16"/>
              </w:rPr>
            </w:pPr>
            <w:r w:rsidRPr="001D0846">
              <w:rPr>
                <w:rFonts w:ascii="Times New Roman" w:eastAsia="Times New Roman" w:hAnsi="Times New Roman" w:cs="Times New Roman"/>
                <w:color w:val="000000"/>
                <w:sz w:val="16"/>
                <w:szCs w:val="16"/>
              </w:rPr>
              <w:t>3,4</w:t>
            </w:r>
          </w:p>
        </w:tc>
      </w:tr>
      <w:tr w:rsidR="00954AF4" w:rsidRPr="001D0846" w:rsidTr="00576E18">
        <w:tc>
          <w:tcPr>
            <w:tcW w:w="966" w:type="dxa"/>
          </w:tcPr>
          <w:p w:rsidR="00954AF4" w:rsidRPr="001D0846" w:rsidRDefault="00954AF4" w:rsidP="00A31846">
            <w:pPr>
              <w:spacing w:line="276" w:lineRule="auto"/>
              <w:rPr>
                <w:rFonts w:ascii="Times New Roman" w:eastAsia="Times New Roman" w:hAnsi="Times New Roman" w:cs="Times New Roman"/>
                <w:b/>
                <w:sz w:val="18"/>
                <w:szCs w:val="18"/>
              </w:rPr>
            </w:pPr>
            <w:r w:rsidRPr="001D0846">
              <w:rPr>
                <w:rFonts w:ascii="Times New Roman" w:eastAsia="Times New Roman" w:hAnsi="Times New Roman" w:cs="Times New Roman"/>
                <w:b/>
                <w:color w:val="000000"/>
                <w:sz w:val="18"/>
                <w:szCs w:val="18"/>
              </w:rPr>
              <w:t>Total</w:t>
            </w:r>
            <w:r w:rsidR="00B350CA">
              <w:rPr>
                <w:rFonts w:ascii="Times New Roman" w:eastAsia="Times New Roman" w:hAnsi="Times New Roman" w:cs="Times New Roman"/>
                <w:b/>
                <w:color w:val="000000"/>
                <w:sz w:val="18"/>
                <w:szCs w:val="18"/>
              </w:rPr>
              <w:t>,</w:t>
            </w:r>
            <w:r w:rsidRPr="001D0846">
              <w:rPr>
                <w:rFonts w:ascii="Times New Roman" w:eastAsia="Times New Roman" w:hAnsi="Times New Roman" w:cs="Times New Roman"/>
                <w:b/>
                <w:color w:val="000000"/>
                <w:sz w:val="18"/>
                <w:szCs w:val="18"/>
              </w:rPr>
              <w:t xml:space="preserve"> restanțe</w:t>
            </w:r>
          </w:p>
        </w:tc>
        <w:tc>
          <w:tcPr>
            <w:tcW w:w="656" w:type="dxa"/>
            <w:shd w:val="clear" w:color="auto" w:fill="D0CECE" w:themeFill="background2" w:themeFillShade="E6"/>
          </w:tcPr>
          <w:p w:rsidR="00954AF4" w:rsidRPr="001D0846" w:rsidRDefault="00954AF4" w:rsidP="006C10A0">
            <w:pPr>
              <w:jc w:val="center"/>
              <w:rPr>
                <w:rFonts w:ascii="Times New Roman" w:eastAsia="Times New Roman" w:hAnsi="Times New Roman" w:cs="Times New Roman"/>
                <w:color w:val="000000"/>
                <w:sz w:val="16"/>
                <w:szCs w:val="16"/>
              </w:rPr>
            </w:pPr>
            <w:r w:rsidRPr="001D0846">
              <w:rPr>
                <w:rFonts w:ascii="Times New Roman" w:eastAsia="Times New Roman" w:hAnsi="Times New Roman" w:cs="Times New Roman"/>
                <w:b/>
                <w:bCs/>
                <w:color w:val="000000"/>
                <w:sz w:val="16"/>
                <w:szCs w:val="16"/>
              </w:rPr>
              <w:t>1844,6</w:t>
            </w:r>
          </w:p>
        </w:tc>
        <w:tc>
          <w:tcPr>
            <w:tcW w:w="656" w:type="dxa"/>
            <w:shd w:val="clear" w:color="auto" w:fill="E7E6E6" w:themeFill="background2"/>
          </w:tcPr>
          <w:p w:rsidR="00954AF4" w:rsidRPr="001D0846" w:rsidRDefault="00954AF4" w:rsidP="006C10A0">
            <w:pPr>
              <w:jc w:val="center"/>
              <w:rPr>
                <w:rFonts w:ascii="Times New Roman" w:eastAsia="Times New Roman" w:hAnsi="Times New Roman" w:cs="Times New Roman"/>
                <w:color w:val="000000"/>
                <w:sz w:val="16"/>
                <w:szCs w:val="16"/>
              </w:rPr>
            </w:pPr>
            <w:r w:rsidRPr="001D0846">
              <w:rPr>
                <w:rFonts w:ascii="Times New Roman" w:eastAsia="Times New Roman" w:hAnsi="Times New Roman" w:cs="Times New Roman"/>
                <w:b/>
                <w:bCs/>
                <w:color w:val="000000"/>
                <w:sz w:val="16"/>
                <w:szCs w:val="16"/>
              </w:rPr>
              <w:t>1129,5</w:t>
            </w:r>
          </w:p>
        </w:tc>
        <w:tc>
          <w:tcPr>
            <w:tcW w:w="576" w:type="dxa"/>
            <w:shd w:val="clear" w:color="auto" w:fill="E7E6E6" w:themeFill="background2"/>
          </w:tcPr>
          <w:p w:rsidR="00954AF4" w:rsidRPr="001D0846" w:rsidRDefault="00954AF4" w:rsidP="006C10A0">
            <w:pPr>
              <w:jc w:val="center"/>
              <w:rPr>
                <w:rFonts w:ascii="Times New Roman" w:eastAsia="Times New Roman" w:hAnsi="Times New Roman" w:cs="Times New Roman"/>
                <w:color w:val="000000"/>
                <w:sz w:val="16"/>
                <w:szCs w:val="16"/>
              </w:rPr>
            </w:pPr>
            <w:r w:rsidRPr="001D0846">
              <w:rPr>
                <w:rFonts w:ascii="Times New Roman" w:eastAsia="Times New Roman" w:hAnsi="Times New Roman" w:cs="Times New Roman"/>
                <w:b/>
                <w:bCs/>
                <w:color w:val="000000"/>
                <w:sz w:val="16"/>
                <w:szCs w:val="16"/>
              </w:rPr>
              <w:t>228,6</w:t>
            </w:r>
          </w:p>
        </w:tc>
        <w:tc>
          <w:tcPr>
            <w:tcW w:w="576" w:type="dxa"/>
            <w:shd w:val="clear" w:color="auto" w:fill="E7E6E6" w:themeFill="background2"/>
          </w:tcPr>
          <w:p w:rsidR="00954AF4" w:rsidRPr="001D0846" w:rsidRDefault="00954AF4" w:rsidP="006C10A0">
            <w:pPr>
              <w:jc w:val="center"/>
              <w:rPr>
                <w:rFonts w:ascii="Times New Roman" w:eastAsia="Times New Roman" w:hAnsi="Times New Roman" w:cs="Times New Roman"/>
                <w:color w:val="000000"/>
                <w:sz w:val="16"/>
                <w:szCs w:val="16"/>
              </w:rPr>
            </w:pPr>
            <w:r w:rsidRPr="001D0846">
              <w:rPr>
                <w:rFonts w:ascii="Times New Roman" w:eastAsia="Times New Roman" w:hAnsi="Times New Roman" w:cs="Times New Roman"/>
                <w:b/>
                <w:bCs/>
                <w:color w:val="000000"/>
                <w:sz w:val="16"/>
                <w:szCs w:val="16"/>
              </w:rPr>
              <w:t>426,7</w:t>
            </w:r>
          </w:p>
        </w:tc>
        <w:tc>
          <w:tcPr>
            <w:tcW w:w="496" w:type="dxa"/>
            <w:tcBorders>
              <w:right w:val="single" w:sz="18" w:space="0" w:color="auto"/>
            </w:tcBorders>
            <w:shd w:val="clear" w:color="auto" w:fill="E7E6E6" w:themeFill="background2"/>
          </w:tcPr>
          <w:p w:rsidR="00954AF4" w:rsidRPr="001D0846" w:rsidRDefault="00954AF4" w:rsidP="006C10A0">
            <w:pPr>
              <w:jc w:val="center"/>
              <w:rPr>
                <w:rFonts w:ascii="Times New Roman" w:eastAsia="Times New Roman" w:hAnsi="Times New Roman" w:cs="Times New Roman"/>
                <w:color w:val="000000"/>
                <w:sz w:val="16"/>
                <w:szCs w:val="16"/>
              </w:rPr>
            </w:pPr>
            <w:r w:rsidRPr="001D0846">
              <w:rPr>
                <w:rFonts w:ascii="Times New Roman" w:eastAsia="Times New Roman" w:hAnsi="Times New Roman" w:cs="Times New Roman"/>
                <w:b/>
                <w:bCs/>
                <w:color w:val="000000"/>
                <w:sz w:val="16"/>
                <w:szCs w:val="16"/>
              </w:rPr>
              <w:t>59,9</w:t>
            </w:r>
          </w:p>
        </w:tc>
        <w:tc>
          <w:tcPr>
            <w:tcW w:w="656" w:type="dxa"/>
            <w:tcBorders>
              <w:left w:val="single" w:sz="18" w:space="0" w:color="auto"/>
            </w:tcBorders>
            <w:shd w:val="clear" w:color="auto" w:fill="D0CECE" w:themeFill="background2" w:themeFillShade="E6"/>
          </w:tcPr>
          <w:p w:rsidR="00954AF4" w:rsidRPr="001D0846" w:rsidRDefault="00954AF4" w:rsidP="006C10A0">
            <w:pPr>
              <w:jc w:val="center"/>
              <w:rPr>
                <w:rFonts w:ascii="Times New Roman" w:eastAsia="Times New Roman" w:hAnsi="Times New Roman" w:cs="Times New Roman"/>
                <w:color w:val="000000"/>
                <w:sz w:val="16"/>
                <w:szCs w:val="16"/>
              </w:rPr>
            </w:pPr>
            <w:r w:rsidRPr="001D0846">
              <w:rPr>
                <w:rFonts w:ascii="Times New Roman" w:eastAsia="Times New Roman" w:hAnsi="Times New Roman" w:cs="Times New Roman"/>
                <w:b/>
                <w:bCs/>
                <w:color w:val="000000"/>
                <w:sz w:val="16"/>
                <w:szCs w:val="16"/>
              </w:rPr>
              <w:t>1826,0</w:t>
            </w:r>
          </w:p>
        </w:tc>
        <w:tc>
          <w:tcPr>
            <w:tcW w:w="656" w:type="dxa"/>
            <w:shd w:val="clear" w:color="auto" w:fill="E7E6E6" w:themeFill="background2"/>
          </w:tcPr>
          <w:p w:rsidR="00954AF4" w:rsidRPr="001D0846" w:rsidRDefault="00954AF4" w:rsidP="006C10A0">
            <w:pPr>
              <w:jc w:val="center"/>
              <w:rPr>
                <w:rFonts w:ascii="Times New Roman" w:eastAsia="Times New Roman" w:hAnsi="Times New Roman" w:cs="Times New Roman"/>
                <w:color w:val="000000"/>
                <w:sz w:val="16"/>
                <w:szCs w:val="16"/>
              </w:rPr>
            </w:pPr>
            <w:r w:rsidRPr="001D0846">
              <w:rPr>
                <w:rFonts w:ascii="Times New Roman" w:eastAsia="Times New Roman" w:hAnsi="Times New Roman" w:cs="Times New Roman"/>
                <w:b/>
                <w:bCs/>
                <w:color w:val="000000"/>
                <w:sz w:val="16"/>
                <w:szCs w:val="16"/>
              </w:rPr>
              <w:t>1120,6</w:t>
            </w:r>
          </w:p>
        </w:tc>
        <w:tc>
          <w:tcPr>
            <w:tcW w:w="576" w:type="dxa"/>
            <w:shd w:val="clear" w:color="auto" w:fill="E7E6E6" w:themeFill="background2"/>
          </w:tcPr>
          <w:p w:rsidR="00954AF4" w:rsidRPr="001D0846" w:rsidRDefault="00954AF4" w:rsidP="006C10A0">
            <w:pPr>
              <w:jc w:val="center"/>
              <w:rPr>
                <w:rFonts w:ascii="Times New Roman" w:eastAsia="Times New Roman" w:hAnsi="Times New Roman" w:cs="Times New Roman"/>
                <w:color w:val="000000"/>
                <w:sz w:val="16"/>
                <w:szCs w:val="16"/>
              </w:rPr>
            </w:pPr>
            <w:r w:rsidRPr="001D0846">
              <w:rPr>
                <w:rFonts w:ascii="Times New Roman" w:eastAsia="Times New Roman" w:hAnsi="Times New Roman" w:cs="Times New Roman"/>
                <w:b/>
                <w:bCs/>
                <w:color w:val="000000"/>
                <w:sz w:val="16"/>
                <w:szCs w:val="16"/>
              </w:rPr>
              <w:t>293,9</w:t>
            </w:r>
          </w:p>
        </w:tc>
        <w:tc>
          <w:tcPr>
            <w:tcW w:w="576" w:type="dxa"/>
            <w:shd w:val="clear" w:color="auto" w:fill="E7E6E6" w:themeFill="background2"/>
          </w:tcPr>
          <w:p w:rsidR="00954AF4" w:rsidRPr="001D0846" w:rsidRDefault="00954AF4" w:rsidP="006C10A0">
            <w:pPr>
              <w:jc w:val="center"/>
              <w:rPr>
                <w:rFonts w:ascii="Times New Roman" w:eastAsia="Times New Roman" w:hAnsi="Times New Roman" w:cs="Times New Roman"/>
                <w:b/>
                <w:bCs/>
                <w:color w:val="000000"/>
                <w:sz w:val="16"/>
                <w:szCs w:val="16"/>
              </w:rPr>
            </w:pPr>
            <w:r w:rsidRPr="001D0846">
              <w:rPr>
                <w:rFonts w:ascii="Times New Roman" w:eastAsia="Times New Roman" w:hAnsi="Times New Roman" w:cs="Times New Roman"/>
                <w:b/>
                <w:bCs/>
                <w:color w:val="000000"/>
                <w:sz w:val="16"/>
                <w:szCs w:val="16"/>
              </w:rPr>
              <w:t>361,5</w:t>
            </w:r>
          </w:p>
        </w:tc>
        <w:tc>
          <w:tcPr>
            <w:tcW w:w="496" w:type="dxa"/>
            <w:tcBorders>
              <w:right w:val="single" w:sz="18" w:space="0" w:color="auto"/>
            </w:tcBorders>
            <w:shd w:val="clear" w:color="auto" w:fill="E7E6E6" w:themeFill="background2"/>
          </w:tcPr>
          <w:p w:rsidR="00954AF4" w:rsidRPr="001D0846" w:rsidRDefault="00954AF4" w:rsidP="006C10A0">
            <w:pPr>
              <w:jc w:val="center"/>
              <w:rPr>
                <w:rFonts w:ascii="Times New Roman" w:eastAsia="Times New Roman" w:hAnsi="Times New Roman" w:cs="Times New Roman"/>
                <w:b/>
                <w:sz w:val="16"/>
                <w:szCs w:val="16"/>
              </w:rPr>
            </w:pPr>
            <w:r w:rsidRPr="001D0846">
              <w:rPr>
                <w:rFonts w:ascii="Times New Roman" w:eastAsia="Times New Roman" w:hAnsi="Times New Roman" w:cs="Times New Roman"/>
                <w:b/>
                <w:bCs/>
                <w:color w:val="000000"/>
                <w:sz w:val="16"/>
                <w:szCs w:val="16"/>
              </w:rPr>
              <w:t>49,8</w:t>
            </w:r>
          </w:p>
        </w:tc>
        <w:tc>
          <w:tcPr>
            <w:tcW w:w="656" w:type="dxa"/>
            <w:tcBorders>
              <w:left w:val="single" w:sz="18" w:space="0" w:color="auto"/>
            </w:tcBorders>
            <w:shd w:val="clear" w:color="auto" w:fill="D0CECE" w:themeFill="background2" w:themeFillShade="E6"/>
          </w:tcPr>
          <w:p w:rsidR="00954AF4" w:rsidRPr="001D0846" w:rsidRDefault="00954AF4" w:rsidP="006C10A0">
            <w:pPr>
              <w:jc w:val="center"/>
              <w:rPr>
                <w:rFonts w:ascii="Times New Roman" w:eastAsia="Times New Roman" w:hAnsi="Times New Roman" w:cs="Times New Roman"/>
                <w:color w:val="000000"/>
                <w:sz w:val="16"/>
                <w:szCs w:val="16"/>
              </w:rPr>
            </w:pPr>
            <w:r w:rsidRPr="001D0846">
              <w:rPr>
                <w:rFonts w:ascii="Times New Roman" w:eastAsia="Times New Roman" w:hAnsi="Times New Roman" w:cs="Times New Roman"/>
                <w:b/>
                <w:bCs/>
                <w:color w:val="000000"/>
                <w:sz w:val="16"/>
                <w:szCs w:val="16"/>
              </w:rPr>
              <w:t>2182,0</w:t>
            </w:r>
          </w:p>
        </w:tc>
        <w:tc>
          <w:tcPr>
            <w:tcW w:w="656" w:type="dxa"/>
            <w:shd w:val="clear" w:color="auto" w:fill="E7E6E6" w:themeFill="background2"/>
          </w:tcPr>
          <w:p w:rsidR="00954AF4" w:rsidRPr="001D0846" w:rsidRDefault="00954AF4" w:rsidP="006C10A0">
            <w:pPr>
              <w:jc w:val="center"/>
              <w:rPr>
                <w:rFonts w:ascii="Times New Roman" w:eastAsia="Times New Roman" w:hAnsi="Times New Roman" w:cs="Times New Roman"/>
                <w:color w:val="000000"/>
                <w:sz w:val="16"/>
                <w:szCs w:val="16"/>
              </w:rPr>
            </w:pPr>
            <w:r w:rsidRPr="001D0846">
              <w:rPr>
                <w:rFonts w:ascii="Times New Roman" w:eastAsia="Times New Roman" w:hAnsi="Times New Roman" w:cs="Times New Roman"/>
                <w:b/>
                <w:bCs/>
                <w:color w:val="000000"/>
                <w:sz w:val="16"/>
                <w:szCs w:val="16"/>
              </w:rPr>
              <w:t>1466,9</w:t>
            </w:r>
          </w:p>
        </w:tc>
        <w:tc>
          <w:tcPr>
            <w:tcW w:w="576" w:type="dxa"/>
            <w:shd w:val="clear" w:color="auto" w:fill="E7E6E6" w:themeFill="background2"/>
          </w:tcPr>
          <w:p w:rsidR="00954AF4" w:rsidRPr="001D0846" w:rsidRDefault="00954AF4" w:rsidP="006C10A0">
            <w:pPr>
              <w:jc w:val="center"/>
              <w:rPr>
                <w:rFonts w:ascii="Times New Roman" w:eastAsia="Times New Roman" w:hAnsi="Times New Roman" w:cs="Times New Roman"/>
                <w:color w:val="000000"/>
                <w:sz w:val="16"/>
                <w:szCs w:val="16"/>
              </w:rPr>
            </w:pPr>
            <w:r w:rsidRPr="001D0846">
              <w:rPr>
                <w:rFonts w:ascii="Times New Roman" w:eastAsia="Times New Roman" w:hAnsi="Times New Roman" w:cs="Times New Roman"/>
                <w:b/>
                <w:bCs/>
                <w:color w:val="000000"/>
                <w:sz w:val="16"/>
                <w:szCs w:val="16"/>
              </w:rPr>
              <w:t>276,5</w:t>
            </w:r>
          </w:p>
        </w:tc>
        <w:tc>
          <w:tcPr>
            <w:tcW w:w="576" w:type="dxa"/>
            <w:shd w:val="clear" w:color="auto" w:fill="E7E6E6" w:themeFill="background2"/>
          </w:tcPr>
          <w:p w:rsidR="00954AF4" w:rsidRPr="001D0846" w:rsidRDefault="00954AF4" w:rsidP="006C10A0">
            <w:pPr>
              <w:jc w:val="center"/>
              <w:rPr>
                <w:rFonts w:ascii="Times New Roman" w:eastAsia="Times New Roman" w:hAnsi="Times New Roman" w:cs="Times New Roman"/>
                <w:color w:val="000000"/>
                <w:sz w:val="16"/>
                <w:szCs w:val="16"/>
              </w:rPr>
            </w:pPr>
            <w:r w:rsidRPr="001D0846">
              <w:rPr>
                <w:rFonts w:ascii="Times New Roman" w:eastAsia="Times New Roman" w:hAnsi="Times New Roman" w:cs="Times New Roman"/>
                <w:b/>
                <w:bCs/>
                <w:color w:val="000000"/>
                <w:sz w:val="16"/>
                <w:szCs w:val="16"/>
              </w:rPr>
              <w:t>389,4</w:t>
            </w:r>
          </w:p>
        </w:tc>
        <w:tc>
          <w:tcPr>
            <w:tcW w:w="636" w:type="dxa"/>
            <w:tcBorders>
              <w:right w:val="single" w:sz="18" w:space="0" w:color="auto"/>
            </w:tcBorders>
            <w:shd w:val="clear" w:color="auto" w:fill="E7E6E6" w:themeFill="background2"/>
          </w:tcPr>
          <w:p w:rsidR="00954AF4" w:rsidRPr="001D0846" w:rsidRDefault="00954AF4" w:rsidP="006C10A0">
            <w:pPr>
              <w:jc w:val="center"/>
              <w:rPr>
                <w:rFonts w:ascii="Times New Roman" w:eastAsia="Times New Roman" w:hAnsi="Times New Roman" w:cs="Times New Roman"/>
                <w:color w:val="000000"/>
                <w:sz w:val="16"/>
                <w:szCs w:val="16"/>
              </w:rPr>
            </w:pPr>
            <w:r w:rsidRPr="001D0846">
              <w:rPr>
                <w:rFonts w:ascii="Times New Roman" w:eastAsia="Times New Roman" w:hAnsi="Times New Roman" w:cs="Times New Roman"/>
                <w:b/>
                <w:bCs/>
                <w:color w:val="000000"/>
                <w:sz w:val="16"/>
                <w:szCs w:val="16"/>
              </w:rPr>
              <w:t>49,2</w:t>
            </w:r>
          </w:p>
        </w:tc>
      </w:tr>
    </w:tbl>
    <w:p w:rsidR="00954AF4" w:rsidRPr="001D0846" w:rsidRDefault="00A31846" w:rsidP="00576E18">
      <w:pPr>
        <w:spacing w:after="0" w:line="276" w:lineRule="auto"/>
        <w:jc w:val="both"/>
        <w:rPr>
          <w:rFonts w:ascii="Times New Roman" w:eastAsia="Times New Roman" w:hAnsi="Times New Roman" w:cs="Times New Roman"/>
          <w:i/>
          <w:sz w:val="20"/>
          <w:szCs w:val="20"/>
        </w:rPr>
      </w:pPr>
      <w:r w:rsidRPr="001D0846">
        <w:rPr>
          <w:rFonts w:ascii="Times New Roman" w:eastAsia="Times New Roman" w:hAnsi="Times New Roman" w:cs="Times New Roman"/>
          <w:b/>
          <w:i/>
          <w:sz w:val="20"/>
          <w:szCs w:val="20"/>
        </w:rPr>
        <w:t>Sursă:</w:t>
      </w:r>
      <w:r w:rsidR="003D7FEE" w:rsidRPr="001D0846">
        <w:rPr>
          <w:rFonts w:ascii="Times New Roman" w:eastAsia="Calibri" w:hAnsi="Times New Roman" w:cs="Times New Roman"/>
          <w:i/>
          <w:sz w:val="20"/>
          <w:szCs w:val="20"/>
        </w:rPr>
        <w:t xml:space="preserve"> Date generalizate de către echipa de audit în baza dărilor de seamă privind restanțele la BPN administrate de SFS pe anii 2015-2017.</w:t>
      </w:r>
    </w:p>
    <w:p w:rsidR="002A4021" w:rsidRPr="001D0846" w:rsidRDefault="002A4021" w:rsidP="008818CC">
      <w:pPr>
        <w:spacing w:after="0" w:line="276" w:lineRule="auto"/>
        <w:ind w:firstLine="720"/>
        <w:jc w:val="both"/>
        <w:rPr>
          <w:rFonts w:ascii="Times New Roman" w:hAnsi="Times New Roman" w:cs="Times New Roman"/>
          <w:sz w:val="28"/>
          <w:szCs w:val="28"/>
        </w:rPr>
      </w:pPr>
    </w:p>
    <w:p w:rsidR="00400362" w:rsidRPr="001D0846" w:rsidRDefault="00B350CA" w:rsidP="008818CC">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Examinând</w:t>
      </w:r>
      <w:r w:rsidR="00C26C38" w:rsidRPr="001D0846">
        <w:rPr>
          <w:rFonts w:ascii="Times New Roman" w:hAnsi="Times New Roman" w:cs="Times New Roman"/>
          <w:sz w:val="28"/>
          <w:szCs w:val="28"/>
        </w:rPr>
        <w:t xml:space="preserve"> modul de formare și evoluți</w:t>
      </w:r>
      <w:r>
        <w:rPr>
          <w:rFonts w:ascii="Times New Roman" w:hAnsi="Times New Roman" w:cs="Times New Roman"/>
          <w:sz w:val="28"/>
          <w:szCs w:val="28"/>
        </w:rPr>
        <w:t>a</w:t>
      </w:r>
      <w:r w:rsidR="00C26C38" w:rsidRPr="001D0846">
        <w:rPr>
          <w:rFonts w:ascii="Times New Roman" w:hAnsi="Times New Roman" w:cs="Times New Roman"/>
          <w:sz w:val="28"/>
          <w:szCs w:val="28"/>
        </w:rPr>
        <w:t xml:space="preserve"> restanțelor în aspect cronologic</w:t>
      </w:r>
      <w:r>
        <w:rPr>
          <w:rFonts w:ascii="Times New Roman" w:hAnsi="Times New Roman" w:cs="Times New Roman"/>
          <w:sz w:val="28"/>
          <w:szCs w:val="28"/>
        </w:rPr>
        <w:t>, auditul</w:t>
      </w:r>
      <w:r w:rsidR="00C26C38" w:rsidRPr="001D0846">
        <w:rPr>
          <w:rFonts w:ascii="Times New Roman" w:hAnsi="Times New Roman" w:cs="Times New Roman"/>
          <w:sz w:val="28"/>
          <w:szCs w:val="28"/>
        </w:rPr>
        <w:t xml:space="preserve"> relevă o dinamică ascendentă a restanțelor istorice. Astfel, 13% din restanța </w:t>
      </w:r>
      <w:r w:rsidR="00C26C38" w:rsidRPr="001D0846">
        <w:rPr>
          <w:rFonts w:ascii="Times New Roman" w:hAnsi="Times New Roman" w:cs="Times New Roman"/>
          <w:sz w:val="28"/>
          <w:szCs w:val="28"/>
        </w:rPr>
        <w:lastRenderedPageBreak/>
        <w:t>la plățile de bază</w:t>
      </w:r>
      <w:r>
        <w:rPr>
          <w:rFonts w:ascii="Times New Roman" w:hAnsi="Times New Roman" w:cs="Times New Roman"/>
          <w:sz w:val="28"/>
          <w:szCs w:val="28"/>
        </w:rPr>
        <w:t>,</w:t>
      </w:r>
      <w:r w:rsidR="00C26C38" w:rsidRPr="001D0846">
        <w:rPr>
          <w:rFonts w:ascii="Times New Roman" w:hAnsi="Times New Roman" w:cs="Times New Roman"/>
          <w:sz w:val="28"/>
          <w:szCs w:val="28"/>
        </w:rPr>
        <w:t xml:space="preserve"> înregistrată la 31.12.2017</w:t>
      </w:r>
      <w:r>
        <w:rPr>
          <w:rFonts w:ascii="Times New Roman" w:hAnsi="Times New Roman" w:cs="Times New Roman"/>
          <w:sz w:val="28"/>
          <w:szCs w:val="28"/>
        </w:rPr>
        <w:t>,s-au</w:t>
      </w:r>
      <w:r w:rsidR="00C26C38" w:rsidRPr="001D0846">
        <w:rPr>
          <w:rFonts w:ascii="Times New Roman" w:hAnsi="Times New Roman" w:cs="Times New Roman"/>
          <w:sz w:val="28"/>
          <w:szCs w:val="28"/>
        </w:rPr>
        <w:t xml:space="preserve"> format p</w:t>
      </w:r>
      <w:r>
        <w:rPr>
          <w:rFonts w:ascii="Times New Roman" w:hAnsi="Times New Roman" w:cs="Times New Roman"/>
          <w:sz w:val="28"/>
          <w:szCs w:val="28"/>
        </w:rPr>
        <w:t>â</w:t>
      </w:r>
      <w:r w:rsidR="00C26C38" w:rsidRPr="001D0846">
        <w:rPr>
          <w:rFonts w:ascii="Times New Roman" w:hAnsi="Times New Roman" w:cs="Times New Roman"/>
          <w:sz w:val="28"/>
          <w:szCs w:val="28"/>
        </w:rPr>
        <w:t xml:space="preserve">nă în anul 2014, 8,9% </w:t>
      </w:r>
      <w:r>
        <w:rPr>
          <w:rFonts w:ascii="Times New Roman" w:hAnsi="Times New Roman" w:cs="Times New Roman"/>
          <w:sz w:val="28"/>
          <w:szCs w:val="28"/>
        </w:rPr>
        <w:t xml:space="preserve">- </w:t>
      </w:r>
      <w:r w:rsidR="00C26C38" w:rsidRPr="001D0846">
        <w:rPr>
          <w:rFonts w:ascii="Times New Roman" w:hAnsi="Times New Roman" w:cs="Times New Roman"/>
          <w:sz w:val="28"/>
          <w:szCs w:val="28"/>
        </w:rPr>
        <w:t xml:space="preserve">în anul 2015, 15,0% </w:t>
      </w:r>
      <w:r>
        <w:rPr>
          <w:rFonts w:ascii="Times New Roman" w:hAnsi="Times New Roman" w:cs="Times New Roman"/>
          <w:sz w:val="28"/>
          <w:szCs w:val="28"/>
        </w:rPr>
        <w:t xml:space="preserve">- </w:t>
      </w:r>
      <w:r w:rsidR="00C26C38" w:rsidRPr="001D0846">
        <w:rPr>
          <w:rFonts w:ascii="Times New Roman" w:hAnsi="Times New Roman" w:cs="Times New Roman"/>
          <w:sz w:val="28"/>
          <w:szCs w:val="28"/>
        </w:rPr>
        <w:t xml:space="preserve">în anul 2016, iar 63,3% </w:t>
      </w:r>
      <w:r>
        <w:rPr>
          <w:rFonts w:ascii="Times New Roman" w:hAnsi="Times New Roman" w:cs="Times New Roman"/>
          <w:sz w:val="28"/>
          <w:szCs w:val="28"/>
        </w:rPr>
        <w:t xml:space="preserve">- </w:t>
      </w:r>
      <w:r w:rsidR="00C26C38" w:rsidRPr="001D0846">
        <w:rPr>
          <w:rFonts w:ascii="Times New Roman" w:hAnsi="Times New Roman" w:cs="Times New Roman"/>
          <w:sz w:val="28"/>
          <w:szCs w:val="28"/>
        </w:rPr>
        <w:t>în anul 2017. O situație similară se atestă și în cazul majorărilor de întârziere și amenzil</w:t>
      </w:r>
      <w:r w:rsidR="008818CC" w:rsidRPr="001D0846">
        <w:rPr>
          <w:rFonts w:ascii="Times New Roman" w:hAnsi="Times New Roman" w:cs="Times New Roman"/>
          <w:sz w:val="28"/>
          <w:szCs w:val="28"/>
        </w:rPr>
        <w:t xml:space="preserve">or. </w:t>
      </w:r>
    </w:p>
    <w:p w:rsidR="00C26C38" w:rsidRDefault="00C26C38" w:rsidP="006358AD">
      <w:pPr>
        <w:spacing w:after="0" w:line="276" w:lineRule="auto"/>
        <w:ind w:firstLine="709"/>
        <w:jc w:val="both"/>
        <w:rPr>
          <w:rFonts w:ascii="Times New Roman" w:eastAsia="Times New Roman" w:hAnsi="Times New Roman" w:cs="Times New Roman"/>
          <w:i/>
          <w:iCs/>
          <w:sz w:val="28"/>
          <w:szCs w:val="28"/>
        </w:rPr>
      </w:pPr>
      <w:r w:rsidRPr="001D0846">
        <w:rPr>
          <w:rFonts w:ascii="Times New Roman" w:eastAsia="Times New Roman" w:hAnsi="Times New Roman" w:cs="Times New Roman"/>
          <w:sz w:val="28"/>
          <w:szCs w:val="28"/>
        </w:rPr>
        <w:t xml:space="preserve">Analiza restanței </w:t>
      </w:r>
      <w:r w:rsidRPr="001D0846">
        <w:rPr>
          <w:rFonts w:ascii="Times New Roman" w:eastAsia="Times New Roman" w:hAnsi="Times New Roman" w:cs="Times New Roman"/>
          <w:iCs/>
          <w:sz w:val="28"/>
          <w:szCs w:val="28"/>
        </w:rPr>
        <w:t xml:space="preserve">în aspectul tipurilor de impozite și taxe </w:t>
      </w:r>
      <w:r w:rsidR="00B350CA">
        <w:rPr>
          <w:rFonts w:ascii="Times New Roman" w:eastAsia="Times New Roman" w:hAnsi="Times New Roman" w:cs="Times New Roman"/>
          <w:iCs/>
          <w:sz w:val="28"/>
          <w:szCs w:val="28"/>
        </w:rPr>
        <w:t>denotă</w:t>
      </w:r>
      <w:r w:rsidRPr="001D0846">
        <w:rPr>
          <w:rFonts w:ascii="Times New Roman" w:eastAsia="Times New Roman" w:hAnsi="Times New Roman" w:cs="Times New Roman"/>
          <w:iCs/>
          <w:sz w:val="28"/>
          <w:szCs w:val="28"/>
        </w:rPr>
        <w:t xml:space="preserve"> că cele mai semnificative restanțe </w:t>
      </w:r>
      <w:r w:rsidR="00B350CA">
        <w:rPr>
          <w:rFonts w:ascii="Times New Roman" w:eastAsia="Times New Roman" w:hAnsi="Times New Roman" w:cs="Times New Roman"/>
          <w:iCs/>
          <w:sz w:val="28"/>
          <w:szCs w:val="28"/>
        </w:rPr>
        <w:t>sunt</w:t>
      </w:r>
      <w:r w:rsidRPr="001D0846">
        <w:rPr>
          <w:rFonts w:ascii="Times New Roman" w:eastAsia="Times New Roman" w:hAnsi="Times New Roman" w:cs="Times New Roman"/>
          <w:iCs/>
          <w:sz w:val="28"/>
          <w:szCs w:val="28"/>
        </w:rPr>
        <w:t xml:space="preserve"> la TVA, care la 31.12.2017 au constituit 237,4 mil. lei, sau 32,7% din totalul restanțelor înregistrate la BS și BUAT. </w:t>
      </w:r>
      <w:r w:rsidR="00400362" w:rsidRPr="001D0846">
        <w:rPr>
          <w:rFonts w:ascii="Times New Roman" w:eastAsia="Times New Roman" w:hAnsi="Times New Roman" w:cs="Times New Roman"/>
          <w:iCs/>
          <w:sz w:val="28"/>
          <w:szCs w:val="28"/>
        </w:rPr>
        <w:t>Î</w:t>
      </w:r>
      <w:r w:rsidRPr="001D0846">
        <w:rPr>
          <w:rFonts w:ascii="Times New Roman" w:eastAsia="Times New Roman" w:hAnsi="Times New Roman" w:cs="Times New Roman"/>
          <w:iCs/>
          <w:sz w:val="28"/>
          <w:szCs w:val="28"/>
        </w:rPr>
        <w:t xml:space="preserve">n comparație cu </w:t>
      </w:r>
      <w:r w:rsidR="00B350CA">
        <w:rPr>
          <w:rFonts w:ascii="Times New Roman" w:eastAsia="Times New Roman" w:hAnsi="Times New Roman" w:cs="Times New Roman"/>
          <w:iCs/>
          <w:sz w:val="28"/>
          <w:szCs w:val="28"/>
        </w:rPr>
        <w:t xml:space="preserve">anii </w:t>
      </w:r>
      <w:r w:rsidRPr="001D0846">
        <w:rPr>
          <w:rFonts w:ascii="Times New Roman" w:eastAsia="Times New Roman" w:hAnsi="Times New Roman" w:cs="Times New Roman"/>
          <w:iCs/>
          <w:sz w:val="28"/>
          <w:szCs w:val="28"/>
        </w:rPr>
        <w:t xml:space="preserve"> 2015</w:t>
      </w:r>
      <w:r w:rsidR="00B350CA">
        <w:rPr>
          <w:rFonts w:ascii="Times New Roman" w:eastAsia="Times New Roman" w:hAnsi="Times New Roman" w:cs="Times New Roman"/>
          <w:iCs/>
          <w:sz w:val="28"/>
          <w:szCs w:val="28"/>
        </w:rPr>
        <w:t xml:space="preserve"> și </w:t>
      </w:r>
      <w:r w:rsidRPr="001D0846">
        <w:rPr>
          <w:rFonts w:ascii="Times New Roman" w:eastAsia="Times New Roman" w:hAnsi="Times New Roman" w:cs="Times New Roman"/>
          <w:iCs/>
          <w:sz w:val="28"/>
          <w:szCs w:val="28"/>
        </w:rPr>
        <w:t>2016</w:t>
      </w:r>
      <w:r w:rsidR="00B350CA">
        <w:rPr>
          <w:rFonts w:ascii="Times New Roman" w:eastAsia="Times New Roman" w:hAnsi="Times New Roman" w:cs="Times New Roman"/>
          <w:iCs/>
          <w:sz w:val="28"/>
          <w:szCs w:val="28"/>
        </w:rPr>
        <w:t>,</w:t>
      </w:r>
      <w:r w:rsidRPr="001D0846">
        <w:rPr>
          <w:rFonts w:ascii="Times New Roman" w:eastAsia="Times New Roman" w:hAnsi="Times New Roman" w:cs="Times New Roman"/>
          <w:iCs/>
          <w:sz w:val="28"/>
          <w:szCs w:val="28"/>
        </w:rPr>
        <w:t xml:space="preserve"> restanțele la TVA au crescut cu 51,6 mil</w:t>
      </w:r>
      <w:r w:rsidR="00B350CA">
        <w:rPr>
          <w:rFonts w:ascii="Times New Roman" w:eastAsia="Times New Roman" w:hAnsi="Times New Roman" w:cs="Times New Roman"/>
          <w:iCs/>
          <w:sz w:val="28"/>
          <w:szCs w:val="28"/>
        </w:rPr>
        <w:t>.</w:t>
      </w:r>
      <w:r w:rsidRPr="001D0846">
        <w:rPr>
          <w:rFonts w:ascii="Times New Roman" w:eastAsia="Times New Roman" w:hAnsi="Times New Roman" w:cs="Times New Roman"/>
          <w:iCs/>
          <w:sz w:val="28"/>
          <w:szCs w:val="28"/>
        </w:rPr>
        <w:t xml:space="preserve"> lei și</w:t>
      </w:r>
      <w:r w:rsidR="00B350CA">
        <w:rPr>
          <w:rFonts w:ascii="Times New Roman" w:eastAsia="Times New Roman" w:hAnsi="Times New Roman" w:cs="Times New Roman"/>
          <w:iCs/>
          <w:sz w:val="28"/>
          <w:szCs w:val="28"/>
        </w:rPr>
        <w:t>,</w:t>
      </w:r>
      <w:r w:rsidRPr="001D0846">
        <w:rPr>
          <w:rFonts w:ascii="Times New Roman" w:eastAsia="Times New Roman" w:hAnsi="Times New Roman" w:cs="Times New Roman"/>
          <w:iCs/>
          <w:sz w:val="28"/>
          <w:szCs w:val="28"/>
        </w:rPr>
        <w:t xml:space="preserve"> respectiv</w:t>
      </w:r>
      <w:r w:rsidR="00B350CA">
        <w:rPr>
          <w:rFonts w:ascii="Times New Roman" w:eastAsia="Times New Roman" w:hAnsi="Times New Roman" w:cs="Times New Roman"/>
          <w:iCs/>
          <w:sz w:val="28"/>
          <w:szCs w:val="28"/>
        </w:rPr>
        <w:t>,cu</w:t>
      </w:r>
      <w:r w:rsidRPr="001D0846">
        <w:rPr>
          <w:rFonts w:ascii="Times New Roman" w:eastAsia="Times New Roman" w:hAnsi="Times New Roman" w:cs="Times New Roman"/>
          <w:iCs/>
          <w:sz w:val="28"/>
          <w:szCs w:val="28"/>
        </w:rPr>
        <w:t xml:space="preserve"> 89,9 mil</w:t>
      </w:r>
      <w:r w:rsidR="00B350CA">
        <w:rPr>
          <w:rFonts w:ascii="Times New Roman" w:eastAsia="Times New Roman" w:hAnsi="Times New Roman" w:cs="Times New Roman"/>
          <w:iCs/>
          <w:sz w:val="28"/>
          <w:szCs w:val="28"/>
        </w:rPr>
        <w:t>.</w:t>
      </w:r>
      <w:r w:rsidRPr="001D0846">
        <w:rPr>
          <w:rFonts w:ascii="Times New Roman" w:eastAsia="Times New Roman" w:hAnsi="Times New Roman" w:cs="Times New Roman"/>
          <w:iCs/>
          <w:sz w:val="28"/>
          <w:szCs w:val="28"/>
        </w:rPr>
        <w:t xml:space="preserve"> lei. De asemenea, o pondere majoră în totalul restanțelor la BS și BUAT </w:t>
      </w:r>
      <w:r w:rsidR="00450FCF">
        <w:rPr>
          <w:rFonts w:ascii="Times New Roman" w:eastAsia="Times New Roman" w:hAnsi="Times New Roman" w:cs="Times New Roman"/>
          <w:iCs/>
          <w:sz w:val="28"/>
          <w:szCs w:val="28"/>
        </w:rPr>
        <w:t>o deține restanța l</w:t>
      </w:r>
      <w:r w:rsidRPr="001D0846">
        <w:rPr>
          <w:rFonts w:ascii="Times New Roman" w:eastAsia="Times New Roman" w:hAnsi="Times New Roman" w:cs="Times New Roman"/>
          <w:iCs/>
          <w:sz w:val="28"/>
          <w:szCs w:val="28"/>
        </w:rPr>
        <w:t xml:space="preserve">a impozitul pe venit, care a înregistrat o creștere de la 199,1 mil.lei în </w:t>
      </w:r>
      <w:r w:rsidR="00450FCF">
        <w:rPr>
          <w:rFonts w:ascii="Times New Roman" w:eastAsia="Times New Roman" w:hAnsi="Times New Roman" w:cs="Times New Roman"/>
          <w:iCs/>
          <w:sz w:val="28"/>
          <w:szCs w:val="28"/>
        </w:rPr>
        <w:t xml:space="preserve">anul </w:t>
      </w:r>
      <w:r w:rsidRPr="001D0846">
        <w:rPr>
          <w:rFonts w:ascii="Times New Roman" w:eastAsia="Times New Roman" w:hAnsi="Times New Roman" w:cs="Times New Roman"/>
          <w:iCs/>
          <w:sz w:val="28"/>
          <w:szCs w:val="28"/>
        </w:rPr>
        <w:t xml:space="preserve">2016 până la 289,0 mil.lei în anul </w:t>
      </w:r>
      <w:r w:rsidRPr="00365962">
        <w:rPr>
          <w:rFonts w:ascii="Times New Roman" w:eastAsia="Times New Roman" w:hAnsi="Times New Roman" w:cs="Times New Roman"/>
          <w:iCs/>
          <w:sz w:val="28"/>
          <w:szCs w:val="28"/>
        </w:rPr>
        <w:t xml:space="preserve">2017. O evoluție ascendentă a restanțelor se atestă și la alte tipuri de impozite și taxe. </w:t>
      </w:r>
      <w:r w:rsidRPr="00365962">
        <w:rPr>
          <w:rFonts w:ascii="Times New Roman" w:eastAsia="Times New Roman" w:hAnsi="Times New Roman" w:cs="Times New Roman"/>
          <w:i/>
          <w:iCs/>
          <w:sz w:val="28"/>
          <w:szCs w:val="28"/>
        </w:rPr>
        <w:t xml:space="preserve">Informația </w:t>
      </w:r>
      <w:r w:rsidR="00450FCF">
        <w:rPr>
          <w:rFonts w:ascii="Times New Roman" w:eastAsia="Times New Roman" w:hAnsi="Times New Roman" w:cs="Times New Roman"/>
          <w:i/>
          <w:iCs/>
          <w:sz w:val="28"/>
          <w:szCs w:val="28"/>
        </w:rPr>
        <w:t>detaliată</w:t>
      </w:r>
      <w:r w:rsidRPr="00365962">
        <w:rPr>
          <w:rFonts w:ascii="Times New Roman" w:eastAsia="Times New Roman" w:hAnsi="Times New Roman" w:cs="Times New Roman"/>
          <w:i/>
          <w:iCs/>
          <w:sz w:val="28"/>
          <w:szCs w:val="28"/>
        </w:rPr>
        <w:t xml:space="preserve"> privind evoluția restanțelor în aspectul tipurilor de impozite și taxe </w:t>
      </w:r>
      <w:r w:rsidR="00450FCF">
        <w:rPr>
          <w:rFonts w:ascii="Times New Roman" w:eastAsia="Times New Roman" w:hAnsi="Times New Roman" w:cs="Times New Roman"/>
          <w:i/>
          <w:iCs/>
          <w:sz w:val="28"/>
          <w:szCs w:val="28"/>
        </w:rPr>
        <w:t>este</w:t>
      </w:r>
      <w:r w:rsidRPr="00365962">
        <w:rPr>
          <w:rFonts w:ascii="Times New Roman" w:eastAsia="Times New Roman" w:hAnsi="Times New Roman" w:cs="Times New Roman"/>
          <w:i/>
          <w:iCs/>
          <w:sz w:val="28"/>
          <w:szCs w:val="28"/>
        </w:rPr>
        <w:t xml:space="preserve"> prez</w:t>
      </w:r>
      <w:r w:rsidR="00450FCF">
        <w:rPr>
          <w:rFonts w:ascii="Times New Roman" w:eastAsia="Times New Roman" w:hAnsi="Times New Roman" w:cs="Times New Roman"/>
          <w:i/>
          <w:iCs/>
          <w:sz w:val="28"/>
          <w:szCs w:val="28"/>
        </w:rPr>
        <w:t>enta</w:t>
      </w:r>
      <w:r w:rsidRPr="00365962">
        <w:rPr>
          <w:rFonts w:ascii="Times New Roman" w:eastAsia="Times New Roman" w:hAnsi="Times New Roman" w:cs="Times New Roman"/>
          <w:i/>
          <w:iCs/>
          <w:sz w:val="28"/>
          <w:szCs w:val="28"/>
        </w:rPr>
        <w:t>tă în Diagrama</w:t>
      </w:r>
      <w:r w:rsidR="00365962" w:rsidRPr="00365962">
        <w:rPr>
          <w:rFonts w:ascii="Times New Roman" w:eastAsia="Times New Roman" w:hAnsi="Times New Roman" w:cs="Times New Roman"/>
          <w:i/>
          <w:iCs/>
          <w:sz w:val="28"/>
          <w:szCs w:val="28"/>
        </w:rPr>
        <w:t xml:space="preserve"> nr.11</w:t>
      </w:r>
      <w:r w:rsidR="00183E36" w:rsidRPr="00365962">
        <w:rPr>
          <w:rFonts w:ascii="Times New Roman" w:eastAsia="Times New Roman" w:hAnsi="Times New Roman" w:cs="Times New Roman"/>
          <w:i/>
          <w:iCs/>
          <w:sz w:val="28"/>
          <w:szCs w:val="28"/>
        </w:rPr>
        <w:t xml:space="preserve"> din Anexa nr.4</w:t>
      </w:r>
      <w:r w:rsidR="001C437F" w:rsidRPr="00365962">
        <w:rPr>
          <w:rFonts w:ascii="Times New Roman" w:eastAsia="Times New Roman" w:hAnsi="Times New Roman" w:cs="Times New Roman"/>
          <w:i/>
          <w:iCs/>
          <w:sz w:val="28"/>
          <w:szCs w:val="28"/>
        </w:rPr>
        <w:t xml:space="preserve"> la Raport</w:t>
      </w:r>
      <w:r w:rsidR="00450FCF">
        <w:rPr>
          <w:rFonts w:ascii="Times New Roman" w:eastAsia="Times New Roman" w:hAnsi="Times New Roman" w:cs="Times New Roman"/>
          <w:i/>
          <w:iCs/>
          <w:sz w:val="28"/>
          <w:szCs w:val="28"/>
        </w:rPr>
        <w:t>ul</w:t>
      </w:r>
      <w:r w:rsidR="001C437F" w:rsidRPr="00365962">
        <w:rPr>
          <w:rFonts w:ascii="Times New Roman" w:eastAsia="Times New Roman" w:hAnsi="Times New Roman" w:cs="Times New Roman"/>
          <w:i/>
          <w:iCs/>
          <w:sz w:val="28"/>
          <w:szCs w:val="28"/>
        </w:rPr>
        <w:t xml:space="preserve"> de audit.</w:t>
      </w:r>
    </w:p>
    <w:p w:rsidR="00C26C38" w:rsidRPr="00160C8E" w:rsidRDefault="00C26C38" w:rsidP="006358AD">
      <w:pPr>
        <w:spacing w:after="0" w:line="276" w:lineRule="auto"/>
        <w:ind w:firstLine="709"/>
        <w:jc w:val="both"/>
        <w:rPr>
          <w:rFonts w:ascii="Times New Roman" w:eastAsia="Times New Roman" w:hAnsi="Times New Roman" w:cs="Times New Roman"/>
          <w:iCs/>
          <w:sz w:val="28"/>
          <w:szCs w:val="28"/>
        </w:rPr>
      </w:pPr>
      <w:r w:rsidRPr="001D0846">
        <w:rPr>
          <w:rFonts w:ascii="Times New Roman" w:eastAsia="Times New Roman" w:hAnsi="Times New Roman" w:cs="Times New Roman"/>
          <w:iCs/>
          <w:sz w:val="28"/>
          <w:szCs w:val="28"/>
        </w:rPr>
        <w:t>În aspectul subdiviziunilor structurale ale SFS</w:t>
      </w:r>
      <w:r w:rsidR="00450FCF">
        <w:rPr>
          <w:rFonts w:ascii="Times New Roman" w:eastAsia="Times New Roman" w:hAnsi="Times New Roman" w:cs="Times New Roman"/>
          <w:iCs/>
          <w:sz w:val="28"/>
          <w:szCs w:val="28"/>
        </w:rPr>
        <w:t>,</w:t>
      </w:r>
      <w:r w:rsidRPr="001D0846">
        <w:rPr>
          <w:rFonts w:ascii="Times New Roman" w:eastAsia="Times New Roman" w:hAnsi="Times New Roman" w:cs="Times New Roman"/>
          <w:iCs/>
          <w:sz w:val="28"/>
          <w:szCs w:val="28"/>
        </w:rPr>
        <w:t xml:space="preserve"> cele mai mari restanțe au fost admise de contribuabilii </w:t>
      </w:r>
      <w:r w:rsidRPr="00160C8E">
        <w:rPr>
          <w:rFonts w:ascii="Times New Roman" w:eastAsia="Times New Roman" w:hAnsi="Times New Roman" w:cs="Times New Roman"/>
          <w:iCs/>
          <w:sz w:val="28"/>
          <w:szCs w:val="28"/>
        </w:rPr>
        <w:t>administrați de către DGAF pe mun.Chișinău,</w:t>
      </w:r>
      <w:r w:rsidR="00450FCF" w:rsidRPr="00160C8E">
        <w:rPr>
          <w:rFonts w:ascii="Times New Roman" w:eastAsia="Times New Roman" w:hAnsi="Times New Roman" w:cs="Times New Roman"/>
          <w:iCs/>
          <w:sz w:val="28"/>
          <w:szCs w:val="28"/>
        </w:rPr>
        <w:t>acestea</w:t>
      </w:r>
      <w:r w:rsidRPr="00160C8E">
        <w:rPr>
          <w:rFonts w:ascii="Times New Roman" w:eastAsia="Times New Roman" w:hAnsi="Times New Roman" w:cs="Times New Roman"/>
          <w:iCs/>
          <w:sz w:val="28"/>
          <w:szCs w:val="28"/>
        </w:rPr>
        <w:t xml:space="preserve"> la 31.12.2017 constitui</w:t>
      </w:r>
      <w:r w:rsidR="00557463" w:rsidRPr="00160C8E">
        <w:rPr>
          <w:rFonts w:ascii="Times New Roman" w:eastAsia="Times New Roman" w:hAnsi="Times New Roman" w:cs="Times New Roman"/>
          <w:iCs/>
          <w:sz w:val="28"/>
          <w:szCs w:val="28"/>
        </w:rPr>
        <w:t>nd</w:t>
      </w:r>
      <w:r w:rsidRPr="00160C8E">
        <w:rPr>
          <w:rFonts w:ascii="Times New Roman" w:eastAsia="Times New Roman" w:hAnsi="Times New Roman" w:cs="Times New Roman"/>
          <w:iCs/>
          <w:sz w:val="28"/>
          <w:szCs w:val="28"/>
        </w:rPr>
        <w:t xml:space="preserve"> la plăți</w:t>
      </w:r>
      <w:r w:rsidR="00557463" w:rsidRPr="00160C8E">
        <w:rPr>
          <w:rFonts w:ascii="Times New Roman" w:eastAsia="Times New Roman" w:hAnsi="Times New Roman" w:cs="Times New Roman"/>
          <w:iCs/>
          <w:sz w:val="28"/>
          <w:szCs w:val="28"/>
        </w:rPr>
        <w:t>le</w:t>
      </w:r>
      <w:r w:rsidRPr="00160C8E">
        <w:rPr>
          <w:rFonts w:ascii="Times New Roman" w:eastAsia="Times New Roman" w:hAnsi="Times New Roman" w:cs="Times New Roman"/>
          <w:iCs/>
          <w:sz w:val="28"/>
          <w:szCs w:val="28"/>
        </w:rPr>
        <w:t xml:space="preserve"> de bază 762,6 mil.lei, sau 67,1% din suma totală a restanțelor înregistrate în anul 2017 la BPN. </w:t>
      </w:r>
    </w:p>
    <w:p w:rsidR="00C26C38" w:rsidRPr="001D0846" w:rsidRDefault="00C26C38" w:rsidP="006358AD">
      <w:pPr>
        <w:spacing w:after="0" w:line="276" w:lineRule="auto"/>
        <w:ind w:firstLine="709"/>
        <w:jc w:val="both"/>
        <w:rPr>
          <w:rFonts w:ascii="Times New Roman" w:eastAsia="Times New Roman" w:hAnsi="Times New Roman" w:cs="Times New Roman"/>
          <w:i/>
          <w:iCs/>
          <w:sz w:val="28"/>
          <w:szCs w:val="28"/>
        </w:rPr>
      </w:pPr>
      <w:r w:rsidRPr="00160C8E">
        <w:rPr>
          <w:rFonts w:ascii="Times New Roman" w:eastAsia="Times New Roman" w:hAnsi="Times New Roman" w:cs="Times New Roman"/>
          <w:iCs/>
          <w:sz w:val="28"/>
          <w:szCs w:val="28"/>
        </w:rPr>
        <w:t>Totodată, restanțele contribuabililor mari administrați de către DGACM a SFS la 31.12.2017 au însumat 78,5 mil.lei, sau cu 58</w:t>
      </w:r>
      <w:r w:rsidR="00557463" w:rsidRPr="00160C8E">
        <w:rPr>
          <w:rFonts w:ascii="Times New Roman" w:eastAsia="Times New Roman" w:hAnsi="Times New Roman" w:cs="Times New Roman"/>
          <w:iCs/>
          <w:sz w:val="28"/>
          <w:szCs w:val="28"/>
        </w:rPr>
        <w:t>,0</w:t>
      </w:r>
      <w:r w:rsidRPr="00160C8E">
        <w:rPr>
          <w:rFonts w:ascii="Times New Roman" w:eastAsia="Times New Roman" w:hAnsi="Times New Roman" w:cs="Times New Roman"/>
          <w:iCs/>
          <w:sz w:val="28"/>
          <w:szCs w:val="28"/>
        </w:rPr>
        <w:t xml:space="preserve"> mil.lei (42,5%) mai puțin față de restanța înregistrată la 31.12.2015, ceea ce denotă o tendință pozitivă de reducere a restanțelor la BPN</w:t>
      </w:r>
      <w:r w:rsidR="00E76097" w:rsidRPr="00160C8E">
        <w:rPr>
          <w:rFonts w:ascii="Times New Roman" w:eastAsia="Times New Roman" w:hAnsi="Times New Roman" w:cs="Times New Roman"/>
          <w:iCs/>
          <w:sz w:val="28"/>
          <w:szCs w:val="28"/>
        </w:rPr>
        <w:t xml:space="preserve"> de către această subdiviziune.</w:t>
      </w:r>
      <w:r w:rsidRPr="001D0846">
        <w:rPr>
          <w:rFonts w:ascii="Times New Roman" w:eastAsia="Times New Roman" w:hAnsi="Times New Roman" w:cs="Times New Roman"/>
          <w:i/>
          <w:iCs/>
          <w:sz w:val="28"/>
          <w:szCs w:val="28"/>
        </w:rPr>
        <w:t xml:space="preserve">Dinamica restanțelor contribuabililor mari la BPN în perioada </w:t>
      </w:r>
      <w:r w:rsidR="00557463">
        <w:rPr>
          <w:rFonts w:ascii="Times New Roman" w:eastAsia="Times New Roman" w:hAnsi="Times New Roman" w:cs="Times New Roman"/>
          <w:i/>
          <w:iCs/>
          <w:sz w:val="28"/>
          <w:szCs w:val="28"/>
        </w:rPr>
        <w:t xml:space="preserve">anilor </w:t>
      </w:r>
      <w:r w:rsidRPr="001D0846">
        <w:rPr>
          <w:rFonts w:ascii="Times New Roman" w:eastAsia="Times New Roman" w:hAnsi="Times New Roman" w:cs="Times New Roman"/>
          <w:i/>
          <w:iCs/>
          <w:sz w:val="28"/>
          <w:szCs w:val="28"/>
        </w:rPr>
        <w:t xml:space="preserve">2015-2017 </w:t>
      </w:r>
      <w:r w:rsidR="00557463">
        <w:rPr>
          <w:rFonts w:ascii="Times New Roman" w:eastAsia="Times New Roman" w:hAnsi="Times New Roman" w:cs="Times New Roman"/>
          <w:i/>
          <w:iCs/>
          <w:sz w:val="28"/>
          <w:szCs w:val="28"/>
        </w:rPr>
        <w:t>esteredată</w:t>
      </w:r>
      <w:r w:rsidRPr="001D0846">
        <w:rPr>
          <w:rFonts w:ascii="Times New Roman" w:eastAsia="Times New Roman" w:hAnsi="Times New Roman" w:cs="Times New Roman"/>
          <w:i/>
          <w:iCs/>
          <w:sz w:val="28"/>
          <w:szCs w:val="28"/>
        </w:rPr>
        <w:t xml:space="preserve"> în Diagrama </w:t>
      </w:r>
      <w:r w:rsidR="00D31603" w:rsidRPr="001D0846">
        <w:rPr>
          <w:rFonts w:ascii="Times New Roman" w:eastAsia="Times New Roman" w:hAnsi="Times New Roman" w:cs="Times New Roman"/>
          <w:i/>
          <w:iCs/>
          <w:sz w:val="28"/>
          <w:szCs w:val="28"/>
        </w:rPr>
        <w:t>nr.</w:t>
      </w:r>
      <w:r w:rsidR="00365962">
        <w:rPr>
          <w:rFonts w:ascii="Times New Roman" w:eastAsia="Times New Roman" w:hAnsi="Times New Roman" w:cs="Times New Roman"/>
          <w:i/>
          <w:iCs/>
          <w:sz w:val="28"/>
          <w:szCs w:val="28"/>
        </w:rPr>
        <w:t>12</w:t>
      </w:r>
      <w:r w:rsidR="009E62CA" w:rsidRPr="001D0846">
        <w:rPr>
          <w:rFonts w:ascii="Times New Roman" w:eastAsia="Times New Roman" w:hAnsi="Times New Roman" w:cs="Times New Roman"/>
          <w:i/>
          <w:iCs/>
          <w:sz w:val="28"/>
          <w:szCs w:val="28"/>
        </w:rPr>
        <w:t xml:space="preserve"> din Anexa nr.4</w:t>
      </w:r>
      <w:r w:rsidR="00FF2CBB" w:rsidRPr="001D0846">
        <w:rPr>
          <w:rFonts w:ascii="Times New Roman" w:eastAsia="Times New Roman" w:hAnsi="Times New Roman" w:cs="Times New Roman"/>
          <w:i/>
          <w:iCs/>
          <w:sz w:val="28"/>
          <w:szCs w:val="28"/>
        </w:rPr>
        <w:t xml:space="preserve"> la Raport</w:t>
      </w:r>
      <w:r w:rsidR="00557463">
        <w:rPr>
          <w:rFonts w:ascii="Times New Roman" w:eastAsia="Times New Roman" w:hAnsi="Times New Roman" w:cs="Times New Roman"/>
          <w:i/>
          <w:iCs/>
          <w:sz w:val="28"/>
          <w:szCs w:val="28"/>
        </w:rPr>
        <w:t>ul</w:t>
      </w:r>
      <w:r w:rsidR="00FF2CBB" w:rsidRPr="001D0846">
        <w:rPr>
          <w:rFonts w:ascii="Times New Roman" w:eastAsia="Times New Roman" w:hAnsi="Times New Roman" w:cs="Times New Roman"/>
          <w:i/>
          <w:iCs/>
          <w:sz w:val="28"/>
          <w:szCs w:val="28"/>
        </w:rPr>
        <w:t xml:space="preserve"> de audit</w:t>
      </w:r>
      <w:r w:rsidRPr="001D0846">
        <w:rPr>
          <w:rFonts w:ascii="Times New Roman" w:eastAsia="Times New Roman" w:hAnsi="Times New Roman" w:cs="Times New Roman"/>
          <w:i/>
          <w:iCs/>
          <w:sz w:val="28"/>
          <w:szCs w:val="28"/>
        </w:rPr>
        <w:t>.</w:t>
      </w:r>
    </w:p>
    <w:p w:rsidR="00C26C38" w:rsidRPr="001D0846" w:rsidRDefault="00C26C38" w:rsidP="006358AD">
      <w:pPr>
        <w:pStyle w:val="Default"/>
        <w:spacing w:line="276" w:lineRule="auto"/>
        <w:ind w:firstLine="709"/>
        <w:jc w:val="both"/>
        <w:rPr>
          <w:color w:val="auto"/>
          <w:sz w:val="28"/>
          <w:szCs w:val="28"/>
        </w:rPr>
      </w:pPr>
      <w:r w:rsidRPr="001D0846">
        <w:rPr>
          <w:color w:val="auto"/>
          <w:sz w:val="28"/>
          <w:szCs w:val="28"/>
        </w:rPr>
        <w:t xml:space="preserve">Auditul </w:t>
      </w:r>
      <w:r w:rsidR="00557463">
        <w:rPr>
          <w:color w:val="auto"/>
          <w:sz w:val="28"/>
          <w:szCs w:val="28"/>
        </w:rPr>
        <w:t>a remarcat</w:t>
      </w:r>
      <w:r w:rsidRPr="001D0846">
        <w:rPr>
          <w:color w:val="auto"/>
          <w:sz w:val="28"/>
          <w:szCs w:val="28"/>
        </w:rPr>
        <w:t xml:space="preserve"> că neaplicarea promptă a măsurilor în vederea încasării restanțelor la BPN a </w:t>
      </w:r>
      <w:r w:rsidR="00D27173">
        <w:rPr>
          <w:color w:val="auto"/>
          <w:sz w:val="28"/>
          <w:szCs w:val="28"/>
        </w:rPr>
        <w:t>determinat</w:t>
      </w:r>
      <w:r w:rsidRPr="001D0846">
        <w:rPr>
          <w:color w:val="auto"/>
          <w:sz w:val="28"/>
          <w:szCs w:val="28"/>
        </w:rPr>
        <w:t xml:space="preserve"> situația în care </w:t>
      </w:r>
      <w:r w:rsidR="00365962">
        <w:rPr>
          <w:color w:val="auto"/>
          <w:sz w:val="28"/>
          <w:szCs w:val="28"/>
        </w:rPr>
        <w:t xml:space="preserve">unii </w:t>
      </w:r>
      <w:r w:rsidRPr="001D0846">
        <w:rPr>
          <w:color w:val="auto"/>
          <w:sz w:val="28"/>
          <w:szCs w:val="28"/>
        </w:rPr>
        <w:t>contribuabili cu dificultăți financiare au intrat în st</w:t>
      </w:r>
      <w:r w:rsidR="00020547">
        <w:rPr>
          <w:color w:val="auto"/>
          <w:sz w:val="28"/>
          <w:szCs w:val="28"/>
        </w:rPr>
        <w:t>are specială</w:t>
      </w:r>
      <w:r w:rsidRPr="001D0846">
        <w:rPr>
          <w:color w:val="auto"/>
          <w:sz w:val="28"/>
          <w:szCs w:val="28"/>
        </w:rPr>
        <w:t xml:space="preserve"> de administrare, iar obligațiile fiscale neachitate au intrat în categoria </w:t>
      </w:r>
      <w:r w:rsidRPr="001D0846">
        <w:rPr>
          <w:iCs/>
          <w:color w:val="auto"/>
          <w:sz w:val="28"/>
          <w:szCs w:val="28"/>
        </w:rPr>
        <w:t>restanțelor nerecuperabile</w:t>
      </w:r>
      <w:r w:rsidRPr="001D0846">
        <w:rPr>
          <w:color w:val="auto"/>
          <w:sz w:val="28"/>
          <w:szCs w:val="28"/>
        </w:rPr>
        <w:t xml:space="preserve">(suspendarea executării silite ca urmare a inițierii procedurii de insolvabilitate, contribuabili insolvabili fără venituri sau bunuri </w:t>
      </w:r>
      <w:r w:rsidRPr="00020547">
        <w:rPr>
          <w:color w:val="auto"/>
          <w:sz w:val="28"/>
          <w:szCs w:val="28"/>
        </w:rPr>
        <w:t>urmăribile).</w:t>
      </w:r>
    </w:p>
    <w:p w:rsidR="00C26C38" w:rsidRPr="001D0846" w:rsidRDefault="00C26C38" w:rsidP="006358AD">
      <w:pPr>
        <w:spacing w:after="0" w:line="276" w:lineRule="auto"/>
        <w:ind w:firstLine="708"/>
        <w:jc w:val="both"/>
        <w:rPr>
          <w:rFonts w:ascii="Times New Roman" w:hAnsi="Times New Roman" w:cs="Times New Roman"/>
          <w:sz w:val="28"/>
          <w:szCs w:val="28"/>
        </w:rPr>
      </w:pPr>
      <w:r w:rsidRPr="001D0846">
        <w:rPr>
          <w:rFonts w:ascii="Times New Roman" w:hAnsi="Times New Roman" w:cs="Times New Roman"/>
          <w:sz w:val="28"/>
          <w:szCs w:val="28"/>
        </w:rPr>
        <w:t>Astfel, la 31.12.2017, în procedură de insolvabilitate administrată de SFS se aflau 2158 de agenți economici, numărul acestora fiind în creștere</w:t>
      </w:r>
      <w:r w:rsidR="00D27173">
        <w:rPr>
          <w:rFonts w:ascii="Times New Roman" w:hAnsi="Times New Roman" w:cs="Times New Roman"/>
          <w:sz w:val="28"/>
          <w:szCs w:val="28"/>
        </w:rPr>
        <w:t>,</w:t>
      </w:r>
      <w:r w:rsidRPr="001D0846">
        <w:rPr>
          <w:rFonts w:ascii="Times New Roman" w:hAnsi="Times New Roman" w:cs="Times New Roman"/>
          <w:sz w:val="28"/>
          <w:szCs w:val="28"/>
        </w:rPr>
        <w:t xml:space="preserve"> față de anul 2016</w:t>
      </w:r>
      <w:r w:rsidR="00D27173">
        <w:rPr>
          <w:rFonts w:ascii="Times New Roman" w:hAnsi="Times New Roman" w:cs="Times New Roman"/>
          <w:sz w:val="28"/>
          <w:szCs w:val="28"/>
        </w:rPr>
        <w:t>,</w:t>
      </w:r>
      <w:r w:rsidRPr="001D0846">
        <w:rPr>
          <w:rFonts w:ascii="Times New Roman" w:hAnsi="Times New Roman" w:cs="Times New Roman"/>
          <w:sz w:val="28"/>
          <w:szCs w:val="28"/>
        </w:rPr>
        <w:t xml:space="preserve"> cu 338 agenți economici (15,7%)</w:t>
      </w:r>
      <w:r w:rsidR="00D27173">
        <w:rPr>
          <w:rFonts w:ascii="Times New Roman" w:hAnsi="Times New Roman" w:cs="Times New Roman"/>
          <w:sz w:val="28"/>
          <w:szCs w:val="28"/>
        </w:rPr>
        <w:t>, iar</w:t>
      </w:r>
      <w:r w:rsidRPr="001D0846">
        <w:rPr>
          <w:rFonts w:ascii="Times New Roman" w:hAnsi="Times New Roman" w:cs="Times New Roman"/>
          <w:sz w:val="28"/>
          <w:szCs w:val="28"/>
        </w:rPr>
        <w:t xml:space="preserve"> față de anul 2015 </w:t>
      </w:r>
      <w:r w:rsidR="00D27173">
        <w:rPr>
          <w:rFonts w:ascii="Times New Roman" w:hAnsi="Times New Roman" w:cs="Times New Roman"/>
          <w:sz w:val="28"/>
          <w:szCs w:val="28"/>
        </w:rPr>
        <w:t xml:space="preserve">- </w:t>
      </w:r>
      <w:r w:rsidRPr="001D0846">
        <w:rPr>
          <w:rFonts w:ascii="Times New Roman" w:hAnsi="Times New Roman" w:cs="Times New Roman"/>
          <w:sz w:val="28"/>
          <w:szCs w:val="28"/>
        </w:rPr>
        <w:t xml:space="preserve">cu 886 agenți economici (41%). </w:t>
      </w:r>
    </w:p>
    <w:p w:rsidR="00C26C38" w:rsidRPr="001D0846" w:rsidRDefault="00C26C38" w:rsidP="006358AD">
      <w:pPr>
        <w:pStyle w:val="ListParagraph"/>
        <w:spacing w:after="0" w:line="276" w:lineRule="auto"/>
        <w:ind w:left="0" w:firstLine="708"/>
        <w:jc w:val="both"/>
        <w:rPr>
          <w:rFonts w:ascii="Times New Roman" w:eastAsia="Times New Roman" w:hAnsi="Times New Roman" w:cs="Times New Roman"/>
          <w:i/>
          <w:color w:val="000000"/>
          <w:sz w:val="28"/>
          <w:szCs w:val="28"/>
        </w:rPr>
      </w:pPr>
      <w:r w:rsidRPr="001D0846">
        <w:rPr>
          <w:rFonts w:ascii="Times New Roman" w:eastAsia="Times New Roman" w:hAnsi="Times New Roman" w:cs="Times New Roman"/>
          <w:bCs/>
          <w:color w:val="000000"/>
          <w:sz w:val="28"/>
          <w:szCs w:val="28"/>
        </w:rPr>
        <w:t xml:space="preserve">Verificările efectuate de audit asupra monitorizării procesului de insolvabilitate </w:t>
      </w:r>
      <w:r w:rsidR="00D27173">
        <w:rPr>
          <w:rFonts w:ascii="Times New Roman" w:eastAsia="Times New Roman" w:hAnsi="Times New Roman" w:cs="Times New Roman"/>
          <w:bCs/>
          <w:color w:val="000000"/>
          <w:sz w:val="28"/>
          <w:szCs w:val="28"/>
        </w:rPr>
        <w:t>denotă</w:t>
      </w:r>
      <w:r w:rsidRPr="001D0846">
        <w:rPr>
          <w:rFonts w:ascii="Times New Roman" w:eastAsia="Times New Roman" w:hAnsi="Times New Roman" w:cs="Times New Roman"/>
          <w:bCs/>
          <w:color w:val="000000"/>
          <w:sz w:val="28"/>
          <w:szCs w:val="28"/>
        </w:rPr>
        <w:t xml:space="preserve"> că agenții economici </w:t>
      </w:r>
      <w:r w:rsidRPr="001D0846">
        <w:rPr>
          <w:rFonts w:ascii="Times New Roman" w:hAnsi="Times New Roman" w:cs="Times New Roman"/>
          <w:sz w:val="28"/>
          <w:szCs w:val="28"/>
        </w:rPr>
        <w:t xml:space="preserve">aflați în proces de insolvabilitate înregistrau, la 31.12.2017, datorii istorice în sumă totală de 3786,1 mil.lei, sau </w:t>
      </w:r>
      <w:r w:rsidR="00D27173" w:rsidRPr="001D0846">
        <w:rPr>
          <w:rFonts w:ascii="Times New Roman" w:hAnsi="Times New Roman" w:cs="Times New Roman"/>
          <w:sz w:val="28"/>
          <w:szCs w:val="28"/>
        </w:rPr>
        <w:t xml:space="preserve">cu 1732,1 mil.lei (45,7%) </w:t>
      </w:r>
      <w:r w:rsidRPr="001D0846">
        <w:rPr>
          <w:rFonts w:ascii="Times New Roman" w:hAnsi="Times New Roman" w:cs="Times New Roman"/>
          <w:sz w:val="28"/>
          <w:szCs w:val="28"/>
        </w:rPr>
        <w:t xml:space="preserve">mai mult față de anul 2016 și cu 3219,1 mil.lei (85%) mai mult față de anul 2015. Totodată, se atestă </w:t>
      </w:r>
      <w:r w:rsidRPr="00160C8E">
        <w:rPr>
          <w:rFonts w:ascii="Times New Roman" w:hAnsi="Times New Roman" w:cs="Times New Roman"/>
          <w:sz w:val="28"/>
          <w:szCs w:val="28"/>
        </w:rPr>
        <w:t xml:space="preserve">un </w:t>
      </w:r>
      <w:r w:rsidR="00160C8E">
        <w:rPr>
          <w:rFonts w:ascii="Times New Roman" w:hAnsi="Times New Roman" w:cs="Times New Roman"/>
          <w:sz w:val="28"/>
          <w:szCs w:val="28"/>
        </w:rPr>
        <w:t>nivel</w:t>
      </w:r>
      <w:r w:rsidRPr="00160C8E">
        <w:rPr>
          <w:rFonts w:ascii="Times New Roman" w:hAnsi="Times New Roman" w:cs="Times New Roman"/>
          <w:sz w:val="28"/>
          <w:szCs w:val="28"/>
        </w:rPr>
        <w:t xml:space="preserve"> redus</w:t>
      </w:r>
      <w:r w:rsidRPr="001D0846">
        <w:rPr>
          <w:rFonts w:ascii="Times New Roman" w:hAnsi="Times New Roman" w:cs="Times New Roman"/>
          <w:sz w:val="28"/>
          <w:szCs w:val="28"/>
        </w:rPr>
        <w:t xml:space="preserve"> de colectare la BPN a </w:t>
      </w:r>
      <w:r w:rsidRPr="001D0846">
        <w:rPr>
          <w:rFonts w:ascii="Times New Roman" w:hAnsi="Times New Roman" w:cs="Times New Roman"/>
          <w:sz w:val="28"/>
          <w:szCs w:val="28"/>
        </w:rPr>
        <w:lastRenderedPageBreak/>
        <w:t>creanțelor validate de către instanța de judecată în proces de insolvabilitate</w:t>
      </w:r>
      <w:r w:rsidR="00D27173">
        <w:rPr>
          <w:rFonts w:ascii="Times New Roman" w:hAnsi="Times New Roman" w:cs="Times New Roman"/>
          <w:sz w:val="28"/>
          <w:szCs w:val="28"/>
        </w:rPr>
        <w:t>,</w:t>
      </w:r>
      <w:r w:rsidRPr="001D0846">
        <w:rPr>
          <w:rFonts w:ascii="Times New Roman" w:hAnsi="Times New Roman" w:cs="Times New Roman"/>
          <w:sz w:val="28"/>
          <w:szCs w:val="28"/>
        </w:rPr>
        <w:t xml:space="preserve"> care în </w:t>
      </w:r>
      <w:r w:rsidR="00D27173">
        <w:rPr>
          <w:rFonts w:ascii="Times New Roman" w:hAnsi="Times New Roman" w:cs="Times New Roman"/>
          <w:sz w:val="28"/>
          <w:szCs w:val="28"/>
        </w:rPr>
        <w:t>anii</w:t>
      </w:r>
      <w:r w:rsidRPr="001D0846">
        <w:rPr>
          <w:rFonts w:ascii="Times New Roman" w:hAnsi="Times New Roman" w:cs="Times New Roman"/>
          <w:sz w:val="28"/>
          <w:szCs w:val="28"/>
        </w:rPr>
        <w:t xml:space="preserve"> 2015</w:t>
      </w:r>
      <w:r w:rsidRPr="001D0846">
        <w:rPr>
          <w:rFonts w:ascii="Times New Roman" w:hAnsi="Times New Roman" w:cs="Times New Roman"/>
          <w:b/>
          <w:sz w:val="28"/>
          <w:szCs w:val="28"/>
        </w:rPr>
        <w:t>-</w:t>
      </w:r>
      <w:r w:rsidRPr="001D0846">
        <w:rPr>
          <w:rFonts w:ascii="Times New Roman" w:hAnsi="Times New Roman" w:cs="Times New Roman"/>
          <w:sz w:val="28"/>
          <w:szCs w:val="28"/>
        </w:rPr>
        <w:t>2017 a constituit circa 2 % d</w:t>
      </w:r>
      <w:r w:rsidR="00FF2CBB" w:rsidRPr="001D0846">
        <w:rPr>
          <w:rFonts w:ascii="Times New Roman" w:hAnsi="Times New Roman" w:cs="Times New Roman"/>
          <w:sz w:val="28"/>
          <w:szCs w:val="28"/>
        </w:rPr>
        <w:t xml:space="preserve">in totalul datoriilor istorice. </w:t>
      </w:r>
      <w:r w:rsidRPr="00365962">
        <w:rPr>
          <w:rFonts w:ascii="Times New Roman" w:hAnsi="Times New Roman" w:cs="Times New Roman"/>
          <w:i/>
          <w:sz w:val="28"/>
          <w:szCs w:val="28"/>
        </w:rPr>
        <w:t xml:space="preserve">Analiza comparativă a datelor la 31.12.2017, 31.12.2016 și 31.12.2015 </w:t>
      </w:r>
      <w:r w:rsidR="00D27173">
        <w:rPr>
          <w:rFonts w:ascii="Times New Roman" w:hAnsi="Times New Roman" w:cs="Times New Roman"/>
          <w:i/>
          <w:sz w:val="28"/>
          <w:szCs w:val="28"/>
        </w:rPr>
        <w:t>este</w:t>
      </w:r>
      <w:r w:rsidRPr="00365962">
        <w:rPr>
          <w:rFonts w:ascii="Times New Roman" w:hAnsi="Times New Roman" w:cs="Times New Roman"/>
          <w:i/>
          <w:sz w:val="28"/>
          <w:szCs w:val="28"/>
        </w:rPr>
        <w:t xml:space="preserve"> prez</w:t>
      </w:r>
      <w:r w:rsidR="00D27173">
        <w:rPr>
          <w:rFonts w:ascii="Times New Roman" w:hAnsi="Times New Roman" w:cs="Times New Roman"/>
          <w:i/>
          <w:sz w:val="28"/>
          <w:szCs w:val="28"/>
        </w:rPr>
        <w:t>enta</w:t>
      </w:r>
      <w:r w:rsidRPr="00365962">
        <w:rPr>
          <w:rFonts w:ascii="Times New Roman" w:hAnsi="Times New Roman" w:cs="Times New Roman"/>
          <w:i/>
          <w:sz w:val="28"/>
          <w:szCs w:val="28"/>
        </w:rPr>
        <w:t xml:space="preserve">tă în </w:t>
      </w:r>
      <w:r w:rsidRPr="00365962">
        <w:rPr>
          <w:rFonts w:ascii="Times New Roman" w:eastAsia="Times New Roman" w:hAnsi="Times New Roman" w:cs="Times New Roman"/>
          <w:i/>
          <w:color w:val="000000"/>
          <w:sz w:val="28"/>
          <w:szCs w:val="28"/>
        </w:rPr>
        <w:t xml:space="preserve">Tabelul </w:t>
      </w:r>
      <w:r w:rsidR="00D17F6C" w:rsidRPr="00365962">
        <w:rPr>
          <w:rFonts w:ascii="Times New Roman" w:eastAsia="Times New Roman" w:hAnsi="Times New Roman" w:cs="Times New Roman"/>
          <w:i/>
          <w:color w:val="000000"/>
          <w:sz w:val="28"/>
          <w:szCs w:val="28"/>
        </w:rPr>
        <w:t>nr.</w:t>
      </w:r>
      <w:r w:rsidR="009E62CA" w:rsidRPr="00365962">
        <w:rPr>
          <w:rFonts w:ascii="Times New Roman" w:eastAsia="Times New Roman" w:hAnsi="Times New Roman" w:cs="Times New Roman"/>
          <w:i/>
          <w:color w:val="000000"/>
          <w:sz w:val="28"/>
          <w:szCs w:val="28"/>
        </w:rPr>
        <w:t>1</w:t>
      </w:r>
      <w:r w:rsidR="00365962" w:rsidRPr="00365962">
        <w:rPr>
          <w:rFonts w:ascii="Times New Roman" w:eastAsia="Times New Roman" w:hAnsi="Times New Roman" w:cs="Times New Roman"/>
          <w:i/>
          <w:color w:val="000000"/>
          <w:sz w:val="28"/>
          <w:szCs w:val="28"/>
        </w:rPr>
        <w:t>5</w:t>
      </w:r>
      <w:r w:rsidR="004C38B1" w:rsidRPr="00365962">
        <w:rPr>
          <w:rFonts w:ascii="Times New Roman" w:eastAsia="Times New Roman" w:hAnsi="Times New Roman" w:cs="Times New Roman"/>
          <w:i/>
          <w:color w:val="000000"/>
          <w:sz w:val="28"/>
          <w:szCs w:val="28"/>
        </w:rPr>
        <w:t xml:space="preserve"> din Anexa nr.3</w:t>
      </w:r>
      <w:r w:rsidR="00FF2CBB" w:rsidRPr="00365962">
        <w:rPr>
          <w:rFonts w:ascii="Times New Roman" w:eastAsia="Times New Roman" w:hAnsi="Times New Roman" w:cs="Times New Roman"/>
          <w:i/>
          <w:color w:val="000000"/>
          <w:sz w:val="28"/>
          <w:szCs w:val="28"/>
        </w:rPr>
        <w:t xml:space="preserve"> la Raport</w:t>
      </w:r>
      <w:r w:rsidR="00D27173">
        <w:rPr>
          <w:rFonts w:ascii="Times New Roman" w:eastAsia="Times New Roman" w:hAnsi="Times New Roman" w:cs="Times New Roman"/>
          <w:i/>
          <w:color w:val="000000"/>
          <w:sz w:val="28"/>
          <w:szCs w:val="28"/>
        </w:rPr>
        <w:t>ul</w:t>
      </w:r>
      <w:r w:rsidR="00FF2CBB" w:rsidRPr="00365962">
        <w:rPr>
          <w:rFonts w:ascii="Times New Roman" w:eastAsia="Times New Roman" w:hAnsi="Times New Roman" w:cs="Times New Roman"/>
          <w:i/>
          <w:color w:val="000000"/>
          <w:sz w:val="28"/>
          <w:szCs w:val="28"/>
        </w:rPr>
        <w:t xml:space="preserve"> de audit.</w:t>
      </w:r>
    </w:p>
    <w:p w:rsidR="00EC042F" w:rsidRPr="001D0846" w:rsidRDefault="000E7623" w:rsidP="00EC042F">
      <w:pPr>
        <w:spacing w:after="0" w:line="276" w:lineRule="auto"/>
        <w:ind w:firstLine="708"/>
        <w:jc w:val="both"/>
        <w:rPr>
          <w:rFonts w:ascii="Times New Roman" w:hAnsi="Times New Roman" w:cs="Times New Roman"/>
          <w:sz w:val="28"/>
          <w:szCs w:val="28"/>
        </w:rPr>
      </w:pPr>
      <w:r w:rsidRPr="001D0846">
        <w:rPr>
          <w:rFonts w:ascii="Times New Roman" w:hAnsi="Times New Roman" w:cs="Times New Roman"/>
          <w:sz w:val="28"/>
          <w:szCs w:val="28"/>
        </w:rPr>
        <w:t xml:space="preserve">Potrivit motivației persoanelor responsabile din cadrul SFS, </w:t>
      </w:r>
      <w:r w:rsidR="00D27173">
        <w:rPr>
          <w:rFonts w:ascii="Times New Roman" w:hAnsi="Times New Roman" w:cs="Times New Roman"/>
          <w:sz w:val="28"/>
          <w:szCs w:val="28"/>
        </w:rPr>
        <w:t>nivelul</w:t>
      </w:r>
      <w:r w:rsidRPr="001D0846">
        <w:rPr>
          <w:rFonts w:ascii="Times New Roman" w:hAnsi="Times New Roman" w:cs="Times New Roman"/>
          <w:sz w:val="28"/>
          <w:szCs w:val="28"/>
        </w:rPr>
        <w:t xml:space="preserve"> redus de colectare la BPN a creanțelor validate de către instanța de judecată în proces de insolvabilitate se </w:t>
      </w:r>
      <w:r w:rsidR="00365962">
        <w:rPr>
          <w:rFonts w:ascii="Times New Roman" w:hAnsi="Times New Roman" w:cs="Times New Roman"/>
          <w:sz w:val="28"/>
          <w:szCs w:val="28"/>
        </w:rPr>
        <w:t>datorează</w:t>
      </w:r>
      <w:r w:rsidRPr="001D0846">
        <w:rPr>
          <w:rFonts w:ascii="Times New Roman" w:hAnsi="Times New Roman" w:cs="Times New Roman"/>
          <w:sz w:val="28"/>
          <w:szCs w:val="28"/>
        </w:rPr>
        <w:t xml:space="preserve"> lipsei masei debitoare a întreprinderilor în privința cărora se inițiază procedura de insolvabilitate</w:t>
      </w:r>
      <w:r w:rsidR="00D27173">
        <w:rPr>
          <w:rFonts w:ascii="Times New Roman" w:hAnsi="Times New Roman" w:cs="Times New Roman"/>
          <w:sz w:val="28"/>
          <w:szCs w:val="28"/>
        </w:rPr>
        <w:t>,</w:t>
      </w:r>
      <w:r w:rsidRPr="001D0846">
        <w:rPr>
          <w:rFonts w:ascii="Times New Roman" w:hAnsi="Times New Roman" w:cs="Times New Roman"/>
          <w:sz w:val="28"/>
          <w:szCs w:val="28"/>
        </w:rPr>
        <w:t xml:space="preserve"> sau </w:t>
      </w:r>
      <w:r w:rsidR="00365962">
        <w:rPr>
          <w:rFonts w:ascii="Times New Roman" w:hAnsi="Times New Roman" w:cs="Times New Roman"/>
          <w:sz w:val="28"/>
          <w:szCs w:val="28"/>
        </w:rPr>
        <w:t>insuficienței masei debitoare în vederea stingerii integrale a creanțelor</w:t>
      </w:r>
      <w:r w:rsidRPr="001D0846">
        <w:rPr>
          <w:rFonts w:ascii="Times New Roman" w:hAnsi="Times New Roman" w:cs="Times New Roman"/>
          <w:sz w:val="28"/>
          <w:szCs w:val="28"/>
        </w:rPr>
        <w:t xml:space="preserve"> garantate.</w:t>
      </w:r>
    </w:p>
    <w:p w:rsidR="00C26C38" w:rsidRPr="001D0846" w:rsidRDefault="00FF2CBB" w:rsidP="006358AD">
      <w:pPr>
        <w:pStyle w:val="tt"/>
        <w:spacing w:line="276" w:lineRule="auto"/>
        <w:ind w:firstLine="709"/>
        <w:jc w:val="both"/>
        <w:rPr>
          <w:b w:val="0"/>
          <w:sz w:val="28"/>
          <w:szCs w:val="28"/>
        </w:rPr>
      </w:pPr>
      <w:r w:rsidRPr="001D0846">
        <w:rPr>
          <w:b w:val="0"/>
          <w:sz w:val="28"/>
          <w:szCs w:val="28"/>
        </w:rPr>
        <w:t>Analiza datelor p</w:t>
      </w:r>
      <w:r w:rsidR="00C26C38" w:rsidRPr="001D0846">
        <w:rPr>
          <w:b w:val="0"/>
          <w:sz w:val="28"/>
          <w:szCs w:val="28"/>
        </w:rPr>
        <w:t xml:space="preserve">rezentate relevă o creștere a plăților curente la BPN din momentul derulării procedurii de insolvabilitate, care în </w:t>
      </w:r>
      <w:r w:rsidR="00D27173">
        <w:rPr>
          <w:b w:val="0"/>
          <w:sz w:val="28"/>
          <w:szCs w:val="28"/>
        </w:rPr>
        <w:t>anul</w:t>
      </w:r>
      <w:r w:rsidR="00C26C38" w:rsidRPr="001D0846">
        <w:rPr>
          <w:b w:val="0"/>
          <w:sz w:val="28"/>
          <w:szCs w:val="28"/>
        </w:rPr>
        <w:t xml:space="preserve"> 2017 au constituit 158,4 mil.lei, sau </w:t>
      </w:r>
      <w:r w:rsidR="00D27173" w:rsidRPr="001D0846">
        <w:rPr>
          <w:b w:val="0"/>
          <w:sz w:val="28"/>
          <w:szCs w:val="28"/>
        </w:rPr>
        <w:t xml:space="preserve">cu 43 mil.lei (27,1%) </w:t>
      </w:r>
      <w:r w:rsidR="00C26C38" w:rsidRPr="001D0846">
        <w:rPr>
          <w:b w:val="0"/>
          <w:sz w:val="28"/>
          <w:szCs w:val="28"/>
        </w:rPr>
        <w:t xml:space="preserve">mai mult față de anul 2016 și cu 47,8 mil.lei (30,2%) mai mult față de anul 2015. De asemenea, se atestă un grad redus de colectare la BPN a plăților curente calculate din momentul derulării procedurii de insolvabilitate, care în perioada </w:t>
      </w:r>
      <w:r w:rsidR="00D27173">
        <w:rPr>
          <w:b w:val="0"/>
          <w:sz w:val="28"/>
          <w:szCs w:val="28"/>
        </w:rPr>
        <w:t xml:space="preserve">anilor </w:t>
      </w:r>
      <w:r w:rsidR="00C26C38" w:rsidRPr="001D0846">
        <w:rPr>
          <w:b w:val="0"/>
          <w:sz w:val="28"/>
          <w:szCs w:val="28"/>
        </w:rPr>
        <w:t>2015-2017 a constituit circa 60 % din totalul plăților curente.</w:t>
      </w:r>
    </w:p>
    <w:p w:rsidR="00EC042F" w:rsidRPr="001D0846" w:rsidRDefault="00D27173" w:rsidP="006E55A6">
      <w:pPr>
        <w:pStyle w:val="NormalWeb"/>
        <w:spacing w:after="0" w:line="276" w:lineRule="auto"/>
        <w:ind w:firstLine="709"/>
        <w:jc w:val="both"/>
        <w:rPr>
          <w:sz w:val="28"/>
          <w:szCs w:val="28"/>
          <w:lang w:eastAsia="ro-RO"/>
        </w:rPr>
      </w:pPr>
      <w:r>
        <w:rPr>
          <w:sz w:val="28"/>
          <w:szCs w:val="28"/>
        </w:rPr>
        <w:t>După cum motivează</w:t>
      </w:r>
      <w:r w:rsidR="00EC042F" w:rsidRPr="001D0846">
        <w:rPr>
          <w:sz w:val="28"/>
          <w:szCs w:val="28"/>
        </w:rPr>
        <w:t xml:space="preserve"> persoanel</w:t>
      </w:r>
      <w:r>
        <w:rPr>
          <w:sz w:val="28"/>
          <w:szCs w:val="28"/>
        </w:rPr>
        <w:t>e</w:t>
      </w:r>
      <w:r w:rsidR="00EC042F" w:rsidRPr="001D0846">
        <w:rPr>
          <w:sz w:val="28"/>
          <w:szCs w:val="28"/>
        </w:rPr>
        <w:t xml:space="preserve"> responsabile din cadrul SFS, </w:t>
      </w:r>
      <w:r w:rsidR="00EC042F" w:rsidRPr="001D0846">
        <w:rPr>
          <w:sz w:val="28"/>
          <w:szCs w:val="28"/>
          <w:lang w:eastAsia="ro-RO"/>
        </w:rPr>
        <w:t xml:space="preserve">obligațiile de plată curente </w:t>
      </w:r>
      <w:r w:rsidR="00EC042F" w:rsidRPr="001D0846">
        <w:rPr>
          <w:color w:val="000000"/>
          <w:sz w:val="28"/>
          <w:szCs w:val="28"/>
        </w:rPr>
        <w:t xml:space="preserve">formate pe parcursul derulării procesului de insolvabilitate urmează a fi încasate în conformitate cu </w:t>
      </w:r>
      <w:r w:rsidR="00477706">
        <w:rPr>
          <w:color w:val="000000"/>
          <w:sz w:val="28"/>
          <w:szCs w:val="28"/>
        </w:rPr>
        <w:t>prevederile Legii</w:t>
      </w:r>
      <w:r w:rsidR="00EC042F" w:rsidRPr="001D0846">
        <w:rPr>
          <w:color w:val="000000"/>
          <w:sz w:val="28"/>
          <w:szCs w:val="28"/>
        </w:rPr>
        <w:t>insolvabilităţii</w:t>
      </w:r>
      <w:r w:rsidR="00477706">
        <w:rPr>
          <w:rStyle w:val="FootnoteReference"/>
          <w:sz w:val="28"/>
          <w:szCs w:val="28"/>
          <w:lang w:eastAsia="ro-RO"/>
        </w:rPr>
        <w:footnoteReference w:id="17"/>
      </w:r>
      <w:r w:rsidR="00EC042F" w:rsidRPr="001D0846">
        <w:rPr>
          <w:sz w:val="28"/>
          <w:szCs w:val="28"/>
          <w:lang w:eastAsia="ro-RO"/>
        </w:rPr>
        <w:t xml:space="preserve">și </w:t>
      </w:r>
      <w:r w:rsidR="00EC042F" w:rsidRPr="00020547">
        <w:rPr>
          <w:sz w:val="28"/>
          <w:szCs w:val="28"/>
          <w:lang w:eastAsia="ro-RO"/>
        </w:rPr>
        <w:t>a</w:t>
      </w:r>
      <w:r w:rsidRPr="00020547">
        <w:rPr>
          <w:sz w:val="28"/>
          <w:szCs w:val="28"/>
          <w:lang w:eastAsia="ro-RO"/>
        </w:rPr>
        <w:t>le</w:t>
      </w:r>
      <w:r w:rsidR="00EC042F" w:rsidRPr="00020547">
        <w:rPr>
          <w:sz w:val="28"/>
          <w:szCs w:val="28"/>
          <w:lang w:eastAsia="ro-RO"/>
        </w:rPr>
        <w:t xml:space="preserve"> C</w:t>
      </w:r>
      <w:r w:rsidR="00477706" w:rsidRPr="00020547">
        <w:rPr>
          <w:sz w:val="28"/>
          <w:szCs w:val="28"/>
          <w:lang w:eastAsia="ro-RO"/>
        </w:rPr>
        <w:t>F</w:t>
      </w:r>
      <w:r w:rsidR="00EC042F" w:rsidRPr="00020547">
        <w:rPr>
          <w:sz w:val="28"/>
          <w:szCs w:val="28"/>
          <w:lang w:eastAsia="ro-RO"/>
        </w:rPr>
        <w:t>.</w:t>
      </w:r>
      <w:r w:rsidR="00020547">
        <w:rPr>
          <w:sz w:val="28"/>
          <w:szCs w:val="28"/>
          <w:lang w:eastAsia="ro-RO"/>
        </w:rPr>
        <w:t xml:space="preserve"> L</w:t>
      </w:r>
      <w:r w:rsidR="00477706">
        <w:rPr>
          <w:sz w:val="28"/>
          <w:szCs w:val="28"/>
          <w:lang w:eastAsia="ro-RO"/>
        </w:rPr>
        <w:t>acunele</w:t>
      </w:r>
      <w:r w:rsidR="00EC042F" w:rsidRPr="001D0846">
        <w:rPr>
          <w:sz w:val="28"/>
          <w:szCs w:val="28"/>
          <w:lang w:eastAsia="ro-RO"/>
        </w:rPr>
        <w:t xml:space="preserve"> existente în legislație, </w:t>
      </w:r>
      <w:r w:rsidR="00477706">
        <w:rPr>
          <w:sz w:val="28"/>
          <w:szCs w:val="28"/>
          <w:lang w:eastAsia="ro-RO"/>
        </w:rPr>
        <w:t>în special</w:t>
      </w:r>
      <w:r>
        <w:rPr>
          <w:sz w:val="28"/>
          <w:szCs w:val="28"/>
          <w:lang w:eastAsia="ro-RO"/>
        </w:rPr>
        <w:t>,</w:t>
      </w:r>
      <w:r w:rsidR="00477706">
        <w:rPr>
          <w:sz w:val="28"/>
          <w:szCs w:val="28"/>
          <w:lang w:eastAsia="ro-RO"/>
        </w:rPr>
        <w:t xml:space="preserve"> lipsa unor pârghii</w:t>
      </w:r>
      <w:r w:rsidR="00EC042F" w:rsidRPr="001D0846">
        <w:rPr>
          <w:sz w:val="28"/>
          <w:szCs w:val="28"/>
          <w:lang w:eastAsia="ro-RO"/>
        </w:rPr>
        <w:t xml:space="preserve"> c</w:t>
      </w:r>
      <w:r>
        <w:rPr>
          <w:sz w:val="28"/>
          <w:szCs w:val="28"/>
          <w:lang w:eastAsia="ro-RO"/>
        </w:rPr>
        <w:t>ar</w:t>
      </w:r>
      <w:r w:rsidR="00EC042F" w:rsidRPr="001D0846">
        <w:rPr>
          <w:sz w:val="28"/>
          <w:szCs w:val="28"/>
          <w:lang w:eastAsia="ro-RO"/>
        </w:rPr>
        <w:t xml:space="preserve">e pot fi aplicate în cadrul procesului de insolvabilitate în privința </w:t>
      </w:r>
      <w:r w:rsidR="00477706">
        <w:rPr>
          <w:sz w:val="28"/>
          <w:szCs w:val="28"/>
          <w:lang w:eastAsia="ro-RO"/>
        </w:rPr>
        <w:t xml:space="preserve">încasării </w:t>
      </w:r>
      <w:r w:rsidR="00EC042F" w:rsidRPr="001D0846">
        <w:rPr>
          <w:sz w:val="28"/>
          <w:szCs w:val="28"/>
          <w:lang w:eastAsia="ro-RO"/>
        </w:rPr>
        <w:t>obligațiilor curente, a</w:t>
      </w:r>
      <w:r>
        <w:rPr>
          <w:sz w:val="28"/>
          <w:szCs w:val="28"/>
          <w:lang w:eastAsia="ro-RO"/>
        </w:rPr>
        <w:t>u</w:t>
      </w:r>
      <w:r w:rsidR="00EC042F" w:rsidRPr="001D0846">
        <w:rPr>
          <w:sz w:val="28"/>
          <w:szCs w:val="28"/>
          <w:lang w:eastAsia="ro-RO"/>
        </w:rPr>
        <w:t xml:space="preserve"> generat </w:t>
      </w:r>
      <w:r w:rsidR="00EC042F" w:rsidRPr="001D0846">
        <w:rPr>
          <w:sz w:val="28"/>
          <w:szCs w:val="28"/>
        </w:rPr>
        <w:t xml:space="preserve">un </w:t>
      </w:r>
      <w:r w:rsidR="00EC042F" w:rsidRPr="00160C8E">
        <w:rPr>
          <w:sz w:val="28"/>
          <w:szCs w:val="28"/>
        </w:rPr>
        <w:t>grad redus</w:t>
      </w:r>
      <w:r w:rsidR="00EC042F" w:rsidRPr="001D0846">
        <w:rPr>
          <w:sz w:val="28"/>
          <w:szCs w:val="28"/>
        </w:rPr>
        <w:t xml:space="preserve"> de colectare la BPN a plăților curente.</w:t>
      </w:r>
      <w:r w:rsidR="00020547">
        <w:rPr>
          <w:sz w:val="28"/>
          <w:szCs w:val="28"/>
        </w:rPr>
        <w:t xml:space="preserve">Totodată se remarcă că </w:t>
      </w:r>
      <w:r w:rsidR="006E55A6" w:rsidRPr="001D0846">
        <w:rPr>
          <w:sz w:val="28"/>
          <w:szCs w:val="28"/>
        </w:rPr>
        <w:t>SFS</w:t>
      </w:r>
      <w:r>
        <w:rPr>
          <w:sz w:val="28"/>
          <w:szCs w:val="28"/>
        </w:rPr>
        <w:t>,</w:t>
      </w:r>
      <w:r w:rsidR="00EC042F" w:rsidRPr="001D0846">
        <w:rPr>
          <w:sz w:val="28"/>
          <w:szCs w:val="28"/>
        </w:rPr>
        <w:t xml:space="preserve">conform Planului de acțiuni pentru </w:t>
      </w:r>
      <w:r w:rsidR="006E55A6" w:rsidRPr="001D0846">
        <w:rPr>
          <w:sz w:val="28"/>
          <w:szCs w:val="28"/>
        </w:rPr>
        <w:t xml:space="preserve">anul </w:t>
      </w:r>
      <w:r w:rsidR="00EC042F" w:rsidRPr="001D0846">
        <w:rPr>
          <w:sz w:val="28"/>
          <w:szCs w:val="28"/>
        </w:rPr>
        <w:t>2018, a înaintat propuneri de modific</w:t>
      </w:r>
      <w:r w:rsidR="00477706">
        <w:rPr>
          <w:sz w:val="28"/>
          <w:szCs w:val="28"/>
        </w:rPr>
        <w:t>are a legislației în acest sens, acestea fiind prezentate auditului.</w:t>
      </w:r>
    </w:p>
    <w:p w:rsidR="00C26C38" w:rsidRPr="001D0846" w:rsidRDefault="00C26C38" w:rsidP="006358AD">
      <w:pPr>
        <w:spacing w:after="0" w:line="276" w:lineRule="auto"/>
        <w:ind w:firstLine="709"/>
        <w:jc w:val="both"/>
        <w:rPr>
          <w:rFonts w:ascii="Times New Roman" w:eastAsia="Calibri" w:hAnsi="Times New Roman" w:cs="Times New Roman"/>
          <w:sz w:val="28"/>
          <w:szCs w:val="28"/>
        </w:rPr>
      </w:pPr>
      <w:r w:rsidRPr="001D0846">
        <w:rPr>
          <w:rFonts w:ascii="Times New Roman" w:eastAsia="Calibri" w:hAnsi="Times New Roman" w:cs="Times New Roman"/>
          <w:sz w:val="28"/>
          <w:szCs w:val="28"/>
        </w:rPr>
        <w:t>Auditul relevă unele discordanțe între prevederile unor norme din CF</w:t>
      </w:r>
      <w:r w:rsidR="00D27173">
        <w:rPr>
          <w:rFonts w:ascii="Times New Roman" w:eastAsia="Calibri" w:hAnsi="Times New Roman" w:cs="Times New Roman"/>
          <w:sz w:val="28"/>
          <w:szCs w:val="28"/>
        </w:rPr>
        <w:t>,</w:t>
      </w:r>
      <w:r w:rsidRPr="001D0846">
        <w:rPr>
          <w:rFonts w:ascii="Times New Roman" w:eastAsia="Calibri" w:hAnsi="Times New Roman" w:cs="Times New Roman"/>
          <w:sz w:val="28"/>
          <w:szCs w:val="28"/>
        </w:rPr>
        <w:t xml:space="preserve"> care generează interpretări distincte și situații neclare cu referire la statutul și evidența obligațiilor fiscale aferente contribuabililor în procedură de insolvabilitate, fapt care prezintă un risc asupra raportării de către SFS a restanței reale la BPN.</w:t>
      </w:r>
    </w:p>
    <w:p w:rsidR="00C26C38" w:rsidRDefault="00C26C38" w:rsidP="006358AD">
      <w:pPr>
        <w:spacing w:after="0" w:line="276" w:lineRule="auto"/>
        <w:ind w:firstLine="709"/>
        <w:jc w:val="both"/>
        <w:rPr>
          <w:rFonts w:ascii="Times New Roman" w:hAnsi="Times New Roman" w:cs="Times New Roman"/>
          <w:sz w:val="28"/>
          <w:szCs w:val="28"/>
        </w:rPr>
      </w:pPr>
      <w:r w:rsidRPr="001D0846">
        <w:rPr>
          <w:rFonts w:ascii="Times New Roman" w:eastAsia="Calibri" w:hAnsi="Times New Roman" w:cs="Times New Roman"/>
          <w:sz w:val="28"/>
          <w:szCs w:val="28"/>
        </w:rPr>
        <w:t>Astfel, potrivit art.129 pct.13) din CF, o</w:t>
      </w:r>
      <w:r w:rsidRPr="001D0846">
        <w:rPr>
          <w:rFonts w:ascii="Times New Roman" w:hAnsi="Times New Roman" w:cs="Times New Roman"/>
          <w:sz w:val="28"/>
          <w:szCs w:val="28"/>
        </w:rPr>
        <w:t xml:space="preserve">bligaţiile fiscale luate la evidenţă fiscală specială conform art.206 din CF nu se consideră restanţe pe perioada aflării la evidenţa fiscală specială, cu excepția obligațiilor fiscale aferente contribuabililor aflați în procedură de insolvabilitate, procedura falimentului sau procedura simplificată a falimentului. </w:t>
      </w:r>
      <w:r w:rsidRPr="001D0846">
        <w:rPr>
          <w:rFonts w:ascii="Times New Roman" w:eastAsia="Calibri" w:hAnsi="Times New Roman" w:cs="Times New Roman"/>
          <w:sz w:val="28"/>
          <w:szCs w:val="28"/>
        </w:rPr>
        <w:t>Concomitent, potrivit art.206 alin.(1) lit.b) din CF, executarea silită a obligației fiscale se consideră imposibilă dacă persoana</w:t>
      </w:r>
      <w:r w:rsidRPr="001D0846">
        <w:rPr>
          <w:rFonts w:ascii="Times New Roman" w:hAnsi="Times New Roman" w:cs="Times New Roman"/>
          <w:sz w:val="28"/>
          <w:szCs w:val="28"/>
        </w:rPr>
        <w:t>se află în proces de lichidare (dizolvare) sau în procedură de insolvabilitate.</w:t>
      </w:r>
    </w:p>
    <w:p w:rsidR="00C26C38" w:rsidRPr="00477706" w:rsidRDefault="00C26C38" w:rsidP="00477706">
      <w:pPr>
        <w:spacing w:after="0" w:line="276" w:lineRule="auto"/>
        <w:ind w:firstLine="709"/>
        <w:jc w:val="both"/>
        <w:rPr>
          <w:rFonts w:ascii="Times New Roman" w:eastAsia="Calibri" w:hAnsi="Times New Roman" w:cs="Times New Roman"/>
          <w:sz w:val="28"/>
          <w:szCs w:val="28"/>
        </w:rPr>
      </w:pPr>
      <w:r w:rsidRPr="00160C8E">
        <w:rPr>
          <w:rFonts w:ascii="Times New Roman" w:hAnsi="Times New Roman" w:cs="Times New Roman"/>
          <w:sz w:val="28"/>
          <w:szCs w:val="28"/>
        </w:rPr>
        <w:lastRenderedPageBreak/>
        <w:t>Prin urmare, se constatăcă, deși</w:t>
      </w:r>
      <w:r w:rsidR="00160C8E">
        <w:rPr>
          <w:rFonts w:ascii="Times New Roman" w:hAnsi="Times New Roman" w:cs="Times New Roman"/>
          <w:sz w:val="28"/>
          <w:szCs w:val="28"/>
        </w:rPr>
        <w:t>,</w:t>
      </w:r>
      <w:r w:rsidR="00160C8E" w:rsidRPr="00065557">
        <w:rPr>
          <w:rFonts w:ascii="Times New Roman" w:hAnsi="Times New Roman" w:cs="Times New Roman"/>
          <w:sz w:val="28"/>
          <w:szCs w:val="28"/>
        </w:rPr>
        <w:t>pe de o parte</w:t>
      </w:r>
      <w:r w:rsidR="00160C8E">
        <w:rPr>
          <w:rFonts w:ascii="Times New Roman" w:hAnsi="Times New Roman" w:cs="Times New Roman"/>
          <w:sz w:val="28"/>
          <w:szCs w:val="28"/>
        </w:rPr>
        <w:t>,</w:t>
      </w:r>
      <w:r w:rsidRPr="00160C8E">
        <w:rPr>
          <w:rFonts w:ascii="Times New Roman" w:hAnsi="Times New Roman" w:cs="Times New Roman"/>
          <w:sz w:val="28"/>
          <w:szCs w:val="28"/>
        </w:rPr>
        <w:t>obligațiile fiscale aferente contribuabililor aflați în procedură de insolvabilitate, prin excepția legii</w:t>
      </w:r>
      <w:r w:rsidR="00D27173" w:rsidRPr="00160C8E">
        <w:rPr>
          <w:rFonts w:ascii="Times New Roman" w:hAnsi="Times New Roman" w:cs="Times New Roman"/>
          <w:sz w:val="28"/>
          <w:szCs w:val="28"/>
        </w:rPr>
        <w:t>,</w:t>
      </w:r>
      <w:r w:rsidRPr="00160C8E">
        <w:rPr>
          <w:rFonts w:ascii="Times New Roman" w:hAnsi="Times New Roman" w:cs="Times New Roman"/>
          <w:sz w:val="28"/>
          <w:szCs w:val="28"/>
        </w:rPr>
        <w:t xml:space="preserve"> se consideră restanţe și necesită a fi raportate </w:t>
      </w:r>
      <w:r w:rsidR="00D27173" w:rsidRPr="00160C8E">
        <w:rPr>
          <w:rFonts w:ascii="Times New Roman" w:hAnsi="Times New Roman" w:cs="Times New Roman"/>
          <w:sz w:val="28"/>
          <w:szCs w:val="28"/>
        </w:rPr>
        <w:t>la</w:t>
      </w:r>
      <w:r w:rsidRPr="00160C8E">
        <w:rPr>
          <w:rFonts w:ascii="Times New Roman" w:hAnsi="Times New Roman" w:cs="Times New Roman"/>
          <w:sz w:val="28"/>
          <w:szCs w:val="28"/>
        </w:rPr>
        <w:t xml:space="preserve"> categoria respectivă de obligații fiscale (</w:t>
      </w:r>
      <w:r w:rsidRPr="00160C8E">
        <w:rPr>
          <w:rFonts w:ascii="Times New Roman" w:eastAsia="Calibri" w:hAnsi="Times New Roman" w:cs="Times New Roman"/>
          <w:sz w:val="28"/>
          <w:szCs w:val="28"/>
        </w:rPr>
        <w:t>art.129 pct.13) din CF</w:t>
      </w:r>
      <w:r w:rsidRPr="00160C8E">
        <w:rPr>
          <w:rFonts w:ascii="Times New Roman" w:hAnsi="Times New Roman" w:cs="Times New Roman"/>
          <w:sz w:val="28"/>
          <w:szCs w:val="28"/>
        </w:rPr>
        <w:t>), pe de altă parte</w:t>
      </w:r>
      <w:r w:rsidR="00D27173" w:rsidRPr="00160C8E">
        <w:rPr>
          <w:rFonts w:ascii="Times New Roman" w:hAnsi="Times New Roman" w:cs="Times New Roman"/>
          <w:sz w:val="28"/>
          <w:szCs w:val="28"/>
        </w:rPr>
        <w:t>,</w:t>
      </w:r>
      <w:r w:rsidRPr="00160C8E">
        <w:rPr>
          <w:rFonts w:ascii="Times New Roman" w:eastAsia="Calibri" w:hAnsi="Times New Roman" w:cs="Times New Roman"/>
          <w:sz w:val="28"/>
          <w:szCs w:val="28"/>
        </w:rPr>
        <w:t xml:space="preserve">executarea silită a acestor obligații fiscale se consideră imposibilă (art.206 alin.(1) lit.b) din CF, </w:t>
      </w:r>
      <w:r w:rsidR="00020547">
        <w:rPr>
          <w:rFonts w:ascii="Times New Roman" w:eastAsia="Calibri" w:hAnsi="Times New Roman" w:cs="Times New Roman"/>
          <w:sz w:val="28"/>
          <w:szCs w:val="28"/>
        </w:rPr>
        <w:t>nefiind</w:t>
      </w:r>
      <w:r w:rsidR="00F92DF9" w:rsidRPr="00160C8E">
        <w:rPr>
          <w:rFonts w:ascii="Times New Roman" w:eastAsia="Calibri" w:hAnsi="Times New Roman" w:cs="Times New Roman"/>
          <w:sz w:val="28"/>
          <w:szCs w:val="28"/>
        </w:rPr>
        <w:t xml:space="preserve"> reglementat </w:t>
      </w:r>
      <w:r w:rsidRPr="00160C8E">
        <w:rPr>
          <w:rFonts w:ascii="Times New Roman" w:eastAsia="Calibri" w:hAnsi="Times New Roman" w:cs="Times New Roman"/>
          <w:sz w:val="28"/>
          <w:szCs w:val="28"/>
        </w:rPr>
        <w:t>statutul și modul de raportare a acestor obligații fiscale.</w:t>
      </w:r>
      <w:r w:rsidRPr="00160C8E">
        <w:rPr>
          <w:rFonts w:ascii="Times New Roman" w:hAnsi="Times New Roman" w:cs="Times New Roman"/>
          <w:sz w:val="28"/>
          <w:szCs w:val="28"/>
        </w:rPr>
        <w:t xml:space="preserve"> În</w:t>
      </w:r>
      <w:r w:rsidRPr="001D0846">
        <w:rPr>
          <w:rFonts w:ascii="Times New Roman" w:hAnsi="Times New Roman" w:cs="Times New Roman"/>
          <w:sz w:val="28"/>
          <w:szCs w:val="28"/>
        </w:rPr>
        <w:t xml:space="preserve"> acest context, a</w:t>
      </w:r>
      <w:r w:rsidRPr="001D0846">
        <w:rPr>
          <w:rFonts w:ascii="Times New Roman" w:eastAsia="Times New Roman" w:hAnsi="Times New Roman" w:cs="Times New Roman"/>
          <w:iCs/>
          <w:sz w:val="28"/>
          <w:szCs w:val="28"/>
        </w:rPr>
        <w:t>naliza efectuată de audit relevă că</w:t>
      </w:r>
      <w:r w:rsidRPr="001D0846">
        <w:rPr>
          <w:rFonts w:ascii="Times New Roman" w:hAnsi="Times New Roman" w:cs="Times New Roman"/>
          <w:sz w:val="28"/>
          <w:szCs w:val="28"/>
        </w:rPr>
        <w:t xml:space="preserve">, pe fundalul </w:t>
      </w:r>
      <w:r w:rsidR="00C010A0" w:rsidRPr="001D0846">
        <w:rPr>
          <w:rFonts w:ascii="Times New Roman" w:hAnsi="Times New Roman" w:cs="Times New Roman"/>
          <w:sz w:val="28"/>
          <w:szCs w:val="28"/>
        </w:rPr>
        <w:t>normelor expuse</w:t>
      </w:r>
      <w:r w:rsidRPr="001D0846">
        <w:rPr>
          <w:rFonts w:ascii="Times New Roman" w:hAnsi="Times New Roman" w:cs="Times New Roman"/>
          <w:sz w:val="28"/>
          <w:szCs w:val="28"/>
        </w:rPr>
        <w:t>,</w:t>
      </w:r>
      <w:r w:rsidRPr="001D0846">
        <w:rPr>
          <w:rFonts w:ascii="Times New Roman" w:eastAsia="Times New Roman" w:hAnsi="Times New Roman" w:cs="Times New Roman"/>
          <w:iCs/>
          <w:sz w:val="28"/>
          <w:szCs w:val="28"/>
        </w:rPr>
        <w:t>SFS a inclus în evidența specială suma datoriilor</w:t>
      </w:r>
      <w:r w:rsidRPr="001D0846">
        <w:rPr>
          <w:rFonts w:ascii="Times New Roman" w:hAnsi="Times New Roman" w:cs="Times New Roman"/>
          <w:sz w:val="28"/>
          <w:szCs w:val="28"/>
        </w:rPr>
        <w:t xml:space="preserve"> istorice față de BPN ale întreprinderilor aflate în proces de insolvabilitate</w:t>
      </w:r>
      <w:r w:rsidR="00D27173">
        <w:rPr>
          <w:rFonts w:ascii="Times New Roman" w:hAnsi="Times New Roman" w:cs="Times New Roman"/>
          <w:sz w:val="28"/>
          <w:szCs w:val="28"/>
        </w:rPr>
        <w:t>,</w:t>
      </w:r>
      <w:r w:rsidRPr="001D0846">
        <w:rPr>
          <w:rFonts w:ascii="Times New Roman" w:hAnsi="Times New Roman" w:cs="Times New Roman"/>
          <w:sz w:val="28"/>
          <w:szCs w:val="28"/>
        </w:rPr>
        <w:t xml:space="preserve"> care la 31.12.2017 au constituit3786</w:t>
      </w:r>
      <w:r w:rsidR="00D27173">
        <w:rPr>
          <w:rFonts w:ascii="Times New Roman" w:hAnsi="Times New Roman" w:cs="Times New Roman"/>
          <w:sz w:val="28"/>
          <w:szCs w:val="28"/>
        </w:rPr>
        <w:t>,0</w:t>
      </w:r>
      <w:r w:rsidRPr="001D0846">
        <w:rPr>
          <w:rFonts w:ascii="Times New Roman" w:hAnsi="Times New Roman" w:cs="Times New Roman"/>
          <w:sz w:val="28"/>
          <w:szCs w:val="28"/>
        </w:rPr>
        <w:t xml:space="preserve"> mil.lei, valoarea obligațiilor fiscale din evidența specială </w:t>
      </w:r>
      <w:r w:rsidR="00F92DF9" w:rsidRPr="001D0846">
        <w:rPr>
          <w:rFonts w:ascii="Times New Roman" w:hAnsi="Times New Roman" w:cs="Times New Roman"/>
          <w:sz w:val="28"/>
          <w:szCs w:val="28"/>
        </w:rPr>
        <w:t>fiind majorată</w:t>
      </w:r>
      <w:r w:rsidRPr="001D0846">
        <w:rPr>
          <w:rFonts w:ascii="Times New Roman" w:hAnsi="Times New Roman" w:cs="Times New Roman"/>
          <w:sz w:val="28"/>
          <w:szCs w:val="28"/>
        </w:rPr>
        <w:t xml:space="preserve"> cu suma menționată.</w:t>
      </w:r>
    </w:p>
    <w:p w:rsidR="00C26C38" w:rsidRPr="001D0846" w:rsidRDefault="00C26C38" w:rsidP="006358AD">
      <w:pPr>
        <w:spacing w:after="0" w:line="276" w:lineRule="auto"/>
        <w:ind w:firstLine="709"/>
        <w:jc w:val="both"/>
        <w:rPr>
          <w:rFonts w:ascii="Times New Roman" w:eastAsia="Times New Roman" w:hAnsi="Times New Roman" w:cs="Times New Roman"/>
          <w:sz w:val="28"/>
          <w:szCs w:val="28"/>
        </w:rPr>
      </w:pPr>
      <w:r w:rsidRPr="001D0846">
        <w:rPr>
          <w:rFonts w:ascii="Times New Roman" w:eastAsia="Times New Roman" w:hAnsi="Times New Roman" w:cs="Times New Roman"/>
          <w:sz w:val="28"/>
          <w:szCs w:val="28"/>
          <w:lang w:eastAsia="ru-RU"/>
        </w:rPr>
        <w:t>Cele mai semnificative restanțe (de peste 1</w:t>
      </w:r>
      <w:r w:rsidR="006C0543">
        <w:rPr>
          <w:rFonts w:ascii="Times New Roman" w:eastAsia="Times New Roman" w:hAnsi="Times New Roman" w:cs="Times New Roman"/>
          <w:sz w:val="28"/>
          <w:szCs w:val="28"/>
          <w:lang w:eastAsia="ru-RU"/>
        </w:rPr>
        <w:t>,0</w:t>
      </w:r>
      <w:r w:rsidRPr="001D0846">
        <w:rPr>
          <w:rFonts w:ascii="Times New Roman" w:eastAsia="Times New Roman" w:hAnsi="Times New Roman" w:cs="Times New Roman"/>
          <w:sz w:val="28"/>
          <w:szCs w:val="28"/>
          <w:lang w:eastAsia="ru-RU"/>
        </w:rPr>
        <w:t xml:space="preserve"> mil.lei) au fost admise de </w:t>
      </w:r>
      <w:r w:rsidR="006C0543">
        <w:rPr>
          <w:rFonts w:ascii="Times New Roman" w:eastAsia="Times New Roman" w:hAnsi="Times New Roman" w:cs="Times New Roman"/>
          <w:sz w:val="28"/>
          <w:szCs w:val="28"/>
          <w:lang w:eastAsia="ru-RU"/>
        </w:rPr>
        <w:t xml:space="preserve">către </w:t>
      </w:r>
      <w:r w:rsidRPr="001D0846">
        <w:rPr>
          <w:rFonts w:ascii="Times New Roman" w:eastAsia="Times New Roman" w:hAnsi="Times New Roman" w:cs="Times New Roman"/>
          <w:sz w:val="28"/>
          <w:szCs w:val="28"/>
          <w:lang w:eastAsia="ru-RU"/>
        </w:rPr>
        <w:t>253 de contribuabili</w:t>
      </w:r>
      <w:r w:rsidR="006C0543">
        <w:rPr>
          <w:rFonts w:ascii="Times New Roman" w:eastAsia="Times New Roman" w:hAnsi="Times New Roman" w:cs="Times New Roman"/>
          <w:sz w:val="28"/>
          <w:szCs w:val="28"/>
          <w:lang w:eastAsia="ru-RU"/>
        </w:rPr>
        <w:t>,</w:t>
      </w:r>
      <w:r w:rsidRPr="001D0846">
        <w:rPr>
          <w:rFonts w:ascii="Times New Roman" w:eastAsia="Times New Roman" w:hAnsi="Times New Roman" w:cs="Times New Roman"/>
          <w:sz w:val="28"/>
          <w:szCs w:val="28"/>
          <w:lang w:eastAsia="ru-RU"/>
        </w:rPr>
        <w:t xml:space="preserve"> în sumă de 1414,5 mil.lei</w:t>
      </w:r>
      <w:r w:rsidR="006C0543">
        <w:rPr>
          <w:rFonts w:ascii="Times New Roman" w:eastAsia="Times New Roman" w:hAnsi="Times New Roman" w:cs="Times New Roman"/>
          <w:sz w:val="28"/>
          <w:szCs w:val="28"/>
          <w:lang w:eastAsia="ru-RU"/>
        </w:rPr>
        <w:t>,</w:t>
      </w:r>
      <w:r w:rsidRPr="001D0846">
        <w:rPr>
          <w:rFonts w:ascii="Times New Roman" w:eastAsia="Times New Roman" w:hAnsi="Times New Roman" w:cs="Times New Roman"/>
          <w:sz w:val="28"/>
          <w:szCs w:val="28"/>
          <w:lang w:eastAsia="ru-RU"/>
        </w:rPr>
        <w:t xml:space="preserve"> sau 64,8% din totalul restanțelor la BPN (2182</w:t>
      </w:r>
      <w:r w:rsidR="006C0543">
        <w:rPr>
          <w:rFonts w:ascii="Times New Roman" w:eastAsia="Times New Roman" w:hAnsi="Times New Roman" w:cs="Times New Roman"/>
          <w:sz w:val="28"/>
          <w:szCs w:val="28"/>
          <w:lang w:eastAsia="ru-RU"/>
        </w:rPr>
        <w:t>,0</w:t>
      </w:r>
      <w:r w:rsidRPr="001D0846">
        <w:rPr>
          <w:rFonts w:ascii="Times New Roman" w:eastAsia="Times New Roman" w:hAnsi="Times New Roman" w:cs="Times New Roman"/>
          <w:sz w:val="28"/>
          <w:szCs w:val="28"/>
          <w:lang w:eastAsia="ru-RU"/>
        </w:rPr>
        <w:t xml:space="preserve"> mil.lei). Totodată, se atestă că</w:t>
      </w:r>
      <w:r w:rsidR="006C0543">
        <w:rPr>
          <w:rFonts w:ascii="Times New Roman" w:eastAsia="Times New Roman" w:hAnsi="Times New Roman" w:cs="Times New Roman"/>
          <w:sz w:val="28"/>
          <w:szCs w:val="28"/>
          <w:lang w:eastAsia="ru-RU"/>
        </w:rPr>
        <w:t>,</w:t>
      </w:r>
      <w:r w:rsidRPr="001D0846">
        <w:rPr>
          <w:rFonts w:ascii="Times New Roman" w:eastAsia="Times New Roman" w:hAnsi="Times New Roman" w:cs="Times New Roman"/>
          <w:sz w:val="28"/>
          <w:szCs w:val="28"/>
          <w:lang w:eastAsia="ru-RU"/>
        </w:rPr>
        <w:t xml:space="preserve"> în unele cazuri</w:t>
      </w:r>
      <w:r w:rsidR="006C0543">
        <w:rPr>
          <w:rFonts w:ascii="Times New Roman" w:eastAsia="Times New Roman" w:hAnsi="Times New Roman" w:cs="Times New Roman"/>
          <w:sz w:val="28"/>
          <w:szCs w:val="28"/>
          <w:lang w:eastAsia="ru-RU"/>
        </w:rPr>
        <w:t>,</w:t>
      </w:r>
      <w:r w:rsidRPr="001D0846">
        <w:rPr>
          <w:rFonts w:ascii="Times New Roman" w:eastAsia="Times New Roman" w:hAnsi="Times New Roman" w:cs="Times New Roman"/>
          <w:sz w:val="28"/>
          <w:szCs w:val="28"/>
          <w:lang w:eastAsia="ru-RU"/>
        </w:rPr>
        <w:t xml:space="preserve"> contribuabilii înregistrează la plățile de bază restanțe nesemnificative, iar la penalități </w:t>
      </w:r>
      <w:r w:rsidR="006C0543">
        <w:rPr>
          <w:rFonts w:ascii="Times New Roman" w:eastAsia="Times New Roman" w:hAnsi="Times New Roman" w:cs="Times New Roman"/>
          <w:sz w:val="28"/>
          <w:szCs w:val="28"/>
          <w:lang w:eastAsia="ru-RU"/>
        </w:rPr>
        <w:t xml:space="preserve">- </w:t>
      </w:r>
      <w:r w:rsidRPr="001D0846">
        <w:rPr>
          <w:rFonts w:ascii="Times New Roman" w:eastAsia="Times New Roman" w:hAnsi="Times New Roman" w:cs="Times New Roman"/>
          <w:sz w:val="28"/>
          <w:szCs w:val="28"/>
          <w:lang w:eastAsia="ru-RU"/>
        </w:rPr>
        <w:t>restanțe semnificative, ceea ce denotă o tendință de colectare prioritară a restanței la plățile de bază. Astfel, se exemplifică 2 cazuri</w:t>
      </w:r>
      <w:r w:rsidR="006C0543">
        <w:rPr>
          <w:rFonts w:ascii="Times New Roman" w:eastAsia="Times New Roman" w:hAnsi="Times New Roman" w:cs="Times New Roman"/>
          <w:sz w:val="28"/>
          <w:szCs w:val="28"/>
          <w:lang w:eastAsia="ru-RU"/>
        </w:rPr>
        <w:t>,</w:t>
      </w:r>
      <w:r w:rsidRPr="001D0846">
        <w:rPr>
          <w:rFonts w:ascii="Times New Roman" w:eastAsia="Times New Roman" w:hAnsi="Times New Roman" w:cs="Times New Roman"/>
          <w:sz w:val="28"/>
          <w:szCs w:val="28"/>
          <w:lang w:eastAsia="ru-RU"/>
        </w:rPr>
        <w:t xml:space="preserve"> identificate de audit</w:t>
      </w:r>
      <w:r w:rsidR="006C0543">
        <w:rPr>
          <w:rFonts w:ascii="Times New Roman" w:eastAsia="Times New Roman" w:hAnsi="Times New Roman" w:cs="Times New Roman"/>
          <w:sz w:val="28"/>
          <w:szCs w:val="28"/>
          <w:lang w:eastAsia="ru-RU"/>
        </w:rPr>
        <w:t>,</w:t>
      </w:r>
      <w:r w:rsidRPr="001D0846">
        <w:rPr>
          <w:rFonts w:ascii="Times New Roman" w:eastAsia="Times New Roman" w:hAnsi="Times New Roman" w:cs="Times New Roman"/>
          <w:sz w:val="28"/>
          <w:szCs w:val="28"/>
          <w:lang w:eastAsia="ru-RU"/>
        </w:rPr>
        <w:t xml:space="preserve"> în care restanța la plățile de bază la 31.12.2017 a constituit 300 lei și</w:t>
      </w:r>
      <w:r w:rsidR="006C0543">
        <w:rPr>
          <w:rFonts w:ascii="Times New Roman" w:eastAsia="Times New Roman" w:hAnsi="Times New Roman" w:cs="Times New Roman"/>
          <w:sz w:val="28"/>
          <w:szCs w:val="28"/>
          <w:lang w:eastAsia="ru-RU"/>
        </w:rPr>
        <w:t>,</w:t>
      </w:r>
      <w:r w:rsidRPr="001D0846">
        <w:rPr>
          <w:rFonts w:ascii="Times New Roman" w:eastAsia="Times New Roman" w:hAnsi="Times New Roman" w:cs="Times New Roman"/>
          <w:sz w:val="28"/>
          <w:szCs w:val="28"/>
          <w:lang w:eastAsia="ru-RU"/>
        </w:rPr>
        <w:t xml:space="preserve"> respectiv</w:t>
      </w:r>
      <w:r w:rsidR="006C0543">
        <w:rPr>
          <w:rFonts w:ascii="Times New Roman" w:eastAsia="Times New Roman" w:hAnsi="Times New Roman" w:cs="Times New Roman"/>
          <w:sz w:val="28"/>
          <w:szCs w:val="28"/>
          <w:lang w:eastAsia="ru-RU"/>
        </w:rPr>
        <w:t>,</w:t>
      </w:r>
      <w:r w:rsidRPr="001D0846">
        <w:rPr>
          <w:rFonts w:ascii="Times New Roman" w:eastAsia="Times New Roman" w:hAnsi="Times New Roman" w:cs="Times New Roman"/>
          <w:sz w:val="28"/>
          <w:szCs w:val="28"/>
          <w:lang w:eastAsia="ru-RU"/>
        </w:rPr>
        <w:t xml:space="preserve"> 900 lei, iar penalitățile – 2,3 mil.lei și</w:t>
      </w:r>
      <w:r w:rsidR="006C0543">
        <w:rPr>
          <w:rFonts w:ascii="Times New Roman" w:eastAsia="Times New Roman" w:hAnsi="Times New Roman" w:cs="Times New Roman"/>
          <w:sz w:val="28"/>
          <w:szCs w:val="28"/>
          <w:lang w:eastAsia="ru-RU"/>
        </w:rPr>
        <w:t>,</w:t>
      </w:r>
      <w:r w:rsidRPr="001D0846">
        <w:rPr>
          <w:rFonts w:ascii="Times New Roman" w:eastAsia="Times New Roman" w:hAnsi="Times New Roman" w:cs="Times New Roman"/>
          <w:sz w:val="28"/>
          <w:szCs w:val="28"/>
          <w:lang w:eastAsia="ru-RU"/>
        </w:rPr>
        <w:t xml:space="preserve"> respectiv</w:t>
      </w:r>
      <w:r w:rsidR="006C0543">
        <w:rPr>
          <w:rFonts w:ascii="Times New Roman" w:eastAsia="Times New Roman" w:hAnsi="Times New Roman" w:cs="Times New Roman"/>
          <w:sz w:val="28"/>
          <w:szCs w:val="28"/>
          <w:lang w:eastAsia="ru-RU"/>
        </w:rPr>
        <w:t xml:space="preserve">, </w:t>
      </w:r>
      <w:r w:rsidRPr="001D0846">
        <w:rPr>
          <w:rFonts w:ascii="Times New Roman" w:eastAsia="Times New Roman" w:hAnsi="Times New Roman" w:cs="Times New Roman"/>
          <w:sz w:val="28"/>
          <w:szCs w:val="28"/>
          <w:lang w:eastAsia="ru-RU"/>
        </w:rPr>
        <w:t>3</w:t>
      </w:r>
      <w:r w:rsidR="006C0543">
        <w:rPr>
          <w:rFonts w:ascii="Times New Roman" w:eastAsia="Times New Roman" w:hAnsi="Times New Roman" w:cs="Times New Roman"/>
          <w:sz w:val="28"/>
          <w:szCs w:val="28"/>
          <w:lang w:eastAsia="ru-RU"/>
        </w:rPr>
        <w:t>,0</w:t>
      </w:r>
      <w:r w:rsidRPr="001D0846">
        <w:rPr>
          <w:rFonts w:ascii="Times New Roman" w:eastAsia="Times New Roman" w:hAnsi="Times New Roman" w:cs="Times New Roman"/>
          <w:sz w:val="28"/>
          <w:szCs w:val="28"/>
          <w:lang w:eastAsia="ru-RU"/>
        </w:rPr>
        <w:t xml:space="preserve"> mil.lei.</w:t>
      </w:r>
    </w:p>
    <w:p w:rsidR="00C26C38" w:rsidRPr="001D0846" w:rsidRDefault="00C26C38" w:rsidP="006358AD">
      <w:pPr>
        <w:spacing w:after="0" w:line="276" w:lineRule="auto"/>
        <w:ind w:firstLine="567"/>
        <w:jc w:val="both"/>
        <w:rPr>
          <w:rFonts w:ascii="Times New Roman" w:eastAsia="Times New Roman" w:hAnsi="Times New Roman" w:cs="Times New Roman"/>
          <w:sz w:val="28"/>
          <w:szCs w:val="28"/>
        </w:rPr>
      </w:pPr>
      <w:r w:rsidRPr="001D0846">
        <w:rPr>
          <w:rFonts w:ascii="Times New Roman" w:eastAsia="Times New Roman" w:hAnsi="Times New Roman" w:cs="Times New Roman"/>
          <w:sz w:val="28"/>
          <w:szCs w:val="28"/>
        </w:rPr>
        <w:t xml:space="preserve">În </w:t>
      </w:r>
      <w:r w:rsidR="006C0543">
        <w:rPr>
          <w:rFonts w:ascii="Times New Roman" w:eastAsia="Times New Roman" w:hAnsi="Times New Roman" w:cs="Times New Roman"/>
          <w:sz w:val="28"/>
          <w:szCs w:val="28"/>
        </w:rPr>
        <w:t>anul</w:t>
      </w:r>
      <w:r w:rsidRPr="001D0846">
        <w:rPr>
          <w:rFonts w:ascii="Times New Roman" w:eastAsia="Times New Roman" w:hAnsi="Times New Roman" w:cs="Times New Roman"/>
          <w:sz w:val="28"/>
          <w:szCs w:val="28"/>
        </w:rPr>
        <w:t xml:space="preserve"> 2017, SFS a încasat</w:t>
      </w:r>
      <w:r w:rsidR="006C0543">
        <w:rPr>
          <w:rFonts w:ascii="Times New Roman" w:eastAsia="Times New Roman" w:hAnsi="Times New Roman" w:cs="Times New Roman"/>
          <w:sz w:val="28"/>
          <w:szCs w:val="28"/>
        </w:rPr>
        <w:t>,</w:t>
      </w:r>
      <w:r w:rsidRPr="001D0846">
        <w:rPr>
          <w:rFonts w:ascii="Times New Roman" w:eastAsia="Times New Roman" w:hAnsi="Times New Roman" w:cs="Times New Roman"/>
          <w:sz w:val="28"/>
          <w:szCs w:val="28"/>
        </w:rPr>
        <w:t xml:space="preserve"> prin aplicarea modalităților de executare silită a obligației fiscale</w:t>
      </w:r>
      <w:r w:rsidR="006C0543">
        <w:rPr>
          <w:rFonts w:ascii="Times New Roman" w:eastAsia="Times New Roman" w:hAnsi="Times New Roman" w:cs="Times New Roman"/>
          <w:sz w:val="28"/>
          <w:szCs w:val="28"/>
        </w:rPr>
        <w:t>,</w:t>
      </w:r>
      <w:r w:rsidRPr="001D0846">
        <w:rPr>
          <w:rFonts w:ascii="Times New Roman" w:eastAsia="Times New Roman" w:hAnsi="Times New Roman" w:cs="Times New Roman"/>
          <w:sz w:val="28"/>
          <w:szCs w:val="28"/>
        </w:rPr>
        <w:t xml:space="preserve"> restanțe ale contribuabililor în sumă totală de 1102,4 mil.lei, sau mai mult cu 128,2 mil.lei față de </w:t>
      </w:r>
      <w:r w:rsidR="006C0543">
        <w:rPr>
          <w:rFonts w:ascii="Times New Roman" w:eastAsia="Times New Roman" w:hAnsi="Times New Roman" w:cs="Times New Roman"/>
          <w:sz w:val="28"/>
          <w:szCs w:val="28"/>
        </w:rPr>
        <w:t>anul</w:t>
      </w:r>
      <w:r w:rsidRPr="001D0846">
        <w:rPr>
          <w:rFonts w:ascii="Times New Roman" w:eastAsia="Times New Roman" w:hAnsi="Times New Roman" w:cs="Times New Roman"/>
          <w:sz w:val="28"/>
          <w:szCs w:val="28"/>
        </w:rPr>
        <w:t xml:space="preserve"> 2016 și cu 223,2 mil.lei </w:t>
      </w:r>
      <w:r w:rsidR="006C0543">
        <w:rPr>
          <w:rFonts w:ascii="Times New Roman" w:eastAsia="Times New Roman" w:hAnsi="Times New Roman" w:cs="Times New Roman"/>
          <w:sz w:val="28"/>
          <w:szCs w:val="28"/>
        </w:rPr>
        <w:t xml:space="preserve">- </w:t>
      </w:r>
      <w:r w:rsidRPr="001D0846">
        <w:rPr>
          <w:rFonts w:ascii="Times New Roman" w:eastAsia="Times New Roman" w:hAnsi="Times New Roman" w:cs="Times New Roman"/>
          <w:sz w:val="28"/>
          <w:szCs w:val="28"/>
        </w:rPr>
        <w:t xml:space="preserve">față de </w:t>
      </w:r>
      <w:r w:rsidR="006C0543">
        <w:rPr>
          <w:rFonts w:ascii="Times New Roman" w:eastAsia="Times New Roman" w:hAnsi="Times New Roman" w:cs="Times New Roman"/>
          <w:sz w:val="28"/>
          <w:szCs w:val="28"/>
        </w:rPr>
        <w:t>anul</w:t>
      </w:r>
      <w:r w:rsidRPr="001D0846">
        <w:rPr>
          <w:rFonts w:ascii="Times New Roman" w:eastAsia="Times New Roman" w:hAnsi="Times New Roman" w:cs="Times New Roman"/>
          <w:sz w:val="28"/>
          <w:szCs w:val="28"/>
        </w:rPr>
        <w:t xml:space="preserve"> 2015. </w:t>
      </w:r>
      <w:r w:rsidRPr="00477706">
        <w:rPr>
          <w:rFonts w:ascii="Times New Roman" w:eastAsia="Times New Roman" w:hAnsi="Times New Roman" w:cs="Times New Roman"/>
          <w:i/>
          <w:sz w:val="28"/>
          <w:szCs w:val="28"/>
        </w:rPr>
        <w:t xml:space="preserve">Informația detaliată privind restanțele încasate la BPN de către SFS prin aplicarea modalităților de executare silită a obligației fiscale în perioada </w:t>
      </w:r>
      <w:r w:rsidR="006C0543">
        <w:rPr>
          <w:rFonts w:ascii="Times New Roman" w:eastAsia="Times New Roman" w:hAnsi="Times New Roman" w:cs="Times New Roman"/>
          <w:i/>
          <w:sz w:val="28"/>
          <w:szCs w:val="28"/>
        </w:rPr>
        <w:t xml:space="preserve">anilor </w:t>
      </w:r>
      <w:r w:rsidRPr="00477706">
        <w:rPr>
          <w:rFonts w:ascii="Times New Roman" w:eastAsia="Times New Roman" w:hAnsi="Times New Roman" w:cs="Times New Roman"/>
          <w:i/>
          <w:sz w:val="28"/>
          <w:szCs w:val="28"/>
        </w:rPr>
        <w:t>2014-2017</w:t>
      </w:r>
      <w:r w:rsidR="006C0543">
        <w:rPr>
          <w:rFonts w:ascii="Times New Roman" w:eastAsia="Times New Roman" w:hAnsi="Times New Roman" w:cs="Times New Roman"/>
          <w:i/>
          <w:sz w:val="28"/>
          <w:szCs w:val="28"/>
        </w:rPr>
        <w:t>este</w:t>
      </w:r>
      <w:r w:rsidRPr="00477706">
        <w:rPr>
          <w:rFonts w:ascii="Times New Roman" w:eastAsia="Times New Roman" w:hAnsi="Times New Roman" w:cs="Times New Roman"/>
          <w:i/>
          <w:sz w:val="28"/>
          <w:szCs w:val="28"/>
        </w:rPr>
        <w:t xml:space="preserve"> prez</w:t>
      </w:r>
      <w:r w:rsidR="006C0543">
        <w:rPr>
          <w:rFonts w:ascii="Times New Roman" w:eastAsia="Times New Roman" w:hAnsi="Times New Roman" w:cs="Times New Roman"/>
          <w:i/>
          <w:sz w:val="28"/>
          <w:szCs w:val="28"/>
        </w:rPr>
        <w:t>enta</w:t>
      </w:r>
      <w:r w:rsidRPr="00477706">
        <w:rPr>
          <w:rFonts w:ascii="Times New Roman" w:eastAsia="Times New Roman" w:hAnsi="Times New Roman" w:cs="Times New Roman"/>
          <w:i/>
          <w:sz w:val="28"/>
          <w:szCs w:val="28"/>
        </w:rPr>
        <w:t>tă în Tabelul nr.</w:t>
      </w:r>
      <w:r w:rsidR="00477706" w:rsidRPr="00477706">
        <w:rPr>
          <w:rFonts w:ascii="Times New Roman" w:eastAsia="Times New Roman" w:hAnsi="Times New Roman" w:cs="Times New Roman"/>
          <w:i/>
          <w:sz w:val="28"/>
          <w:szCs w:val="28"/>
        </w:rPr>
        <w:t>16</w:t>
      </w:r>
      <w:r w:rsidR="00867F12" w:rsidRPr="00477706">
        <w:rPr>
          <w:rFonts w:ascii="Times New Roman" w:eastAsia="Times New Roman" w:hAnsi="Times New Roman" w:cs="Times New Roman"/>
          <w:i/>
          <w:sz w:val="28"/>
          <w:szCs w:val="28"/>
        </w:rPr>
        <w:t xml:space="preserve"> din Anexa nr.3</w:t>
      </w:r>
      <w:r w:rsidR="00FF2CBB" w:rsidRPr="00477706">
        <w:rPr>
          <w:rFonts w:ascii="Times New Roman" w:eastAsia="Times New Roman" w:hAnsi="Times New Roman" w:cs="Times New Roman"/>
          <w:i/>
          <w:sz w:val="28"/>
          <w:szCs w:val="28"/>
        </w:rPr>
        <w:t xml:space="preserve"> la Raport</w:t>
      </w:r>
      <w:r w:rsidR="006C0543">
        <w:rPr>
          <w:rFonts w:ascii="Times New Roman" w:eastAsia="Times New Roman" w:hAnsi="Times New Roman" w:cs="Times New Roman"/>
          <w:i/>
          <w:sz w:val="28"/>
          <w:szCs w:val="28"/>
        </w:rPr>
        <w:t>ul</w:t>
      </w:r>
      <w:r w:rsidR="00FF2CBB" w:rsidRPr="00477706">
        <w:rPr>
          <w:rFonts w:ascii="Times New Roman" w:eastAsia="Times New Roman" w:hAnsi="Times New Roman" w:cs="Times New Roman"/>
          <w:i/>
          <w:sz w:val="28"/>
          <w:szCs w:val="28"/>
        </w:rPr>
        <w:t xml:space="preserve"> de audit.</w:t>
      </w:r>
    </w:p>
    <w:p w:rsidR="00C26C38" w:rsidRPr="001D0846" w:rsidRDefault="002F1B56" w:rsidP="006358AD">
      <w:pPr>
        <w:spacing w:after="0" w:line="276" w:lineRule="auto"/>
        <w:ind w:firstLine="709"/>
        <w:jc w:val="both"/>
        <w:rPr>
          <w:rFonts w:ascii="Times New Roman" w:eastAsia="Times New Roman" w:hAnsi="Times New Roman" w:cs="Times New Roman"/>
          <w:sz w:val="28"/>
          <w:szCs w:val="28"/>
        </w:rPr>
      </w:pPr>
      <w:r w:rsidRPr="001D0846">
        <w:rPr>
          <w:rFonts w:ascii="Times New Roman" w:eastAsia="Times New Roman" w:hAnsi="Times New Roman" w:cs="Times New Roman"/>
          <w:sz w:val="28"/>
          <w:szCs w:val="28"/>
        </w:rPr>
        <w:t>Analiza datelor</w:t>
      </w:r>
      <w:r w:rsidR="00C26C38" w:rsidRPr="001D0846">
        <w:rPr>
          <w:rFonts w:ascii="Times New Roman" w:eastAsia="Times New Roman" w:hAnsi="Times New Roman" w:cs="Times New Roman"/>
          <w:sz w:val="28"/>
          <w:szCs w:val="28"/>
        </w:rPr>
        <w:t xml:space="preserve"> prezentate în </w:t>
      </w:r>
      <w:r w:rsidR="006C0543">
        <w:rPr>
          <w:rFonts w:ascii="Times New Roman" w:eastAsia="Times New Roman" w:hAnsi="Times New Roman" w:cs="Times New Roman"/>
          <w:sz w:val="28"/>
          <w:szCs w:val="28"/>
        </w:rPr>
        <w:t>t</w:t>
      </w:r>
      <w:r w:rsidR="00C26C38" w:rsidRPr="001D0846">
        <w:rPr>
          <w:rFonts w:ascii="Times New Roman" w:eastAsia="Times New Roman" w:hAnsi="Times New Roman" w:cs="Times New Roman"/>
          <w:sz w:val="28"/>
          <w:szCs w:val="28"/>
        </w:rPr>
        <w:t xml:space="preserve">abel relevă că, deși pe parcursul anilor 2014-2017 SFS </w:t>
      </w:r>
      <w:r w:rsidR="006C0543" w:rsidRPr="003F4798">
        <w:rPr>
          <w:rFonts w:ascii="Times New Roman" w:eastAsia="Times New Roman" w:hAnsi="Times New Roman" w:cs="Times New Roman"/>
          <w:sz w:val="28"/>
          <w:szCs w:val="28"/>
        </w:rPr>
        <w:t xml:space="preserve">a </w:t>
      </w:r>
      <w:r w:rsidR="00C26C38" w:rsidRPr="003F4798">
        <w:rPr>
          <w:rFonts w:ascii="Times New Roman" w:eastAsia="Times New Roman" w:hAnsi="Times New Roman" w:cs="Times New Roman"/>
          <w:sz w:val="28"/>
          <w:szCs w:val="28"/>
        </w:rPr>
        <w:t>înregistr</w:t>
      </w:r>
      <w:r w:rsidR="006C0543" w:rsidRPr="003F4798">
        <w:rPr>
          <w:rFonts w:ascii="Times New Roman" w:eastAsia="Times New Roman" w:hAnsi="Times New Roman" w:cs="Times New Roman"/>
          <w:sz w:val="28"/>
          <w:szCs w:val="28"/>
        </w:rPr>
        <w:t>at</w:t>
      </w:r>
      <w:r w:rsidR="00C26C38" w:rsidRPr="003F4798">
        <w:rPr>
          <w:rFonts w:ascii="Times New Roman" w:eastAsia="Times New Roman" w:hAnsi="Times New Roman" w:cs="Times New Roman"/>
          <w:sz w:val="28"/>
          <w:szCs w:val="28"/>
        </w:rPr>
        <w:t xml:space="preserve"> un</w:t>
      </w:r>
      <w:r w:rsidR="00C26C38" w:rsidRPr="001D0846">
        <w:rPr>
          <w:rFonts w:ascii="Times New Roman" w:eastAsia="Times New Roman" w:hAnsi="Times New Roman" w:cs="Times New Roman"/>
          <w:sz w:val="28"/>
          <w:szCs w:val="28"/>
        </w:rPr>
        <w:t xml:space="preserve"> trend ascendent de încasare a veniturilor din impozite și taxe prin executarea silită a obligației fiscale, raportul acestora față de restanța formată </w:t>
      </w:r>
      <w:r w:rsidR="003F4798">
        <w:rPr>
          <w:rFonts w:ascii="Times New Roman" w:eastAsia="Times New Roman" w:hAnsi="Times New Roman" w:cs="Times New Roman"/>
          <w:sz w:val="28"/>
          <w:szCs w:val="28"/>
        </w:rPr>
        <w:t xml:space="preserve">indică </w:t>
      </w:r>
      <w:r w:rsidR="00C26C38" w:rsidRPr="001D0846">
        <w:rPr>
          <w:rFonts w:ascii="Times New Roman" w:eastAsia="Times New Roman" w:hAnsi="Times New Roman" w:cs="Times New Roman"/>
          <w:sz w:val="28"/>
          <w:szCs w:val="28"/>
        </w:rPr>
        <w:t xml:space="preserve">o evoluție descendentă. Astfel, se exemplifică situația </w:t>
      </w:r>
      <w:r w:rsidR="006C0543">
        <w:rPr>
          <w:rFonts w:ascii="Times New Roman" w:eastAsia="Times New Roman" w:hAnsi="Times New Roman" w:cs="Times New Roman"/>
          <w:sz w:val="28"/>
          <w:szCs w:val="28"/>
        </w:rPr>
        <w:t xml:space="preserve">din </w:t>
      </w:r>
      <w:r w:rsidR="00C26C38" w:rsidRPr="001D0846">
        <w:rPr>
          <w:rFonts w:ascii="Times New Roman" w:eastAsia="Times New Roman" w:hAnsi="Times New Roman" w:cs="Times New Roman"/>
          <w:sz w:val="28"/>
          <w:szCs w:val="28"/>
        </w:rPr>
        <w:t xml:space="preserve">anul 2017, </w:t>
      </w:r>
      <w:r w:rsidR="006C0543">
        <w:rPr>
          <w:rFonts w:ascii="Times New Roman" w:eastAsia="Times New Roman" w:hAnsi="Times New Roman" w:cs="Times New Roman"/>
          <w:sz w:val="28"/>
          <w:szCs w:val="28"/>
        </w:rPr>
        <w:t>când</w:t>
      </w:r>
      <w:r w:rsidR="00C26C38" w:rsidRPr="003F4798">
        <w:rPr>
          <w:rFonts w:ascii="Times New Roman" w:eastAsia="Times New Roman" w:hAnsi="Times New Roman" w:cs="Times New Roman"/>
          <w:sz w:val="28"/>
          <w:szCs w:val="28"/>
        </w:rPr>
        <w:t>SFS a realizat o creștere</w:t>
      </w:r>
      <w:r w:rsidR="00C26C38" w:rsidRPr="001D0846">
        <w:rPr>
          <w:rFonts w:ascii="Times New Roman" w:eastAsia="Times New Roman" w:hAnsi="Times New Roman" w:cs="Times New Roman"/>
          <w:sz w:val="28"/>
          <w:szCs w:val="28"/>
        </w:rPr>
        <w:t xml:space="preserve"> a încasărilor cu 128,2 mil.lei față de </w:t>
      </w:r>
      <w:r w:rsidR="006C0543">
        <w:rPr>
          <w:rFonts w:ascii="Times New Roman" w:eastAsia="Times New Roman" w:hAnsi="Times New Roman" w:cs="Times New Roman"/>
          <w:sz w:val="28"/>
          <w:szCs w:val="28"/>
        </w:rPr>
        <w:t>anul</w:t>
      </w:r>
      <w:r w:rsidR="00C26C38" w:rsidRPr="001D0846">
        <w:rPr>
          <w:rFonts w:ascii="Times New Roman" w:eastAsia="Times New Roman" w:hAnsi="Times New Roman" w:cs="Times New Roman"/>
          <w:sz w:val="28"/>
          <w:szCs w:val="28"/>
        </w:rPr>
        <w:t xml:space="preserve"> 2016, deși raportul acestora față de restanță înregistrează la situația d</w:t>
      </w:r>
      <w:r w:rsidR="006C0543">
        <w:rPr>
          <w:rFonts w:ascii="Times New Roman" w:eastAsia="Times New Roman" w:hAnsi="Times New Roman" w:cs="Times New Roman"/>
          <w:sz w:val="28"/>
          <w:szCs w:val="28"/>
        </w:rPr>
        <w:t>in</w:t>
      </w:r>
      <w:r w:rsidR="00C26C38" w:rsidRPr="001D0846">
        <w:rPr>
          <w:rFonts w:ascii="Times New Roman" w:eastAsia="Times New Roman" w:hAnsi="Times New Roman" w:cs="Times New Roman"/>
          <w:sz w:val="28"/>
          <w:szCs w:val="28"/>
        </w:rPr>
        <w:t xml:space="preserve"> 31.12.2017 o descreștere cu 2,9 puncte procentuale. </w:t>
      </w:r>
    </w:p>
    <w:p w:rsidR="00C26C38" w:rsidRPr="001D0846" w:rsidRDefault="00C26C38" w:rsidP="006358AD">
      <w:pPr>
        <w:spacing w:after="0" w:line="276" w:lineRule="auto"/>
        <w:ind w:firstLine="708"/>
        <w:jc w:val="both"/>
        <w:rPr>
          <w:rFonts w:ascii="Times New Roman" w:eastAsia="Times New Roman" w:hAnsi="Times New Roman" w:cs="Times New Roman"/>
          <w:sz w:val="28"/>
          <w:szCs w:val="28"/>
        </w:rPr>
      </w:pPr>
      <w:r w:rsidRPr="001D0846">
        <w:rPr>
          <w:rFonts w:ascii="Times New Roman" w:eastAsia="Times New Roman" w:hAnsi="Times New Roman" w:cs="Times New Roman"/>
          <w:sz w:val="28"/>
          <w:szCs w:val="28"/>
        </w:rPr>
        <w:t xml:space="preserve">În </w:t>
      </w:r>
      <w:r w:rsidR="006C0543">
        <w:rPr>
          <w:rFonts w:ascii="Times New Roman" w:eastAsia="Times New Roman" w:hAnsi="Times New Roman" w:cs="Times New Roman"/>
          <w:sz w:val="28"/>
          <w:szCs w:val="28"/>
        </w:rPr>
        <w:t>anul</w:t>
      </w:r>
      <w:r w:rsidRPr="001D0846">
        <w:rPr>
          <w:rFonts w:ascii="Times New Roman" w:eastAsia="Times New Roman" w:hAnsi="Times New Roman" w:cs="Times New Roman"/>
          <w:sz w:val="28"/>
          <w:szCs w:val="28"/>
        </w:rPr>
        <w:t xml:space="preserve"> 2017</w:t>
      </w:r>
      <w:r w:rsidR="006C0543">
        <w:rPr>
          <w:rFonts w:ascii="Times New Roman" w:eastAsia="Times New Roman" w:hAnsi="Times New Roman" w:cs="Times New Roman"/>
          <w:sz w:val="28"/>
          <w:szCs w:val="28"/>
        </w:rPr>
        <w:t>,</w:t>
      </w:r>
      <w:r w:rsidRPr="001D0846">
        <w:rPr>
          <w:rFonts w:ascii="Times New Roman" w:eastAsia="Times New Roman" w:hAnsi="Times New Roman" w:cs="Times New Roman"/>
          <w:sz w:val="28"/>
          <w:szCs w:val="28"/>
        </w:rPr>
        <w:t xml:space="preserve"> SFS a încasat venituri din impozite și taxe la BPN prin aplicarea următoarelor modalități de executare silită a obligației fiscale:</w:t>
      </w:r>
      <w:r w:rsidRPr="001D0846">
        <w:rPr>
          <w:rFonts w:ascii="Times New Roman" w:eastAsia="Times New Roman" w:hAnsi="Times New Roman" w:cs="Times New Roman"/>
          <w:i/>
          <w:sz w:val="28"/>
          <w:szCs w:val="28"/>
        </w:rPr>
        <w:t>(i)</w:t>
      </w:r>
      <w:r w:rsidRPr="001D0846">
        <w:rPr>
          <w:rFonts w:ascii="Times New Roman" w:eastAsia="Times New Roman" w:hAnsi="Times New Roman" w:cs="Times New Roman"/>
          <w:sz w:val="28"/>
          <w:szCs w:val="28"/>
        </w:rPr>
        <w:t xml:space="preserve"> încasarea mijloacelor bănești de pe conturile bancare ale contribuabililor (956,3 mil.lei); </w:t>
      </w:r>
      <w:r w:rsidRPr="001D0846">
        <w:rPr>
          <w:rFonts w:ascii="Times New Roman" w:eastAsia="Times New Roman" w:hAnsi="Times New Roman" w:cs="Times New Roman"/>
          <w:i/>
          <w:sz w:val="28"/>
          <w:szCs w:val="28"/>
        </w:rPr>
        <w:t>(ii)</w:t>
      </w:r>
      <w:r w:rsidRPr="001D0846">
        <w:rPr>
          <w:rFonts w:ascii="Times New Roman" w:eastAsia="Times New Roman" w:hAnsi="Times New Roman" w:cs="Times New Roman"/>
          <w:sz w:val="28"/>
          <w:szCs w:val="28"/>
        </w:rPr>
        <w:t xml:space="preserve"> ridicarea mijloacelor bănești în numerar (69,3 mil.lei);</w:t>
      </w:r>
      <w:r w:rsidRPr="001D0846">
        <w:rPr>
          <w:rFonts w:ascii="Times New Roman" w:eastAsia="Times New Roman" w:hAnsi="Times New Roman" w:cs="Times New Roman"/>
          <w:i/>
          <w:sz w:val="28"/>
          <w:szCs w:val="28"/>
        </w:rPr>
        <w:t>(iii)</w:t>
      </w:r>
      <w:r w:rsidRPr="001D0846">
        <w:rPr>
          <w:rFonts w:ascii="Times New Roman" w:eastAsia="Times New Roman" w:hAnsi="Times New Roman" w:cs="Times New Roman"/>
          <w:sz w:val="28"/>
          <w:szCs w:val="28"/>
        </w:rPr>
        <w:t xml:space="preserve"> urmărirea datoriilor debitoare ale contribuabililor (29,9 mil.lei)</w:t>
      </w:r>
      <w:r w:rsidR="00FB17C1" w:rsidRPr="001D0846">
        <w:rPr>
          <w:rFonts w:ascii="Times New Roman" w:eastAsia="Times New Roman" w:hAnsi="Times New Roman" w:cs="Times New Roman"/>
          <w:sz w:val="28"/>
          <w:szCs w:val="28"/>
        </w:rPr>
        <w:t xml:space="preserve">; </w:t>
      </w:r>
      <w:r w:rsidRPr="001D0846">
        <w:rPr>
          <w:rFonts w:ascii="Times New Roman" w:eastAsia="Times New Roman" w:hAnsi="Times New Roman" w:cs="Times New Roman"/>
          <w:i/>
          <w:sz w:val="28"/>
          <w:szCs w:val="28"/>
        </w:rPr>
        <w:t>(iv)</w:t>
      </w:r>
      <w:r w:rsidRPr="001D0846">
        <w:rPr>
          <w:rFonts w:ascii="Times New Roman" w:eastAsia="Times New Roman" w:hAnsi="Times New Roman" w:cs="Times New Roman"/>
          <w:sz w:val="28"/>
          <w:szCs w:val="28"/>
        </w:rPr>
        <w:t xml:space="preserve"> comercializarea bunurilor sechestrate (0,4 mil.lei) și achitarea restanței</w:t>
      </w:r>
      <w:r w:rsidR="006C0543">
        <w:rPr>
          <w:rFonts w:ascii="Times New Roman" w:eastAsia="Times New Roman" w:hAnsi="Times New Roman" w:cs="Times New Roman"/>
          <w:sz w:val="28"/>
          <w:szCs w:val="28"/>
        </w:rPr>
        <w:t>,</w:t>
      </w:r>
      <w:r w:rsidRPr="001D0846">
        <w:rPr>
          <w:rFonts w:ascii="Times New Roman" w:eastAsia="Times New Roman" w:hAnsi="Times New Roman" w:cs="Times New Roman"/>
          <w:sz w:val="28"/>
          <w:szCs w:val="28"/>
        </w:rPr>
        <w:t xml:space="preserve"> cu restituirea bunurilor sechestrate (46,5 mil.lei).</w:t>
      </w:r>
    </w:p>
    <w:p w:rsidR="00C26C38" w:rsidRPr="001D0846" w:rsidRDefault="00C26C38" w:rsidP="006358AD">
      <w:pPr>
        <w:spacing w:after="0" w:line="276" w:lineRule="auto"/>
        <w:ind w:firstLine="708"/>
        <w:jc w:val="both"/>
        <w:rPr>
          <w:rFonts w:ascii="Times New Roman" w:eastAsia="Times New Roman" w:hAnsi="Times New Roman" w:cs="Times New Roman"/>
          <w:sz w:val="28"/>
          <w:szCs w:val="28"/>
        </w:rPr>
      </w:pPr>
      <w:r w:rsidRPr="001D0846">
        <w:rPr>
          <w:rFonts w:ascii="Times New Roman" w:eastAsia="Times New Roman" w:hAnsi="Times New Roman" w:cs="Times New Roman"/>
          <w:sz w:val="28"/>
          <w:szCs w:val="28"/>
        </w:rPr>
        <w:lastRenderedPageBreak/>
        <w:t xml:space="preserve">Analiza efectuată de audit asupra încasării restanțelor la BPN prin aplicarea modalităților de executare silită a </w:t>
      </w:r>
      <w:r w:rsidRPr="00020547">
        <w:rPr>
          <w:rFonts w:ascii="Times New Roman" w:eastAsia="Times New Roman" w:hAnsi="Times New Roman" w:cs="Times New Roman"/>
          <w:sz w:val="28"/>
          <w:szCs w:val="28"/>
        </w:rPr>
        <w:t xml:space="preserve">obligației fiscale în perioada </w:t>
      </w:r>
      <w:r w:rsidR="006C0543" w:rsidRPr="00020547">
        <w:rPr>
          <w:rFonts w:ascii="Times New Roman" w:eastAsia="Times New Roman" w:hAnsi="Times New Roman" w:cs="Times New Roman"/>
          <w:sz w:val="28"/>
          <w:szCs w:val="28"/>
        </w:rPr>
        <w:t xml:space="preserve">anilor </w:t>
      </w:r>
      <w:r w:rsidRPr="00020547">
        <w:rPr>
          <w:rFonts w:ascii="Times New Roman" w:eastAsia="Times New Roman" w:hAnsi="Times New Roman" w:cs="Times New Roman"/>
          <w:sz w:val="28"/>
          <w:szCs w:val="28"/>
        </w:rPr>
        <w:t>2014-2017</w:t>
      </w:r>
      <w:r w:rsidR="005D2AA1" w:rsidRPr="00020547">
        <w:rPr>
          <w:rFonts w:ascii="Times New Roman" w:eastAsia="Times New Roman" w:hAnsi="Times New Roman" w:cs="Times New Roman"/>
          <w:sz w:val="28"/>
          <w:szCs w:val="28"/>
        </w:rPr>
        <w:t xml:space="preserve"> denotă</w:t>
      </w:r>
      <w:r w:rsidRPr="00020547">
        <w:rPr>
          <w:rFonts w:ascii="Times New Roman" w:eastAsia="Times New Roman" w:hAnsi="Times New Roman" w:cs="Times New Roman"/>
          <w:sz w:val="28"/>
          <w:szCs w:val="28"/>
        </w:rPr>
        <w:t xml:space="preserve"> că</w:t>
      </w:r>
      <w:r w:rsidR="00020547" w:rsidRPr="00020547">
        <w:rPr>
          <w:rFonts w:ascii="Times New Roman" w:eastAsia="Times New Roman" w:hAnsi="Times New Roman" w:cs="Times New Roman"/>
          <w:sz w:val="28"/>
          <w:szCs w:val="28"/>
        </w:rPr>
        <w:t>,</w:t>
      </w:r>
      <w:r w:rsidRPr="00020547">
        <w:rPr>
          <w:rFonts w:ascii="Times New Roman" w:eastAsia="Times New Roman" w:hAnsi="Times New Roman" w:cs="Times New Roman"/>
          <w:sz w:val="28"/>
          <w:szCs w:val="28"/>
        </w:rPr>
        <w:t xml:space="preserve"> ponderea majoră în totalul veniturilor încasate (</w:t>
      </w:r>
      <w:r w:rsidR="008D219C" w:rsidRPr="00020547">
        <w:rPr>
          <w:rFonts w:ascii="Times New Roman" w:eastAsia="Times New Roman" w:hAnsi="Times New Roman" w:cs="Times New Roman"/>
          <w:sz w:val="28"/>
          <w:szCs w:val="28"/>
        </w:rPr>
        <w:t>81,5</w:t>
      </w:r>
      <w:r w:rsidRPr="00020547">
        <w:rPr>
          <w:rFonts w:ascii="Times New Roman" w:eastAsia="Times New Roman" w:hAnsi="Times New Roman" w:cs="Times New Roman"/>
          <w:sz w:val="28"/>
          <w:szCs w:val="28"/>
        </w:rPr>
        <w:t>%) o dețin impozite</w:t>
      </w:r>
      <w:r w:rsidR="00020547" w:rsidRPr="00020547">
        <w:rPr>
          <w:rFonts w:ascii="Times New Roman" w:eastAsia="Times New Roman" w:hAnsi="Times New Roman" w:cs="Times New Roman"/>
          <w:sz w:val="28"/>
          <w:szCs w:val="28"/>
        </w:rPr>
        <w:t>le</w:t>
      </w:r>
      <w:r w:rsidRPr="00020547">
        <w:rPr>
          <w:rFonts w:ascii="Times New Roman" w:eastAsia="Times New Roman" w:hAnsi="Times New Roman" w:cs="Times New Roman"/>
          <w:sz w:val="28"/>
          <w:szCs w:val="28"/>
        </w:rPr>
        <w:t xml:space="preserve"> și taxe</w:t>
      </w:r>
      <w:r w:rsidR="00020547" w:rsidRPr="00020547">
        <w:rPr>
          <w:rFonts w:ascii="Times New Roman" w:eastAsia="Times New Roman" w:hAnsi="Times New Roman" w:cs="Times New Roman"/>
          <w:sz w:val="28"/>
          <w:szCs w:val="28"/>
        </w:rPr>
        <w:t>le</w:t>
      </w:r>
      <w:r w:rsidR="005D2AA1" w:rsidRPr="00020547">
        <w:rPr>
          <w:rFonts w:ascii="Times New Roman" w:eastAsia="Times New Roman" w:hAnsi="Times New Roman" w:cs="Times New Roman"/>
          <w:sz w:val="28"/>
          <w:szCs w:val="28"/>
        </w:rPr>
        <w:t>,</w:t>
      </w:r>
      <w:r w:rsidRPr="00020547">
        <w:rPr>
          <w:rFonts w:ascii="Times New Roman" w:eastAsia="Times New Roman" w:hAnsi="Times New Roman" w:cs="Times New Roman"/>
          <w:sz w:val="28"/>
          <w:szCs w:val="28"/>
        </w:rPr>
        <w:t xml:space="preserve"> obținute prin </w:t>
      </w:r>
      <w:r w:rsidRPr="00020547">
        <w:rPr>
          <w:rFonts w:ascii="Times New Roman" w:eastAsia="Times New Roman" w:hAnsi="Times New Roman" w:cs="Times New Roman"/>
          <w:iCs/>
          <w:sz w:val="28"/>
          <w:szCs w:val="28"/>
        </w:rPr>
        <w:t>încasarea mijloacelor</w:t>
      </w:r>
      <w:r w:rsidRPr="001D0846">
        <w:rPr>
          <w:rFonts w:ascii="Times New Roman" w:eastAsia="Times New Roman" w:hAnsi="Times New Roman" w:cs="Times New Roman"/>
          <w:iCs/>
          <w:sz w:val="28"/>
          <w:szCs w:val="28"/>
        </w:rPr>
        <w:t xml:space="preserve"> bănești de pe conturile bancare ale contribuabililor restanțieri</w:t>
      </w:r>
      <w:r w:rsidRPr="001D0846">
        <w:rPr>
          <w:rFonts w:ascii="Times New Roman" w:eastAsia="Times New Roman" w:hAnsi="Times New Roman" w:cs="Times New Roman"/>
          <w:sz w:val="28"/>
          <w:szCs w:val="28"/>
        </w:rPr>
        <w:t xml:space="preserve">, care însumează 2800,5 mil.lei. Veniturile obținute prin aplicarea altor modalități de executare silită dețin o pondere care </w:t>
      </w:r>
      <w:r w:rsidR="008D219C" w:rsidRPr="001D0846">
        <w:rPr>
          <w:rFonts w:ascii="Times New Roman" w:eastAsia="Times New Roman" w:hAnsi="Times New Roman" w:cs="Times New Roman"/>
          <w:sz w:val="28"/>
          <w:szCs w:val="28"/>
        </w:rPr>
        <w:t xml:space="preserve">variază între 3,3% </w:t>
      </w:r>
      <w:r w:rsidR="005D2AA1">
        <w:rPr>
          <w:rFonts w:ascii="Times New Roman" w:eastAsia="Times New Roman" w:hAnsi="Times New Roman" w:cs="Times New Roman"/>
          <w:sz w:val="28"/>
          <w:szCs w:val="28"/>
        </w:rPr>
        <w:t>și</w:t>
      </w:r>
      <w:r w:rsidR="008D219C" w:rsidRPr="001D0846">
        <w:rPr>
          <w:rFonts w:ascii="Times New Roman" w:eastAsia="Times New Roman" w:hAnsi="Times New Roman" w:cs="Times New Roman"/>
          <w:sz w:val="28"/>
          <w:szCs w:val="28"/>
        </w:rPr>
        <w:t xml:space="preserve"> 8,7</w:t>
      </w:r>
      <w:r w:rsidRPr="001D0846">
        <w:rPr>
          <w:rFonts w:ascii="Times New Roman" w:eastAsia="Times New Roman" w:hAnsi="Times New Roman" w:cs="Times New Roman"/>
          <w:sz w:val="28"/>
          <w:szCs w:val="28"/>
        </w:rPr>
        <w:t>%.</w:t>
      </w:r>
    </w:p>
    <w:p w:rsidR="00C26C38" w:rsidRPr="001D0846" w:rsidRDefault="00C26C38" w:rsidP="006358AD">
      <w:pPr>
        <w:spacing w:after="0" w:line="276" w:lineRule="auto"/>
        <w:ind w:firstLine="708"/>
        <w:jc w:val="both"/>
        <w:rPr>
          <w:rFonts w:ascii="Times New Roman" w:eastAsia="Times New Roman" w:hAnsi="Times New Roman" w:cs="Times New Roman"/>
          <w:sz w:val="28"/>
          <w:szCs w:val="28"/>
        </w:rPr>
      </w:pPr>
      <w:r w:rsidRPr="001D0846">
        <w:rPr>
          <w:rFonts w:ascii="Times New Roman" w:eastAsia="Times New Roman" w:hAnsi="Times New Roman" w:cs="Times New Roman"/>
          <w:sz w:val="28"/>
          <w:szCs w:val="28"/>
        </w:rPr>
        <w:t xml:space="preserve">Verificările </w:t>
      </w:r>
      <w:r w:rsidR="005D2AA1">
        <w:rPr>
          <w:rFonts w:ascii="Times New Roman" w:eastAsia="Times New Roman" w:hAnsi="Times New Roman" w:cs="Times New Roman"/>
          <w:sz w:val="28"/>
          <w:szCs w:val="28"/>
        </w:rPr>
        <w:t xml:space="preserve">efectuate de </w:t>
      </w:r>
      <w:r w:rsidRPr="001D0846">
        <w:rPr>
          <w:rFonts w:ascii="Times New Roman" w:eastAsia="Times New Roman" w:hAnsi="Times New Roman" w:cs="Times New Roman"/>
          <w:sz w:val="28"/>
          <w:szCs w:val="28"/>
        </w:rPr>
        <w:t xml:space="preserve">audit asupra eficienței și eficacității procesului de executare silită a obligației fiscale de către SFS </w:t>
      </w:r>
      <w:r w:rsidR="005D2AA1">
        <w:rPr>
          <w:rFonts w:ascii="Times New Roman" w:eastAsia="Times New Roman" w:hAnsi="Times New Roman" w:cs="Times New Roman"/>
          <w:sz w:val="28"/>
          <w:szCs w:val="28"/>
        </w:rPr>
        <w:t>atestă</w:t>
      </w:r>
      <w:r w:rsidRPr="001D0846">
        <w:rPr>
          <w:rFonts w:ascii="Times New Roman" w:eastAsia="Times New Roman" w:hAnsi="Times New Roman" w:cs="Times New Roman"/>
          <w:sz w:val="28"/>
          <w:szCs w:val="28"/>
        </w:rPr>
        <w:t xml:space="preserve"> unele vulnerabilități și problematici</w:t>
      </w:r>
      <w:r w:rsidR="005D2AA1">
        <w:rPr>
          <w:rFonts w:ascii="Times New Roman" w:eastAsia="Times New Roman" w:hAnsi="Times New Roman" w:cs="Times New Roman"/>
          <w:sz w:val="28"/>
          <w:szCs w:val="28"/>
        </w:rPr>
        <w:t>,</w:t>
      </w:r>
      <w:r w:rsidRPr="001D0846">
        <w:rPr>
          <w:rFonts w:ascii="Times New Roman" w:eastAsia="Times New Roman" w:hAnsi="Times New Roman" w:cs="Times New Roman"/>
          <w:sz w:val="28"/>
          <w:szCs w:val="28"/>
        </w:rPr>
        <w:t xml:space="preserve"> care limitează performanțele instituționale în administrarea restanțelor la BPN, după cum urmează:  </w:t>
      </w:r>
    </w:p>
    <w:p w:rsidR="002F1B56" w:rsidRPr="001D0846" w:rsidRDefault="005F66C3" w:rsidP="005F66C3">
      <w:pPr>
        <w:tabs>
          <w:tab w:val="left" w:pos="270"/>
          <w:tab w:val="left" w:pos="900"/>
          <w:tab w:val="left" w:pos="993"/>
        </w:tabs>
        <w:spacing w:after="0" w:line="276"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(i)  modul</w:t>
      </w:r>
      <w:r w:rsidR="002F1B56" w:rsidRPr="001D0846">
        <w:rPr>
          <w:rFonts w:ascii="Times New Roman" w:eastAsia="Times New Roman" w:hAnsi="Times New Roman" w:cs="Times New Roman"/>
          <w:sz w:val="28"/>
          <w:szCs w:val="28"/>
          <w:lang w:eastAsia="ru-RU"/>
        </w:rPr>
        <w:t xml:space="preserve"> de administrare a restanțelor unor contribuabili la BPN (cu valoarea de peste 1</w:t>
      </w:r>
      <w:r w:rsidR="005D2AA1">
        <w:rPr>
          <w:rFonts w:ascii="Times New Roman" w:eastAsia="Times New Roman" w:hAnsi="Times New Roman" w:cs="Times New Roman"/>
          <w:sz w:val="28"/>
          <w:szCs w:val="28"/>
          <w:lang w:eastAsia="ru-RU"/>
        </w:rPr>
        <w:t>,0</w:t>
      </w:r>
      <w:r w:rsidR="002F1B56" w:rsidRPr="001D0846">
        <w:rPr>
          <w:rFonts w:ascii="Times New Roman" w:eastAsia="Times New Roman" w:hAnsi="Times New Roman" w:cs="Times New Roman"/>
          <w:sz w:val="28"/>
          <w:szCs w:val="28"/>
          <w:lang w:eastAsia="ru-RU"/>
        </w:rPr>
        <w:t xml:space="preserve"> mil.lei) relevă neaplicarea prom</w:t>
      </w:r>
      <w:r w:rsidR="005D2AA1">
        <w:rPr>
          <w:rFonts w:ascii="Times New Roman" w:eastAsia="Times New Roman" w:hAnsi="Times New Roman" w:cs="Times New Roman"/>
          <w:sz w:val="28"/>
          <w:szCs w:val="28"/>
          <w:lang w:eastAsia="ru-RU"/>
        </w:rPr>
        <w:t>p</w:t>
      </w:r>
      <w:r w:rsidR="002F1B56" w:rsidRPr="001D0846">
        <w:rPr>
          <w:rFonts w:ascii="Times New Roman" w:eastAsia="Times New Roman" w:hAnsi="Times New Roman" w:cs="Times New Roman"/>
          <w:sz w:val="28"/>
          <w:szCs w:val="28"/>
          <w:lang w:eastAsia="ru-RU"/>
        </w:rPr>
        <w:t>tă și rezultativă</w:t>
      </w:r>
      <w:r w:rsidR="005D2AA1">
        <w:rPr>
          <w:rFonts w:ascii="Times New Roman" w:eastAsia="Times New Roman" w:hAnsi="Times New Roman" w:cs="Times New Roman"/>
          <w:sz w:val="28"/>
          <w:szCs w:val="28"/>
          <w:lang w:eastAsia="ru-RU"/>
        </w:rPr>
        <w:t>,</w:t>
      </w:r>
      <w:r w:rsidR="002F1B56" w:rsidRPr="001D0846">
        <w:rPr>
          <w:rFonts w:ascii="Times New Roman" w:eastAsia="Times New Roman" w:hAnsi="Times New Roman" w:cs="Times New Roman"/>
          <w:sz w:val="28"/>
          <w:szCs w:val="28"/>
          <w:lang w:eastAsia="ru-RU"/>
        </w:rPr>
        <w:t xml:space="preserve"> în unele cazuri</w:t>
      </w:r>
      <w:r w:rsidR="005D2AA1">
        <w:rPr>
          <w:rFonts w:ascii="Times New Roman" w:eastAsia="Times New Roman" w:hAnsi="Times New Roman" w:cs="Times New Roman"/>
          <w:sz w:val="28"/>
          <w:szCs w:val="28"/>
          <w:lang w:eastAsia="ru-RU"/>
        </w:rPr>
        <w:t>,</w:t>
      </w:r>
      <w:r w:rsidR="002F1B56" w:rsidRPr="001D0846">
        <w:rPr>
          <w:rFonts w:ascii="Times New Roman" w:eastAsia="Times New Roman" w:hAnsi="Times New Roman" w:cs="Times New Roman"/>
          <w:sz w:val="28"/>
          <w:szCs w:val="28"/>
          <w:lang w:eastAsia="ru-RU"/>
        </w:rPr>
        <w:t xml:space="preserve"> de către SFS a măsurilor în vederea încasării restanțelor la buget, fapt care generează majorarea continuă a </w:t>
      </w:r>
      <w:r w:rsidR="00E76097">
        <w:rPr>
          <w:rFonts w:ascii="Times New Roman" w:eastAsia="Times New Roman" w:hAnsi="Times New Roman" w:cs="Times New Roman"/>
          <w:sz w:val="28"/>
          <w:szCs w:val="28"/>
          <w:lang w:eastAsia="ru-RU"/>
        </w:rPr>
        <w:t>acestora</w:t>
      </w:r>
      <w:r w:rsidR="002F1B56" w:rsidRPr="001D0846">
        <w:rPr>
          <w:rFonts w:ascii="Times New Roman" w:eastAsia="Times New Roman" w:hAnsi="Times New Roman" w:cs="Times New Roman"/>
          <w:sz w:val="28"/>
          <w:szCs w:val="28"/>
          <w:lang w:eastAsia="ru-RU"/>
        </w:rPr>
        <w:t>. Astfel, testările efectuate pe un eșantion de 41 contribuabili</w:t>
      </w:r>
      <w:r w:rsidR="005D2AA1">
        <w:rPr>
          <w:rFonts w:ascii="Times New Roman" w:eastAsia="Times New Roman" w:hAnsi="Times New Roman" w:cs="Times New Roman"/>
          <w:sz w:val="28"/>
          <w:szCs w:val="28"/>
          <w:lang w:eastAsia="ru-RU"/>
        </w:rPr>
        <w:t>,</w:t>
      </w:r>
      <w:r w:rsidR="002F1B56" w:rsidRPr="001D0846">
        <w:rPr>
          <w:rFonts w:ascii="Times New Roman" w:eastAsia="Times New Roman" w:hAnsi="Times New Roman" w:cs="Times New Roman"/>
          <w:sz w:val="28"/>
          <w:szCs w:val="28"/>
          <w:lang w:eastAsia="ru-RU"/>
        </w:rPr>
        <w:t xml:space="preserve"> care la 31.12.2017 înregistrau restanțe în valoare totală de 762</w:t>
      </w:r>
      <w:r w:rsidR="005D2AA1">
        <w:rPr>
          <w:rFonts w:ascii="Times New Roman" w:eastAsia="Times New Roman" w:hAnsi="Times New Roman" w:cs="Times New Roman"/>
          <w:sz w:val="28"/>
          <w:szCs w:val="28"/>
          <w:lang w:eastAsia="ru-RU"/>
        </w:rPr>
        <w:t>,0</w:t>
      </w:r>
      <w:r w:rsidR="002F1B56" w:rsidRPr="001D0846">
        <w:rPr>
          <w:rFonts w:ascii="Times New Roman" w:eastAsia="Times New Roman" w:hAnsi="Times New Roman" w:cs="Times New Roman"/>
          <w:sz w:val="28"/>
          <w:szCs w:val="28"/>
          <w:lang w:eastAsia="ru-RU"/>
        </w:rPr>
        <w:t xml:space="preserve"> mil.lei, sau 34,9 % din totalul restanțelor la BPN (2182</w:t>
      </w:r>
      <w:r w:rsidR="005D2AA1">
        <w:rPr>
          <w:rFonts w:ascii="Times New Roman" w:eastAsia="Times New Roman" w:hAnsi="Times New Roman" w:cs="Times New Roman"/>
          <w:sz w:val="28"/>
          <w:szCs w:val="28"/>
          <w:lang w:eastAsia="ru-RU"/>
        </w:rPr>
        <w:t>,0</w:t>
      </w:r>
      <w:r w:rsidR="002F1B56" w:rsidRPr="001D0846">
        <w:rPr>
          <w:rFonts w:ascii="Times New Roman" w:eastAsia="Times New Roman" w:hAnsi="Times New Roman" w:cs="Times New Roman"/>
          <w:sz w:val="28"/>
          <w:szCs w:val="28"/>
          <w:lang w:eastAsia="ru-RU"/>
        </w:rPr>
        <w:t xml:space="preserve"> mil.lei), </w:t>
      </w:r>
      <w:r w:rsidR="005D2AA1">
        <w:rPr>
          <w:rFonts w:ascii="Times New Roman" w:eastAsia="Times New Roman" w:hAnsi="Times New Roman" w:cs="Times New Roman"/>
          <w:sz w:val="28"/>
          <w:szCs w:val="28"/>
          <w:lang w:eastAsia="ru-RU"/>
        </w:rPr>
        <w:t>indică</w:t>
      </w:r>
      <w:r w:rsidR="002F1B56" w:rsidRPr="001D0846">
        <w:rPr>
          <w:rFonts w:ascii="Times New Roman" w:eastAsia="Times New Roman" w:hAnsi="Times New Roman" w:cs="Times New Roman"/>
          <w:sz w:val="28"/>
          <w:szCs w:val="28"/>
          <w:lang w:eastAsia="ru-RU"/>
        </w:rPr>
        <w:t xml:space="preserve"> că în anul 2018 (02.05.2018) re</w:t>
      </w:r>
      <w:r w:rsidR="00E76097">
        <w:rPr>
          <w:rFonts w:ascii="Times New Roman" w:eastAsia="Times New Roman" w:hAnsi="Times New Roman" w:cs="Times New Roman"/>
          <w:sz w:val="28"/>
          <w:szCs w:val="28"/>
          <w:lang w:eastAsia="ru-RU"/>
        </w:rPr>
        <w:t>stanțele acestor contribuabili</w:t>
      </w:r>
      <w:r w:rsidR="002F1B56" w:rsidRPr="001D0846">
        <w:rPr>
          <w:rFonts w:ascii="Times New Roman" w:eastAsia="Times New Roman" w:hAnsi="Times New Roman" w:cs="Times New Roman"/>
          <w:sz w:val="28"/>
          <w:szCs w:val="28"/>
          <w:lang w:eastAsia="ru-RU"/>
        </w:rPr>
        <w:t xml:space="preserve"> au constituit 796,8 mil.lei, majorându-se cu 34,8 mil.lei</w:t>
      </w:r>
      <w:r w:rsidR="005D2AA1">
        <w:rPr>
          <w:rFonts w:ascii="Times New Roman" w:eastAsia="Times New Roman" w:hAnsi="Times New Roman" w:cs="Times New Roman"/>
          <w:sz w:val="28"/>
          <w:szCs w:val="28"/>
          <w:lang w:eastAsia="ru-RU"/>
        </w:rPr>
        <w:t>,</w:t>
      </w:r>
      <w:r w:rsidR="002F1B56" w:rsidRPr="001D0846">
        <w:rPr>
          <w:rFonts w:ascii="Times New Roman" w:eastAsia="Times New Roman" w:hAnsi="Times New Roman" w:cs="Times New Roman"/>
          <w:sz w:val="28"/>
          <w:szCs w:val="28"/>
          <w:lang w:eastAsia="ru-RU"/>
        </w:rPr>
        <w:t xml:space="preserve"> din cauza creșterii penalităților la plățile </w:t>
      </w:r>
      <w:r w:rsidR="001B5715" w:rsidRPr="001D0846">
        <w:rPr>
          <w:rFonts w:ascii="Times New Roman" w:eastAsia="Times New Roman" w:hAnsi="Times New Roman" w:cs="Times New Roman"/>
          <w:sz w:val="28"/>
          <w:szCs w:val="28"/>
          <w:lang w:eastAsia="ru-RU"/>
        </w:rPr>
        <w:t>de bază</w:t>
      </w:r>
      <w:r w:rsidR="002F1B56" w:rsidRPr="001D0846">
        <w:rPr>
          <w:rFonts w:ascii="Times New Roman" w:eastAsia="Times New Roman" w:hAnsi="Times New Roman" w:cs="Times New Roman"/>
          <w:sz w:val="28"/>
          <w:szCs w:val="28"/>
          <w:lang w:eastAsia="ru-RU"/>
        </w:rPr>
        <w:t>.</w:t>
      </w:r>
    </w:p>
    <w:p w:rsidR="00C26C38" w:rsidRPr="001D0846" w:rsidRDefault="005F66C3" w:rsidP="006358AD">
      <w:pPr>
        <w:tabs>
          <w:tab w:val="left" w:pos="540"/>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(ii)  </w:t>
      </w:r>
      <w:r w:rsidR="005D2AA1">
        <w:rPr>
          <w:rFonts w:ascii="Times New Roman" w:eastAsia="Times New Roman" w:hAnsi="Times New Roman" w:cs="Times New Roman"/>
          <w:sz w:val="28"/>
          <w:szCs w:val="28"/>
          <w:lang w:eastAsia="ru-RU"/>
        </w:rPr>
        <w:t>Pe</w:t>
      </w:r>
      <w:r w:rsidR="00C26C38" w:rsidRPr="001D0846">
        <w:rPr>
          <w:rFonts w:ascii="Times New Roman" w:eastAsia="Times New Roman" w:hAnsi="Times New Roman" w:cs="Times New Roman"/>
          <w:sz w:val="28"/>
          <w:szCs w:val="28"/>
          <w:lang w:eastAsia="ru-RU"/>
        </w:rPr>
        <w:t xml:space="preserve">ntru asigurarea bunei administrări fiscale și diminuarea restanțelor la BPN, în </w:t>
      </w:r>
      <w:r w:rsidR="005D2AA1">
        <w:rPr>
          <w:rFonts w:ascii="Times New Roman" w:eastAsia="Times New Roman" w:hAnsi="Times New Roman" w:cs="Times New Roman"/>
          <w:sz w:val="28"/>
          <w:szCs w:val="28"/>
          <w:lang w:eastAsia="ru-RU"/>
        </w:rPr>
        <w:t>anul</w:t>
      </w:r>
      <w:r w:rsidR="00C26C38" w:rsidRPr="001D0846">
        <w:rPr>
          <w:rFonts w:ascii="Times New Roman" w:eastAsia="Times New Roman" w:hAnsi="Times New Roman" w:cs="Times New Roman"/>
          <w:sz w:val="28"/>
          <w:szCs w:val="28"/>
          <w:lang w:eastAsia="ru-RU"/>
        </w:rPr>
        <w:t xml:space="preserve"> 2017</w:t>
      </w:r>
      <w:r w:rsidR="005D2AA1">
        <w:rPr>
          <w:rFonts w:ascii="Times New Roman" w:eastAsia="Times New Roman" w:hAnsi="Times New Roman" w:cs="Times New Roman"/>
          <w:sz w:val="28"/>
          <w:szCs w:val="28"/>
          <w:lang w:eastAsia="ru-RU"/>
        </w:rPr>
        <w:t>,</w:t>
      </w:r>
      <w:r w:rsidR="00C26C38" w:rsidRPr="001D0846">
        <w:rPr>
          <w:rFonts w:ascii="Times New Roman" w:eastAsia="Times New Roman" w:hAnsi="Times New Roman" w:cs="Times New Roman"/>
          <w:sz w:val="28"/>
          <w:szCs w:val="28"/>
          <w:lang w:eastAsia="ru-RU"/>
        </w:rPr>
        <w:t xml:space="preserve"> prin ordinul SFS</w:t>
      </w:r>
      <w:r w:rsidR="00C26C38" w:rsidRPr="001D0846">
        <w:rPr>
          <w:rStyle w:val="FootnoteReference"/>
          <w:rFonts w:ascii="Times New Roman" w:eastAsia="Times New Roman" w:hAnsi="Times New Roman" w:cs="Times New Roman"/>
          <w:sz w:val="28"/>
          <w:szCs w:val="28"/>
          <w:lang w:eastAsia="ru-RU"/>
        </w:rPr>
        <w:footnoteReference w:id="18"/>
      </w:r>
      <w:r w:rsidR="005D2AA1">
        <w:rPr>
          <w:rFonts w:ascii="Times New Roman" w:eastAsia="Times New Roman" w:hAnsi="Times New Roman" w:cs="Times New Roman"/>
          <w:sz w:val="28"/>
          <w:szCs w:val="28"/>
          <w:lang w:eastAsia="ru-RU"/>
        </w:rPr>
        <w:t>,</w:t>
      </w:r>
      <w:r w:rsidR="00C26C38" w:rsidRPr="001D0846">
        <w:rPr>
          <w:rFonts w:ascii="Times New Roman" w:eastAsia="Times New Roman" w:hAnsi="Times New Roman" w:cs="Times New Roman"/>
          <w:sz w:val="28"/>
          <w:szCs w:val="28"/>
          <w:lang w:eastAsia="ru-RU"/>
        </w:rPr>
        <w:t xml:space="preserve"> au fost create grupuri de lucru în cadrul DGAF, care să efectueze inventarierea tuturor dosarelor contribuabililor la compartimentul executare silită</w:t>
      </w:r>
      <w:r w:rsidR="00C010A0" w:rsidRPr="001D0846">
        <w:rPr>
          <w:rFonts w:ascii="Times New Roman" w:eastAsia="Times New Roman" w:hAnsi="Times New Roman" w:cs="Times New Roman"/>
          <w:sz w:val="28"/>
          <w:szCs w:val="28"/>
          <w:lang w:eastAsia="ru-RU"/>
        </w:rPr>
        <w:t>.</w:t>
      </w:r>
      <w:r w:rsidR="00C26C38" w:rsidRPr="001D0846">
        <w:rPr>
          <w:rFonts w:ascii="Times New Roman" w:hAnsi="Times New Roman"/>
          <w:sz w:val="28"/>
          <w:szCs w:val="28"/>
        </w:rPr>
        <w:t>Conform raportului privind rezultatele inventarierii</w:t>
      </w:r>
      <w:r w:rsidR="005D2AA1">
        <w:rPr>
          <w:rFonts w:ascii="Times New Roman" w:hAnsi="Times New Roman"/>
          <w:sz w:val="28"/>
          <w:szCs w:val="28"/>
        </w:rPr>
        <w:t>,</w:t>
      </w:r>
      <w:r w:rsidR="00C26C38" w:rsidRPr="001D0846">
        <w:rPr>
          <w:rFonts w:ascii="Times New Roman" w:hAnsi="Times New Roman"/>
          <w:sz w:val="28"/>
          <w:szCs w:val="28"/>
        </w:rPr>
        <w:t xml:space="preserve"> prezentat auditului, procedurile de inventariere s-au efectuat la DGAF și DGACM, fiind inventariate sechestrele a 223 de contribuabili</w:t>
      </w:r>
      <w:r w:rsidR="005D2AA1">
        <w:rPr>
          <w:rFonts w:ascii="Times New Roman" w:hAnsi="Times New Roman"/>
          <w:sz w:val="28"/>
          <w:szCs w:val="28"/>
        </w:rPr>
        <w:t>,</w:t>
      </w:r>
      <w:r w:rsidR="00C26C38" w:rsidRPr="001D0846">
        <w:rPr>
          <w:rFonts w:ascii="Times New Roman" w:hAnsi="Times New Roman"/>
          <w:sz w:val="28"/>
          <w:szCs w:val="28"/>
        </w:rPr>
        <w:t xml:space="preserve"> în valoare totală de </w:t>
      </w:r>
      <w:r w:rsidR="00C26C38" w:rsidRPr="001D0846">
        <w:rPr>
          <w:rFonts w:ascii="Times New Roman" w:hAnsi="Times New Roman" w:cs="Times New Roman"/>
          <w:sz w:val="28"/>
          <w:szCs w:val="28"/>
        </w:rPr>
        <w:t>203,1 mil.lei, constatându-se următoarele:</w:t>
      </w:r>
    </w:p>
    <w:p w:rsidR="00C26C38" w:rsidRPr="001D0846" w:rsidRDefault="00B17206" w:rsidP="003E553B">
      <w:pPr>
        <w:pStyle w:val="ListParagraph"/>
        <w:numPr>
          <w:ilvl w:val="0"/>
          <w:numId w:val="6"/>
        </w:numPr>
        <w:tabs>
          <w:tab w:val="left" w:pos="450"/>
        </w:tabs>
        <w:spacing w:after="0" w:line="276" w:lineRule="auto"/>
        <w:ind w:left="0" w:firstLine="180"/>
        <w:jc w:val="both"/>
        <w:rPr>
          <w:rFonts w:ascii="Times New Roman" w:hAnsi="Times New Roman"/>
          <w:sz w:val="28"/>
          <w:szCs w:val="28"/>
        </w:rPr>
      </w:pPr>
      <w:r>
        <w:rPr>
          <w:rFonts w:ascii="Times New Roman" w:hAnsi="Times New Roman" w:cs="Times New Roman"/>
          <w:sz w:val="28"/>
          <w:szCs w:val="28"/>
        </w:rPr>
        <w:t>l</w:t>
      </w:r>
      <w:r w:rsidR="00C26C38" w:rsidRPr="001D0846">
        <w:rPr>
          <w:rFonts w:ascii="Times New Roman" w:hAnsi="Times New Roman" w:cs="Times New Roman"/>
          <w:sz w:val="28"/>
          <w:szCs w:val="28"/>
        </w:rPr>
        <w:t xml:space="preserve">ipsa bunurilor sechestrate în </w:t>
      </w:r>
      <w:r>
        <w:rPr>
          <w:rFonts w:ascii="Times New Roman" w:hAnsi="Times New Roman" w:cs="Times New Roman"/>
          <w:sz w:val="28"/>
          <w:szCs w:val="28"/>
        </w:rPr>
        <w:t>valoare</w:t>
      </w:r>
      <w:r w:rsidR="00C26C38" w:rsidRPr="001D0846">
        <w:rPr>
          <w:rFonts w:ascii="Times New Roman" w:hAnsi="Times New Roman" w:cs="Times New Roman"/>
          <w:sz w:val="28"/>
          <w:szCs w:val="28"/>
        </w:rPr>
        <w:t xml:space="preserve"> de 5</w:t>
      </w:r>
      <w:r>
        <w:rPr>
          <w:rFonts w:ascii="Times New Roman" w:hAnsi="Times New Roman" w:cs="Times New Roman"/>
          <w:sz w:val="28"/>
          <w:szCs w:val="28"/>
        </w:rPr>
        <w:t>,0</w:t>
      </w:r>
      <w:r w:rsidR="00C26C38" w:rsidRPr="001D0846">
        <w:rPr>
          <w:rFonts w:ascii="Times New Roman" w:hAnsi="Times New Roman" w:cs="Times New Roman"/>
          <w:sz w:val="28"/>
          <w:szCs w:val="28"/>
        </w:rPr>
        <w:t xml:space="preserve"> mil.lei la locul de păstrare;</w:t>
      </w:r>
    </w:p>
    <w:p w:rsidR="00C26C38" w:rsidRPr="001D0846" w:rsidRDefault="00B17206" w:rsidP="003E553B">
      <w:pPr>
        <w:pStyle w:val="ListParagraph"/>
        <w:numPr>
          <w:ilvl w:val="0"/>
          <w:numId w:val="6"/>
        </w:numPr>
        <w:tabs>
          <w:tab w:val="left" w:pos="450"/>
        </w:tabs>
        <w:spacing w:after="0" w:line="276" w:lineRule="auto"/>
        <w:ind w:left="0" w:firstLine="180"/>
        <w:jc w:val="both"/>
        <w:rPr>
          <w:rFonts w:ascii="Times New Roman" w:hAnsi="Times New Roman"/>
          <w:sz w:val="28"/>
          <w:szCs w:val="28"/>
        </w:rPr>
      </w:pPr>
      <w:r>
        <w:rPr>
          <w:rFonts w:ascii="Times New Roman" w:hAnsi="Times New Roman" w:cs="Times New Roman"/>
          <w:sz w:val="28"/>
          <w:szCs w:val="28"/>
        </w:rPr>
        <w:t>a</w:t>
      </w:r>
      <w:r w:rsidR="00C26C38" w:rsidRPr="001D0846">
        <w:rPr>
          <w:rFonts w:ascii="Times New Roman" w:hAnsi="Times New Roman" w:cs="Times New Roman"/>
          <w:sz w:val="28"/>
          <w:szCs w:val="28"/>
        </w:rPr>
        <w:t xml:space="preserve">plicarea sechestrelor pe bunuri </w:t>
      </w:r>
      <w:r w:rsidR="00C26C38" w:rsidRPr="001D0846">
        <w:rPr>
          <w:rFonts w:ascii="Times New Roman" w:hAnsi="Times New Roman"/>
          <w:sz w:val="28"/>
          <w:szCs w:val="28"/>
        </w:rPr>
        <w:t xml:space="preserve">în </w:t>
      </w:r>
      <w:r>
        <w:rPr>
          <w:rFonts w:ascii="Times New Roman" w:hAnsi="Times New Roman"/>
          <w:sz w:val="28"/>
          <w:szCs w:val="28"/>
        </w:rPr>
        <w:t>valoare</w:t>
      </w:r>
      <w:r w:rsidR="00C26C38" w:rsidRPr="001D0846">
        <w:rPr>
          <w:rFonts w:ascii="Times New Roman" w:hAnsi="Times New Roman"/>
          <w:sz w:val="28"/>
          <w:szCs w:val="28"/>
        </w:rPr>
        <w:t xml:space="preserve"> de 0,2 mil.lei</w:t>
      </w:r>
      <w:r>
        <w:rPr>
          <w:rFonts w:ascii="Times New Roman" w:hAnsi="Times New Roman"/>
          <w:sz w:val="28"/>
          <w:szCs w:val="28"/>
        </w:rPr>
        <w:t>,</w:t>
      </w:r>
      <w:r w:rsidR="00C26C38" w:rsidRPr="001D0846">
        <w:rPr>
          <w:rFonts w:ascii="Times New Roman" w:hAnsi="Times New Roman" w:cs="Times New Roman"/>
          <w:sz w:val="28"/>
          <w:szCs w:val="28"/>
        </w:rPr>
        <w:t xml:space="preserve"> care la momentul sechestrării erau gajate de bancă, fapt ce contravine art.200 alin.(6) din CF;</w:t>
      </w:r>
    </w:p>
    <w:p w:rsidR="00C26C38" w:rsidRPr="001D0846" w:rsidRDefault="00B17206" w:rsidP="003E553B">
      <w:pPr>
        <w:pStyle w:val="ListParagraph"/>
        <w:numPr>
          <w:ilvl w:val="0"/>
          <w:numId w:val="6"/>
        </w:numPr>
        <w:tabs>
          <w:tab w:val="left" w:pos="450"/>
        </w:tabs>
        <w:spacing w:after="0" w:line="276" w:lineRule="auto"/>
        <w:ind w:left="0" w:firstLine="180"/>
        <w:jc w:val="both"/>
        <w:rPr>
          <w:rFonts w:ascii="Times New Roman" w:hAnsi="Times New Roman"/>
          <w:sz w:val="28"/>
          <w:szCs w:val="28"/>
        </w:rPr>
      </w:pPr>
      <w:r>
        <w:rPr>
          <w:rFonts w:ascii="Times New Roman" w:hAnsi="Times New Roman" w:cs="Times New Roman"/>
          <w:sz w:val="28"/>
          <w:szCs w:val="28"/>
        </w:rPr>
        <w:t>n</w:t>
      </w:r>
      <w:r w:rsidR="00C26C38" w:rsidRPr="001D0846">
        <w:rPr>
          <w:rFonts w:ascii="Times New Roman" w:hAnsi="Times New Roman" w:cs="Times New Roman"/>
          <w:sz w:val="28"/>
          <w:szCs w:val="28"/>
        </w:rPr>
        <w:t>eluarea măsurilor față de 6 agenți economici care au înstrăinat bunurile sechestrate de SFS în valoare totală de 3,33 mil.lei;</w:t>
      </w:r>
    </w:p>
    <w:p w:rsidR="00C26C38" w:rsidRPr="001D0846" w:rsidRDefault="00B17206" w:rsidP="003E553B">
      <w:pPr>
        <w:pStyle w:val="ListParagraph"/>
        <w:numPr>
          <w:ilvl w:val="0"/>
          <w:numId w:val="6"/>
        </w:numPr>
        <w:tabs>
          <w:tab w:val="left" w:pos="450"/>
        </w:tabs>
        <w:spacing w:after="0" w:line="276" w:lineRule="auto"/>
        <w:ind w:left="0" w:firstLine="180"/>
        <w:jc w:val="both"/>
        <w:rPr>
          <w:rFonts w:ascii="Times New Roman" w:hAnsi="Times New Roman"/>
          <w:sz w:val="28"/>
          <w:szCs w:val="28"/>
        </w:rPr>
      </w:pPr>
      <w:r>
        <w:rPr>
          <w:rFonts w:ascii="Times New Roman" w:hAnsi="Times New Roman"/>
          <w:sz w:val="28"/>
          <w:szCs w:val="28"/>
        </w:rPr>
        <w:lastRenderedPageBreak/>
        <w:t>a</w:t>
      </w:r>
      <w:r w:rsidR="00C26C38" w:rsidRPr="001D0846">
        <w:rPr>
          <w:rFonts w:ascii="Times New Roman" w:hAnsi="Times New Roman"/>
          <w:sz w:val="28"/>
          <w:szCs w:val="28"/>
        </w:rPr>
        <w:t xml:space="preserve">plicarea sechestrelor pe bunuri mobile nefuncționale. </w:t>
      </w:r>
      <w:r>
        <w:rPr>
          <w:rFonts w:ascii="Times New Roman" w:hAnsi="Times New Roman"/>
          <w:sz w:val="28"/>
          <w:szCs w:val="28"/>
        </w:rPr>
        <w:t>În acest sens</w:t>
      </w:r>
      <w:r w:rsidR="00C26C38" w:rsidRPr="001D0846">
        <w:rPr>
          <w:rFonts w:ascii="Times New Roman" w:hAnsi="Times New Roman"/>
          <w:sz w:val="28"/>
          <w:szCs w:val="28"/>
        </w:rPr>
        <w:t>, se exemplifică cazul unui agen</w:t>
      </w:r>
      <w:r w:rsidR="00E76097">
        <w:rPr>
          <w:rFonts w:ascii="Times New Roman" w:hAnsi="Times New Roman"/>
          <w:sz w:val="28"/>
          <w:szCs w:val="28"/>
        </w:rPr>
        <w:t xml:space="preserve">t economic căruia la 30.01.2014 </w:t>
      </w:r>
      <w:r w:rsidR="00C26C38" w:rsidRPr="001D0846">
        <w:rPr>
          <w:rFonts w:ascii="Times New Roman" w:hAnsi="Times New Roman"/>
          <w:sz w:val="28"/>
          <w:szCs w:val="28"/>
        </w:rPr>
        <w:t xml:space="preserve">i-au fost sechestrate mijloace de transport în stare nefuncțională în </w:t>
      </w:r>
      <w:r>
        <w:rPr>
          <w:rFonts w:ascii="Times New Roman" w:hAnsi="Times New Roman"/>
          <w:sz w:val="28"/>
          <w:szCs w:val="28"/>
        </w:rPr>
        <w:t>valoare</w:t>
      </w:r>
      <w:r w:rsidR="00C26C38" w:rsidRPr="001D0846">
        <w:rPr>
          <w:rFonts w:ascii="Times New Roman" w:hAnsi="Times New Roman"/>
          <w:sz w:val="28"/>
          <w:szCs w:val="28"/>
        </w:rPr>
        <w:t xml:space="preserve"> de 0,1 mil.lei</w:t>
      </w:r>
      <w:r>
        <w:rPr>
          <w:rFonts w:ascii="Times New Roman" w:hAnsi="Times New Roman"/>
          <w:sz w:val="28"/>
          <w:szCs w:val="28"/>
        </w:rPr>
        <w:t>, carep</w:t>
      </w:r>
      <w:r w:rsidR="00C26C38" w:rsidRPr="001D0846">
        <w:rPr>
          <w:rFonts w:ascii="Times New Roman" w:hAnsi="Times New Roman"/>
          <w:sz w:val="28"/>
          <w:szCs w:val="28"/>
        </w:rPr>
        <w:t xml:space="preserve">e parcurs  au fost casate și realizate de către contribuabil ca fier uzat, suma încasată constituind 4,2 mii lei; </w:t>
      </w:r>
    </w:p>
    <w:p w:rsidR="00C26C38" w:rsidRPr="001D0846" w:rsidRDefault="00B17206" w:rsidP="003E553B">
      <w:pPr>
        <w:pStyle w:val="ListParagraph"/>
        <w:numPr>
          <w:ilvl w:val="0"/>
          <w:numId w:val="6"/>
        </w:numPr>
        <w:tabs>
          <w:tab w:val="left" w:pos="450"/>
        </w:tabs>
        <w:spacing w:after="0" w:line="276" w:lineRule="auto"/>
        <w:ind w:left="0" w:firstLine="180"/>
        <w:jc w:val="both"/>
        <w:rPr>
          <w:rFonts w:ascii="Times New Roman" w:hAnsi="Times New Roman"/>
          <w:sz w:val="28"/>
          <w:szCs w:val="28"/>
        </w:rPr>
      </w:pPr>
      <w:r>
        <w:rPr>
          <w:rFonts w:ascii="Times New Roman" w:hAnsi="Times New Roman"/>
          <w:sz w:val="28"/>
          <w:szCs w:val="28"/>
        </w:rPr>
        <w:t>î</w:t>
      </w:r>
      <w:r w:rsidR="00C26C38" w:rsidRPr="001D0846">
        <w:rPr>
          <w:rFonts w:ascii="Times New Roman" w:hAnsi="Times New Roman"/>
          <w:sz w:val="28"/>
          <w:szCs w:val="28"/>
        </w:rPr>
        <w:t>n unele cazuri</w:t>
      </w:r>
      <w:r>
        <w:rPr>
          <w:rFonts w:ascii="Times New Roman" w:hAnsi="Times New Roman"/>
          <w:sz w:val="28"/>
          <w:szCs w:val="28"/>
        </w:rPr>
        <w:t>,</w:t>
      </w:r>
      <w:r w:rsidR="00C26C38" w:rsidRPr="001D0846">
        <w:rPr>
          <w:rFonts w:ascii="Times New Roman" w:hAnsi="Times New Roman"/>
          <w:sz w:val="28"/>
          <w:szCs w:val="28"/>
        </w:rPr>
        <w:t xml:space="preserve"> bunurile sechestrate au fost estimate la prețuri derizorii. Astfel</w:t>
      </w:r>
      <w:r>
        <w:rPr>
          <w:rFonts w:ascii="Times New Roman" w:hAnsi="Times New Roman"/>
          <w:sz w:val="28"/>
          <w:szCs w:val="28"/>
        </w:rPr>
        <w:t xml:space="preserve">, </w:t>
      </w:r>
      <w:r w:rsidR="00C26C38" w:rsidRPr="001D0846">
        <w:rPr>
          <w:rFonts w:ascii="Times New Roman" w:hAnsi="Times New Roman"/>
          <w:sz w:val="28"/>
          <w:szCs w:val="28"/>
        </w:rPr>
        <w:t xml:space="preserve"> se exemplifică cazul unui agent economic căruia</w:t>
      </w:r>
      <w:r>
        <w:rPr>
          <w:rFonts w:ascii="Times New Roman" w:hAnsi="Times New Roman"/>
          <w:sz w:val="28"/>
          <w:szCs w:val="28"/>
        </w:rPr>
        <w:t>,</w:t>
      </w:r>
      <w:r w:rsidR="00C26C38" w:rsidRPr="001D0846">
        <w:rPr>
          <w:rFonts w:ascii="Times New Roman" w:hAnsi="Times New Roman"/>
          <w:sz w:val="28"/>
          <w:szCs w:val="28"/>
        </w:rPr>
        <w:t xml:space="preserve"> în perioadele anterioare </w:t>
      </w:r>
      <w:r>
        <w:rPr>
          <w:rFonts w:ascii="Times New Roman" w:hAnsi="Times New Roman"/>
          <w:sz w:val="28"/>
          <w:szCs w:val="28"/>
        </w:rPr>
        <w:t xml:space="preserve">anului </w:t>
      </w:r>
      <w:r w:rsidR="00C26C38" w:rsidRPr="001D0846">
        <w:rPr>
          <w:rFonts w:ascii="Times New Roman" w:hAnsi="Times New Roman"/>
          <w:sz w:val="28"/>
          <w:szCs w:val="28"/>
        </w:rPr>
        <w:t>2017</w:t>
      </w:r>
      <w:r>
        <w:rPr>
          <w:rFonts w:ascii="Times New Roman" w:hAnsi="Times New Roman"/>
          <w:sz w:val="28"/>
          <w:szCs w:val="28"/>
        </w:rPr>
        <w:t>,</w:t>
      </w:r>
      <w:r w:rsidR="00C26C38" w:rsidRPr="001D0846">
        <w:rPr>
          <w:rFonts w:ascii="Times New Roman" w:hAnsi="Times New Roman"/>
          <w:sz w:val="28"/>
          <w:szCs w:val="28"/>
        </w:rPr>
        <w:t xml:space="preserve"> i-a fost aplicat sechestru pe 44000 sticle de vin la un preț de 0,3 lei/sticla, valoarea totală a sechestrului constituind 13,2 mii lei; </w:t>
      </w:r>
    </w:p>
    <w:p w:rsidR="00C26C38" w:rsidRPr="001D0846" w:rsidRDefault="00B17206" w:rsidP="003E553B">
      <w:pPr>
        <w:pStyle w:val="ListParagraph"/>
        <w:numPr>
          <w:ilvl w:val="0"/>
          <w:numId w:val="6"/>
        </w:numPr>
        <w:tabs>
          <w:tab w:val="left" w:pos="450"/>
        </w:tabs>
        <w:spacing w:after="0" w:line="276" w:lineRule="auto"/>
        <w:ind w:left="0" w:firstLine="180"/>
        <w:jc w:val="both"/>
        <w:rPr>
          <w:rFonts w:ascii="Times New Roman" w:hAnsi="Times New Roman"/>
          <w:sz w:val="28"/>
          <w:szCs w:val="28"/>
        </w:rPr>
      </w:pPr>
      <w:r>
        <w:rPr>
          <w:rFonts w:ascii="Times New Roman" w:hAnsi="Times New Roman"/>
          <w:sz w:val="28"/>
          <w:szCs w:val="28"/>
        </w:rPr>
        <w:t>p</w:t>
      </w:r>
      <w:r w:rsidR="00C26C38" w:rsidRPr="001D0846">
        <w:rPr>
          <w:rFonts w:ascii="Times New Roman" w:hAnsi="Times New Roman"/>
          <w:sz w:val="28"/>
          <w:szCs w:val="28"/>
        </w:rPr>
        <w:t>e parcursul anului 2017</w:t>
      </w:r>
      <w:r>
        <w:rPr>
          <w:rFonts w:ascii="Times New Roman" w:hAnsi="Times New Roman"/>
          <w:sz w:val="28"/>
          <w:szCs w:val="28"/>
        </w:rPr>
        <w:t>,</w:t>
      </w:r>
      <w:r w:rsidR="00C26C38" w:rsidRPr="001D0846">
        <w:rPr>
          <w:rFonts w:ascii="Times New Roman" w:hAnsi="Times New Roman"/>
          <w:sz w:val="28"/>
          <w:szCs w:val="28"/>
        </w:rPr>
        <w:t xml:space="preserve"> n-au fost organizate licitații de comercializare a bunurilor sechestrate de către DGAF </w:t>
      </w:r>
      <w:r w:rsidR="00B86853">
        <w:rPr>
          <w:rFonts w:ascii="Times New Roman" w:hAnsi="Times New Roman"/>
          <w:sz w:val="28"/>
          <w:szCs w:val="28"/>
        </w:rPr>
        <w:t xml:space="preserve">pe </w:t>
      </w:r>
      <w:r w:rsidR="00C26C38" w:rsidRPr="001D0846">
        <w:rPr>
          <w:rFonts w:ascii="Times New Roman" w:hAnsi="Times New Roman"/>
          <w:sz w:val="28"/>
          <w:szCs w:val="28"/>
        </w:rPr>
        <w:t>mun. Chișinău, DGAF Centru, DGAF Sud, cu excepția DGAF Nord</w:t>
      </w:r>
      <w:r>
        <w:rPr>
          <w:rFonts w:ascii="Times New Roman" w:hAnsi="Times New Roman"/>
          <w:sz w:val="28"/>
          <w:szCs w:val="28"/>
        </w:rPr>
        <w:t>,</w:t>
      </w:r>
      <w:r w:rsidR="00C26C38" w:rsidRPr="001D0846">
        <w:rPr>
          <w:rFonts w:ascii="Times New Roman" w:hAnsi="Times New Roman"/>
          <w:sz w:val="28"/>
          <w:szCs w:val="28"/>
        </w:rPr>
        <w:t xml:space="preserve"> care a organizat</w:t>
      </w:r>
      <w:r>
        <w:rPr>
          <w:rFonts w:ascii="Times New Roman" w:hAnsi="Times New Roman"/>
          <w:sz w:val="28"/>
          <w:szCs w:val="28"/>
        </w:rPr>
        <w:t>,</w:t>
      </w:r>
      <w:r w:rsidR="00C26C38" w:rsidRPr="001D0846">
        <w:rPr>
          <w:rFonts w:ascii="Times New Roman" w:hAnsi="Times New Roman"/>
          <w:sz w:val="28"/>
          <w:szCs w:val="28"/>
        </w:rPr>
        <w:t xml:space="preserve"> prin intermediul BUMM</w:t>
      </w:r>
      <w:r>
        <w:rPr>
          <w:rFonts w:ascii="Times New Roman" w:hAnsi="Times New Roman"/>
          <w:sz w:val="28"/>
          <w:szCs w:val="28"/>
        </w:rPr>
        <w:t>,</w:t>
      </w:r>
      <w:r w:rsidR="00C26C38" w:rsidRPr="001D0846">
        <w:rPr>
          <w:rFonts w:ascii="Times New Roman" w:hAnsi="Times New Roman"/>
          <w:sz w:val="28"/>
          <w:szCs w:val="28"/>
        </w:rPr>
        <w:t xml:space="preserve"> 10 licitații de comercializare a bunuril</w:t>
      </w:r>
      <w:r>
        <w:rPr>
          <w:rFonts w:ascii="Times New Roman" w:hAnsi="Times New Roman"/>
          <w:sz w:val="28"/>
          <w:szCs w:val="28"/>
        </w:rPr>
        <w:t>or</w:t>
      </w:r>
      <w:r w:rsidR="00C26C38" w:rsidRPr="001D0846">
        <w:rPr>
          <w:rFonts w:ascii="Times New Roman" w:hAnsi="Times New Roman"/>
          <w:sz w:val="28"/>
          <w:szCs w:val="28"/>
        </w:rPr>
        <w:t xml:space="preserve"> sechestrate</w:t>
      </w:r>
      <w:r>
        <w:rPr>
          <w:rFonts w:ascii="Times New Roman" w:hAnsi="Times New Roman"/>
          <w:sz w:val="28"/>
          <w:szCs w:val="28"/>
        </w:rPr>
        <w:t>;</w:t>
      </w:r>
    </w:p>
    <w:p w:rsidR="00C26C38" w:rsidRPr="00E76097" w:rsidRDefault="00B17206" w:rsidP="003E553B">
      <w:pPr>
        <w:pStyle w:val="ListParagraph"/>
        <w:numPr>
          <w:ilvl w:val="0"/>
          <w:numId w:val="6"/>
        </w:numPr>
        <w:tabs>
          <w:tab w:val="left" w:pos="450"/>
        </w:tabs>
        <w:spacing w:after="0" w:line="276" w:lineRule="auto"/>
        <w:ind w:left="0" w:firstLine="180"/>
        <w:jc w:val="both"/>
        <w:rPr>
          <w:rFonts w:ascii="Times New Roman" w:hAnsi="Times New Roman"/>
          <w:i/>
          <w:sz w:val="28"/>
          <w:szCs w:val="28"/>
        </w:rPr>
      </w:pPr>
      <w:r>
        <w:rPr>
          <w:rFonts w:ascii="Times New Roman" w:hAnsi="Times New Roman"/>
          <w:sz w:val="28"/>
          <w:szCs w:val="28"/>
        </w:rPr>
        <w:t>n</w:t>
      </w:r>
      <w:r w:rsidR="00C26C38" w:rsidRPr="00E76097">
        <w:rPr>
          <w:rFonts w:ascii="Times New Roman" w:hAnsi="Times New Roman"/>
          <w:sz w:val="28"/>
          <w:szCs w:val="28"/>
        </w:rPr>
        <w:t xml:space="preserve">evalorificarea </w:t>
      </w:r>
      <w:r w:rsidR="00456909">
        <w:rPr>
          <w:rFonts w:ascii="Times New Roman" w:hAnsi="Times New Roman"/>
          <w:sz w:val="28"/>
          <w:szCs w:val="28"/>
        </w:rPr>
        <w:t xml:space="preserve">bunurilor </w:t>
      </w:r>
      <w:r w:rsidR="00C26C38" w:rsidRPr="00E76097">
        <w:rPr>
          <w:rFonts w:ascii="Times New Roman" w:hAnsi="Times New Roman"/>
          <w:sz w:val="28"/>
          <w:szCs w:val="28"/>
        </w:rPr>
        <w:t>sechestr</w:t>
      </w:r>
      <w:r w:rsidR="00456909">
        <w:rPr>
          <w:rFonts w:ascii="Times New Roman" w:hAnsi="Times New Roman"/>
          <w:sz w:val="28"/>
          <w:szCs w:val="28"/>
        </w:rPr>
        <w:t>ate</w:t>
      </w:r>
      <w:r w:rsidR="00C26C38" w:rsidRPr="00E76097">
        <w:rPr>
          <w:rFonts w:ascii="Times New Roman" w:hAnsi="Times New Roman"/>
          <w:sz w:val="28"/>
          <w:szCs w:val="28"/>
        </w:rPr>
        <w:t xml:space="preserve"> generează creşterea anuală a numărului de sechestre aplicate, fiind redus gradul de încasare a restanțelor la BPN, precum și rezultativitatea acestei modalități de executare silită a obligației fiscale. </w:t>
      </w:r>
      <w:r w:rsidR="00C26C38" w:rsidRPr="00E76097">
        <w:rPr>
          <w:rFonts w:ascii="Times New Roman" w:hAnsi="Times New Roman" w:cs="Times New Roman"/>
          <w:i/>
          <w:sz w:val="28"/>
          <w:szCs w:val="28"/>
        </w:rPr>
        <w:t xml:space="preserve">Situația privind rezultatele comercializării bunurilor sechestrate în perioada </w:t>
      </w:r>
      <w:r w:rsidR="00B86853">
        <w:rPr>
          <w:rFonts w:ascii="Times New Roman" w:hAnsi="Times New Roman" w:cs="Times New Roman"/>
          <w:i/>
          <w:sz w:val="28"/>
          <w:szCs w:val="28"/>
        </w:rPr>
        <w:t xml:space="preserve">anilor </w:t>
      </w:r>
      <w:r w:rsidR="00C26C38" w:rsidRPr="00E76097">
        <w:rPr>
          <w:rFonts w:ascii="Times New Roman" w:hAnsi="Times New Roman" w:cs="Times New Roman"/>
          <w:i/>
          <w:sz w:val="28"/>
          <w:szCs w:val="28"/>
        </w:rPr>
        <w:t>2015-2017</w:t>
      </w:r>
      <w:r w:rsidR="00B86853">
        <w:rPr>
          <w:rFonts w:ascii="Times New Roman" w:hAnsi="Times New Roman" w:cs="Times New Roman"/>
          <w:i/>
          <w:sz w:val="28"/>
          <w:szCs w:val="28"/>
        </w:rPr>
        <w:t>este</w:t>
      </w:r>
      <w:r w:rsidR="00C26C38" w:rsidRPr="00E76097">
        <w:rPr>
          <w:rFonts w:ascii="Times New Roman" w:hAnsi="Times New Roman" w:cs="Times New Roman"/>
          <w:i/>
          <w:sz w:val="28"/>
          <w:szCs w:val="28"/>
        </w:rPr>
        <w:t xml:space="preserve"> prez</w:t>
      </w:r>
      <w:r w:rsidR="00B86853">
        <w:rPr>
          <w:rFonts w:ascii="Times New Roman" w:hAnsi="Times New Roman" w:cs="Times New Roman"/>
          <w:i/>
          <w:sz w:val="28"/>
          <w:szCs w:val="28"/>
        </w:rPr>
        <w:t>enta</w:t>
      </w:r>
      <w:r w:rsidR="00C26C38" w:rsidRPr="00E76097">
        <w:rPr>
          <w:rFonts w:ascii="Times New Roman" w:hAnsi="Times New Roman" w:cs="Times New Roman"/>
          <w:i/>
          <w:sz w:val="28"/>
          <w:szCs w:val="28"/>
        </w:rPr>
        <w:t xml:space="preserve">tă în Tabelul </w:t>
      </w:r>
      <w:r w:rsidR="00E76097" w:rsidRPr="00E76097">
        <w:rPr>
          <w:rFonts w:ascii="Times New Roman" w:hAnsi="Times New Roman" w:cs="Times New Roman"/>
          <w:i/>
          <w:sz w:val="28"/>
          <w:szCs w:val="28"/>
        </w:rPr>
        <w:t>nr.17</w:t>
      </w:r>
      <w:r w:rsidR="006C55AB" w:rsidRPr="00E76097">
        <w:rPr>
          <w:rFonts w:ascii="Times New Roman" w:hAnsi="Times New Roman" w:cs="Times New Roman"/>
          <w:i/>
          <w:sz w:val="28"/>
          <w:szCs w:val="28"/>
        </w:rPr>
        <w:t xml:space="preserve"> din Anexa nr.3</w:t>
      </w:r>
      <w:r w:rsidR="002F1B56" w:rsidRPr="00E76097">
        <w:rPr>
          <w:rFonts w:ascii="Times New Roman" w:hAnsi="Times New Roman" w:cs="Times New Roman"/>
          <w:i/>
          <w:sz w:val="28"/>
          <w:szCs w:val="28"/>
        </w:rPr>
        <w:t xml:space="preserve"> la Raport</w:t>
      </w:r>
      <w:r w:rsidR="00B86853">
        <w:rPr>
          <w:rFonts w:ascii="Times New Roman" w:hAnsi="Times New Roman" w:cs="Times New Roman"/>
          <w:i/>
          <w:sz w:val="28"/>
          <w:szCs w:val="28"/>
        </w:rPr>
        <w:t>ul</w:t>
      </w:r>
      <w:r w:rsidR="002F1B56" w:rsidRPr="00E76097">
        <w:rPr>
          <w:rFonts w:ascii="Times New Roman" w:hAnsi="Times New Roman" w:cs="Times New Roman"/>
          <w:i/>
          <w:sz w:val="28"/>
          <w:szCs w:val="28"/>
        </w:rPr>
        <w:t xml:space="preserve"> de audit</w:t>
      </w:r>
      <w:r w:rsidR="00C26C38" w:rsidRPr="00E76097">
        <w:rPr>
          <w:rFonts w:ascii="Times New Roman" w:hAnsi="Times New Roman" w:cs="Times New Roman"/>
          <w:i/>
          <w:sz w:val="28"/>
          <w:szCs w:val="28"/>
        </w:rPr>
        <w:t>.</w:t>
      </w:r>
    </w:p>
    <w:p w:rsidR="00305F7A" w:rsidRPr="001D0846" w:rsidRDefault="00C26C38" w:rsidP="005A33C9">
      <w:pPr>
        <w:spacing w:after="0" w:line="276" w:lineRule="auto"/>
        <w:ind w:firstLine="709"/>
        <w:jc w:val="both"/>
        <w:rPr>
          <w:rFonts w:ascii="Times New Roman" w:eastAsia="Times New Roman" w:hAnsi="Times New Roman" w:cs="Times New Roman"/>
          <w:sz w:val="28"/>
          <w:szCs w:val="28"/>
        </w:rPr>
      </w:pPr>
      <w:r w:rsidRPr="00E76097">
        <w:rPr>
          <w:rFonts w:ascii="Times New Roman" w:eastAsia="Times New Roman" w:hAnsi="Times New Roman" w:cs="Times New Roman"/>
          <w:sz w:val="28"/>
          <w:szCs w:val="28"/>
        </w:rPr>
        <w:t xml:space="preserve">Analiza datelor prezentate în </w:t>
      </w:r>
      <w:r w:rsidR="00B86853">
        <w:rPr>
          <w:rFonts w:ascii="Times New Roman" w:eastAsia="Times New Roman" w:hAnsi="Times New Roman" w:cs="Times New Roman"/>
          <w:sz w:val="28"/>
          <w:szCs w:val="28"/>
        </w:rPr>
        <w:t>t</w:t>
      </w:r>
      <w:r w:rsidRPr="00E76097">
        <w:rPr>
          <w:rFonts w:ascii="Times New Roman" w:eastAsia="Times New Roman" w:hAnsi="Times New Roman" w:cs="Times New Roman"/>
          <w:sz w:val="28"/>
          <w:szCs w:val="28"/>
        </w:rPr>
        <w:t xml:space="preserve">abel relevă că suma veniturilor încasate de la comercializarea bunurilor sechestrate pe parcursul anilor 2015-2017 este nesemnificativă, variind de la 3151,1 mii lei în anul 2015 până la 6157,1 mii lei în </w:t>
      </w:r>
      <w:r w:rsidR="00B86853">
        <w:rPr>
          <w:rFonts w:ascii="Times New Roman" w:eastAsia="Times New Roman" w:hAnsi="Times New Roman" w:cs="Times New Roman"/>
          <w:sz w:val="28"/>
          <w:szCs w:val="28"/>
        </w:rPr>
        <w:t xml:space="preserve">anul </w:t>
      </w:r>
      <w:r w:rsidRPr="00E76097">
        <w:rPr>
          <w:rFonts w:ascii="Times New Roman" w:eastAsia="Times New Roman" w:hAnsi="Times New Roman" w:cs="Times New Roman"/>
          <w:sz w:val="28"/>
          <w:szCs w:val="28"/>
        </w:rPr>
        <w:t>2017.</w:t>
      </w:r>
    </w:p>
    <w:p w:rsidR="00D43D15" w:rsidRPr="001D0846" w:rsidRDefault="00D43D15" w:rsidP="005A33C9">
      <w:pPr>
        <w:spacing w:after="0" w:line="276" w:lineRule="auto"/>
        <w:ind w:firstLine="709"/>
        <w:jc w:val="both"/>
        <w:rPr>
          <w:rFonts w:ascii="Times New Roman" w:eastAsia="Times New Roman" w:hAnsi="Times New Roman" w:cs="Times New Roman"/>
          <w:iCs/>
          <w:sz w:val="28"/>
          <w:szCs w:val="28"/>
        </w:rPr>
      </w:pPr>
    </w:p>
    <w:p w:rsidR="008150B5" w:rsidRPr="001D0846" w:rsidRDefault="00477706" w:rsidP="008150B5">
      <w:pPr>
        <w:spacing w:after="0" w:line="276" w:lineRule="auto"/>
        <w:ind w:firstLine="709"/>
        <w:jc w:val="both"/>
        <w:rPr>
          <w:rFonts w:ascii="Times New Roman" w:eastAsia="Times New Roman" w:hAnsi="Times New Roman" w:cs="Times New Roman"/>
          <w:i/>
          <w:sz w:val="28"/>
          <w:szCs w:val="28"/>
        </w:rPr>
      </w:pPr>
      <w:r w:rsidRPr="00477706">
        <w:rPr>
          <w:rFonts w:ascii="Times New Roman" w:eastAsia="Times New Roman" w:hAnsi="Times New Roman" w:cs="Times New Roman"/>
          <w:b/>
          <w:i/>
          <w:sz w:val="28"/>
          <w:szCs w:val="28"/>
        </w:rPr>
        <w:t>3.5.2.</w:t>
      </w:r>
      <w:r w:rsidR="00C26C38" w:rsidRPr="00E76097">
        <w:rPr>
          <w:rFonts w:ascii="Times New Roman" w:eastAsia="Times New Roman" w:hAnsi="Times New Roman" w:cs="Times New Roman"/>
          <w:sz w:val="28"/>
          <w:szCs w:val="28"/>
        </w:rPr>
        <w:t xml:space="preserve">Restanțele administrate de SV </w:t>
      </w:r>
      <w:r w:rsidR="00B86853">
        <w:rPr>
          <w:rFonts w:ascii="Times New Roman" w:eastAsia="Times New Roman" w:hAnsi="Times New Roman" w:cs="Times New Roman"/>
          <w:sz w:val="28"/>
          <w:szCs w:val="28"/>
        </w:rPr>
        <w:t>înregistrează</w:t>
      </w:r>
      <w:r w:rsidR="00C26C38" w:rsidRPr="00E76097">
        <w:rPr>
          <w:rFonts w:ascii="Times New Roman" w:eastAsia="Times New Roman" w:hAnsi="Times New Roman" w:cs="Times New Roman"/>
          <w:sz w:val="28"/>
          <w:szCs w:val="28"/>
        </w:rPr>
        <w:t xml:space="preserve"> o evoluție ascendentă, fiind în creștere de la 307,2 mil.lei în anul 2015 până la 385,8 mil.lei în anul 2017.</w:t>
      </w:r>
      <w:r w:rsidR="00C26C38" w:rsidRPr="001D0846">
        <w:rPr>
          <w:rFonts w:ascii="Times New Roman" w:eastAsia="Times New Roman" w:hAnsi="Times New Roman" w:cs="Times New Roman"/>
          <w:i/>
          <w:sz w:val="28"/>
          <w:szCs w:val="28"/>
        </w:rPr>
        <w:t>Informația privind evoluția restanțelor la BS</w:t>
      </w:r>
      <w:r w:rsidR="00B86853">
        <w:rPr>
          <w:rFonts w:ascii="Times New Roman" w:eastAsia="Times New Roman" w:hAnsi="Times New Roman" w:cs="Times New Roman"/>
          <w:i/>
          <w:sz w:val="28"/>
          <w:szCs w:val="28"/>
        </w:rPr>
        <w:t>,</w:t>
      </w:r>
      <w:r w:rsidR="00C26C38" w:rsidRPr="001D0846">
        <w:rPr>
          <w:rFonts w:ascii="Times New Roman" w:eastAsia="Times New Roman" w:hAnsi="Times New Roman" w:cs="Times New Roman"/>
          <w:i/>
          <w:sz w:val="28"/>
          <w:szCs w:val="28"/>
        </w:rPr>
        <w:t xml:space="preserve"> administrate de SV</w:t>
      </w:r>
      <w:r w:rsidR="00B86853">
        <w:rPr>
          <w:rFonts w:ascii="Times New Roman" w:eastAsia="Times New Roman" w:hAnsi="Times New Roman" w:cs="Times New Roman"/>
          <w:i/>
          <w:sz w:val="28"/>
          <w:szCs w:val="28"/>
        </w:rPr>
        <w:t>,este</w:t>
      </w:r>
      <w:r w:rsidR="00C26C38" w:rsidRPr="001D0846">
        <w:rPr>
          <w:rFonts w:ascii="Times New Roman" w:eastAsia="Times New Roman" w:hAnsi="Times New Roman" w:cs="Times New Roman"/>
          <w:i/>
          <w:sz w:val="28"/>
          <w:szCs w:val="28"/>
        </w:rPr>
        <w:t xml:space="preserve"> prez</w:t>
      </w:r>
      <w:r w:rsidR="00B86853">
        <w:rPr>
          <w:rFonts w:ascii="Times New Roman" w:eastAsia="Times New Roman" w:hAnsi="Times New Roman" w:cs="Times New Roman"/>
          <w:i/>
          <w:sz w:val="28"/>
          <w:szCs w:val="28"/>
        </w:rPr>
        <w:t>enta</w:t>
      </w:r>
      <w:r w:rsidR="00C26C38" w:rsidRPr="001D0846">
        <w:rPr>
          <w:rFonts w:ascii="Times New Roman" w:eastAsia="Times New Roman" w:hAnsi="Times New Roman" w:cs="Times New Roman"/>
          <w:i/>
          <w:sz w:val="28"/>
          <w:szCs w:val="28"/>
        </w:rPr>
        <w:t xml:space="preserve">tă în Tabelul </w:t>
      </w:r>
      <w:r w:rsidR="00D17F6C" w:rsidRPr="001D0846">
        <w:rPr>
          <w:rFonts w:ascii="Times New Roman" w:eastAsia="Times New Roman" w:hAnsi="Times New Roman" w:cs="Times New Roman"/>
          <w:i/>
          <w:sz w:val="28"/>
          <w:szCs w:val="28"/>
        </w:rPr>
        <w:t>nr.</w:t>
      </w:r>
      <w:r w:rsidR="00FC01FD" w:rsidRPr="001D0846">
        <w:rPr>
          <w:rFonts w:ascii="Times New Roman" w:eastAsia="Times New Roman" w:hAnsi="Times New Roman" w:cs="Times New Roman"/>
          <w:i/>
          <w:sz w:val="28"/>
          <w:szCs w:val="28"/>
        </w:rPr>
        <w:t>1</w:t>
      </w:r>
      <w:r w:rsidR="00E76097">
        <w:rPr>
          <w:rFonts w:ascii="Times New Roman" w:eastAsia="Times New Roman" w:hAnsi="Times New Roman" w:cs="Times New Roman"/>
          <w:i/>
          <w:sz w:val="28"/>
          <w:szCs w:val="28"/>
        </w:rPr>
        <w:t>8</w:t>
      </w:r>
      <w:r w:rsidR="00FC01FD" w:rsidRPr="001D0846">
        <w:rPr>
          <w:rFonts w:ascii="Times New Roman" w:eastAsia="Times New Roman" w:hAnsi="Times New Roman" w:cs="Times New Roman"/>
          <w:i/>
          <w:sz w:val="28"/>
          <w:szCs w:val="28"/>
        </w:rPr>
        <w:t xml:space="preserve"> din Anexa nr.3</w:t>
      </w:r>
      <w:r w:rsidR="002F1B56" w:rsidRPr="001D0846">
        <w:rPr>
          <w:rFonts w:ascii="Times New Roman" w:eastAsia="Times New Roman" w:hAnsi="Times New Roman" w:cs="Times New Roman"/>
          <w:i/>
          <w:sz w:val="28"/>
          <w:szCs w:val="28"/>
        </w:rPr>
        <w:t xml:space="preserve"> la Raport</w:t>
      </w:r>
      <w:r w:rsidR="00B86853">
        <w:rPr>
          <w:rFonts w:ascii="Times New Roman" w:eastAsia="Times New Roman" w:hAnsi="Times New Roman" w:cs="Times New Roman"/>
          <w:i/>
          <w:sz w:val="28"/>
          <w:szCs w:val="28"/>
        </w:rPr>
        <w:t>ul</w:t>
      </w:r>
      <w:r w:rsidR="002F1B56" w:rsidRPr="001D0846">
        <w:rPr>
          <w:rFonts w:ascii="Times New Roman" w:eastAsia="Times New Roman" w:hAnsi="Times New Roman" w:cs="Times New Roman"/>
          <w:i/>
          <w:sz w:val="28"/>
          <w:szCs w:val="28"/>
        </w:rPr>
        <w:t xml:space="preserve"> de audit</w:t>
      </w:r>
      <w:r w:rsidR="00C26C38" w:rsidRPr="001D0846">
        <w:rPr>
          <w:rFonts w:ascii="Times New Roman" w:eastAsia="Times New Roman" w:hAnsi="Times New Roman" w:cs="Times New Roman"/>
          <w:i/>
          <w:sz w:val="28"/>
          <w:szCs w:val="28"/>
        </w:rPr>
        <w:t>.</w:t>
      </w:r>
    </w:p>
    <w:p w:rsidR="00C26C38" w:rsidRPr="001D0846" w:rsidRDefault="00390849" w:rsidP="006358AD">
      <w:pPr>
        <w:pStyle w:val="NormalWeb"/>
        <w:spacing w:after="0" w:line="276" w:lineRule="auto"/>
        <w:ind w:firstLine="720"/>
        <w:jc w:val="both"/>
        <w:rPr>
          <w:color w:val="000000"/>
          <w:sz w:val="28"/>
          <w:szCs w:val="28"/>
        </w:rPr>
      </w:pPr>
      <w:r>
        <w:rPr>
          <w:sz w:val="28"/>
          <w:szCs w:val="28"/>
        </w:rPr>
        <w:t>D</w:t>
      </w:r>
      <w:r w:rsidR="002F1B56" w:rsidRPr="001D0846">
        <w:rPr>
          <w:sz w:val="28"/>
          <w:szCs w:val="28"/>
        </w:rPr>
        <w:t>atel</w:t>
      </w:r>
      <w:r>
        <w:rPr>
          <w:sz w:val="28"/>
          <w:szCs w:val="28"/>
        </w:rPr>
        <w:t>edint</w:t>
      </w:r>
      <w:r w:rsidR="00C26C38" w:rsidRPr="001D0846">
        <w:rPr>
          <w:sz w:val="28"/>
          <w:szCs w:val="28"/>
        </w:rPr>
        <w:t xml:space="preserve">abel </w:t>
      </w:r>
      <w:r>
        <w:rPr>
          <w:sz w:val="28"/>
          <w:szCs w:val="28"/>
        </w:rPr>
        <w:t>indică</w:t>
      </w:r>
      <w:r w:rsidR="00C26C38" w:rsidRPr="001D0846">
        <w:rPr>
          <w:sz w:val="28"/>
          <w:szCs w:val="28"/>
        </w:rPr>
        <w:t xml:space="preserve"> o creștere a restanței la BS în anul 2017 cu </w:t>
      </w:r>
      <w:r w:rsidR="00C26C38" w:rsidRPr="001D0846">
        <w:rPr>
          <w:color w:val="000000"/>
          <w:sz w:val="28"/>
          <w:szCs w:val="28"/>
        </w:rPr>
        <w:t>66,3 mil.lei față de anul 2016 și cu 78,6 mil</w:t>
      </w:r>
      <w:r>
        <w:rPr>
          <w:color w:val="000000"/>
          <w:sz w:val="28"/>
          <w:szCs w:val="28"/>
        </w:rPr>
        <w:t>.</w:t>
      </w:r>
      <w:r w:rsidR="00C26C38" w:rsidRPr="001D0846">
        <w:rPr>
          <w:color w:val="000000"/>
          <w:sz w:val="28"/>
          <w:szCs w:val="28"/>
        </w:rPr>
        <w:t>lei față de anul 2015.</w:t>
      </w:r>
    </w:p>
    <w:p w:rsidR="002F1B56" w:rsidRPr="00E76097" w:rsidRDefault="00C26C38" w:rsidP="006358AD">
      <w:pPr>
        <w:pStyle w:val="NormalWeb"/>
        <w:spacing w:after="0" w:line="276" w:lineRule="auto"/>
        <w:ind w:firstLine="720"/>
        <w:jc w:val="both"/>
        <w:rPr>
          <w:i/>
          <w:color w:val="000000"/>
          <w:sz w:val="28"/>
          <w:szCs w:val="28"/>
        </w:rPr>
      </w:pPr>
      <w:r w:rsidRPr="00E76097">
        <w:rPr>
          <w:sz w:val="28"/>
          <w:szCs w:val="28"/>
        </w:rPr>
        <w:t>Analiza efectuată de audit asupra modului de formare și evoluției restanțelor în aspect cronologic relevă o dinamică ascendentă a restanțelor cu termen mai mare de 6 ani</w:t>
      </w:r>
      <w:r w:rsidR="00102813">
        <w:rPr>
          <w:sz w:val="28"/>
          <w:szCs w:val="28"/>
        </w:rPr>
        <w:t>, cu risc înalt de nerecuperare</w:t>
      </w:r>
      <w:r w:rsidRPr="00E76097">
        <w:rPr>
          <w:sz w:val="28"/>
          <w:szCs w:val="28"/>
        </w:rPr>
        <w:t>.</w:t>
      </w:r>
      <w:r w:rsidRPr="00E76097">
        <w:rPr>
          <w:i/>
          <w:color w:val="000000"/>
          <w:sz w:val="28"/>
          <w:szCs w:val="28"/>
        </w:rPr>
        <w:t>Informația privind dinamica restanțelor cu termen mai mare de 6 ani la BS</w:t>
      </w:r>
      <w:r w:rsidR="00390849">
        <w:rPr>
          <w:i/>
          <w:color w:val="000000"/>
          <w:sz w:val="28"/>
          <w:szCs w:val="28"/>
        </w:rPr>
        <w:t>,</w:t>
      </w:r>
      <w:r w:rsidRPr="00E76097">
        <w:rPr>
          <w:i/>
          <w:color w:val="000000"/>
          <w:sz w:val="28"/>
          <w:szCs w:val="28"/>
        </w:rPr>
        <w:t xml:space="preserve"> administrate de SV</w:t>
      </w:r>
      <w:r w:rsidR="00390849">
        <w:rPr>
          <w:i/>
          <w:color w:val="000000"/>
          <w:sz w:val="28"/>
          <w:szCs w:val="28"/>
        </w:rPr>
        <w:t>,este</w:t>
      </w:r>
      <w:r w:rsidRPr="00E76097">
        <w:rPr>
          <w:i/>
          <w:color w:val="000000"/>
          <w:sz w:val="28"/>
          <w:szCs w:val="28"/>
        </w:rPr>
        <w:t xml:space="preserve"> prez</w:t>
      </w:r>
      <w:r w:rsidR="00390849">
        <w:rPr>
          <w:i/>
          <w:color w:val="000000"/>
          <w:sz w:val="28"/>
          <w:szCs w:val="28"/>
        </w:rPr>
        <w:t>enta</w:t>
      </w:r>
      <w:r w:rsidRPr="00E76097">
        <w:rPr>
          <w:i/>
          <w:color w:val="000000"/>
          <w:sz w:val="28"/>
          <w:szCs w:val="28"/>
        </w:rPr>
        <w:t>tă în Diagrama nr.</w:t>
      </w:r>
      <w:r w:rsidR="00E76097">
        <w:rPr>
          <w:i/>
          <w:color w:val="000000"/>
          <w:sz w:val="28"/>
          <w:szCs w:val="28"/>
        </w:rPr>
        <w:t>13</w:t>
      </w:r>
      <w:r w:rsidR="008150B5" w:rsidRPr="00E76097">
        <w:rPr>
          <w:i/>
          <w:color w:val="000000"/>
          <w:sz w:val="28"/>
          <w:szCs w:val="28"/>
        </w:rPr>
        <w:t>.</w:t>
      </w:r>
    </w:p>
    <w:p w:rsidR="00E76097" w:rsidRDefault="008150B5" w:rsidP="0012392E">
      <w:pPr>
        <w:pStyle w:val="NormalWeb"/>
        <w:spacing w:after="0" w:line="276" w:lineRule="auto"/>
        <w:jc w:val="right"/>
        <w:rPr>
          <w:b/>
          <w:i/>
          <w:color w:val="000000"/>
          <w:sz w:val="28"/>
          <w:szCs w:val="28"/>
        </w:rPr>
      </w:pPr>
      <w:r w:rsidRPr="001D0846">
        <w:rPr>
          <w:b/>
          <w:i/>
          <w:color w:val="000000"/>
          <w:sz w:val="28"/>
          <w:szCs w:val="28"/>
        </w:rPr>
        <w:t>Diagrama nr.</w:t>
      </w:r>
      <w:r w:rsidR="00E76097">
        <w:rPr>
          <w:b/>
          <w:i/>
          <w:color w:val="000000"/>
          <w:sz w:val="28"/>
          <w:szCs w:val="28"/>
        </w:rPr>
        <w:t>13</w:t>
      </w:r>
    </w:p>
    <w:p w:rsidR="008150B5" w:rsidRPr="00852CF1" w:rsidRDefault="008150B5" w:rsidP="0012392E">
      <w:pPr>
        <w:pStyle w:val="NormalWeb"/>
        <w:spacing w:after="0" w:line="276" w:lineRule="auto"/>
        <w:jc w:val="right"/>
        <w:rPr>
          <w:i/>
          <w:color w:val="000000"/>
          <w:sz w:val="28"/>
          <w:szCs w:val="28"/>
        </w:rPr>
      </w:pPr>
      <w:r w:rsidRPr="00852CF1">
        <w:rPr>
          <w:i/>
          <w:color w:val="000000"/>
          <w:sz w:val="28"/>
          <w:szCs w:val="28"/>
        </w:rPr>
        <w:t>(mil.lei)</w:t>
      </w:r>
    </w:p>
    <w:p w:rsidR="008150B5" w:rsidRPr="001D0846" w:rsidRDefault="008150B5" w:rsidP="00E76097">
      <w:pPr>
        <w:pStyle w:val="NormalWeb"/>
        <w:spacing w:after="0" w:line="276" w:lineRule="auto"/>
        <w:ind w:left="-90"/>
        <w:jc w:val="center"/>
        <w:rPr>
          <w:color w:val="000000"/>
          <w:sz w:val="28"/>
          <w:szCs w:val="28"/>
        </w:rPr>
      </w:pPr>
      <w:r w:rsidRPr="001D0846">
        <w:rPr>
          <w:noProof/>
          <w:lang w:val="en-GB" w:eastAsia="en-GB"/>
        </w:rPr>
        <w:lastRenderedPageBreak/>
        <w:drawing>
          <wp:inline distT="0" distB="0" distL="0" distR="0">
            <wp:extent cx="5935980" cy="2506980"/>
            <wp:effectExtent l="0" t="0" r="7620" b="7620"/>
            <wp:docPr id="1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150B5" w:rsidRPr="001D0846" w:rsidRDefault="008150B5" w:rsidP="00E76097">
      <w:pPr>
        <w:spacing w:after="0" w:line="240" w:lineRule="auto"/>
        <w:ind w:right="43"/>
        <w:jc w:val="both"/>
        <w:rPr>
          <w:rFonts w:ascii="Times New Roman" w:eastAsia="Calibri" w:hAnsi="Times New Roman" w:cs="Times New Roman"/>
          <w:i/>
          <w:sz w:val="20"/>
          <w:szCs w:val="20"/>
        </w:rPr>
      </w:pPr>
      <w:r w:rsidRPr="001D0846">
        <w:rPr>
          <w:rFonts w:ascii="Times New Roman" w:eastAsia="Calibri" w:hAnsi="Times New Roman" w:cs="Times New Roman"/>
          <w:b/>
          <w:i/>
          <w:sz w:val="20"/>
          <w:szCs w:val="20"/>
        </w:rPr>
        <w:t>Sursă:</w:t>
      </w:r>
      <w:r w:rsidRPr="001D0846">
        <w:rPr>
          <w:rFonts w:ascii="Times New Roman" w:eastAsia="Calibri" w:hAnsi="Times New Roman" w:cs="Times New Roman"/>
          <w:i/>
          <w:sz w:val="20"/>
          <w:szCs w:val="20"/>
        </w:rPr>
        <w:t xml:space="preserve"> Date generalizate de către echipa de audit în baza informațiilor din rapoartele privind datoriile agenților economici față de BS pe anii 2015-2017.</w:t>
      </w:r>
    </w:p>
    <w:p w:rsidR="008150B5" w:rsidRPr="001D0846" w:rsidRDefault="008150B5" w:rsidP="00BD61CA">
      <w:pPr>
        <w:pStyle w:val="NormalWeb"/>
        <w:spacing w:after="0" w:line="276" w:lineRule="auto"/>
        <w:jc w:val="both"/>
        <w:rPr>
          <w:b/>
          <w:color w:val="000000"/>
          <w:sz w:val="28"/>
          <w:szCs w:val="28"/>
        </w:rPr>
      </w:pPr>
    </w:p>
    <w:p w:rsidR="00C26C38" w:rsidRPr="001D0846" w:rsidRDefault="00203957" w:rsidP="006358AD">
      <w:pPr>
        <w:pStyle w:val="NormalWeb"/>
        <w:spacing w:after="0" w:line="276" w:lineRule="auto"/>
        <w:ind w:firstLine="720"/>
        <w:jc w:val="both"/>
        <w:rPr>
          <w:sz w:val="28"/>
          <w:szCs w:val="28"/>
        </w:rPr>
      </w:pPr>
      <w:r w:rsidRPr="001D0846">
        <w:rPr>
          <w:color w:val="000000"/>
          <w:sz w:val="28"/>
          <w:szCs w:val="28"/>
        </w:rPr>
        <w:t>Audit</w:t>
      </w:r>
      <w:r w:rsidR="00390849">
        <w:rPr>
          <w:color w:val="000000"/>
          <w:sz w:val="28"/>
          <w:szCs w:val="28"/>
        </w:rPr>
        <w:t>ul a constatat</w:t>
      </w:r>
      <w:r w:rsidR="00C26C38" w:rsidRPr="001D0846">
        <w:rPr>
          <w:color w:val="000000"/>
          <w:sz w:val="28"/>
          <w:szCs w:val="28"/>
        </w:rPr>
        <w:t xml:space="preserve"> că</w:t>
      </w:r>
      <w:r w:rsidRPr="001D0846">
        <w:rPr>
          <w:color w:val="000000"/>
          <w:sz w:val="28"/>
          <w:szCs w:val="28"/>
        </w:rPr>
        <w:t>,</w:t>
      </w:r>
      <w:r w:rsidR="00C26C38" w:rsidRPr="001D0846">
        <w:rPr>
          <w:color w:val="000000"/>
          <w:sz w:val="28"/>
          <w:szCs w:val="28"/>
        </w:rPr>
        <w:t xml:space="preserve"> în</w:t>
      </w:r>
      <w:r w:rsidR="00390849">
        <w:rPr>
          <w:color w:val="000000"/>
          <w:sz w:val="28"/>
          <w:szCs w:val="28"/>
        </w:rPr>
        <w:t xml:space="preserve"> anul</w:t>
      </w:r>
      <w:r w:rsidR="00C26C38" w:rsidRPr="001D0846">
        <w:rPr>
          <w:color w:val="000000"/>
          <w:sz w:val="28"/>
          <w:szCs w:val="28"/>
        </w:rPr>
        <w:t xml:space="preserve"> 2017</w:t>
      </w:r>
      <w:r w:rsidR="00390849">
        <w:rPr>
          <w:color w:val="000000"/>
          <w:sz w:val="28"/>
          <w:szCs w:val="28"/>
        </w:rPr>
        <w:t>,</w:t>
      </w:r>
      <w:r w:rsidR="00C26C38" w:rsidRPr="001D0846">
        <w:rPr>
          <w:color w:val="000000"/>
          <w:sz w:val="28"/>
          <w:szCs w:val="28"/>
        </w:rPr>
        <w:t xml:space="preserve"> restanțele cu termen mai mare de 6 ani au crescut cu 19,2 mil</w:t>
      </w:r>
      <w:r w:rsidR="008502CF">
        <w:rPr>
          <w:color w:val="000000"/>
          <w:sz w:val="28"/>
          <w:szCs w:val="28"/>
        </w:rPr>
        <w:t>.</w:t>
      </w:r>
      <w:r w:rsidR="00C26C38" w:rsidRPr="001D0846">
        <w:rPr>
          <w:color w:val="000000"/>
          <w:sz w:val="28"/>
          <w:szCs w:val="28"/>
        </w:rPr>
        <w:t xml:space="preserve">lei față de anul 2016 și cu 19,6 mil.lei față de anul 2015. </w:t>
      </w:r>
      <w:r w:rsidR="008502CF">
        <w:rPr>
          <w:color w:val="000000"/>
          <w:sz w:val="28"/>
          <w:szCs w:val="28"/>
        </w:rPr>
        <w:t>N</w:t>
      </w:r>
      <w:r w:rsidR="00C26C38" w:rsidRPr="001D0846">
        <w:rPr>
          <w:sz w:val="28"/>
          <w:szCs w:val="28"/>
        </w:rPr>
        <w:t>eluarea de măsuri în vederea recuperării acestor restanțe generează risc</w:t>
      </w:r>
      <w:r w:rsidR="008502CF">
        <w:rPr>
          <w:sz w:val="28"/>
          <w:szCs w:val="28"/>
        </w:rPr>
        <w:t>ul</w:t>
      </w:r>
      <w:r w:rsidR="00C26C38" w:rsidRPr="001D0846">
        <w:rPr>
          <w:sz w:val="28"/>
          <w:szCs w:val="28"/>
        </w:rPr>
        <w:t xml:space="preserve"> de formare a restanțelor nerecuperabile și intrarea agenților economici în </w:t>
      </w:r>
      <w:r w:rsidR="00A251F7" w:rsidRPr="001D0846">
        <w:rPr>
          <w:sz w:val="28"/>
          <w:szCs w:val="28"/>
        </w:rPr>
        <w:t>stare specială</w:t>
      </w:r>
      <w:r w:rsidR="00C26C38" w:rsidRPr="001D0846">
        <w:rPr>
          <w:sz w:val="28"/>
          <w:szCs w:val="28"/>
        </w:rPr>
        <w:t xml:space="preserve"> (insolvabilitate, lichidare).</w:t>
      </w:r>
    </w:p>
    <w:p w:rsidR="003E07C3" w:rsidRPr="001D0846" w:rsidRDefault="003E07C3" w:rsidP="00EE1A86">
      <w:pPr>
        <w:spacing w:after="0" w:line="276" w:lineRule="auto"/>
        <w:ind w:firstLine="706"/>
        <w:jc w:val="both"/>
        <w:rPr>
          <w:rFonts w:ascii="Times New Roman" w:hAnsi="Times New Roman"/>
          <w:sz w:val="28"/>
          <w:szCs w:val="28"/>
        </w:rPr>
      </w:pPr>
      <w:r w:rsidRPr="005F66C3">
        <w:rPr>
          <w:rFonts w:ascii="Times New Roman" w:hAnsi="Times New Roman"/>
          <w:sz w:val="28"/>
          <w:szCs w:val="28"/>
        </w:rPr>
        <w:t>Potrivit motivației persoanelor responsabile din cadrul SV, în suma debito</w:t>
      </w:r>
      <w:r w:rsidR="005F66C3" w:rsidRPr="005F66C3">
        <w:rPr>
          <w:rFonts w:ascii="Times New Roman" w:hAnsi="Times New Roman"/>
          <w:sz w:val="28"/>
          <w:szCs w:val="28"/>
        </w:rPr>
        <w:t>are</w:t>
      </w:r>
      <w:r w:rsidRPr="005F66C3">
        <w:rPr>
          <w:rFonts w:ascii="Times New Roman" w:hAnsi="Times New Roman"/>
          <w:sz w:val="28"/>
          <w:szCs w:val="28"/>
        </w:rPr>
        <w:t xml:space="preserve"> respectivă, c</w:t>
      </w:r>
      <w:r w:rsidR="008502CF" w:rsidRPr="005F66C3">
        <w:rPr>
          <w:rFonts w:ascii="Times New Roman" w:hAnsi="Times New Roman"/>
          <w:sz w:val="28"/>
          <w:szCs w:val="28"/>
        </w:rPr>
        <w:t>ar</w:t>
      </w:r>
      <w:r w:rsidRPr="005F66C3">
        <w:rPr>
          <w:rFonts w:ascii="Times New Roman" w:hAnsi="Times New Roman"/>
          <w:sz w:val="28"/>
          <w:szCs w:val="28"/>
        </w:rPr>
        <w:t>e se majorează față de anii precedenți, se cumulează</w:t>
      </w:r>
      <w:r w:rsidRPr="001D0846">
        <w:rPr>
          <w:rFonts w:ascii="Times New Roman" w:hAnsi="Times New Roman"/>
          <w:sz w:val="28"/>
          <w:szCs w:val="28"/>
        </w:rPr>
        <w:t xml:space="preserve"> și sumele calculate pentru debitorii în privința cărora a fost intentată procedura de insolvabilitate, </w:t>
      </w:r>
      <w:r w:rsidRPr="005F66C3">
        <w:rPr>
          <w:rFonts w:ascii="Times New Roman" w:hAnsi="Times New Roman"/>
          <w:sz w:val="28"/>
          <w:szCs w:val="28"/>
        </w:rPr>
        <w:t>care</w:t>
      </w:r>
      <w:r w:rsidR="003F4798" w:rsidRPr="005F66C3">
        <w:rPr>
          <w:rFonts w:ascii="Times New Roman" w:hAnsi="Times New Roman"/>
          <w:sz w:val="28"/>
          <w:szCs w:val="28"/>
        </w:rPr>
        <w:t>,</w:t>
      </w:r>
      <w:r w:rsidRPr="005F66C3">
        <w:rPr>
          <w:rFonts w:ascii="Times New Roman" w:hAnsi="Times New Roman"/>
          <w:sz w:val="28"/>
          <w:szCs w:val="28"/>
        </w:rPr>
        <w:t xml:space="preserve"> respectiv</w:t>
      </w:r>
      <w:r w:rsidR="008502CF">
        <w:rPr>
          <w:rFonts w:ascii="Times New Roman" w:hAnsi="Times New Roman"/>
          <w:sz w:val="28"/>
          <w:szCs w:val="28"/>
        </w:rPr>
        <w:t>,</w:t>
      </w:r>
      <w:r w:rsidRPr="001D0846">
        <w:rPr>
          <w:rFonts w:ascii="Times New Roman" w:hAnsi="Times New Roman"/>
          <w:sz w:val="28"/>
          <w:szCs w:val="28"/>
        </w:rPr>
        <w:t xml:space="preserve"> odată cu intentarea acestei proceduri</w:t>
      </w:r>
      <w:r w:rsidR="008502CF">
        <w:rPr>
          <w:rFonts w:ascii="Times New Roman" w:hAnsi="Times New Roman"/>
          <w:sz w:val="28"/>
          <w:szCs w:val="28"/>
        </w:rPr>
        <w:t>,</w:t>
      </w:r>
      <w:r w:rsidRPr="001D0846">
        <w:rPr>
          <w:rFonts w:ascii="Times New Roman" w:hAnsi="Times New Roman"/>
          <w:sz w:val="28"/>
          <w:szCs w:val="28"/>
        </w:rPr>
        <w:t xml:space="preserve"> se interzice urmărirea individuală a </w:t>
      </w:r>
      <w:r w:rsidRPr="003F4798">
        <w:rPr>
          <w:rFonts w:ascii="Times New Roman" w:hAnsi="Times New Roman"/>
          <w:sz w:val="28"/>
          <w:szCs w:val="28"/>
        </w:rPr>
        <w:t>datoriilor debitoriale</w:t>
      </w:r>
      <w:r w:rsidRPr="001D0846">
        <w:rPr>
          <w:rFonts w:ascii="Times New Roman" w:hAnsi="Times New Roman"/>
          <w:sz w:val="28"/>
          <w:szCs w:val="28"/>
        </w:rPr>
        <w:t xml:space="preserve"> de către creditori (SV și BV) și se s</w:t>
      </w:r>
      <w:r w:rsidR="00ED3ADD">
        <w:rPr>
          <w:rFonts w:ascii="Times New Roman" w:hAnsi="Times New Roman"/>
          <w:sz w:val="28"/>
          <w:szCs w:val="28"/>
        </w:rPr>
        <w:t>uspendă termenul de prescripție,</w:t>
      </w:r>
      <w:r w:rsidRPr="001D0846">
        <w:rPr>
          <w:rFonts w:ascii="Times New Roman" w:hAnsi="Times New Roman"/>
          <w:sz w:val="28"/>
          <w:szCs w:val="28"/>
        </w:rPr>
        <w:t xml:space="preserve"> fapt c</w:t>
      </w:r>
      <w:r w:rsidR="00ED3ADD">
        <w:rPr>
          <w:rFonts w:ascii="Times New Roman" w:hAnsi="Times New Roman"/>
          <w:sz w:val="28"/>
          <w:szCs w:val="28"/>
        </w:rPr>
        <w:t>ar</w:t>
      </w:r>
      <w:r w:rsidRPr="001D0846">
        <w:rPr>
          <w:rFonts w:ascii="Times New Roman" w:hAnsi="Times New Roman"/>
          <w:sz w:val="28"/>
          <w:szCs w:val="28"/>
        </w:rPr>
        <w:t>e duce la creșterea datoriilor</w:t>
      </w:r>
      <w:r w:rsidR="0035636A">
        <w:rPr>
          <w:rFonts w:ascii="Times New Roman" w:hAnsi="Times New Roman"/>
          <w:sz w:val="28"/>
          <w:szCs w:val="28"/>
        </w:rPr>
        <w:t>, dar</w:t>
      </w:r>
      <w:r w:rsidRPr="001D0846">
        <w:rPr>
          <w:rFonts w:ascii="Times New Roman" w:hAnsi="Times New Roman"/>
          <w:sz w:val="28"/>
          <w:szCs w:val="28"/>
        </w:rPr>
        <w:t xml:space="preserve"> și a timpului de urmă</w:t>
      </w:r>
      <w:r w:rsidR="00ED3ADD">
        <w:rPr>
          <w:rFonts w:ascii="Times New Roman" w:hAnsi="Times New Roman"/>
          <w:sz w:val="28"/>
          <w:szCs w:val="28"/>
        </w:rPr>
        <w:t>rire și</w:t>
      </w:r>
      <w:r w:rsidR="0035636A">
        <w:rPr>
          <w:rFonts w:ascii="Times New Roman" w:hAnsi="Times New Roman"/>
          <w:sz w:val="28"/>
          <w:szCs w:val="28"/>
        </w:rPr>
        <w:t>,</w:t>
      </w:r>
      <w:r w:rsidR="00ED3ADD">
        <w:rPr>
          <w:rFonts w:ascii="Times New Roman" w:hAnsi="Times New Roman"/>
          <w:sz w:val="28"/>
          <w:szCs w:val="28"/>
        </w:rPr>
        <w:t xml:space="preserve"> respectiv</w:t>
      </w:r>
      <w:r w:rsidR="0035636A">
        <w:rPr>
          <w:rFonts w:ascii="Times New Roman" w:hAnsi="Times New Roman"/>
          <w:sz w:val="28"/>
          <w:szCs w:val="28"/>
        </w:rPr>
        <w:t>, de</w:t>
      </w:r>
      <w:r w:rsidR="00ED3ADD">
        <w:rPr>
          <w:rFonts w:ascii="Times New Roman" w:hAnsi="Times New Roman"/>
          <w:sz w:val="28"/>
          <w:szCs w:val="28"/>
        </w:rPr>
        <w:t xml:space="preserve"> încasare. Tot</w:t>
      </w:r>
      <w:r w:rsidRPr="001D0846">
        <w:rPr>
          <w:rFonts w:ascii="Times New Roman" w:hAnsi="Times New Roman"/>
          <w:sz w:val="28"/>
          <w:szCs w:val="28"/>
        </w:rPr>
        <w:t xml:space="preserve">odată, o parte din aceste restanțe se atribuie și debitorilor în privința cărora sunt emise de </w:t>
      </w:r>
      <w:r w:rsidR="00ED3ADD">
        <w:rPr>
          <w:rFonts w:ascii="Times New Roman" w:hAnsi="Times New Roman"/>
          <w:sz w:val="28"/>
          <w:szCs w:val="28"/>
        </w:rPr>
        <w:t>către instanțele de judecată î</w:t>
      </w:r>
      <w:r w:rsidRPr="001D0846">
        <w:rPr>
          <w:rFonts w:ascii="Times New Roman" w:hAnsi="Times New Roman"/>
          <w:sz w:val="28"/>
          <w:szCs w:val="28"/>
        </w:rPr>
        <w:t>ncheieri de suspendare a executării silite a obligației vamale.</w:t>
      </w:r>
    </w:p>
    <w:p w:rsidR="00852CF1" w:rsidRDefault="00EE1A86" w:rsidP="00EE1A86">
      <w:pPr>
        <w:spacing w:after="0" w:line="276" w:lineRule="auto"/>
        <w:ind w:firstLine="706"/>
        <w:jc w:val="both"/>
        <w:rPr>
          <w:rFonts w:ascii="Times New Roman" w:hAnsi="Times New Roman"/>
          <w:sz w:val="28"/>
          <w:szCs w:val="28"/>
        </w:rPr>
      </w:pPr>
      <w:r>
        <w:rPr>
          <w:rFonts w:ascii="Times New Roman" w:hAnsi="Times New Roman"/>
          <w:sz w:val="28"/>
          <w:szCs w:val="28"/>
        </w:rPr>
        <w:t>Astfel,</w:t>
      </w:r>
      <w:r w:rsidR="00852CF1">
        <w:rPr>
          <w:rFonts w:ascii="Times New Roman" w:hAnsi="Times New Roman"/>
          <w:sz w:val="28"/>
          <w:szCs w:val="28"/>
        </w:rPr>
        <w:t>la situația din</w:t>
      </w:r>
      <w:r w:rsidR="005C69FE">
        <w:rPr>
          <w:rFonts w:ascii="Times New Roman" w:hAnsi="Times New Roman"/>
          <w:sz w:val="28"/>
          <w:szCs w:val="28"/>
        </w:rPr>
        <w:t xml:space="preserve"> 31.12.2017</w:t>
      </w:r>
      <w:r w:rsidR="0035636A">
        <w:rPr>
          <w:rFonts w:ascii="Times New Roman" w:hAnsi="Times New Roman"/>
          <w:sz w:val="28"/>
          <w:szCs w:val="28"/>
        </w:rPr>
        <w:t>,</w:t>
      </w:r>
      <w:r w:rsidR="005C69FE">
        <w:rPr>
          <w:rFonts w:ascii="Times New Roman" w:hAnsi="Times New Roman"/>
          <w:sz w:val="28"/>
          <w:szCs w:val="28"/>
        </w:rPr>
        <w:t xml:space="preserve">în </w:t>
      </w:r>
      <w:r w:rsidR="00852CF1">
        <w:rPr>
          <w:rFonts w:ascii="Times New Roman" w:hAnsi="Times New Roman"/>
          <w:sz w:val="28"/>
          <w:szCs w:val="28"/>
        </w:rPr>
        <w:t>proces</w:t>
      </w:r>
      <w:r w:rsidR="005C69FE" w:rsidRPr="00482C98">
        <w:rPr>
          <w:rFonts w:ascii="Times New Roman" w:hAnsi="Times New Roman"/>
          <w:sz w:val="28"/>
          <w:szCs w:val="28"/>
        </w:rPr>
        <w:t xml:space="preserve"> de insolvabilitate</w:t>
      </w:r>
      <w:r w:rsidR="0035636A">
        <w:rPr>
          <w:rFonts w:ascii="Times New Roman" w:hAnsi="Times New Roman"/>
          <w:sz w:val="28"/>
          <w:szCs w:val="28"/>
        </w:rPr>
        <w:t>,</w:t>
      </w:r>
      <w:r w:rsidR="00852CF1">
        <w:rPr>
          <w:rFonts w:ascii="Times New Roman" w:hAnsi="Times New Roman"/>
          <w:sz w:val="28"/>
          <w:szCs w:val="28"/>
        </w:rPr>
        <w:t>administrat de către SV</w:t>
      </w:r>
      <w:r w:rsidR="0035636A">
        <w:rPr>
          <w:rFonts w:ascii="Times New Roman" w:hAnsi="Times New Roman"/>
          <w:sz w:val="28"/>
          <w:szCs w:val="28"/>
        </w:rPr>
        <w:t>,</w:t>
      </w:r>
      <w:r w:rsidR="00852CF1">
        <w:rPr>
          <w:rFonts w:ascii="Times New Roman" w:hAnsi="Times New Roman"/>
          <w:sz w:val="28"/>
          <w:szCs w:val="28"/>
        </w:rPr>
        <w:t xml:space="preserve"> se aflau 97 debitori vamali, care înregistrau datorii </w:t>
      </w:r>
      <w:r>
        <w:rPr>
          <w:rFonts w:ascii="Times New Roman" w:hAnsi="Times New Roman"/>
          <w:sz w:val="28"/>
          <w:szCs w:val="28"/>
        </w:rPr>
        <w:t>la</w:t>
      </w:r>
      <w:r w:rsidR="00852CF1">
        <w:rPr>
          <w:rFonts w:ascii="Times New Roman" w:hAnsi="Times New Roman"/>
          <w:sz w:val="28"/>
          <w:szCs w:val="28"/>
        </w:rPr>
        <w:t xml:space="preserve"> BS în sumă </w:t>
      </w:r>
      <w:r>
        <w:rPr>
          <w:rFonts w:ascii="Times New Roman" w:hAnsi="Times New Roman"/>
          <w:sz w:val="28"/>
          <w:szCs w:val="28"/>
        </w:rPr>
        <w:t xml:space="preserve">totală </w:t>
      </w:r>
      <w:r w:rsidR="00852CF1">
        <w:rPr>
          <w:rFonts w:ascii="Times New Roman" w:hAnsi="Times New Roman"/>
          <w:sz w:val="28"/>
          <w:szCs w:val="28"/>
        </w:rPr>
        <w:t>de 53,2 mil.lei.</w:t>
      </w:r>
    </w:p>
    <w:p w:rsidR="00C26C38" w:rsidRDefault="00C26C38" w:rsidP="006358AD">
      <w:pPr>
        <w:spacing w:after="0" w:line="276" w:lineRule="auto"/>
        <w:ind w:firstLine="709"/>
        <w:jc w:val="both"/>
        <w:rPr>
          <w:rFonts w:ascii="Times New Roman" w:eastAsia="Times New Roman" w:hAnsi="Times New Roman" w:cs="Times New Roman"/>
          <w:i/>
          <w:iCs/>
          <w:sz w:val="28"/>
          <w:szCs w:val="28"/>
        </w:rPr>
      </w:pPr>
      <w:r w:rsidRPr="001D0846">
        <w:rPr>
          <w:rFonts w:ascii="Times New Roman" w:eastAsia="Times New Roman" w:hAnsi="Times New Roman" w:cs="Times New Roman"/>
          <w:sz w:val="28"/>
          <w:szCs w:val="28"/>
        </w:rPr>
        <w:t xml:space="preserve">Analiza restanței </w:t>
      </w:r>
      <w:r w:rsidRPr="001D0846">
        <w:rPr>
          <w:rFonts w:ascii="Times New Roman" w:eastAsia="Times New Roman" w:hAnsi="Times New Roman" w:cs="Times New Roman"/>
          <w:iCs/>
          <w:sz w:val="28"/>
          <w:szCs w:val="28"/>
        </w:rPr>
        <w:t xml:space="preserve">în aspectul tipurilor de plăți vamale relevă că cele mai semnificative restanțe au fost înregistrate la TVA, care la 31.12.2017 au constituit 273,2 mil. lei, sau 70% </w:t>
      </w:r>
      <w:r w:rsidR="003D7229">
        <w:rPr>
          <w:rFonts w:ascii="Times New Roman" w:eastAsia="Times New Roman" w:hAnsi="Times New Roman" w:cs="Times New Roman"/>
          <w:iCs/>
          <w:sz w:val="28"/>
          <w:szCs w:val="28"/>
        </w:rPr>
        <w:t>din</w:t>
      </w:r>
      <w:r w:rsidRPr="001D0846">
        <w:rPr>
          <w:rFonts w:ascii="Times New Roman" w:eastAsia="Times New Roman" w:hAnsi="Times New Roman" w:cs="Times New Roman"/>
          <w:iCs/>
          <w:sz w:val="28"/>
          <w:szCs w:val="28"/>
        </w:rPr>
        <w:t xml:space="preserve"> totalul restanțelor BS</w:t>
      </w:r>
      <w:r w:rsidR="003D7229">
        <w:rPr>
          <w:rFonts w:ascii="Times New Roman" w:eastAsia="Times New Roman" w:hAnsi="Times New Roman" w:cs="Times New Roman"/>
          <w:iCs/>
          <w:sz w:val="28"/>
          <w:szCs w:val="28"/>
        </w:rPr>
        <w:t>,</w:t>
      </w:r>
      <w:r w:rsidRPr="001D0846">
        <w:rPr>
          <w:rFonts w:ascii="Times New Roman" w:eastAsia="Times New Roman" w:hAnsi="Times New Roman" w:cs="Times New Roman"/>
          <w:iCs/>
          <w:sz w:val="28"/>
          <w:szCs w:val="28"/>
        </w:rPr>
        <w:t xml:space="preserve"> administrate de SV. Comparativ cu </w:t>
      </w:r>
      <w:r w:rsidR="003D7229">
        <w:rPr>
          <w:rFonts w:ascii="Times New Roman" w:eastAsia="Times New Roman" w:hAnsi="Times New Roman" w:cs="Times New Roman"/>
          <w:iCs/>
          <w:sz w:val="28"/>
          <w:szCs w:val="28"/>
        </w:rPr>
        <w:t>anii</w:t>
      </w:r>
      <w:r w:rsidRPr="001D0846">
        <w:rPr>
          <w:rFonts w:ascii="Times New Roman" w:eastAsia="Times New Roman" w:hAnsi="Times New Roman" w:cs="Times New Roman"/>
          <w:iCs/>
          <w:sz w:val="28"/>
          <w:szCs w:val="28"/>
        </w:rPr>
        <w:t xml:space="preserve"> 2015</w:t>
      </w:r>
      <w:r w:rsidR="003D7229">
        <w:rPr>
          <w:rFonts w:ascii="Times New Roman" w:eastAsia="Times New Roman" w:hAnsi="Times New Roman" w:cs="Times New Roman"/>
          <w:iCs/>
          <w:sz w:val="28"/>
          <w:szCs w:val="28"/>
        </w:rPr>
        <w:t xml:space="preserve"> și </w:t>
      </w:r>
      <w:r w:rsidRPr="001D0846">
        <w:rPr>
          <w:rFonts w:ascii="Times New Roman" w:eastAsia="Times New Roman" w:hAnsi="Times New Roman" w:cs="Times New Roman"/>
          <w:iCs/>
          <w:sz w:val="28"/>
          <w:szCs w:val="28"/>
        </w:rPr>
        <w:t>2016</w:t>
      </w:r>
      <w:r w:rsidR="003D7229">
        <w:rPr>
          <w:rFonts w:ascii="Times New Roman" w:eastAsia="Times New Roman" w:hAnsi="Times New Roman" w:cs="Times New Roman"/>
          <w:iCs/>
          <w:sz w:val="28"/>
          <w:szCs w:val="28"/>
        </w:rPr>
        <w:t>,</w:t>
      </w:r>
      <w:r w:rsidRPr="001D0846">
        <w:rPr>
          <w:rFonts w:ascii="Times New Roman" w:eastAsia="Times New Roman" w:hAnsi="Times New Roman" w:cs="Times New Roman"/>
          <w:iCs/>
          <w:sz w:val="28"/>
          <w:szCs w:val="28"/>
        </w:rPr>
        <w:t xml:space="preserve"> restanțele la TVA au crescut cu 53,1 mil. lei și</w:t>
      </w:r>
      <w:r w:rsidR="003D7229">
        <w:rPr>
          <w:rFonts w:ascii="Times New Roman" w:eastAsia="Times New Roman" w:hAnsi="Times New Roman" w:cs="Times New Roman"/>
          <w:iCs/>
          <w:sz w:val="28"/>
          <w:szCs w:val="28"/>
        </w:rPr>
        <w:t>,</w:t>
      </w:r>
      <w:r w:rsidRPr="001D0846">
        <w:rPr>
          <w:rFonts w:ascii="Times New Roman" w:eastAsia="Times New Roman" w:hAnsi="Times New Roman" w:cs="Times New Roman"/>
          <w:iCs/>
          <w:sz w:val="28"/>
          <w:szCs w:val="28"/>
        </w:rPr>
        <w:t xml:space="preserve"> respectiv</w:t>
      </w:r>
      <w:r w:rsidR="003D7229">
        <w:rPr>
          <w:rFonts w:ascii="Times New Roman" w:eastAsia="Times New Roman" w:hAnsi="Times New Roman" w:cs="Times New Roman"/>
          <w:iCs/>
          <w:sz w:val="28"/>
          <w:szCs w:val="28"/>
        </w:rPr>
        <w:t xml:space="preserve">, cu </w:t>
      </w:r>
      <w:r w:rsidRPr="001D0846">
        <w:rPr>
          <w:rFonts w:ascii="Times New Roman" w:eastAsia="Times New Roman" w:hAnsi="Times New Roman" w:cs="Times New Roman"/>
          <w:iCs/>
          <w:sz w:val="28"/>
          <w:szCs w:val="28"/>
        </w:rPr>
        <w:t xml:space="preserve"> 36,5 mil. lei. </w:t>
      </w:r>
      <w:r w:rsidRPr="001D0846">
        <w:rPr>
          <w:rFonts w:ascii="Times New Roman" w:eastAsia="Times New Roman" w:hAnsi="Times New Roman" w:cs="Times New Roman"/>
          <w:sz w:val="28"/>
          <w:szCs w:val="28"/>
        </w:rPr>
        <w:t>O evoluție ascendentă se atestă și în cazul restanțelor la taxe</w:t>
      </w:r>
      <w:r w:rsidR="003D7229">
        <w:rPr>
          <w:rFonts w:ascii="Times New Roman" w:eastAsia="Times New Roman" w:hAnsi="Times New Roman" w:cs="Times New Roman"/>
          <w:sz w:val="28"/>
          <w:szCs w:val="28"/>
        </w:rPr>
        <w:t>le</w:t>
      </w:r>
      <w:r w:rsidRPr="001D0846">
        <w:rPr>
          <w:rFonts w:ascii="Times New Roman" w:eastAsia="Times New Roman" w:hAnsi="Times New Roman" w:cs="Times New Roman"/>
          <w:sz w:val="28"/>
          <w:szCs w:val="28"/>
        </w:rPr>
        <w:t xml:space="preserve"> vamale, amenzi, majorări</w:t>
      </w:r>
      <w:r w:rsidR="003D7229">
        <w:rPr>
          <w:rFonts w:ascii="Times New Roman" w:eastAsia="Times New Roman" w:hAnsi="Times New Roman" w:cs="Times New Roman"/>
          <w:sz w:val="28"/>
          <w:szCs w:val="28"/>
        </w:rPr>
        <w:t>le</w:t>
      </w:r>
      <w:r w:rsidRPr="001D0846">
        <w:rPr>
          <w:rFonts w:ascii="Times New Roman" w:eastAsia="Times New Roman" w:hAnsi="Times New Roman" w:cs="Times New Roman"/>
          <w:sz w:val="28"/>
          <w:szCs w:val="28"/>
        </w:rPr>
        <w:t xml:space="preserve"> de înt</w:t>
      </w:r>
      <w:r w:rsidR="003D7229">
        <w:rPr>
          <w:rFonts w:ascii="Times New Roman" w:eastAsia="Times New Roman" w:hAnsi="Times New Roman" w:cs="Times New Roman"/>
          <w:sz w:val="28"/>
          <w:szCs w:val="28"/>
        </w:rPr>
        <w:t>â</w:t>
      </w:r>
      <w:r w:rsidRPr="001D0846">
        <w:rPr>
          <w:rFonts w:ascii="Times New Roman" w:eastAsia="Times New Roman" w:hAnsi="Times New Roman" w:cs="Times New Roman"/>
          <w:sz w:val="28"/>
          <w:szCs w:val="28"/>
        </w:rPr>
        <w:t>rziere și taxe</w:t>
      </w:r>
      <w:r w:rsidR="003D7229">
        <w:rPr>
          <w:rFonts w:ascii="Times New Roman" w:eastAsia="Times New Roman" w:hAnsi="Times New Roman" w:cs="Times New Roman"/>
          <w:sz w:val="28"/>
          <w:szCs w:val="28"/>
        </w:rPr>
        <w:t>le</w:t>
      </w:r>
      <w:r w:rsidRPr="001D0846">
        <w:rPr>
          <w:rFonts w:ascii="Times New Roman" w:eastAsia="Times New Roman" w:hAnsi="Times New Roman" w:cs="Times New Roman"/>
          <w:sz w:val="28"/>
          <w:szCs w:val="28"/>
        </w:rPr>
        <w:t xml:space="preserve"> pentru procedur</w:t>
      </w:r>
      <w:r w:rsidR="003D7229">
        <w:rPr>
          <w:rFonts w:ascii="Times New Roman" w:eastAsia="Times New Roman" w:hAnsi="Times New Roman" w:cs="Times New Roman"/>
          <w:sz w:val="28"/>
          <w:szCs w:val="28"/>
        </w:rPr>
        <w:t>il</w:t>
      </w:r>
      <w:r w:rsidRPr="001D0846">
        <w:rPr>
          <w:rFonts w:ascii="Times New Roman" w:eastAsia="Times New Roman" w:hAnsi="Times New Roman" w:cs="Times New Roman"/>
          <w:sz w:val="28"/>
          <w:szCs w:val="28"/>
        </w:rPr>
        <w:t>e vamale.</w:t>
      </w:r>
      <w:r w:rsidRPr="00EE1A86">
        <w:rPr>
          <w:rFonts w:ascii="Times New Roman" w:eastAsia="Times New Roman" w:hAnsi="Times New Roman" w:cs="Times New Roman"/>
          <w:i/>
          <w:iCs/>
          <w:sz w:val="28"/>
          <w:szCs w:val="28"/>
        </w:rPr>
        <w:t xml:space="preserve">Informația privind evoluția restanțelor în aspectul tipurilor de plăți vamale </w:t>
      </w:r>
      <w:r w:rsidR="003D7229">
        <w:rPr>
          <w:rFonts w:ascii="Times New Roman" w:eastAsia="Times New Roman" w:hAnsi="Times New Roman" w:cs="Times New Roman"/>
          <w:i/>
          <w:iCs/>
          <w:sz w:val="28"/>
          <w:szCs w:val="28"/>
        </w:rPr>
        <w:t>este</w:t>
      </w:r>
      <w:r w:rsidRPr="00EE1A86">
        <w:rPr>
          <w:rFonts w:ascii="Times New Roman" w:eastAsia="Times New Roman" w:hAnsi="Times New Roman" w:cs="Times New Roman"/>
          <w:i/>
          <w:iCs/>
          <w:sz w:val="28"/>
          <w:szCs w:val="28"/>
        </w:rPr>
        <w:t xml:space="preserve"> prez</w:t>
      </w:r>
      <w:r w:rsidR="003D7229">
        <w:rPr>
          <w:rFonts w:ascii="Times New Roman" w:eastAsia="Times New Roman" w:hAnsi="Times New Roman" w:cs="Times New Roman"/>
          <w:i/>
          <w:iCs/>
          <w:sz w:val="28"/>
          <w:szCs w:val="28"/>
        </w:rPr>
        <w:t>enta</w:t>
      </w:r>
      <w:r w:rsidRPr="00EE1A86">
        <w:rPr>
          <w:rFonts w:ascii="Times New Roman" w:eastAsia="Times New Roman" w:hAnsi="Times New Roman" w:cs="Times New Roman"/>
          <w:i/>
          <w:iCs/>
          <w:sz w:val="28"/>
          <w:szCs w:val="28"/>
        </w:rPr>
        <w:t xml:space="preserve">tă în Diagrama </w:t>
      </w:r>
      <w:r w:rsidR="00203957" w:rsidRPr="00EE1A86">
        <w:rPr>
          <w:rFonts w:ascii="Times New Roman" w:eastAsia="Times New Roman" w:hAnsi="Times New Roman" w:cs="Times New Roman"/>
          <w:i/>
          <w:iCs/>
          <w:sz w:val="28"/>
          <w:szCs w:val="28"/>
        </w:rPr>
        <w:t>nr</w:t>
      </w:r>
      <w:r w:rsidR="00385FA6" w:rsidRPr="00EE1A86">
        <w:rPr>
          <w:rFonts w:ascii="Times New Roman" w:eastAsia="Times New Roman" w:hAnsi="Times New Roman" w:cs="Times New Roman"/>
          <w:i/>
          <w:iCs/>
          <w:sz w:val="28"/>
          <w:szCs w:val="28"/>
        </w:rPr>
        <w:t>.1</w:t>
      </w:r>
      <w:r w:rsidR="00EE1A86" w:rsidRPr="00EE1A86">
        <w:rPr>
          <w:rFonts w:ascii="Times New Roman" w:eastAsia="Times New Roman" w:hAnsi="Times New Roman" w:cs="Times New Roman"/>
          <w:i/>
          <w:iCs/>
          <w:sz w:val="28"/>
          <w:szCs w:val="28"/>
        </w:rPr>
        <w:t>4</w:t>
      </w:r>
      <w:r w:rsidR="002C2151" w:rsidRPr="00EE1A86">
        <w:rPr>
          <w:rFonts w:ascii="Times New Roman" w:eastAsia="Times New Roman" w:hAnsi="Times New Roman" w:cs="Times New Roman"/>
          <w:i/>
          <w:iCs/>
          <w:sz w:val="28"/>
          <w:szCs w:val="28"/>
        </w:rPr>
        <w:t xml:space="preserve"> din Anexa nr.4</w:t>
      </w:r>
      <w:r w:rsidR="00203957" w:rsidRPr="00EE1A86">
        <w:rPr>
          <w:rFonts w:ascii="Times New Roman" w:eastAsia="Times New Roman" w:hAnsi="Times New Roman" w:cs="Times New Roman"/>
          <w:i/>
          <w:iCs/>
          <w:sz w:val="28"/>
          <w:szCs w:val="28"/>
        </w:rPr>
        <w:t xml:space="preserve"> la Raport</w:t>
      </w:r>
      <w:r w:rsidR="003D7229">
        <w:rPr>
          <w:rFonts w:ascii="Times New Roman" w:eastAsia="Times New Roman" w:hAnsi="Times New Roman" w:cs="Times New Roman"/>
          <w:i/>
          <w:iCs/>
          <w:sz w:val="28"/>
          <w:szCs w:val="28"/>
        </w:rPr>
        <w:t>ul</w:t>
      </w:r>
      <w:r w:rsidR="00203957" w:rsidRPr="00EE1A86">
        <w:rPr>
          <w:rFonts w:ascii="Times New Roman" w:eastAsia="Times New Roman" w:hAnsi="Times New Roman" w:cs="Times New Roman"/>
          <w:i/>
          <w:iCs/>
          <w:sz w:val="28"/>
          <w:szCs w:val="28"/>
        </w:rPr>
        <w:t xml:space="preserve"> de audit.</w:t>
      </w:r>
    </w:p>
    <w:p w:rsidR="00C26C38" w:rsidRDefault="000C20FC" w:rsidP="00171253">
      <w:pPr>
        <w:spacing w:after="0" w:line="276" w:lineRule="auto"/>
        <w:ind w:firstLine="709"/>
        <w:jc w:val="both"/>
        <w:rPr>
          <w:rFonts w:ascii="Times New Roman" w:hAnsi="Times New Roman" w:cs="Times New Roman"/>
          <w:i/>
          <w:sz w:val="28"/>
          <w:szCs w:val="28"/>
        </w:rPr>
      </w:pPr>
      <w:r>
        <w:rPr>
          <w:rFonts w:ascii="Times New Roman" w:hAnsi="Times New Roman"/>
          <w:color w:val="000000"/>
          <w:sz w:val="28"/>
          <w:szCs w:val="28"/>
        </w:rPr>
        <w:lastRenderedPageBreak/>
        <w:t>Examinarea</w:t>
      </w:r>
      <w:r w:rsidR="00C26C38" w:rsidRPr="001D0846">
        <w:rPr>
          <w:rFonts w:ascii="Times New Roman" w:hAnsi="Times New Roman" w:cs="Times New Roman"/>
          <w:sz w:val="28"/>
          <w:szCs w:val="28"/>
        </w:rPr>
        <w:t xml:space="preserve">modului de formare și </w:t>
      </w:r>
      <w:r>
        <w:rPr>
          <w:rFonts w:ascii="Times New Roman" w:hAnsi="Times New Roman" w:cs="Times New Roman"/>
          <w:sz w:val="28"/>
          <w:szCs w:val="28"/>
        </w:rPr>
        <w:t xml:space="preserve">a </w:t>
      </w:r>
      <w:r w:rsidR="00C26C38" w:rsidRPr="001D0846">
        <w:rPr>
          <w:rFonts w:ascii="Times New Roman" w:hAnsi="Times New Roman" w:cs="Times New Roman"/>
          <w:sz w:val="28"/>
          <w:szCs w:val="28"/>
        </w:rPr>
        <w:t xml:space="preserve">evoluției restanțelor în aspect cronologic </w:t>
      </w:r>
      <w:r>
        <w:rPr>
          <w:rFonts w:ascii="Times New Roman" w:hAnsi="Times New Roman" w:cs="Times New Roman"/>
          <w:sz w:val="28"/>
          <w:szCs w:val="28"/>
        </w:rPr>
        <w:t>denotă</w:t>
      </w:r>
      <w:r w:rsidR="00C26C38" w:rsidRPr="001D0846">
        <w:rPr>
          <w:rFonts w:ascii="Times New Roman" w:hAnsi="Times New Roman" w:cs="Times New Roman"/>
          <w:sz w:val="28"/>
          <w:szCs w:val="28"/>
        </w:rPr>
        <w:t xml:space="preserve"> o dinamică ascendentă a restanțelor istorice. </w:t>
      </w:r>
      <w:r w:rsidR="00C26C38" w:rsidRPr="001D0846">
        <w:rPr>
          <w:rFonts w:ascii="Times New Roman" w:hAnsi="Times New Roman" w:cs="Times New Roman"/>
          <w:i/>
          <w:sz w:val="28"/>
          <w:szCs w:val="28"/>
        </w:rPr>
        <w:t xml:space="preserve">Informația privind evoluția restanțelor istorice </w:t>
      </w:r>
      <w:r w:rsidR="00203957" w:rsidRPr="001D0846">
        <w:rPr>
          <w:rFonts w:ascii="Times New Roman" w:hAnsi="Times New Roman" w:cs="Times New Roman"/>
          <w:i/>
          <w:sz w:val="28"/>
          <w:szCs w:val="28"/>
        </w:rPr>
        <w:t>la BS</w:t>
      </w:r>
      <w:r w:rsidR="003D7229">
        <w:rPr>
          <w:rFonts w:ascii="Times New Roman" w:hAnsi="Times New Roman" w:cs="Times New Roman"/>
          <w:i/>
          <w:sz w:val="28"/>
          <w:szCs w:val="28"/>
        </w:rPr>
        <w:t>,</w:t>
      </w:r>
      <w:r w:rsidR="00203957" w:rsidRPr="001D0846">
        <w:rPr>
          <w:rFonts w:ascii="Times New Roman" w:hAnsi="Times New Roman" w:cs="Times New Roman"/>
          <w:i/>
          <w:sz w:val="28"/>
          <w:szCs w:val="28"/>
        </w:rPr>
        <w:t xml:space="preserve"> administrate de SV</w:t>
      </w:r>
      <w:r w:rsidR="003D7229">
        <w:rPr>
          <w:rFonts w:ascii="Times New Roman" w:hAnsi="Times New Roman" w:cs="Times New Roman"/>
          <w:i/>
          <w:sz w:val="28"/>
          <w:szCs w:val="28"/>
        </w:rPr>
        <w:t>,este</w:t>
      </w:r>
      <w:r w:rsidR="00C26C38" w:rsidRPr="001D0846">
        <w:rPr>
          <w:rFonts w:ascii="Times New Roman" w:hAnsi="Times New Roman" w:cs="Times New Roman"/>
          <w:i/>
          <w:sz w:val="28"/>
          <w:szCs w:val="28"/>
        </w:rPr>
        <w:t xml:space="preserve"> prez</w:t>
      </w:r>
      <w:r w:rsidR="003D7229">
        <w:rPr>
          <w:rFonts w:ascii="Times New Roman" w:hAnsi="Times New Roman" w:cs="Times New Roman"/>
          <w:i/>
          <w:sz w:val="28"/>
          <w:szCs w:val="28"/>
        </w:rPr>
        <w:t>enta</w:t>
      </w:r>
      <w:r w:rsidR="00C26C38" w:rsidRPr="001D0846">
        <w:rPr>
          <w:rFonts w:ascii="Times New Roman" w:hAnsi="Times New Roman" w:cs="Times New Roman"/>
          <w:i/>
          <w:sz w:val="28"/>
          <w:szCs w:val="28"/>
        </w:rPr>
        <w:t xml:space="preserve">tă în Tabelul </w:t>
      </w:r>
      <w:r w:rsidR="002C2151" w:rsidRPr="001D0846">
        <w:rPr>
          <w:rFonts w:ascii="Times New Roman" w:hAnsi="Times New Roman" w:cs="Times New Roman"/>
          <w:i/>
          <w:sz w:val="28"/>
          <w:szCs w:val="28"/>
        </w:rPr>
        <w:t>nr.1</w:t>
      </w:r>
      <w:r w:rsidR="00EE1A86">
        <w:rPr>
          <w:rFonts w:ascii="Times New Roman" w:hAnsi="Times New Roman" w:cs="Times New Roman"/>
          <w:i/>
          <w:sz w:val="28"/>
          <w:szCs w:val="28"/>
        </w:rPr>
        <w:t>8</w:t>
      </w:r>
      <w:r w:rsidR="002C2151" w:rsidRPr="001D0846">
        <w:rPr>
          <w:rFonts w:ascii="Times New Roman" w:hAnsi="Times New Roman" w:cs="Times New Roman"/>
          <w:i/>
          <w:sz w:val="28"/>
          <w:szCs w:val="28"/>
        </w:rPr>
        <w:t xml:space="preserve"> din Anexa nr.3</w:t>
      </w:r>
      <w:r w:rsidR="00203957" w:rsidRPr="001D0846">
        <w:rPr>
          <w:rFonts w:ascii="Times New Roman" w:hAnsi="Times New Roman" w:cs="Times New Roman"/>
          <w:i/>
          <w:sz w:val="28"/>
          <w:szCs w:val="28"/>
        </w:rPr>
        <w:t xml:space="preserve"> la Raport</w:t>
      </w:r>
      <w:r w:rsidR="003D7229">
        <w:rPr>
          <w:rFonts w:ascii="Times New Roman" w:hAnsi="Times New Roman" w:cs="Times New Roman"/>
          <w:i/>
          <w:sz w:val="28"/>
          <w:szCs w:val="28"/>
        </w:rPr>
        <w:t>ul</w:t>
      </w:r>
      <w:r w:rsidR="00203957" w:rsidRPr="001D0846">
        <w:rPr>
          <w:rFonts w:ascii="Times New Roman" w:hAnsi="Times New Roman" w:cs="Times New Roman"/>
          <w:i/>
          <w:sz w:val="28"/>
          <w:szCs w:val="28"/>
        </w:rPr>
        <w:t xml:space="preserve"> de audit</w:t>
      </w:r>
      <w:r w:rsidR="00C26C38" w:rsidRPr="001D0846">
        <w:rPr>
          <w:rFonts w:ascii="Times New Roman" w:hAnsi="Times New Roman" w:cs="Times New Roman"/>
          <w:i/>
          <w:sz w:val="28"/>
          <w:szCs w:val="28"/>
        </w:rPr>
        <w:t>.</w:t>
      </w:r>
    </w:p>
    <w:p w:rsidR="00C26C38" w:rsidRPr="001D0846" w:rsidRDefault="00C26C38" w:rsidP="00826DE7">
      <w:pPr>
        <w:spacing w:after="0" w:line="276" w:lineRule="auto"/>
        <w:ind w:firstLine="709"/>
        <w:jc w:val="both"/>
        <w:rPr>
          <w:rFonts w:ascii="Times New Roman" w:hAnsi="Times New Roman" w:cs="Times New Roman"/>
          <w:sz w:val="28"/>
          <w:szCs w:val="28"/>
        </w:rPr>
      </w:pPr>
      <w:r w:rsidRPr="001D0846">
        <w:rPr>
          <w:rFonts w:ascii="Times New Roman" w:hAnsi="Times New Roman" w:cs="Times New Roman"/>
          <w:sz w:val="28"/>
          <w:szCs w:val="28"/>
        </w:rPr>
        <w:t xml:space="preserve">Datele prezentate în </w:t>
      </w:r>
      <w:r w:rsidR="000C20FC">
        <w:rPr>
          <w:rFonts w:ascii="Times New Roman" w:hAnsi="Times New Roman" w:cs="Times New Roman"/>
          <w:sz w:val="28"/>
          <w:szCs w:val="28"/>
        </w:rPr>
        <w:t>t</w:t>
      </w:r>
      <w:r w:rsidRPr="001D0846">
        <w:rPr>
          <w:rFonts w:ascii="Times New Roman" w:hAnsi="Times New Roman" w:cs="Times New Roman"/>
          <w:sz w:val="28"/>
          <w:szCs w:val="28"/>
        </w:rPr>
        <w:t xml:space="preserve">abel </w:t>
      </w:r>
      <w:r w:rsidR="000C20FC">
        <w:rPr>
          <w:rFonts w:ascii="Times New Roman" w:hAnsi="Times New Roman" w:cs="Times New Roman"/>
          <w:sz w:val="28"/>
          <w:szCs w:val="28"/>
        </w:rPr>
        <w:t>indică</w:t>
      </w:r>
      <w:r w:rsidRPr="001D0846">
        <w:rPr>
          <w:rFonts w:ascii="Times New Roman" w:hAnsi="Times New Roman" w:cs="Times New Roman"/>
          <w:sz w:val="28"/>
          <w:szCs w:val="28"/>
        </w:rPr>
        <w:t xml:space="preserve"> că 62,3 % din restanța la plățile de bază</w:t>
      </w:r>
      <w:r w:rsidR="000C20FC">
        <w:rPr>
          <w:rFonts w:ascii="Times New Roman" w:hAnsi="Times New Roman" w:cs="Times New Roman"/>
          <w:sz w:val="28"/>
          <w:szCs w:val="28"/>
        </w:rPr>
        <w:t>,</w:t>
      </w:r>
      <w:r w:rsidRPr="001D0846">
        <w:rPr>
          <w:rFonts w:ascii="Times New Roman" w:hAnsi="Times New Roman" w:cs="Times New Roman"/>
          <w:sz w:val="28"/>
          <w:szCs w:val="28"/>
        </w:rPr>
        <w:t xml:space="preserve"> înregistrată la 31.12.2017</w:t>
      </w:r>
      <w:r w:rsidR="000C20FC">
        <w:rPr>
          <w:rFonts w:ascii="Times New Roman" w:hAnsi="Times New Roman" w:cs="Times New Roman"/>
          <w:sz w:val="28"/>
          <w:szCs w:val="28"/>
        </w:rPr>
        <w:t xml:space="preserve">,s-a </w:t>
      </w:r>
      <w:r w:rsidRPr="001D0846">
        <w:rPr>
          <w:rFonts w:ascii="Times New Roman" w:hAnsi="Times New Roman" w:cs="Times New Roman"/>
          <w:sz w:val="28"/>
          <w:szCs w:val="28"/>
        </w:rPr>
        <w:t>format p</w:t>
      </w:r>
      <w:r w:rsidR="000C20FC">
        <w:rPr>
          <w:rFonts w:ascii="Times New Roman" w:hAnsi="Times New Roman" w:cs="Times New Roman"/>
          <w:sz w:val="28"/>
          <w:szCs w:val="28"/>
        </w:rPr>
        <w:t>â</w:t>
      </w:r>
      <w:r w:rsidRPr="001D0846">
        <w:rPr>
          <w:rFonts w:ascii="Times New Roman" w:hAnsi="Times New Roman" w:cs="Times New Roman"/>
          <w:sz w:val="28"/>
          <w:szCs w:val="28"/>
        </w:rPr>
        <w:t xml:space="preserve">nă în anul 2014, 7,8 % </w:t>
      </w:r>
      <w:r w:rsidR="000C20FC">
        <w:rPr>
          <w:rFonts w:ascii="Times New Roman" w:hAnsi="Times New Roman" w:cs="Times New Roman"/>
          <w:sz w:val="28"/>
          <w:szCs w:val="28"/>
        </w:rPr>
        <w:t xml:space="preserve">- </w:t>
      </w:r>
      <w:r w:rsidRPr="001D0846">
        <w:rPr>
          <w:rFonts w:ascii="Times New Roman" w:hAnsi="Times New Roman" w:cs="Times New Roman"/>
          <w:sz w:val="28"/>
          <w:szCs w:val="28"/>
        </w:rPr>
        <w:t xml:space="preserve">în anul 2015, 11,4 % </w:t>
      </w:r>
      <w:r w:rsidR="000C20FC">
        <w:rPr>
          <w:rFonts w:ascii="Times New Roman" w:hAnsi="Times New Roman" w:cs="Times New Roman"/>
          <w:sz w:val="28"/>
          <w:szCs w:val="28"/>
        </w:rPr>
        <w:t xml:space="preserve">- </w:t>
      </w:r>
      <w:r w:rsidRPr="001D0846">
        <w:rPr>
          <w:rFonts w:ascii="Times New Roman" w:hAnsi="Times New Roman" w:cs="Times New Roman"/>
          <w:sz w:val="28"/>
          <w:szCs w:val="28"/>
        </w:rPr>
        <w:t xml:space="preserve">în anul 2016, iar 18,4 % </w:t>
      </w:r>
      <w:r w:rsidR="000C20FC">
        <w:rPr>
          <w:rFonts w:ascii="Times New Roman" w:hAnsi="Times New Roman" w:cs="Times New Roman"/>
          <w:sz w:val="28"/>
          <w:szCs w:val="28"/>
        </w:rPr>
        <w:t xml:space="preserve">- </w:t>
      </w:r>
      <w:r w:rsidRPr="001D0846">
        <w:rPr>
          <w:rFonts w:ascii="Times New Roman" w:hAnsi="Times New Roman" w:cs="Times New Roman"/>
          <w:sz w:val="28"/>
          <w:szCs w:val="28"/>
        </w:rPr>
        <w:t>în anul 2017. Se atestă o creștere a restanței istorice încep</w:t>
      </w:r>
      <w:r w:rsidR="000C20FC">
        <w:rPr>
          <w:rFonts w:ascii="Times New Roman" w:hAnsi="Times New Roman" w:cs="Times New Roman"/>
          <w:sz w:val="28"/>
          <w:szCs w:val="28"/>
        </w:rPr>
        <w:t>â</w:t>
      </w:r>
      <w:r w:rsidRPr="001D0846">
        <w:rPr>
          <w:rFonts w:ascii="Times New Roman" w:hAnsi="Times New Roman" w:cs="Times New Roman"/>
          <w:sz w:val="28"/>
          <w:szCs w:val="28"/>
        </w:rPr>
        <w:t>nd cu anul 2015, deși în perioadele anterioare dinamica acestor restanțe era în descreștere. Auditul denotă căneluarea de măsuri în vederea recuperării restanțelor istorice generează risc</w:t>
      </w:r>
      <w:r w:rsidR="000C20FC">
        <w:rPr>
          <w:rFonts w:ascii="Times New Roman" w:hAnsi="Times New Roman" w:cs="Times New Roman"/>
          <w:sz w:val="28"/>
          <w:szCs w:val="28"/>
        </w:rPr>
        <w:t>ul</w:t>
      </w:r>
      <w:r w:rsidRPr="001D0846">
        <w:rPr>
          <w:rFonts w:ascii="Times New Roman" w:hAnsi="Times New Roman" w:cs="Times New Roman"/>
          <w:sz w:val="28"/>
          <w:szCs w:val="28"/>
        </w:rPr>
        <w:t xml:space="preserve"> de formare a restanțelor nerecuperabile și </w:t>
      </w:r>
      <w:r w:rsidR="002B3C32">
        <w:rPr>
          <w:rFonts w:ascii="Times New Roman" w:hAnsi="Times New Roman" w:cs="Times New Roman"/>
          <w:sz w:val="28"/>
          <w:szCs w:val="28"/>
        </w:rPr>
        <w:t xml:space="preserve">de </w:t>
      </w:r>
      <w:r w:rsidRPr="001D0846">
        <w:rPr>
          <w:rFonts w:ascii="Times New Roman" w:hAnsi="Times New Roman" w:cs="Times New Roman"/>
          <w:sz w:val="28"/>
          <w:szCs w:val="28"/>
        </w:rPr>
        <w:t xml:space="preserve">intrarea agenților economici în </w:t>
      </w:r>
      <w:r w:rsidR="004939BC" w:rsidRPr="001D0846">
        <w:rPr>
          <w:rFonts w:ascii="Times New Roman" w:hAnsi="Times New Roman" w:cs="Times New Roman"/>
          <w:sz w:val="28"/>
          <w:szCs w:val="28"/>
        </w:rPr>
        <w:t>stare specială</w:t>
      </w:r>
      <w:r w:rsidRPr="001D0846">
        <w:rPr>
          <w:rFonts w:ascii="Times New Roman" w:hAnsi="Times New Roman" w:cs="Times New Roman"/>
          <w:sz w:val="28"/>
          <w:szCs w:val="28"/>
        </w:rPr>
        <w:t xml:space="preserve"> (insolvabilitate, lichidare).</w:t>
      </w:r>
    </w:p>
    <w:p w:rsidR="00C26C38" w:rsidRPr="001D0846" w:rsidRDefault="00C26C38" w:rsidP="00826DE7">
      <w:pPr>
        <w:spacing w:after="0" w:line="276" w:lineRule="auto"/>
        <w:ind w:firstLine="709"/>
        <w:jc w:val="both"/>
        <w:rPr>
          <w:rFonts w:ascii="Times New Roman" w:hAnsi="Times New Roman" w:cs="Times New Roman"/>
          <w:sz w:val="28"/>
          <w:szCs w:val="28"/>
        </w:rPr>
      </w:pPr>
      <w:r w:rsidRPr="001D0846">
        <w:rPr>
          <w:rFonts w:ascii="Times New Roman" w:hAnsi="Times New Roman" w:cs="Times New Roman"/>
          <w:sz w:val="28"/>
          <w:szCs w:val="28"/>
        </w:rPr>
        <w:t xml:space="preserve"> Analiza nivelului de colectare a restanțelor istorice relevă o descreștere a gradului de recuperare</w:t>
      </w:r>
      <w:r w:rsidR="002B3C32">
        <w:rPr>
          <w:rFonts w:ascii="Times New Roman" w:hAnsi="Times New Roman" w:cs="Times New Roman"/>
          <w:sz w:val="28"/>
          <w:szCs w:val="28"/>
        </w:rPr>
        <w:t>,</w:t>
      </w:r>
      <w:r w:rsidRPr="001D0846">
        <w:rPr>
          <w:rFonts w:ascii="Times New Roman" w:hAnsi="Times New Roman" w:cs="Times New Roman"/>
          <w:sz w:val="28"/>
          <w:szCs w:val="28"/>
        </w:rPr>
        <w:t xml:space="preserve"> care variază de la 18,1 % în anul </w:t>
      </w:r>
      <w:r w:rsidR="006756EE" w:rsidRPr="001D0846">
        <w:rPr>
          <w:rFonts w:ascii="Times New Roman" w:hAnsi="Times New Roman" w:cs="Times New Roman"/>
          <w:sz w:val="28"/>
          <w:szCs w:val="28"/>
        </w:rPr>
        <w:t>2015 până la 11</w:t>
      </w:r>
      <w:r w:rsidR="002B3C32">
        <w:rPr>
          <w:rFonts w:ascii="Times New Roman" w:hAnsi="Times New Roman" w:cs="Times New Roman"/>
          <w:sz w:val="28"/>
          <w:szCs w:val="28"/>
        </w:rPr>
        <w:t>,0</w:t>
      </w:r>
      <w:r w:rsidR="006756EE" w:rsidRPr="001D0846">
        <w:rPr>
          <w:rFonts w:ascii="Times New Roman" w:hAnsi="Times New Roman" w:cs="Times New Roman"/>
          <w:sz w:val="28"/>
          <w:szCs w:val="28"/>
        </w:rPr>
        <w:t xml:space="preserve"> % în anul 2017. </w:t>
      </w:r>
      <w:r w:rsidR="004726E0" w:rsidRPr="001D0846">
        <w:rPr>
          <w:rFonts w:ascii="Times New Roman" w:hAnsi="Times New Roman" w:cs="Times New Roman"/>
          <w:sz w:val="28"/>
          <w:szCs w:val="28"/>
        </w:rPr>
        <w:t xml:space="preserve">Examinările </w:t>
      </w:r>
      <w:r w:rsidR="002B3C32">
        <w:rPr>
          <w:rFonts w:ascii="Times New Roman" w:hAnsi="Times New Roman" w:cs="Times New Roman"/>
          <w:sz w:val="28"/>
          <w:szCs w:val="28"/>
        </w:rPr>
        <w:t xml:space="preserve">efectuate de </w:t>
      </w:r>
      <w:r w:rsidR="004726E0" w:rsidRPr="001D0846">
        <w:rPr>
          <w:rFonts w:ascii="Times New Roman" w:hAnsi="Times New Roman" w:cs="Times New Roman"/>
          <w:sz w:val="28"/>
          <w:szCs w:val="28"/>
        </w:rPr>
        <w:t xml:space="preserve">audit </w:t>
      </w:r>
      <w:r w:rsidR="002B3C32">
        <w:rPr>
          <w:rFonts w:ascii="Times New Roman" w:hAnsi="Times New Roman" w:cs="Times New Roman"/>
          <w:sz w:val="28"/>
          <w:szCs w:val="28"/>
          <w:shd w:val="clear" w:color="auto" w:fill="FFFFFF"/>
        </w:rPr>
        <w:t>denotă</w:t>
      </w:r>
      <w:r w:rsidRPr="001D0846">
        <w:rPr>
          <w:rFonts w:ascii="Times New Roman" w:hAnsi="Times New Roman" w:cs="Times New Roman"/>
          <w:sz w:val="28"/>
          <w:szCs w:val="28"/>
          <w:shd w:val="clear" w:color="auto" w:fill="FFFFFF"/>
        </w:rPr>
        <w:t xml:space="preserve"> că restanțele la plățile vamale formate în anul 2012 au fost recuperate în perioada </w:t>
      </w:r>
      <w:r w:rsidR="002B3C32">
        <w:rPr>
          <w:rFonts w:ascii="Times New Roman" w:hAnsi="Times New Roman" w:cs="Times New Roman"/>
          <w:sz w:val="28"/>
          <w:szCs w:val="28"/>
          <w:shd w:val="clear" w:color="auto" w:fill="FFFFFF"/>
        </w:rPr>
        <w:t xml:space="preserve">anilor </w:t>
      </w:r>
      <w:r w:rsidRPr="001D0846">
        <w:rPr>
          <w:rFonts w:ascii="Times New Roman" w:hAnsi="Times New Roman" w:cs="Times New Roman"/>
          <w:sz w:val="28"/>
          <w:szCs w:val="28"/>
          <w:shd w:val="clear" w:color="auto" w:fill="FFFFFF"/>
        </w:rPr>
        <w:t>2013-2017</w:t>
      </w:r>
      <w:r w:rsidR="002B3C32">
        <w:rPr>
          <w:rFonts w:ascii="Times New Roman" w:hAnsi="Times New Roman" w:cs="Times New Roman"/>
          <w:sz w:val="28"/>
          <w:szCs w:val="28"/>
          <w:shd w:val="clear" w:color="auto" w:fill="FFFFFF"/>
        </w:rPr>
        <w:t>,</w:t>
      </w:r>
      <w:r w:rsidRPr="001D0846">
        <w:rPr>
          <w:rFonts w:ascii="Times New Roman" w:hAnsi="Times New Roman" w:cs="Times New Roman"/>
          <w:sz w:val="28"/>
          <w:szCs w:val="28"/>
          <w:shd w:val="clear" w:color="auto" w:fill="FFFFFF"/>
        </w:rPr>
        <w:t xml:space="preserve"> în proporție de la 17,7% p</w:t>
      </w:r>
      <w:r w:rsidR="002B3C32">
        <w:rPr>
          <w:rFonts w:ascii="Times New Roman" w:hAnsi="Times New Roman" w:cs="Times New Roman"/>
          <w:sz w:val="28"/>
          <w:szCs w:val="28"/>
          <w:shd w:val="clear" w:color="auto" w:fill="FFFFFF"/>
        </w:rPr>
        <w:t>â</w:t>
      </w:r>
      <w:r w:rsidRPr="001D0846">
        <w:rPr>
          <w:rFonts w:ascii="Times New Roman" w:hAnsi="Times New Roman" w:cs="Times New Roman"/>
          <w:sz w:val="28"/>
          <w:szCs w:val="28"/>
          <w:shd w:val="clear" w:color="auto" w:fill="FFFFFF"/>
        </w:rPr>
        <w:t xml:space="preserve">nă la 0,2 %, soldul </w:t>
      </w:r>
      <w:r w:rsidR="00EB1811">
        <w:rPr>
          <w:rFonts w:ascii="Times New Roman" w:hAnsi="Times New Roman" w:cs="Times New Roman"/>
          <w:sz w:val="28"/>
          <w:szCs w:val="28"/>
          <w:shd w:val="clear" w:color="auto" w:fill="FFFFFF"/>
        </w:rPr>
        <w:t xml:space="preserve">lor </w:t>
      </w:r>
      <w:r w:rsidR="002B3C32" w:rsidRPr="00DB0CC5">
        <w:rPr>
          <w:rFonts w:ascii="Times New Roman" w:hAnsi="Times New Roman" w:cs="Times New Roman"/>
          <w:sz w:val="28"/>
          <w:szCs w:val="28"/>
          <w:shd w:val="clear" w:color="auto" w:fill="FFFFFF"/>
        </w:rPr>
        <w:t>la 31.12.2017</w:t>
      </w:r>
      <w:r w:rsidRPr="00DB0CC5">
        <w:rPr>
          <w:rFonts w:ascii="Times New Roman" w:hAnsi="Times New Roman" w:cs="Times New Roman"/>
          <w:sz w:val="28"/>
          <w:szCs w:val="28"/>
          <w:shd w:val="clear" w:color="auto" w:fill="FFFFFF"/>
        </w:rPr>
        <w:t>constitui</w:t>
      </w:r>
      <w:r w:rsidR="002B3C32" w:rsidRPr="00DB0CC5">
        <w:rPr>
          <w:rFonts w:ascii="Times New Roman" w:hAnsi="Times New Roman" w:cs="Times New Roman"/>
          <w:sz w:val="28"/>
          <w:szCs w:val="28"/>
          <w:shd w:val="clear" w:color="auto" w:fill="FFFFFF"/>
        </w:rPr>
        <w:t>nd</w:t>
      </w:r>
      <w:r w:rsidRPr="00DB0CC5">
        <w:rPr>
          <w:rFonts w:ascii="Times New Roman" w:hAnsi="Times New Roman" w:cs="Times New Roman"/>
          <w:sz w:val="28"/>
          <w:szCs w:val="28"/>
          <w:shd w:val="clear" w:color="auto" w:fill="FFFFFF"/>
        </w:rPr>
        <w:t xml:space="preserve"> 51,7 mil.lei. Restanța </w:t>
      </w:r>
      <w:r w:rsidR="00DB0CC5">
        <w:rPr>
          <w:rFonts w:ascii="Times New Roman" w:hAnsi="Times New Roman" w:cs="Times New Roman"/>
          <w:sz w:val="28"/>
          <w:szCs w:val="28"/>
          <w:shd w:val="clear" w:color="auto" w:fill="FFFFFF"/>
        </w:rPr>
        <w:t xml:space="preserve">formată în </w:t>
      </w:r>
      <w:r w:rsidRPr="00DB0CC5">
        <w:rPr>
          <w:rFonts w:ascii="Times New Roman" w:hAnsi="Times New Roman" w:cs="Times New Roman"/>
          <w:sz w:val="28"/>
          <w:szCs w:val="28"/>
          <w:shd w:val="clear" w:color="auto" w:fill="FFFFFF"/>
        </w:rPr>
        <w:t>anul 2013 a fost recuperată în proporție de la 14,1 % până la 1,4 % (sold</w:t>
      </w:r>
      <w:r w:rsidR="00DB0CC5" w:rsidRPr="00DB0CC5">
        <w:rPr>
          <w:rFonts w:ascii="Times New Roman" w:hAnsi="Times New Roman" w:cs="Times New Roman"/>
          <w:sz w:val="28"/>
          <w:szCs w:val="28"/>
          <w:shd w:val="clear" w:color="auto" w:fill="FFFFFF"/>
        </w:rPr>
        <w:t>ul</w:t>
      </w:r>
      <w:r w:rsidRPr="00DB0CC5">
        <w:rPr>
          <w:rFonts w:ascii="Times New Roman" w:hAnsi="Times New Roman" w:cs="Times New Roman"/>
          <w:sz w:val="28"/>
          <w:szCs w:val="28"/>
          <w:shd w:val="clear" w:color="auto" w:fill="FFFFFF"/>
        </w:rPr>
        <w:t xml:space="preserve"> la 31.12.2013 – 37,1 mil.lei). Restanța </w:t>
      </w:r>
      <w:r w:rsidR="00DB0CC5">
        <w:rPr>
          <w:rFonts w:ascii="Times New Roman" w:hAnsi="Times New Roman" w:cs="Times New Roman"/>
          <w:sz w:val="28"/>
          <w:szCs w:val="28"/>
          <w:shd w:val="clear" w:color="auto" w:fill="FFFFFF"/>
        </w:rPr>
        <w:t xml:space="preserve">din </w:t>
      </w:r>
      <w:r w:rsidRPr="00DB0CC5">
        <w:rPr>
          <w:rFonts w:ascii="Times New Roman" w:hAnsi="Times New Roman" w:cs="Times New Roman"/>
          <w:sz w:val="28"/>
          <w:szCs w:val="28"/>
          <w:shd w:val="clear" w:color="auto" w:fill="FFFFFF"/>
        </w:rPr>
        <w:t>anul 2014 a fost recuperată în proporție de la 3,2 % până la 2,4 % (sold</w:t>
      </w:r>
      <w:r w:rsidR="00DB0CC5">
        <w:rPr>
          <w:rFonts w:ascii="Times New Roman" w:hAnsi="Times New Roman" w:cs="Times New Roman"/>
          <w:sz w:val="28"/>
          <w:szCs w:val="28"/>
          <w:shd w:val="clear" w:color="auto" w:fill="FFFFFF"/>
        </w:rPr>
        <w:t>ul</w:t>
      </w:r>
      <w:r w:rsidRPr="00DB0CC5">
        <w:rPr>
          <w:rFonts w:ascii="Times New Roman" w:hAnsi="Times New Roman" w:cs="Times New Roman"/>
          <w:sz w:val="28"/>
          <w:szCs w:val="28"/>
          <w:shd w:val="clear" w:color="auto" w:fill="FFFFFF"/>
        </w:rPr>
        <w:t xml:space="preserve"> la 31.12.2014 – 30,2 mil.lei). Restanța </w:t>
      </w:r>
      <w:r w:rsidR="00DB0CC5">
        <w:rPr>
          <w:rFonts w:ascii="Times New Roman" w:hAnsi="Times New Roman" w:cs="Times New Roman"/>
          <w:sz w:val="28"/>
          <w:szCs w:val="28"/>
          <w:shd w:val="clear" w:color="auto" w:fill="FFFFFF"/>
        </w:rPr>
        <w:t xml:space="preserve">formată în </w:t>
      </w:r>
      <w:r w:rsidRPr="00DB0CC5">
        <w:rPr>
          <w:rFonts w:ascii="Times New Roman" w:hAnsi="Times New Roman" w:cs="Times New Roman"/>
          <w:sz w:val="28"/>
          <w:szCs w:val="28"/>
          <w:shd w:val="clear" w:color="auto" w:fill="FFFFFF"/>
        </w:rPr>
        <w:t>anul 2015 a fost recuperată în proporție de la 9,4% p</w:t>
      </w:r>
      <w:r w:rsidR="00DB0CC5">
        <w:rPr>
          <w:rFonts w:ascii="Times New Roman" w:hAnsi="Times New Roman" w:cs="Times New Roman"/>
          <w:sz w:val="28"/>
          <w:szCs w:val="28"/>
          <w:shd w:val="clear" w:color="auto" w:fill="FFFFFF"/>
        </w:rPr>
        <w:t>â</w:t>
      </w:r>
      <w:r w:rsidRPr="00DB0CC5">
        <w:rPr>
          <w:rFonts w:ascii="Times New Roman" w:hAnsi="Times New Roman" w:cs="Times New Roman"/>
          <w:sz w:val="28"/>
          <w:szCs w:val="28"/>
          <w:shd w:val="clear" w:color="auto" w:fill="FFFFFF"/>
        </w:rPr>
        <w:t>nă la 2,9% (sold</w:t>
      </w:r>
      <w:r w:rsidR="00DB0CC5">
        <w:rPr>
          <w:rFonts w:ascii="Times New Roman" w:hAnsi="Times New Roman" w:cs="Times New Roman"/>
          <w:sz w:val="28"/>
          <w:szCs w:val="28"/>
          <w:shd w:val="clear" w:color="auto" w:fill="FFFFFF"/>
        </w:rPr>
        <w:t>ul</w:t>
      </w:r>
      <w:r w:rsidRPr="00DB0CC5">
        <w:rPr>
          <w:rFonts w:ascii="Times New Roman" w:hAnsi="Times New Roman" w:cs="Times New Roman"/>
          <w:sz w:val="28"/>
          <w:szCs w:val="28"/>
          <w:shd w:val="clear" w:color="auto" w:fill="FFFFFF"/>
        </w:rPr>
        <w:t xml:space="preserve"> la 31.12.2015 – 21,6 mil.lei). Restanța </w:t>
      </w:r>
      <w:r w:rsidR="00DB0CC5">
        <w:rPr>
          <w:rFonts w:ascii="Times New Roman" w:hAnsi="Times New Roman" w:cs="Times New Roman"/>
          <w:sz w:val="28"/>
          <w:szCs w:val="28"/>
          <w:shd w:val="clear" w:color="auto" w:fill="FFFFFF"/>
        </w:rPr>
        <w:t xml:space="preserve">din </w:t>
      </w:r>
      <w:r w:rsidRPr="00DB0CC5">
        <w:rPr>
          <w:rFonts w:ascii="Times New Roman" w:hAnsi="Times New Roman" w:cs="Times New Roman"/>
          <w:sz w:val="28"/>
          <w:szCs w:val="28"/>
          <w:shd w:val="clear" w:color="auto" w:fill="FFFFFF"/>
        </w:rPr>
        <w:t>anul 2016 a fost recuperată în proporție de 11% (sold</w:t>
      </w:r>
      <w:r w:rsidR="00DB0CC5">
        <w:rPr>
          <w:rFonts w:ascii="Times New Roman" w:hAnsi="Times New Roman" w:cs="Times New Roman"/>
          <w:sz w:val="28"/>
          <w:szCs w:val="28"/>
          <w:shd w:val="clear" w:color="auto" w:fill="FFFFFF"/>
        </w:rPr>
        <w:t>ul</w:t>
      </w:r>
      <w:r w:rsidRPr="00DB0CC5">
        <w:rPr>
          <w:rFonts w:ascii="Times New Roman" w:hAnsi="Times New Roman" w:cs="Times New Roman"/>
          <w:sz w:val="28"/>
          <w:szCs w:val="28"/>
          <w:shd w:val="clear" w:color="auto" w:fill="FFFFFF"/>
        </w:rPr>
        <w:t xml:space="preserve"> la 31.12.2016 – 31,9 mil.lei).</w:t>
      </w:r>
    </w:p>
    <w:p w:rsidR="00C26C38" w:rsidRPr="001D0846" w:rsidRDefault="00C26C38" w:rsidP="006358AD">
      <w:pPr>
        <w:spacing w:after="0" w:line="276" w:lineRule="auto"/>
        <w:ind w:firstLine="720"/>
        <w:jc w:val="both"/>
        <w:rPr>
          <w:rFonts w:ascii="Times New Roman" w:hAnsi="Times New Roman" w:cs="Times New Roman"/>
          <w:i/>
          <w:sz w:val="28"/>
          <w:szCs w:val="28"/>
          <w:shd w:val="clear" w:color="auto" w:fill="FFFFFF"/>
        </w:rPr>
      </w:pPr>
      <w:r w:rsidRPr="001D0846">
        <w:rPr>
          <w:rFonts w:ascii="Times New Roman" w:hAnsi="Times New Roman" w:cs="Times New Roman"/>
          <w:sz w:val="28"/>
          <w:szCs w:val="28"/>
          <w:shd w:val="clear" w:color="auto" w:fill="FFFFFF"/>
        </w:rPr>
        <w:t xml:space="preserve">O situație similară se atestă și la recuperarea de către SV a majorărilor de întârziere formate în perioada </w:t>
      </w:r>
      <w:r w:rsidR="00EB1811">
        <w:rPr>
          <w:rFonts w:ascii="Times New Roman" w:hAnsi="Times New Roman" w:cs="Times New Roman"/>
          <w:sz w:val="28"/>
          <w:szCs w:val="28"/>
          <w:shd w:val="clear" w:color="auto" w:fill="FFFFFF"/>
        </w:rPr>
        <w:t xml:space="preserve">anilor </w:t>
      </w:r>
      <w:r w:rsidRPr="001D0846">
        <w:rPr>
          <w:rFonts w:ascii="Times New Roman" w:hAnsi="Times New Roman" w:cs="Times New Roman"/>
          <w:sz w:val="28"/>
          <w:szCs w:val="28"/>
          <w:shd w:val="clear" w:color="auto" w:fill="FFFFFF"/>
        </w:rPr>
        <w:t xml:space="preserve">2012-2017, </w:t>
      </w:r>
      <w:r w:rsidR="00EB1811">
        <w:rPr>
          <w:rFonts w:ascii="Times New Roman" w:hAnsi="Times New Roman" w:cs="Times New Roman"/>
          <w:sz w:val="28"/>
          <w:szCs w:val="28"/>
          <w:shd w:val="clear" w:color="auto" w:fill="FFFFFF"/>
        </w:rPr>
        <w:t>a</w:t>
      </w:r>
      <w:r w:rsidR="00EB1811" w:rsidRPr="001D0846">
        <w:rPr>
          <w:rFonts w:ascii="Times New Roman" w:hAnsi="Times New Roman" w:cs="Times New Roman"/>
          <w:sz w:val="28"/>
          <w:szCs w:val="28"/>
          <w:shd w:val="clear" w:color="auto" w:fill="FFFFFF"/>
        </w:rPr>
        <w:t xml:space="preserve">l căror </w:t>
      </w:r>
      <w:r w:rsidRPr="001D0846">
        <w:rPr>
          <w:rFonts w:ascii="Times New Roman" w:hAnsi="Times New Roman" w:cs="Times New Roman"/>
          <w:sz w:val="28"/>
          <w:szCs w:val="28"/>
          <w:shd w:val="clear" w:color="auto" w:fill="FFFFFF"/>
        </w:rPr>
        <w:t>soldla 31.12.2017 constituia 82,8 mil.lei</w:t>
      </w:r>
      <w:r w:rsidR="00EB1811">
        <w:rPr>
          <w:rFonts w:ascii="Times New Roman" w:hAnsi="Times New Roman" w:cs="Times New Roman"/>
          <w:i/>
          <w:sz w:val="28"/>
          <w:szCs w:val="28"/>
          <w:shd w:val="clear" w:color="auto" w:fill="FFFFFF"/>
        </w:rPr>
        <w:t>. I</w:t>
      </w:r>
      <w:r w:rsidRPr="001D0846">
        <w:rPr>
          <w:rFonts w:ascii="Times New Roman" w:hAnsi="Times New Roman" w:cs="Times New Roman"/>
          <w:i/>
          <w:sz w:val="28"/>
          <w:szCs w:val="28"/>
          <w:shd w:val="clear" w:color="auto" w:fill="FFFFFF"/>
        </w:rPr>
        <w:t>nformația detali</w:t>
      </w:r>
      <w:r w:rsidR="00EB1811">
        <w:rPr>
          <w:rFonts w:ascii="Times New Roman" w:hAnsi="Times New Roman" w:cs="Times New Roman"/>
          <w:i/>
          <w:sz w:val="28"/>
          <w:szCs w:val="28"/>
          <w:shd w:val="clear" w:color="auto" w:fill="FFFFFF"/>
        </w:rPr>
        <w:t>ată este</w:t>
      </w:r>
      <w:r w:rsidRPr="001D0846">
        <w:rPr>
          <w:rFonts w:ascii="Times New Roman" w:hAnsi="Times New Roman" w:cs="Times New Roman"/>
          <w:i/>
          <w:sz w:val="28"/>
          <w:szCs w:val="28"/>
          <w:shd w:val="clear" w:color="auto" w:fill="FFFFFF"/>
        </w:rPr>
        <w:t xml:space="preserve"> prezentată în Tabelul </w:t>
      </w:r>
      <w:r w:rsidR="006756EE" w:rsidRPr="001D0846">
        <w:rPr>
          <w:rFonts w:ascii="Times New Roman" w:hAnsi="Times New Roman" w:cs="Times New Roman"/>
          <w:i/>
          <w:sz w:val="28"/>
          <w:szCs w:val="28"/>
          <w:shd w:val="clear" w:color="auto" w:fill="FFFFFF"/>
        </w:rPr>
        <w:t>nr.1</w:t>
      </w:r>
      <w:r w:rsidR="00EE1A86">
        <w:rPr>
          <w:rFonts w:ascii="Times New Roman" w:hAnsi="Times New Roman" w:cs="Times New Roman"/>
          <w:i/>
          <w:sz w:val="28"/>
          <w:szCs w:val="28"/>
          <w:shd w:val="clear" w:color="auto" w:fill="FFFFFF"/>
        </w:rPr>
        <w:t>9</w:t>
      </w:r>
      <w:r w:rsidR="006756EE" w:rsidRPr="001D0846">
        <w:rPr>
          <w:rFonts w:ascii="Times New Roman" w:hAnsi="Times New Roman" w:cs="Times New Roman"/>
          <w:i/>
          <w:sz w:val="28"/>
          <w:szCs w:val="28"/>
          <w:shd w:val="clear" w:color="auto" w:fill="FFFFFF"/>
        </w:rPr>
        <w:t xml:space="preserve"> din Anexa nr.3</w:t>
      </w:r>
      <w:r w:rsidR="004726E0" w:rsidRPr="001D0846">
        <w:rPr>
          <w:rFonts w:ascii="Times New Roman" w:hAnsi="Times New Roman" w:cs="Times New Roman"/>
          <w:i/>
          <w:sz w:val="28"/>
          <w:szCs w:val="28"/>
          <w:shd w:val="clear" w:color="auto" w:fill="FFFFFF"/>
        </w:rPr>
        <w:t xml:space="preserve"> la Raport</w:t>
      </w:r>
      <w:r w:rsidR="00EB1811">
        <w:rPr>
          <w:rFonts w:ascii="Times New Roman" w:hAnsi="Times New Roman" w:cs="Times New Roman"/>
          <w:i/>
          <w:sz w:val="28"/>
          <w:szCs w:val="28"/>
          <w:shd w:val="clear" w:color="auto" w:fill="FFFFFF"/>
        </w:rPr>
        <w:t>ul</w:t>
      </w:r>
      <w:r w:rsidR="004726E0" w:rsidRPr="001D0846">
        <w:rPr>
          <w:rFonts w:ascii="Times New Roman" w:hAnsi="Times New Roman" w:cs="Times New Roman"/>
          <w:i/>
          <w:sz w:val="28"/>
          <w:szCs w:val="28"/>
          <w:shd w:val="clear" w:color="auto" w:fill="FFFFFF"/>
        </w:rPr>
        <w:t xml:space="preserve"> de audit</w:t>
      </w:r>
      <w:r w:rsidRPr="001D0846">
        <w:rPr>
          <w:rFonts w:ascii="Times New Roman" w:hAnsi="Times New Roman" w:cs="Times New Roman"/>
          <w:i/>
          <w:sz w:val="28"/>
          <w:szCs w:val="28"/>
          <w:shd w:val="clear" w:color="auto" w:fill="FFFFFF"/>
        </w:rPr>
        <w:t>.</w:t>
      </w:r>
    </w:p>
    <w:p w:rsidR="00DE7EFA" w:rsidRPr="00DE7EFA" w:rsidRDefault="004726E0" w:rsidP="00DE7EFA">
      <w:pPr>
        <w:spacing w:after="0" w:line="276" w:lineRule="auto"/>
        <w:ind w:firstLine="720"/>
        <w:jc w:val="both"/>
        <w:rPr>
          <w:rFonts w:ascii="Times New Roman" w:hAnsi="Times New Roman"/>
          <w:sz w:val="28"/>
          <w:szCs w:val="28"/>
        </w:rPr>
      </w:pPr>
      <w:r w:rsidRPr="00DE7EFA">
        <w:rPr>
          <w:rFonts w:ascii="Times New Roman" w:hAnsi="Times New Roman" w:cs="Times New Roman"/>
          <w:sz w:val="28"/>
          <w:szCs w:val="28"/>
          <w:shd w:val="clear" w:color="auto" w:fill="FFFFFF"/>
        </w:rPr>
        <w:t>Analiza datelor prezentate</w:t>
      </w:r>
      <w:r w:rsidR="00C26C38" w:rsidRPr="00DE7EFA">
        <w:rPr>
          <w:rFonts w:ascii="Times New Roman" w:hAnsi="Times New Roman" w:cs="Times New Roman"/>
          <w:sz w:val="28"/>
          <w:szCs w:val="28"/>
          <w:shd w:val="clear" w:color="auto" w:fill="FFFFFF"/>
        </w:rPr>
        <w:t xml:space="preserve"> în </w:t>
      </w:r>
      <w:r w:rsidR="00EB1811">
        <w:rPr>
          <w:rFonts w:ascii="Times New Roman" w:hAnsi="Times New Roman" w:cs="Times New Roman"/>
          <w:sz w:val="28"/>
          <w:szCs w:val="28"/>
          <w:shd w:val="clear" w:color="auto" w:fill="FFFFFF"/>
        </w:rPr>
        <w:t>t</w:t>
      </w:r>
      <w:r w:rsidR="00C26C38" w:rsidRPr="00DE7EFA">
        <w:rPr>
          <w:rFonts w:ascii="Times New Roman" w:hAnsi="Times New Roman" w:cs="Times New Roman"/>
          <w:sz w:val="28"/>
          <w:szCs w:val="28"/>
          <w:shd w:val="clear" w:color="auto" w:fill="FFFFFF"/>
        </w:rPr>
        <w:t xml:space="preserve">abel relevă o micșorare a penalităților calculate în perioada </w:t>
      </w:r>
      <w:r w:rsidR="00EB1811">
        <w:rPr>
          <w:rFonts w:ascii="Times New Roman" w:hAnsi="Times New Roman" w:cs="Times New Roman"/>
          <w:sz w:val="28"/>
          <w:szCs w:val="28"/>
          <w:shd w:val="clear" w:color="auto" w:fill="FFFFFF"/>
        </w:rPr>
        <w:t xml:space="preserve">anilor </w:t>
      </w:r>
      <w:r w:rsidR="00C26C38" w:rsidRPr="00DE7EFA">
        <w:rPr>
          <w:rFonts w:ascii="Times New Roman" w:hAnsi="Times New Roman" w:cs="Times New Roman"/>
          <w:sz w:val="28"/>
          <w:szCs w:val="28"/>
          <w:shd w:val="clear" w:color="auto" w:fill="FFFFFF"/>
        </w:rPr>
        <w:t xml:space="preserve">2015-2017, fapt cauzat de necalcularea </w:t>
      </w:r>
      <w:r w:rsidR="00DE7EFA" w:rsidRPr="00DE7EFA">
        <w:rPr>
          <w:rFonts w:ascii="Times New Roman" w:hAnsi="Times New Roman" w:cs="Times New Roman"/>
          <w:sz w:val="28"/>
          <w:szCs w:val="28"/>
          <w:shd w:val="clear" w:color="auto" w:fill="FFFFFF"/>
        </w:rPr>
        <w:t xml:space="preserve">automată </w:t>
      </w:r>
      <w:r w:rsidR="00C26C38" w:rsidRPr="00DE7EFA">
        <w:rPr>
          <w:rFonts w:ascii="Times New Roman" w:hAnsi="Times New Roman" w:cs="Times New Roman"/>
          <w:sz w:val="28"/>
          <w:szCs w:val="28"/>
          <w:shd w:val="clear" w:color="auto" w:fill="FFFFFF"/>
        </w:rPr>
        <w:t>de către SIA al SV</w:t>
      </w:r>
      <w:r w:rsidR="00C26C38" w:rsidRPr="00DE7EFA">
        <w:rPr>
          <w:rFonts w:ascii="Times New Roman" w:hAnsi="Times New Roman"/>
          <w:color w:val="000000"/>
          <w:sz w:val="28"/>
          <w:szCs w:val="28"/>
        </w:rPr>
        <w:t xml:space="preserve"> a penalității în mărimea stabilită de </w:t>
      </w:r>
      <w:r w:rsidR="003679A9" w:rsidRPr="00DE7EFA">
        <w:rPr>
          <w:rFonts w:ascii="Times New Roman" w:hAnsi="Times New Roman"/>
          <w:color w:val="000000"/>
          <w:sz w:val="28"/>
          <w:szCs w:val="28"/>
        </w:rPr>
        <w:t>Codul fiscal</w:t>
      </w:r>
      <w:r w:rsidR="00C26C38" w:rsidRPr="00DE7EFA">
        <w:rPr>
          <w:rFonts w:ascii="Times New Roman" w:hAnsi="Times New Roman"/>
          <w:color w:val="000000"/>
          <w:sz w:val="28"/>
          <w:szCs w:val="28"/>
        </w:rPr>
        <w:t xml:space="preserve"> pentru fiecare zi de întârziere la plata drepturilor de import și export, situație constatată și în cadrul auditului precedent efectuat de Curtea de Conturi</w:t>
      </w:r>
      <w:r w:rsidR="00C26C38" w:rsidRPr="00DE7EFA">
        <w:rPr>
          <w:rStyle w:val="FootnoteReference"/>
          <w:rFonts w:ascii="Times New Roman" w:hAnsi="Times New Roman"/>
          <w:color w:val="000000"/>
          <w:sz w:val="28"/>
          <w:szCs w:val="28"/>
        </w:rPr>
        <w:footnoteReference w:id="19"/>
      </w:r>
      <w:r w:rsidR="00C26C38" w:rsidRPr="00DE7EFA">
        <w:rPr>
          <w:rFonts w:ascii="Times New Roman" w:hAnsi="Times New Roman"/>
          <w:color w:val="000000"/>
          <w:sz w:val="28"/>
          <w:szCs w:val="28"/>
        </w:rPr>
        <w:t xml:space="preserve">. </w:t>
      </w:r>
      <w:r w:rsidR="00DE7EFA" w:rsidRPr="005F66C3">
        <w:rPr>
          <w:rFonts w:ascii="Times New Roman" w:hAnsi="Times New Roman"/>
          <w:color w:val="000000"/>
          <w:sz w:val="28"/>
          <w:szCs w:val="28"/>
        </w:rPr>
        <w:t>Astfel,</w:t>
      </w:r>
      <w:r w:rsidR="00DE7EFA" w:rsidRPr="005F66C3">
        <w:rPr>
          <w:rFonts w:ascii="Times New Roman" w:hAnsi="Times New Roman"/>
          <w:sz w:val="28"/>
          <w:szCs w:val="28"/>
        </w:rPr>
        <w:t xml:space="preserve"> rapoartele întocmite pentru anii 2015-2017 nu includ suma totală a penalităților care urma</w:t>
      </w:r>
      <w:r w:rsidR="00EB1811" w:rsidRPr="005F66C3">
        <w:rPr>
          <w:rFonts w:ascii="Times New Roman" w:hAnsi="Times New Roman"/>
          <w:sz w:val="28"/>
          <w:szCs w:val="28"/>
        </w:rPr>
        <w:t>u</w:t>
      </w:r>
      <w:r w:rsidR="00DE7EFA" w:rsidRPr="005F66C3">
        <w:rPr>
          <w:rFonts w:ascii="Times New Roman" w:hAnsi="Times New Roman"/>
          <w:sz w:val="28"/>
          <w:szCs w:val="28"/>
        </w:rPr>
        <w:t xml:space="preserve"> a fi  calculat</w:t>
      </w:r>
      <w:r w:rsidR="00EB1811" w:rsidRPr="005F66C3">
        <w:rPr>
          <w:rFonts w:ascii="Times New Roman" w:hAnsi="Times New Roman"/>
          <w:sz w:val="28"/>
          <w:szCs w:val="28"/>
        </w:rPr>
        <w:t>e</w:t>
      </w:r>
      <w:r w:rsidR="00DE7EFA" w:rsidRPr="005F66C3">
        <w:rPr>
          <w:rFonts w:ascii="Times New Roman" w:hAnsi="Times New Roman"/>
          <w:sz w:val="28"/>
          <w:szCs w:val="28"/>
        </w:rPr>
        <w:t xml:space="preserve"> la plățile</w:t>
      </w:r>
      <w:r w:rsidR="00DE7EFA">
        <w:rPr>
          <w:rFonts w:ascii="Times New Roman" w:hAnsi="Times New Roman"/>
          <w:sz w:val="28"/>
          <w:szCs w:val="28"/>
        </w:rPr>
        <w:t xml:space="preserve"> de bază, ci </w:t>
      </w:r>
      <w:r w:rsidR="00DE7EFA" w:rsidRPr="00936B3A">
        <w:rPr>
          <w:rFonts w:ascii="Times New Roman" w:hAnsi="Times New Roman"/>
          <w:sz w:val="28"/>
          <w:szCs w:val="28"/>
        </w:rPr>
        <w:t xml:space="preserve">doar penalitatea calculată manual </w:t>
      </w:r>
      <w:r w:rsidR="00DE7EFA" w:rsidRPr="00DE7EFA">
        <w:rPr>
          <w:rFonts w:ascii="Times New Roman" w:hAnsi="Times New Roman"/>
          <w:sz w:val="28"/>
          <w:szCs w:val="28"/>
        </w:rPr>
        <w:t xml:space="preserve">de către persoanele responsabile din cadrul SV pentru cazurile în care plata de bază a plătitorului vamal ajunge la scadență sau se inițiază procedura de încasare silită. </w:t>
      </w:r>
      <w:r w:rsidR="00DE7EFA" w:rsidRPr="00DE7EFA">
        <w:rPr>
          <w:rFonts w:ascii="Times New Roman" w:hAnsi="Times New Roman"/>
          <w:color w:val="000000"/>
          <w:sz w:val="28"/>
          <w:szCs w:val="28"/>
        </w:rPr>
        <w:t xml:space="preserve">Cele </w:t>
      </w:r>
      <w:r w:rsidR="00DE7EFA" w:rsidRPr="00DE7EFA">
        <w:rPr>
          <w:rFonts w:ascii="Times New Roman" w:hAnsi="Times New Roman"/>
          <w:color w:val="000000"/>
          <w:sz w:val="28"/>
          <w:szCs w:val="28"/>
        </w:rPr>
        <w:lastRenderedPageBreak/>
        <w:t xml:space="preserve">menționate cauzează o raportare </w:t>
      </w:r>
      <w:r w:rsidR="006E23A6">
        <w:rPr>
          <w:rFonts w:ascii="Times New Roman" w:hAnsi="Times New Roman"/>
          <w:color w:val="000000"/>
          <w:sz w:val="28"/>
          <w:szCs w:val="28"/>
        </w:rPr>
        <w:t>incompletă</w:t>
      </w:r>
      <w:r w:rsidR="00DE7EFA" w:rsidRPr="00DE7EFA">
        <w:rPr>
          <w:rFonts w:ascii="Times New Roman" w:hAnsi="Times New Roman"/>
          <w:color w:val="000000"/>
          <w:sz w:val="28"/>
          <w:szCs w:val="28"/>
        </w:rPr>
        <w:t xml:space="preserve"> a situației privind restanțele administrate, denatur</w:t>
      </w:r>
      <w:r w:rsidR="00755753">
        <w:rPr>
          <w:rFonts w:ascii="Times New Roman" w:hAnsi="Times New Roman"/>
          <w:color w:val="000000"/>
          <w:sz w:val="28"/>
          <w:szCs w:val="28"/>
        </w:rPr>
        <w:t>â</w:t>
      </w:r>
      <w:r w:rsidR="00DE7EFA" w:rsidRPr="00DE7EFA">
        <w:rPr>
          <w:rFonts w:ascii="Times New Roman" w:hAnsi="Times New Roman"/>
          <w:color w:val="000000"/>
          <w:sz w:val="28"/>
          <w:szCs w:val="28"/>
        </w:rPr>
        <w:t>nd în același timp rapoartele aferente.</w:t>
      </w:r>
    </w:p>
    <w:p w:rsidR="00C26C38" w:rsidRPr="001D0846" w:rsidRDefault="005B1B3A" w:rsidP="00776A3C">
      <w:pPr>
        <w:spacing w:after="0" w:line="276" w:lineRule="auto"/>
        <w:ind w:firstLine="709"/>
        <w:jc w:val="both"/>
        <w:rPr>
          <w:rFonts w:ascii="Times New Roman" w:hAnsi="Times New Roman" w:cs="Times New Roman"/>
          <w:sz w:val="28"/>
          <w:szCs w:val="28"/>
        </w:rPr>
      </w:pPr>
      <w:r w:rsidRPr="006E23A6">
        <w:rPr>
          <w:rFonts w:ascii="Times New Roman" w:hAnsi="Times New Roman" w:cs="Times New Roman"/>
          <w:sz w:val="28"/>
          <w:szCs w:val="28"/>
        </w:rPr>
        <w:t>Potrivit modificărilor operate în Codul vamal prin</w:t>
      </w:r>
      <w:r w:rsidR="00C26C38" w:rsidRPr="006E23A6">
        <w:rPr>
          <w:rFonts w:ascii="Times New Roman" w:hAnsi="Times New Roman" w:cs="Times New Roman"/>
          <w:sz w:val="28"/>
          <w:szCs w:val="28"/>
        </w:rPr>
        <w:t xml:space="preserve"> Legea nr.324 din 23.12.2013</w:t>
      </w:r>
      <w:r w:rsidR="00C26C38" w:rsidRPr="006E23A6">
        <w:rPr>
          <w:rStyle w:val="FootnoteReference"/>
          <w:rFonts w:ascii="Times New Roman" w:hAnsi="Times New Roman" w:cs="Times New Roman"/>
          <w:iCs/>
          <w:sz w:val="28"/>
          <w:szCs w:val="28"/>
        </w:rPr>
        <w:footnoteReference w:id="20"/>
      </w:r>
      <w:r w:rsidR="00755753">
        <w:rPr>
          <w:rFonts w:ascii="Times New Roman" w:hAnsi="Times New Roman" w:cs="Times New Roman"/>
          <w:sz w:val="28"/>
          <w:szCs w:val="28"/>
        </w:rPr>
        <w:t>,</w:t>
      </w:r>
      <w:r w:rsidR="00C26C38" w:rsidRPr="006E23A6">
        <w:rPr>
          <w:rFonts w:ascii="Times New Roman" w:hAnsi="Times New Roman" w:cs="Times New Roman"/>
          <w:sz w:val="28"/>
          <w:szCs w:val="28"/>
        </w:rPr>
        <w:t xml:space="preserve"> a fost instituit mecanismul de executare silită a obligației vamale, urmare cărui fapt SV i-au </w:t>
      </w:r>
      <w:r w:rsidR="00C31AE0" w:rsidRPr="006E23A6">
        <w:rPr>
          <w:rFonts w:ascii="Times New Roman" w:hAnsi="Times New Roman" w:cs="Times New Roman"/>
          <w:sz w:val="28"/>
          <w:szCs w:val="28"/>
        </w:rPr>
        <w:t xml:space="preserve">fost </w:t>
      </w:r>
      <w:r w:rsidR="00C26C38" w:rsidRPr="006E23A6">
        <w:rPr>
          <w:rFonts w:ascii="Times New Roman" w:hAnsi="Times New Roman" w:cs="Times New Roman"/>
          <w:sz w:val="28"/>
          <w:szCs w:val="28"/>
        </w:rPr>
        <w:t>acordate pârghii suplimentare pentru a asigura</w:t>
      </w:r>
      <w:r w:rsidR="00C26C38" w:rsidRPr="001D0846">
        <w:rPr>
          <w:rFonts w:ascii="Times New Roman" w:hAnsi="Times New Roman" w:cs="Times New Roman"/>
          <w:sz w:val="28"/>
          <w:szCs w:val="28"/>
        </w:rPr>
        <w:t xml:space="preserve"> recuperarea/perceperea forțată a restanțelor la BS. Astfel, organele vamale </w:t>
      </w:r>
      <w:r w:rsidR="006E23A6">
        <w:rPr>
          <w:rFonts w:ascii="Times New Roman" w:hAnsi="Times New Roman" w:cs="Times New Roman"/>
          <w:sz w:val="28"/>
          <w:szCs w:val="28"/>
        </w:rPr>
        <w:t>urmau să aplice</w:t>
      </w:r>
      <w:r w:rsidR="00C26C38" w:rsidRPr="001D0846">
        <w:rPr>
          <w:rFonts w:ascii="Times New Roman" w:hAnsi="Times New Roman" w:cs="Times New Roman"/>
          <w:sz w:val="28"/>
          <w:szCs w:val="28"/>
        </w:rPr>
        <w:t xml:space="preserve"> executarea silită a obligației vamale</w:t>
      </w:r>
      <w:r w:rsidR="00755753">
        <w:rPr>
          <w:rFonts w:ascii="Times New Roman" w:hAnsi="Times New Roman" w:cs="Times New Roman"/>
          <w:sz w:val="28"/>
          <w:szCs w:val="28"/>
        </w:rPr>
        <w:t>,</w:t>
      </w:r>
      <w:r w:rsidR="00C26C38" w:rsidRPr="001D0846">
        <w:rPr>
          <w:rFonts w:ascii="Times New Roman" w:hAnsi="Times New Roman" w:cs="Times New Roman"/>
          <w:sz w:val="28"/>
          <w:szCs w:val="28"/>
        </w:rPr>
        <w:t xml:space="preserve"> prin: </w:t>
      </w:r>
      <w:r w:rsidR="00C26C38" w:rsidRPr="001D0846">
        <w:rPr>
          <w:rFonts w:ascii="Times New Roman" w:hAnsi="Times New Roman" w:cs="Times New Roman"/>
          <w:i/>
          <w:sz w:val="28"/>
          <w:szCs w:val="28"/>
        </w:rPr>
        <w:t>(i)</w:t>
      </w:r>
      <w:r w:rsidR="00C26C38" w:rsidRPr="001D0846">
        <w:rPr>
          <w:rFonts w:ascii="Times New Roman" w:hAnsi="Times New Roman" w:cs="Times New Roman"/>
          <w:sz w:val="28"/>
          <w:szCs w:val="28"/>
        </w:rPr>
        <w:t xml:space="preserve">încasarea mijloacelor bănești de pe conturile bancare ale plătitorului vamal; </w:t>
      </w:r>
      <w:r w:rsidR="00C26C38" w:rsidRPr="001D0846">
        <w:rPr>
          <w:rFonts w:ascii="Times New Roman" w:hAnsi="Times New Roman" w:cs="Times New Roman"/>
          <w:i/>
          <w:sz w:val="28"/>
          <w:szCs w:val="28"/>
        </w:rPr>
        <w:t>(ii)</w:t>
      </w:r>
      <w:r w:rsidR="00C26C38" w:rsidRPr="001D0846">
        <w:rPr>
          <w:rFonts w:ascii="Times New Roman" w:hAnsi="Times New Roman" w:cs="Times New Roman"/>
          <w:sz w:val="28"/>
          <w:szCs w:val="28"/>
        </w:rPr>
        <w:t xml:space="preserve">ridicarea mijloacelor bănești în numerar; </w:t>
      </w:r>
      <w:r w:rsidR="00C26C38" w:rsidRPr="001D0846">
        <w:rPr>
          <w:rFonts w:ascii="Times New Roman" w:hAnsi="Times New Roman" w:cs="Times New Roman"/>
          <w:i/>
          <w:sz w:val="28"/>
          <w:szCs w:val="28"/>
        </w:rPr>
        <w:t>(iii)</w:t>
      </w:r>
      <w:r w:rsidR="00C26C38" w:rsidRPr="001D0846">
        <w:rPr>
          <w:rFonts w:ascii="Times New Roman" w:hAnsi="Times New Roman" w:cs="Times New Roman"/>
          <w:sz w:val="28"/>
          <w:szCs w:val="28"/>
        </w:rPr>
        <w:t xml:space="preserve">urmărirea bunurilor plătitorului vamal; </w:t>
      </w:r>
      <w:r w:rsidR="00C26C38" w:rsidRPr="001D0846">
        <w:rPr>
          <w:rFonts w:ascii="Times New Roman" w:hAnsi="Times New Roman" w:cs="Times New Roman"/>
          <w:i/>
          <w:sz w:val="28"/>
          <w:szCs w:val="28"/>
        </w:rPr>
        <w:t>(iv)</w:t>
      </w:r>
      <w:r w:rsidR="00C26C38" w:rsidRPr="001D0846">
        <w:rPr>
          <w:rFonts w:ascii="Times New Roman" w:hAnsi="Times New Roman" w:cs="Times New Roman"/>
          <w:sz w:val="28"/>
          <w:szCs w:val="28"/>
        </w:rPr>
        <w:t xml:space="preserve">urmărirea datoriilor debitoare ale plătitorului vamal. </w:t>
      </w:r>
    </w:p>
    <w:p w:rsidR="006E23A6" w:rsidRPr="006E23A6" w:rsidRDefault="00C26C38" w:rsidP="006E23A6">
      <w:pPr>
        <w:spacing w:after="0" w:line="276" w:lineRule="auto"/>
        <w:ind w:firstLine="720"/>
        <w:jc w:val="both"/>
        <w:rPr>
          <w:rFonts w:ascii="Times New Roman" w:hAnsi="Times New Roman" w:cs="Times New Roman"/>
          <w:sz w:val="28"/>
          <w:szCs w:val="28"/>
        </w:rPr>
      </w:pPr>
      <w:r w:rsidRPr="001D0846">
        <w:rPr>
          <w:rFonts w:ascii="Times New Roman" w:hAnsi="Times New Roman" w:cs="Times New Roman"/>
          <w:sz w:val="28"/>
          <w:szCs w:val="28"/>
        </w:rPr>
        <w:t>Se menționează că, în cadrul audit</w:t>
      </w:r>
      <w:r w:rsidR="00755753">
        <w:rPr>
          <w:rFonts w:ascii="Times New Roman" w:hAnsi="Times New Roman" w:cs="Times New Roman"/>
          <w:sz w:val="28"/>
          <w:szCs w:val="28"/>
        </w:rPr>
        <w:t>uri</w:t>
      </w:r>
      <w:r w:rsidRPr="001D0846">
        <w:rPr>
          <w:rFonts w:ascii="Times New Roman" w:hAnsi="Times New Roman" w:cs="Times New Roman"/>
          <w:sz w:val="28"/>
          <w:szCs w:val="28"/>
        </w:rPr>
        <w:t xml:space="preserve">lor anterioare efectuate la SV în perioada </w:t>
      </w:r>
      <w:r w:rsidR="00755753">
        <w:rPr>
          <w:rFonts w:ascii="Times New Roman" w:hAnsi="Times New Roman" w:cs="Times New Roman"/>
          <w:sz w:val="28"/>
          <w:szCs w:val="28"/>
        </w:rPr>
        <w:t xml:space="preserve">anilor </w:t>
      </w:r>
      <w:r w:rsidRPr="001D0846">
        <w:rPr>
          <w:rFonts w:ascii="Times New Roman" w:hAnsi="Times New Roman" w:cs="Times New Roman"/>
          <w:sz w:val="28"/>
          <w:szCs w:val="28"/>
        </w:rPr>
        <w:t xml:space="preserve">2014-2016, Curtea de Conturi a constatat neasigurarea funcționării eficiente a mecanismelor de executare silită a obligației vamale, fiind </w:t>
      </w:r>
      <w:r w:rsidR="00755753">
        <w:rPr>
          <w:rFonts w:ascii="Times New Roman" w:hAnsi="Times New Roman" w:cs="Times New Roman"/>
          <w:sz w:val="28"/>
          <w:szCs w:val="28"/>
        </w:rPr>
        <w:t>atestate</w:t>
      </w:r>
      <w:r w:rsidRPr="001D0846">
        <w:rPr>
          <w:rFonts w:ascii="Times New Roman" w:hAnsi="Times New Roman" w:cs="Times New Roman"/>
          <w:sz w:val="28"/>
          <w:szCs w:val="28"/>
        </w:rPr>
        <w:t xml:space="preserve"> mai multe problem</w:t>
      </w:r>
      <w:r w:rsidR="006E23A6">
        <w:rPr>
          <w:rFonts w:ascii="Times New Roman" w:hAnsi="Times New Roman" w:cs="Times New Roman"/>
          <w:sz w:val="28"/>
          <w:szCs w:val="28"/>
        </w:rPr>
        <w:t xml:space="preserve">atici aferente acestui domeniu. </w:t>
      </w:r>
      <w:r w:rsidRPr="001D0846">
        <w:rPr>
          <w:rFonts w:ascii="Times New Roman" w:hAnsi="Times New Roman" w:cs="Times New Roman"/>
          <w:sz w:val="28"/>
          <w:szCs w:val="28"/>
        </w:rPr>
        <w:t xml:space="preserve">Evaluările și activitățile auditului </w:t>
      </w:r>
      <w:r w:rsidR="006E23A6">
        <w:rPr>
          <w:rFonts w:ascii="Times New Roman" w:hAnsi="Times New Roman" w:cs="Times New Roman"/>
          <w:sz w:val="28"/>
          <w:szCs w:val="28"/>
        </w:rPr>
        <w:t xml:space="preserve">public extern </w:t>
      </w:r>
      <w:r w:rsidRPr="001D0846">
        <w:rPr>
          <w:rFonts w:ascii="Times New Roman" w:hAnsi="Times New Roman" w:cs="Times New Roman"/>
          <w:sz w:val="28"/>
          <w:szCs w:val="28"/>
        </w:rPr>
        <w:t>denotă că</w:t>
      </w:r>
      <w:r w:rsidR="00A057AE">
        <w:rPr>
          <w:rFonts w:ascii="Times New Roman" w:hAnsi="Times New Roman" w:cs="Times New Roman"/>
          <w:sz w:val="28"/>
          <w:szCs w:val="28"/>
        </w:rPr>
        <w:t>,</w:t>
      </w:r>
      <w:r w:rsidRPr="001D0846">
        <w:rPr>
          <w:rFonts w:ascii="Times New Roman" w:hAnsi="Times New Roman" w:cs="Times New Roman"/>
          <w:sz w:val="28"/>
          <w:szCs w:val="28"/>
        </w:rPr>
        <w:t xml:space="preserve"> per sistem, situația cu privire la funcționarea mecanismului de executare silită a obligației vamale nu relevă ameliorări, fapt care are impact asupra eficienței și eficacității administrării obligației vamale. </w:t>
      </w:r>
    </w:p>
    <w:p w:rsidR="00C26C38" w:rsidRPr="001D0846" w:rsidRDefault="00C26C38" w:rsidP="00826DE7">
      <w:pPr>
        <w:spacing w:after="0" w:line="276" w:lineRule="auto"/>
        <w:ind w:firstLine="709"/>
        <w:jc w:val="both"/>
        <w:rPr>
          <w:rFonts w:ascii="Times New Roman" w:hAnsi="Times New Roman" w:cs="Times New Roman"/>
          <w:sz w:val="28"/>
          <w:szCs w:val="28"/>
        </w:rPr>
      </w:pPr>
      <w:r w:rsidRPr="001D0846">
        <w:rPr>
          <w:rFonts w:ascii="Times New Roman" w:hAnsi="Times New Roman" w:cs="Times New Roman"/>
          <w:sz w:val="28"/>
          <w:szCs w:val="28"/>
        </w:rPr>
        <w:t xml:space="preserve">Examinările </w:t>
      </w:r>
      <w:r w:rsidR="00A057AE">
        <w:rPr>
          <w:rFonts w:ascii="Times New Roman" w:hAnsi="Times New Roman" w:cs="Times New Roman"/>
          <w:sz w:val="28"/>
          <w:szCs w:val="28"/>
        </w:rPr>
        <w:t xml:space="preserve">efectuate de </w:t>
      </w:r>
      <w:r w:rsidRPr="001D0846">
        <w:rPr>
          <w:rFonts w:ascii="Times New Roman" w:hAnsi="Times New Roman" w:cs="Times New Roman"/>
          <w:sz w:val="28"/>
          <w:szCs w:val="28"/>
        </w:rPr>
        <w:t xml:space="preserve">audit asupra funcționalității mecanismului de executare silită a obligației vamale în </w:t>
      </w:r>
      <w:r w:rsidR="00A057AE">
        <w:rPr>
          <w:rFonts w:ascii="Times New Roman" w:hAnsi="Times New Roman" w:cs="Times New Roman"/>
          <w:sz w:val="28"/>
          <w:szCs w:val="28"/>
        </w:rPr>
        <w:t>anul</w:t>
      </w:r>
      <w:r w:rsidRPr="001D0846">
        <w:rPr>
          <w:rFonts w:ascii="Times New Roman" w:hAnsi="Times New Roman" w:cs="Times New Roman"/>
          <w:sz w:val="28"/>
          <w:szCs w:val="28"/>
        </w:rPr>
        <w:t xml:space="preserve"> 2017 relevă </w:t>
      </w:r>
      <w:r w:rsidR="006E23A6">
        <w:rPr>
          <w:rFonts w:ascii="Times New Roman" w:hAnsi="Times New Roman" w:cs="Times New Roman"/>
          <w:sz w:val="28"/>
          <w:szCs w:val="28"/>
        </w:rPr>
        <w:t>rezerve</w:t>
      </w:r>
      <w:r w:rsidRPr="001D0846">
        <w:rPr>
          <w:rFonts w:ascii="Times New Roman" w:hAnsi="Times New Roman" w:cs="Times New Roman"/>
          <w:sz w:val="28"/>
          <w:szCs w:val="28"/>
        </w:rPr>
        <w:t xml:space="preserve"> în asigurarea recuperării restanțelor la BS, nefiind aplicate măsurile/pârghiile instituite legal în vederea stingerii obligației vamale. Verificările la acest capitol denotă că în perioada auditată, în vederea încasării plăților restante, organele vamale au întreprins doar măsuri de suspendare a operațiunilor la conturile bancare ale debitorilor, încasând</w:t>
      </w:r>
      <w:r w:rsidR="00A057AE">
        <w:rPr>
          <w:rFonts w:ascii="Times New Roman" w:hAnsi="Times New Roman" w:cs="Times New Roman"/>
          <w:sz w:val="28"/>
          <w:szCs w:val="28"/>
        </w:rPr>
        <w:t>,</w:t>
      </w:r>
      <w:r w:rsidRPr="001D0846">
        <w:rPr>
          <w:rFonts w:ascii="Times New Roman" w:hAnsi="Times New Roman" w:cs="Times New Roman"/>
          <w:sz w:val="28"/>
          <w:szCs w:val="28"/>
        </w:rPr>
        <w:t xml:space="preserve"> prin aplicarea acestei măsuri</w:t>
      </w:r>
      <w:r w:rsidR="00A057AE">
        <w:rPr>
          <w:rFonts w:ascii="Times New Roman" w:hAnsi="Times New Roman" w:cs="Times New Roman"/>
          <w:sz w:val="28"/>
          <w:szCs w:val="28"/>
        </w:rPr>
        <w:t>,</w:t>
      </w:r>
      <w:r w:rsidRPr="001D0846">
        <w:rPr>
          <w:rFonts w:ascii="Times New Roman" w:hAnsi="Times New Roman" w:cs="Times New Roman"/>
          <w:sz w:val="28"/>
          <w:szCs w:val="28"/>
        </w:rPr>
        <w:t xml:space="preserve"> restanțe la plățile administrate în sumă de 11,9 mil.lei, sau 3,7% din totalul restanței la 01.01.2017 (319,5 mil.lei). Analogic, în anii 2015 și 2016 au fost încasate restanțe în sumă de 15,9 mil</w:t>
      </w:r>
      <w:r w:rsidR="00A057AE">
        <w:rPr>
          <w:rFonts w:ascii="Times New Roman" w:hAnsi="Times New Roman" w:cs="Times New Roman"/>
          <w:sz w:val="28"/>
          <w:szCs w:val="28"/>
        </w:rPr>
        <w:t>.</w:t>
      </w:r>
      <w:r w:rsidRPr="001D0846">
        <w:rPr>
          <w:rFonts w:ascii="Times New Roman" w:hAnsi="Times New Roman" w:cs="Times New Roman"/>
          <w:sz w:val="28"/>
          <w:szCs w:val="28"/>
        </w:rPr>
        <w:t xml:space="preserve"> lei și </w:t>
      </w:r>
      <w:r w:rsidR="00A057AE">
        <w:rPr>
          <w:rFonts w:ascii="Times New Roman" w:hAnsi="Times New Roman" w:cs="Times New Roman"/>
          <w:sz w:val="28"/>
          <w:szCs w:val="28"/>
        </w:rPr>
        <w:t xml:space="preserve">de </w:t>
      </w:r>
      <w:r w:rsidRPr="001D0846">
        <w:rPr>
          <w:rFonts w:ascii="Times New Roman" w:hAnsi="Times New Roman" w:cs="Times New Roman"/>
          <w:sz w:val="28"/>
          <w:szCs w:val="28"/>
        </w:rPr>
        <w:t>5,7 mil.lei</w:t>
      </w:r>
      <w:r w:rsidR="00A057AE">
        <w:rPr>
          <w:rFonts w:ascii="Times New Roman" w:hAnsi="Times New Roman" w:cs="Times New Roman"/>
          <w:sz w:val="28"/>
          <w:szCs w:val="28"/>
        </w:rPr>
        <w:t>,</w:t>
      </w:r>
      <w:r w:rsidRPr="001D0846">
        <w:rPr>
          <w:rFonts w:ascii="Times New Roman" w:hAnsi="Times New Roman" w:cs="Times New Roman"/>
          <w:sz w:val="28"/>
          <w:szCs w:val="28"/>
        </w:rPr>
        <w:t xml:space="preserve"> față de restanț</w:t>
      </w:r>
      <w:r w:rsidR="004D38E5">
        <w:rPr>
          <w:rFonts w:ascii="Times New Roman" w:hAnsi="Times New Roman" w:cs="Times New Roman"/>
          <w:sz w:val="28"/>
          <w:szCs w:val="28"/>
        </w:rPr>
        <w:t>ele</w:t>
      </w:r>
      <w:r w:rsidRPr="001D0846">
        <w:rPr>
          <w:rFonts w:ascii="Times New Roman" w:hAnsi="Times New Roman" w:cs="Times New Roman"/>
          <w:sz w:val="28"/>
          <w:szCs w:val="28"/>
        </w:rPr>
        <w:t xml:space="preserve"> la începutul perioadelor respective în sumă de 336,1 mil. lei și</w:t>
      </w:r>
      <w:r w:rsidR="004D38E5">
        <w:rPr>
          <w:rFonts w:ascii="Times New Roman" w:hAnsi="Times New Roman" w:cs="Times New Roman"/>
          <w:sz w:val="28"/>
          <w:szCs w:val="28"/>
        </w:rPr>
        <w:t>,</w:t>
      </w:r>
      <w:r w:rsidRPr="001D0846">
        <w:rPr>
          <w:rFonts w:ascii="Times New Roman" w:hAnsi="Times New Roman" w:cs="Times New Roman"/>
          <w:sz w:val="28"/>
          <w:szCs w:val="28"/>
        </w:rPr>
        <w:t xml:space="preserve"> respectiv</w:t>
      </w:r>
      <w:r w:rsidR="004D38E5">
        <w:rPr>
          <w:rFonts w:ascii="Times New Roman" w:hAnsi="Times New Roman" w:cs="Times New Roman"/>
          <w:sz w:val="28"/>
          <w:szCs w:val="28"/>
        </w:rPr>
        <w:t xml:space="preserve">,de </w:t>
      </w:r>
      <w:r w:rsidRPr="001D0846">
        <w:rPr>
          <w:rFonts w:ascii="Times New Roman" w:hAnsi="Times New Roman" w:cs="Times New Roman"/>
          <w:sz w:val="28"/>
          <w:szCs w:val="28"/>
        </w:rPr>
        <w:t>307,2 mil. lei.</w:t>
      </w:r>
    </w:p>
    <w:p w:rsidR="006E23A6" w:rsidRPr="001D0846" w:rsidRDefault="004D38E5" w:rsidP="006E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Totodată, se</w:t>
      </w:r>
      <w:r w:rsidR="00C26C38" w:rsidRPr="001D0846">
        <w:rPr>
          <w:rFonts w:ascii="Times New Roman" w:hAnsi="Times New Roman" w:cs="Times New Roman"/>
          <w:sz w:val="28"/>
          <w:szCs w:val="28"/>
        </w:rPr>
        <w:t xml:space="preserve"> relevă că, pe parcursul ultimilor ani</w:t>
      </w:r>
      <w:r>
        <w:rPr>
          <w:rFonts w:ascii="Times New Roman" w:hAnsi="Times New Roman" w:cs="Times New Roman"/>
          <w:sz w:val="28"/>
          <w:szCs w:val="28"/>
        </w:rPr>
        <w:t>,</w:t>
      </w:r>
      <w:r w:rsidR="00C26C38" w:rsidRPr="001D0846">
        <w:rPr>
          <w:rFonts w:ascii="Times New Roman" w:hAnsi="Times New Roman" w:cs="Times New Roman"/>
          <w:sz w:val="28"/>
          <w:szCs w:val="28"/>
        </w:rPr>
        <w:t xml:space="preserve"> organele vamale nu aplică măsura de executare silită ,,urmărirea bunurilor plătitorului vamal”, situație motivată prin problematicile/ dificultățile întâmpinate de SV la comercializarea bunurilor sechestrate. Astfel, interpretarea diferită de către SFS și SV a prevederilor legislației privind comercializarea bunurilor sechestrate în scopul stingerii obligațiilor vamale față de BS a generat stoparea aplicării sechestrelor de către SV, fapt care determină un interes redus al organelor vamale în aplicarea acestei măsuri. </w:t>
      </w:r>
    </w:p>
    <w:p w:rsidR="00FB098C" w:rsidRPr="001D0846" w:rsidRDefault="00FB098C" w:rsidP="00C77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rPr>
      </w:pPr>
      <w:r w:rsidRPr="001D0846">
        <w:rPr>
          <w:rFonts w:ascii="Times New Roman" w:hAnsi="Times New Roman"/>
          <w:color w:val="000000"/>
          <w:sz w:val="28"/>
          <w:szCs w:val="28"/>
        </w:rPr>
        <w:lastRenderedPageBreak/>
        <w:t>Potrivit motivației persoanelor responsabile din cadrul SV, în proiectul noului C</w:t>
      </w:r>
      <w:r w:rsidR="000C61BF">
        <w:rPr>
          <w:rFonts w:ascii="Times New Roman" w:hAnsi="Times New Roman"/>
          <w:color w:val="000000"/>
          <w:sz w:val="28"/>
          <w:szCs w:val="28"/>
        </w:rPr>
        <w:t>V</w:t>
      </w:r>
      <w:r w:rsidRPr="001D0846">
        <w:rPr>
          <w:rFonts w:ascii="Times New Roman" w:hAnsi="Times New Roman"/>
          <w:color w:val="000000"/>
          <w:sz w:val="28"/>
          <w:szCs w:val="28"/>
        </w:rPr>
        <w:t xml:space="preserve"> a fost reglementat un capitol nou ce ține de comercializarea bunurilor sechestrate de către organul vamal, c</w:t>
      </w:r>
      <w:r w:rsidR="004D38E5">
        <w:rPr>
          <w:rFonts w:ascii="Times New Roman" w:hAnsi="Times New Roman"/>
          <w:color w:val="000000"/>
          <w:sz w:val="28"/>
          <w:szCs w:val="28"/>
        </w:rPr>
        <w:t>eea ce</w:t>
      </w:r>
      <w:r w:rsidRPr="001D0846">
        <w:rPr>
          <w:rFonts w:ascii="Times New Roman" w:hAnsi="Times New Roman"/>
          <w:color w:val="000000"/>
          <w:sz w:val="28"/>
          <w:szCs w:val="28"/>
        </w:rPr>
        <w:t xml:space="preserve"> va eficientiza implicit și activitatea sechestrării, ca măsură a executării silite.</w:t>
      </w:r>
    </w:p>
    <w:p w:rsidR="00C26C38" w:rsidRPr="001D0846" w:rsidRDefault="00C26C38" w:rsidP="00C77119">
      <w:pPr>
        <w:spacing w:after="0" w:line="276" w:lineRule="auto"/>
        <w:ind w:firstLine="709"/>
        <w:jc w:val="both"/>
        <w:rPr>
          <w:rFonts w:ascii="Times New Roman" w:eastAsia="Times New Roman" w:hAnsi="Times New Roman" w:cs="Times New Roman"/>
          <w:sz w:val="28"/>
          <w:szCs w:val="28"/>
        </w:rPr>
      </w:pPr>
      <w:r w:rsidRPr="001D0846">
        <w:rPr>
          <w:rFonts w:ascii="Times New Roman" w:hAnsi="Times New Roman"/>
          <w:sz w:val="28"/>
          <w:szCs w:val="28"/>
        </w:rPr>
        <w:t xml:space="preserve">De asemenea, auditul </w:t>
      </w:r>
      <w:r w:rsidR="00BB3674">
        <w:rPr>
          <w:rFonts w:ascii="Times New Roman" w:hAnsi="Times New Roman"/>
          <w:sz w:val="28"/>
          <w:szCs w:val="28"/>
        </w:rPr>
        <w:t xml:space="preserve">a </w:t>
      </w:r>
      <w:r w:rsidRPr="001D0846">
        <w:rPr>
          <w:rFonts w:ascii="Times New Roman" w:hAnsi="Times New Roman"/>
          <w:sz w:val="28"/>
          <w:szCs w:val="28"/>
        </w:rPr>
        <w:t>constat</w:t>
      </w:r>
      <w:r w:rsidR="00BB3674">
        <w:rPr>
          <w:rFonts w:ascii="Times New Roman" w:hAnsi="Times New Roman"/>
          <w:sz w:val="28"/>
          <w:szCs w:val="28"/>
        </w:rPr>
        <w:t>at</w:t>
      </w:r>
      <w:r w:rsidR="005B1B3A" w:rsidRPr="001D0846">
        <w:rPr>
          <w:rFonts w:ascii="Times New Roman" w:hAnsi="Times New Roman"/>
          <w:sz w:val="28"/>
          <w:szCs w:val="28"/>
        </w:rPr>
        <w:t>neaplicarea</w:t>
      </w:r>
      <w:r w:rsidRPr="001D0846">
        <w:rPr>
          <w:rFonts w:ascii="Times New Roman" w:hAnsi="Times New Roman"/>
          <w:sz w:val="28"/>
          <w:szCs w:val="28"/>
        </w:rPr>
        <w:t xml:space="preserve"> și altor modalități de executare silită a obligației vamale reglementate de CV</w:t>
      </w:r>
      <w:r w:rsidR="00BB3674">
        <w:rPr>
          <w:rFonts w:ascii="Times New Roman" w:hAnsi="Times New Roman"/>
          <w:sz w:val="28"/>
          <w:szCs w:val="28"/>
        </w:rPr>
        <w:t>,</w:t>
      </w:r>
      <w:r w:rsidRPr="001D0846">
        <w:rPr>
          <w:rFonts w:ascii="Times New Roman" w:hAnsi="Times New Roman"/>
          <w:sz w:val="28"/>
          <w:szCs w:val="28"/>
        </w:rPr>
        <w:t xml:space="preserve"> în scopul încasării restanțelor la BS  (ridicarea mijloacelor bănești în numerar, urmărirea datoriilor debitoare ale plătitorului vamal,</w:t>
      </w:r>
      <w:r w:rsidRPr="001D0846">
        <w:rPr>
          <w:rFonts w:ascii="Times New Roman" w:hAnsi="Times New Roman" w:cs="Times New Roman"/>
          <w:sz w:val="28"/>
          <w:szCs w:val="28"/>
        </w:rPr>
        <w:t xml:space="preserve"> prin aplicarea de interdicții pe bunuri</w:t>
      </w:r>
      <w:r w:rsidRPr="001D0846">
        <w:rPr>
          <w:rFonts w:ascii="Times New Roman" w:hAnsi="Times New Roman"/>
          <w:sz w:val="28"/>
          <w:szCs w:val="28"/>
        </w:rPr>
        <w:t>). Totodată</w:t>
      </w:r>
      <w:r w:rsidR="00BB3674">
        <w:rPr>
          <w:rFonts w:ascii="Times New Roman" w:hAnsi="Times New Roman"/>
          <w:sz w:val="28"/>
          <w:szCs w:val="28"/>
        </w:rPr>
        <w:t>,</w:t>
      </w:r>
      <w:r w:rsidRPr="001D0846">
        <w:rPr>
          <w:rFonts w:ascii="Times New Roman" w:hAnsi="Times New Roman"/>
          <w:sz w:val="28"/>
          <w:szCs w:val="28"/>
        </w:rPr>
        <w:t xml:space="preserve"> se remarcă și </w:t>
      </w:r>
      <w:r w:rsidR="00FE05F4" w:rsidRPr="001D0846">
        <w:rPr>
          <w:rFonts w:ascii="Times New Roman" w:hAnsi="Times New Roman"/>
          <w:sz w:val="28"/>
          <w:szCs w:val="28"/>
        </w:rPr>
        <w:t>lipsa unui</w:t>
      </w:r>
      <w:r w:rsidR="0066297C" w:rsidRPr="001D0846">
        <w:rPr>
          <w:rFonts w:ascii="Times New Roman" w:eastAsia="Times New Roman" w:hAnsi="Times New Roman" w:cs="Times New Roman"/>
          <w:sz w:val="28"/>
          <w:szCs w:val="28"/>
        </w:rPr>
        <w:t xml:space="preserve"> modul</w:t>
      </w:r>
      <w:r w:rsidR="000C61BF">
        <w:rPr>
          <w:rFonts w:ascii="Times New Roman" w:eastAsia="Times New Roman" w:hAnsi="Times New Roman" w:cs="Times New Roman"/>
          <w:sz w:val="28"/>
          <w:szCs w:val="28"/>
        </w:rPr>
        <w:t>informațional</w:t>
      </w:r>
      <w:r w:rsidRPr="001D0846">
        <w:rPr>
          <w:rFonts w:ascii="Times New Roman" w:eastAsia="Times New Roman" w:hAnsi="Times New Roman" w:cs="Times New Roman"/>
          <w:sz w:val="28"/>
          <w:szCs w:val="28"/>
        </w:rPr>
        <w:t>, care urma să faciliteze aplicarea mecanismului de executare silită a obligației vamale cu utiliz</w:t>
      </w:r>
      <w:r w:rsidR="00B20BD1" w:rsidRPr="001D0846">
        <w:rPr>
          <w:rFonts w:ascii="Times New Roman" w:eastAsia="Times New Roman" w:hAnsi="Times New Roman" w:cs="Times New Roman"/>
          <w:sz w:val="28"/>
          <w:szCs w:val="28"/>
        </w:rPr>
        <w:t>area sistemelor informaționale.</w:t>
      </w:r>
    </w:p>
    <w:p w:rsidR="00C77119" w:rsidRDefault="00C77119" w:rsidP="00C77119">
      <w:pPr>
        <w:pStyle w:val="Heading1"/>
        <w:spacing w:before="0" w:line="276" w:lineRule="auto"/>
        <w:rPr>
          <w:rFonts w:ascii="Times New Roman" w:hAnsi="Times New Roman" w:cs="Times New Roman"/>
          <w:b/>
          <w:color w:val="auto"/>
          <w:sz w:val="28"/>
          <w:szCs w:val="28"/>
        </w:rPr>
      </w:pPr>
    </w:p>
    <w:p w:rsidR="00571853" w:rsidRPr="00C77119" w:rsidRDefault="00A424FC" w:rsidP="003C4B9E">
      <w:pPr>
        <w:pStyle w:val="Heading1"/>
        <w:spacing w:before="0" w:line="276" w:lineRule="auto"/>
        <w:jc w:val="both"/>
        <w:rPr>
          <w:rFonts w:ascii="Times New Roman" w:hAnsi="Times New Roman" w:cs="Times New Roman"/>
          <w:b/>
          <w:color w:val="auto"/>
          <w:sz w:val="28"/>
          <w:szCs w:val="28"/>
        </w:rPr>
      </w:pPr>
      <w:bookmarkStart w:id="14" w:name="_Toc515894892"/>
      <w:r w:rsidRPr="00C77119">
        <w:rPr>
          <w:rFonts w:ascii="Times New Roman" w:hAnsi="Times New Roman" w:cs="Times New Roman"/>
          <w:b/>
          <w:color w:val="auto"/>
          <w:sz w:val="28"/>
          <w:szCs w:val="28"/>
        </w:rPr>
        <w:t>3</w:t>
      </w:r>
      <w:r w:rsidR="00C947DA" w:rsidRPr="00C77119">
        <w:rPr>
          <w:rFonts w:ascii="Times New Roman" w:hAnsi="Times New Roman" w:cs="Times New Roman"/>
          <w:b/>
          <w:color w:val="auto"/>
          <w:sz w:val="28"/>
          <w:szCs w:val="28"/>
        </w:rPr>
        <w:t>.6</w:t>
      </w:r>
      <w:r w:rsidR="004726E0" w:rsidRPr="00C77119">
        <w:rPr>
          <w:rFonts w:ascii="Times New Roman" w:hAnsi="Times New Roman" w:cs="Times New Roman"/>
          <w:b/>
          <w:color w:val="auto"/>
          <w:sz w:val="28"/>
          <w:szCs w:val="28"/>
        </w:rPr>
        <w:t xml:space="preserve">. </w:t>
      </w:r>
      <w:r w:rsidR="00D86926" w:rsidRPr="00C77119">
        <w:rPr>
          <w:rFonts w:ascii="Times New Roman" w:hAnsi="Times New Roman" w:cs="Times New Roman"/>
          <w:b/>
          <w:color w:val="auto"/>
          <w:sz w:val="28"/>
          <w:szCs w:val="28"/>
        </w:rPr>
        <w:t>P</w:t>
      </w:r>
      <w:r w:rsidR="00571853" w:rsidRPr="00C77119">
        <w:rPr>
          <w:rFonts w:ascii="Times New Roman" w:hAnsi="Times New Roman" w:cs="Times New Roman"/>
          <w:b/>
          <w:color w:val="auto"/>
          <w:sz w:val="28"/>
          <w:szCs w:val="28"/>
        </w:rPr>
        <w:t>roce</w:t>
      </w:r>
      <w:r w:rsidR="00D86926" w:rsidRPr="00C77119">
        <w:rPr>
          <w:rFonts w:ascii="Times New Roman" w:hAnsi="Times New Roman" w:cs="Times New Roman"/>
          <w:b/>
          <w:color w:val="auto"/>
          <w:sz w:val="28"/>
          <w:szCs w:val="28"/>
        </w:rPr>
        <w:t>sul</w:t>
      </w:r>
      <w:r w:rsidR="00571853" w:rsidRPr="00C77119">
        <w:rPr>
          <w:rFonts w:ascii="Times New Roman" w:hAnsi="Times New Roman" w:cs="Times New Roman"/>
          <w:b/>
          <w:color w:val="auto"/>
          <w:sz w:val="28"/>
          <w:szCs w:val="28"/>
        </w:rPr>
        <w:t xml:space="preserve"> de c</w:t>
      </w:r>
      <w:r w:rsidR="004726E0" w:rsidRPr="00C77119">
        <w:rPr>
          <w:rFonts w:ascii="Times New Roman" w:hAnsi="Times New Roman" w:cs="Times New Roman"/>
          <w:b/>
          <w:color w:val="auto"/>
          <w:sz w:val="28"/>
          <w:szCs w:val="28"/>
        </w:rPr>
        <w:t xml:space="preserve">onformare voluntară </w:t>
      </w:r>
      <w:r w:rsidR="00571853" w:rsidRPr="00C77119">
        <w:rPr>
          <w:rFonts w:ascii="Times New Roman" w:hAnsi="Times New Roman" w:cs="Times New Roman"/>
          <w:b/>
          <w:color w:val="auto"/>
          <w:sz w:val="28"/>
          <w:szCs w:val="28"/>
        </w:rPr>
        <w:t>la declararea și achitarea impozitelor și taxelor</w:t>
      </w:r>
      <w:r w:rsidR="004A14FE" w:rsidRPr="00C77119">
        <w:rPr>
          <w:rFonts w:ascii="Times New Roman" w:hAnsi="Times New Roman" w:cs="Times New Roman"/>
          <w:b/>
          <w:color w:val="auto"/>
          <w:sz w:val="28"/>
          <w:szCs w:val="28"/>
        </w:rPr>
        <w:t>.</w:t>
      </w:r>
      <w:bookmarkEnd w:id="14"/>
    </w:p>
    <w:p w:rsidR="004726E0" w:rsidRPr="000C61BF" w:rsidRDefault="004726E0" w:rsidP="000C61BF">
      <w:pPr>
        <w:spacing w:after="0" w:line="276" w:lineRule="auto"/>
        <w:ind w:firstLine="720"/>
        <w:contextualSpacing/>
        <w:jc w:val="both"/>
        <w:rPr>
          <w:rFonts w:ascii="Times New Roman" w:hAnsi="Times New Roman" w:cs="Times New Roman"/>
          <w:i/>
          <w:sz w:val="28"/>
          <w:szCs w:val="28"/>
        </w:rPr>
      </w:pPr>
      <w:r w:rsidRPr="001D0846">
        <w:rPr>
          <w:rFonts w:ascii="Times New Roman" w:hAnsi="Times New Roman" w:cs="Times New Roman"/>
          <w:i/>
          <w:color w:val="000000"/>
          <w:sz w:val="28"/>
          <w:szCs w:val="28"/>
        </w:rPr>
        <w:t xml:space="preserve">Potrivit obiectivelor stabilite în administrarea fiscală și vamală în perioada </w:t>
      </w:r>
      <w:r w:rsidR="00BB3674">
        <w:rPr>
          <w:rFonts w:ascii="Times New Roman" w:hAnsi="Times New Roman" w:cs="Times New Roman"/>
          <w:i/>
          <w:color w:val="000000"/>
          <w:sz w:val="28"/>
          <w:szCs w:val="28"/>
        </w:rPr>
        <w:t xml:space="preserve">anilor </w:t>
      </w:r>
      <w:r w:rsidRPr="001D0846">
        <w:rPr>
          <w:rFonts w:ascii="Times New Roman" w:hAnsi="Times New Roman" w:cs="Times New Roman"/>
          <w:i/>
          <w:color w:val="000000"/>
          <w:sz w:val="28"/>
          <w:szCs w:val="28"/>
        </w:rPr>
        <w:t xml:space="preserve">2015-2017, SFS și SV urmau să asigure </w:t>
      </w:r>
      <w:r w:rsidRPr="001D0846">
        <w:rPr>
          <w:rFonts w:ascii="Times New Roman" w:hAnsi="Times New Roman" w:cs="Times New Roman"/>
          <w:i/>
          <w:sz w:val="28"/>
          <w:szCs w:val="28"/>
        </w:rPr>
        <w:t xml:space="preserve">promovarea continuă a conformării voluntare a contribuabililor la declararea şi la plata obligațiilor fiscale/vamale. Deși </w:t>
      </w:r>
      <w:r w:rsidR="00BB3674">
        <w:rPr>
          <w:rFonts w:ascii="Times New Roman" w:hAnsi="Times New Roman" w:cs="Times New Roman"/>
          <w:i/>
          <w:sz w:val="28"/>
          <w:szCs w:val="28"/>
        </w:rPr>
        <w:t>s-</w:t>
      </w:r>
      <w:r w:rsidRPr="001D0846">
        <w:rPr>
          <w:rFonts w:ascii="Times New Roman" w:hAnsi="Times New Roman" w:cs="Times New Roman"/>
          <w:i/>
          <w:sz w:val="28"/>
          <w:szCs w:val="28"/>
        </w:rPr>
        <w:t xml:space="preserve">auîntreprins măsuri în vederea </w:t>
      </w:r>
      <w:r w:rsidR="000C61BF">
        <w:rPr>
          <w:rFonts w:ascii="Times New Roman" w:hAnsi="Times New Roman" w:cs="Times New Roman"/>
          <w:i/>
          <w:sz w:val="28"/>
          <w:szCs w:val="28"/>
        </w:rPr>
        <w:t xml:space="preserve">promovării </w:t>
      </w:r>
      <w:r w:rsidRPr="001D0846">
        <w:rPr>
          <w:rFonts w:ascii="Times New Roman" w:hAnsi="Times New Roman" w:cs="Times New Roman"/>
          <w:i/>
          <w:sz w:val="28"/>
          <w:szCs w:val="28"/>
        </w:rPr>
        <w:t xml:space="preserve">gradului de conformare voluntară, fiind atinse unele rezultate în domeniu, evaluările și activitățile </w:t>
      </w:r>
      <w:r w:rsidRPr="001D0846">
        <w:rPr>
          <w:rFonts w:ascii="Times New Roman" w:hAnsi="Times New Roman" w:cs="Times New Roman"/>
          <w:i/>
          <w:color w:val="000000"/>
          <w:sz w:val="28"/>
          <w:szCs w:val="28"/>
        </w:rPr>
        <w:t>desfășurate de auditul public extern în cadrul SFS și SV</w:t>
      </w:r>
      <w:r w:rsidR="00BB3674">
        <w:rPr>
          <w:rFonts w:ascii="Times New Roman" w:hAnsi="Times New Roman" w:cs="Times New Roman"/>
          <w:i/>
          <w:color w:val="000000"/>
          <w:sz w:val="28"/>
          <w:szCs w:val="28"/>
        </w:rPr>
        <w:t xml:space="preserve"> indică</w:t>
      </w:r>
      <w:r w:rsidRPr="001D0846">
        <w:rPr>
          <w:rFonts w:ascii="Times New Roman" w:hAnsi="Times New Roman" w:cs="Times New Roman"/>
          <w:i/>
          <w:color w:val="000000"/>
          <w:sz w:val="28"/>
          <w:szCs w:val="28"/>
        </w:rPr>
        <w:t xml:space="preserve"> că situația</w:t>
      </w:r>
      <w:r w:rsidR="00BB3674">
        <w:rPr>
          <w:rFonts w:ascii="Times New Roman" w:hAnsi="Times New Roman" w:cs="Times New Roman"/>
          <w:i/>
          <w:sz w:val="28"/>
          <w:szCs w:val="28"/>
        </w:rPr>
        <w:t xml:space="preserve">privind </w:t>
      </w:r>
      <w:r w:rsidRPr="001D0846">
        <w:rPr>
          <w:rFonts w:ascii="Times New Roman" w:hAnsi="Times New Roman" w:cs="Times New Roman"/>
          <w:i/>
          <w:sz w:val="28"/>
          <w:szCs w:val="28"/>
        </w:rPr>
        <w:t>conform</w:t>
      </w:r>
      <w:r w:rsidR="00BB3674">
        <w:rPr>
          <w:rFonts w:ascii="Times New Roman" w:hAnsi="Times New Roman" w:cs="Times New Roman"/>
          <w:i/>
          <w:sz w:val="28"/>
          <w:szCs w:val="28"/>
        </w:rPr>
        <w:t>area</w:t>
      </w:r>
      <w:r w:rsidRPr="001D0846">
        <w:rPr>
          <w:rFonts w:ascii="Times New Roman" w:hAnsi="Times New Roman" w:cs="Times New Roman"/>
          <w:i/>
          <w:sz w:val="28"/>
          <w:szCs w:val="28"/>
        </w:rPr>
        <w:t xml:space="preserve"> voluntar</w:t>
      </w:r>
      <w:r w:rsidR="00BB3674">
        <w:rPr>
          <w:rFonts w:ascii="Times New Roman" w:hAnsi="Times New Roman" w:cs="Times New Roman"/>
          <w:i/>
          <w:sz w:val="28"/>
          <w:szCs w:val="28"/>
        </w:rPr>
        <w:t>ă</w:t>
      </w:r>
      <w:r w:rsidRPr="001D0846">
        <w:rPr>
          <w:rFonts w:ascii="Times New Roman" w:hAnsi="Times New Roman" w:cs="Times New Roman"/>
          <w:i/>
          <w:sz w:val="28"/>
          <w:szCs w:val="28"/>
        </w:rPr>
        <w:t xml:space="preserve"> a contribuabililor, per ansamblu, rămâne a fi o problemă sistemică a administratorilor de venituri, care</w:t>
      </w:r>
      <w:r w:rsidR="00726B69">
        <w:rPr>
          <w:rFonts w:ascii="Times New Roman" w:hAnsi="Times New Roman" w:cs="Times New Roman"/>
          <w:i/>
          <w:sz w:val="28"/>
          <w:szCs w:val="28"/>
        </w:rPr>
        <w:t>,</w:t>
      </w:r>
      <w:r w:rsidRPr="001D0846">
        <w:rPr>
          <w:rFonts w:ascii="Times New Roman" w:hAnsi="Times New Roman" w:cs="Times New Roman"/>
          <w:i/>
          <w:sz w:val="28"/>
          <w:szCs w:val="28"/>
        </w:rPr>
        <w:t xml:space="preserve"> pe parcursul ultimilor ani</w:t>
      </w:r>
      <w:r w:rsidR="00726B69">
        <w:rPr>
          <w:rFonts w:ascii="Times New Roman" w:hAnsi="Times New Roman" w:cs="Times New Roman"/>
          <w:i/>
          <w:sz w:val="28"/>
          <w:szCs w:val="28"/>
        </w:rPr>
        <w:t>,</w:t>
      </w:r>
      <w:r w:rsidR="00726B69" w:rsidRPr="001D0846">
        <w:rPr>
          <w:rFonts w:ascii="Times New Roman" w:hAnsi="Times New Roman" w:cs="Times New Roman"/>
          <w:i/>
          <w:sz w:val="28"/>
          <w:szCs w:val="28"/>
        </w:rPr>
        <w:t xml:space="preserve">nu </w:t>
      </w:r>
      <w:r w:rsidR="00726B69">
        <w:rPr>
          <w:rFonts w:ascii="Times New Roman" w:hAnsi="Times New Roman" w:cs="Times New Roman"/>
          <w:i/>
          <w:sz w:val="28"/>
          <w:szCs w:val="28"/>
        </w:rPr>
        <w:t>înregistrează</w:t>
      </w:r>
      <w:r w:rsidRPr="001D0846">
        <w:rPr>
          <w:rFonts w:ascii="Times New Roman" w:hAnsi="Times New Roman" w:cs="Times New Roman"/>
          <w:i/>
          <w:sz w:val="28"/>
          <w:szCs w:val="28"/>
        </w:rPr>
        <w:t>ameliorări semnificative. Cele menționate au fost cauzate</w:t>
      </w:r>
      <w:r w:rsidR="00BB3674">
        <w:rPr>
          <w:rFonts w:ascii="Times New Roman" w:hAnsi="Times New Roman" w:cs="Times New Roman"/>
          <w:i/>
          <w:sz w:val="28"/>
          <w:szCs w:val="28"/>
        </w:rPr>
        <w:t>,</w:t>
      </w:r>
      <w:r w:rsidRPr="001D0846">
        <w:rPr>
          <w:rFonts w:ascii="Times New Roman" w:hAnsi="Times New Roman" w:cs="Times New Roman"/>
          <w:i/>
          <w:sz w:val="28"/>
          <w:szCs w:val="28"/>
        </w:rPr>
        <w:t xml:space="preserve"> în general</w:t>
      </w:r>
      <w:r w:rsidR="00BB3674">
        <w:rPr>
          <w:rFonts w:ascii="Times New Roman" w:hAnsi="Times New Roman" w:cs="Times New Roman"/>
          <w:i/>
          <w:sz w:val="28"/>
          <w:szCs w:val="28"/>
        </w:rPr>
        <w:t xml:space="preserve">, </w:t>
      </w:r>
      <w:r w:rsidR="000C61BF">
        <w:rPr>
          <w:rFonts w:ascii="Times New Roman" w:hAnsi="Times New Roman" w:cs="Times New Roman"/>
          <w:i/>
          <w:sz w:val="28"/>
          <w:szCs w:val="28"/>
        </w:rPr>
        <w:t xml:space="preserve">de </w:t>
      </w:r>
      <w:r w:rsidRPr="001D0846">
        <w:rPr>
          <w:rFonts w:ascii="Times New Roman" w:hAnsi="Times New Roman" w:cs="Times New Roman"/>
          <w:i/>
          <w:sz w:val="28"/>
          <w:szCs w:val="28"/>
        </w:rPr>
        <w:t xml:space="preserve">sporirea gradului </w:t>
      </w:r>
      <w:r w:rsidRPr="00B172B4">
        <w:rPr>
          <w:rFonts w:ascii="Times New Roman" w:hAnsi="Times New Roman" w:cs="Times New Roman"/>
          <w:i/>
          <w:sz w:val="28"/>
          <w:szCs w:val="28"/>
        </w:rPr>
        <w:t>de indisciplină a contribuabililor</w:t>
      </w:r>
      <w:r w:rsidRPr="001D0846">
        <w:rPr>
          <w:rFonts w:ascii="Times New Roman" w:hAnsi="Times New Roman" w:cs="Times New Roman"/>
          <w:i/>
          <w:sz w:val="28"/>
          <w:szCs w:val="28"/>
        </w:rPr>
        <w:t xml:space="preserve"> la declararea și achitarea impozitelor și taxelor la BPN, insuficiența</w:t>
      </w:r>
      <w:r w:rsidR="00726B69">
        <w:rPr>
          <w:rFonts w:ascii="Times New Roman" w:hAnsi="Times New Roman" w:cs="Times New Roman"/>
          <w:i/>
          <w:sz w:val="28"/>
          <w:szCs w:val="28"/>
        </w:rPr>
        <w:t>,</w:t>
      </w:r>
      <w:r w:rsidRPr="001D0846">
        <w:rPr>
          <w:rFonts w:ascii="Times New Roman" w:hAnsi="Times New Roman" w:cs="Times New Roman"/>
          <w:i/>
          <w:sz w:val="28"/>
          <w:szCs w:val="28"/>
        </w:rPr>
        <w:t>rezultativitatea redusă</w:t>
      </w:r>
      <w:r w:rsidR="00726B69">
        <w:rPr>
          <w:rFonts w:ascii="Times New Roman" w:hAnsi="Times New Roman" w:cs="Times New Roman"/>
          <w:i/>
          <w:sz w:val="28"/>
          <w:szCs w:val="28"/>
        </w:rPr>
        <w:t xml:space="preserve"> și,</w:t>
      </w:r>
      <w:r w:rsidRPr="001D0846">
        <w:rPr>
          <w:rFonts w:ascii="Times New Roman" w:hAnsi="Times New Roman" w:cs="Times New Roman"/>
          <w:i/>
          <w:sz w:val="28"/>
          <w:szCs w:val="28"/>
        </w:rPr>
        <w:t xml:space="preserve"> în unele cazuri</w:t>
      </w:r>
      <w:r w:rsidR="00726B69">
        <w:rPr>
          <w:rFonts w:ascii="Times New Roman" w:hAnsi="Times New Roman" w:cs="Times New Roman"/>
          <w:i/>
          <w:sz w:val="28"/>
          <w:szCs w:val="28"/>
        </w:rPr>
        <w:t>,</w:t>
      </w:r>
      <w:r w:rsidRPr="001D0846">
        <w:rPr>
          <w:rFonts w:ascii="Times New Roman" w:hAnsi="Times New Roman" w:cs="Times New Roman"/>
          <w:i/>
          <w:sz w:val="28"/>
          <w:szCs w:val="28"/>
        </w:rPr>
        <w:t xml:space="preserve"> neaplicarea </w:t>
      </w:r>
      <w:r w:rsidR="000C61BF">
        <w:rPr>
          <w:rFonts w:ascii="Times New Roman" w:hAnsi="Times New Roman" w:cs="Times New Roman"/>
          <w:i/>
          <w:sz w:val="28"/>
          <w:szCs w:val="28"/>
        </w:rPr>
        <w:t>prom</w:t>
      </w:r>
      <w:r w:rsidR="00726B69">
        <w:rPr>
          <w:rFonts w:ascii="Times New Roman" w:hAnsi="Times New Roman" w:cs="Times New Roman"/>
          <w:i/>
          <w:sz w:val="28"/>
          <w:szCs w:val="28"/>
        </w:rPr>
        <w:t>p</w:t>
      </w:r>
      <w:r w:rsidR="000C61BF">
        <w:rPr>
          <w:rFonts w:ascii="Times New Roman" w:hAnsi="Times New Roman" w:cs="Times New Roman"/>
          <w:i/>
          <w:sz w:val="28"/>
          <w:szCs w:val="28"/>
        </w:rPr>
        <w:t xml:space="preserve">tă a </w:t>
      </w:r>
      <w:r w:rsidRPr="001D0846">
        <w:rPr>
          <w:rFonts w:ascii="Times New Roman" w:hAnsi="Times New Roman" w:cs="Times New Roman"/>
          <w:i/>
          <w:sz w:val="28"/>
          <w:szCs w:val="28"/>
        </w:rPr>
        <w:t>măsurilor de către SFS și SV</w:t>
      </w:r>
      <w:r w:rsidR="00726B69">
        <w:rPr>
          <w:rFonts w:ascii="Times New Roman" w:hAnsi="Times New Roman" w:cs="Times New Roman"/>
          <w:i/>
          <w:sz w:val="28"/>
          <w:szCs w:val="28"/>
        </w:rPr>
        <w:t>,</w:t>
      </w:r>
      <w:r w:rsidRPr="001D0846">
        <w:rPr>
          <w:rFonts w:ascii="Times New Roman" w:hAnsi="Times New Roman" w:cs="Times New Roman"/>
          <w:i/>
          <w:sz w:val="28"/>
          <w:szCs w:val="28"/>
        </w:rPr>
        <w:t xml:space="preserve"> în scopul de a asigura conformarea contribuabililor la achitarea obligațiilor fiscale și vamale, fapt care afectează eficiența și eficacitatea administrării fiscale și vamale. </w:t>
      </w:r>
    </w:p>
    <w:p w:rsidR="004726E0" w:rsidRPr="001D0846" w:rsidRDefault="000C61BF" w:rsidP="006358AD">
      <w:pPr>
        <w:spacing w:after="0" w:line="276" w:lineRule="auto"/>
        <w:ind w:firstLine="720"/>
        <w:contextualSpacing/>
        <w:jc w:val="both"/>
        <w:rPr>
          <w:rFonts w:ascii="Times New Roman" w:hAnsi="Times New Roman" w:cs="Times New Roman"/>
          <w:sz w:val="28"/>
          <w:szCs w:val="28"/>
        </w:rPr>
      </w:pPr>
      <w:r w:rsidRPr="000C61BF">
        <w:rPr>
          <w:rFonts w:ascii="Times New Roman" w:hAnsi="Times New Roman" w:cs="Times New Roman"/>
          <w:b/>
          <w:i/>
          <w:sz w:val="28"/>
          <w:szCs w:val="28"/>
        </w:rPr>
        <w:t>3.6.1.</w:t>
      </w:r>
      <w:r w:rsidR="004726E0" w:rsidRPr="000C61BF">
        <w:rPr>
          <w:rFonts w:ascii="Times New Roman" w:hAnsi="Times New Roman" w:cs="Times New Roman"/>
          <w:sz w:val="28"/>
          <w:szCs w:val="28"/>
        </w:rPr>
        <w:t>În scopul ridicării eficienței administrării fiscale prin popularizarea legislației fiscale</w:t>
      </w:r>
      <w:r w:rsidR="00726B69">
        <w:rPr>
          <w:rFonts w:ascii="Times New Roman" w:hAnsi="Times New Roman" w:cs="Times New Roman"/>
          <w:sz w:val="28"/>
          <w:szCs w:val="28"/>
        </w:rPr>
        <w:t>,</w:t>
      </w:r>
      <w:r w:rsidR="004726E0" w:rsidRPr="000C61BF">
        <w:rPr>
          <w:rFonts w:ascii="Times New Roman" w:hAnsi="Times New Roman" w:cs="Times New Roman"/>
          <w:sz w:val="28"/>
          <w:szCs w:val="28"/>
        </w:rPr>
        <w:t xml:space="preserve"> cu </w:t>
      </w:r>
      <w:r w:rsidR="004726E0" w:rsidRPr="00B172B4">
        <w:rPr>
          <w:rFonts w:ascii="Times New Roman" w:hAnsi="Times New Roman" w:cs="Times New Roman"/>
          <w:sz w:val="28"/>
          <w:szCs w:val="28"/>
        </w:rPr>
        <w:t>acordarea</w:t>
      </w:r>
      <w:r w:rsidR="005F66C3">
        <w:rPr>
          <w:rFonts w:ascii="Times New Roman" w:hAnsi="Times New Roman" w:cs="Times New Roman"/>
          <w:sz w:val="28"/>
          <w:szCs w:val="28"/>
        </w:rPr>
        <w:t xml:space="preserve"> asistenței</w:t>
      </w:r>
      <w:r w:rsidR="004726E0" w:rsidRPr="00B172B4">
        <w:rPr>
          <w:rFonts w:ascii="Times New Roman" w:hAnsi="Times New Roman" w:cs="Times New Roman"/>
          <w:sz w:val="28"/>
          <w:szCs w:val="28"/>
        </w:rPr>
        <w:t>contribuabililor, prin</w:t>
      </w:r>
      <w:r w:rsidR="00726B69">
        <w:rPr>
          <w:rFonts w:ascii="Times New Roman" w:hAnsi="Times New Roman" w:cs="Times New Roman"/>
          <w:sz w:val="28"/>
          <w:szCs w:val="28"/>
        </w:rPr>
        <w:t>o</w:t>
      </w:r>
      <w:r w:rsidR="004726E0" w:rsidRPr="001D0846">
        <w:rPr>
          <w:rFonts w:ascii="Times New Roman" w:hAnsi="Times New Roman" w:cs="Times New Roman"/>
          <w:sz w:val="28"/>
          <w:szCs w:val="28"/>
        </w:rPr>
        <w:t>rdinul SFS</w:t>
      </w:r>
      <w:r w:rsidR="004726E0" w:rsidRPr="001D0846">
        <w:rPr>
          <w:rStyle w:val="FootnoteReference"/>
          <w:rFonts w:ascii="Times New Roman" w:hAnsi="Times New Roman" w:cs="Times New Roman"/>
          <w:sz w:val="28"/>
          <w:szCs w:val="28"/>
        </w:rPr>
        <w:footnoteReference w:id="21"/>
      </w:r>
      <w:r w:rsidR="00726B69">
        <w:rPr>
          <w:rFonts w:ascii="Times New Roman" w:hAnsi="Times New Roman" w:cs="Times New Roman"/>
          <w:sz w:val="28"/>
          <w:szCs w:val="28"/>
        </w:rPr>
        <w:t>,</w:t>
      </w:r>
      <w:r w:rsidR="004726E0" w:rsidRPr="001D0846">
        <w:rPr>
          <w:rFonts w:ascii="Times New Roman" w:hAnsi="Times New Roman" w:cs="Times New Roman"/>
          <w:sz w:val="28"/>
          <w:szCs w:val="28"/>
        </w:rPr>
        <w:t xml:space="preserve"> a fost aprobat Programul de conformare voluntară a contribuabililor pentru anul 2017</w:t>
      </w:r>
      <w:r w:rsidR="00726B69">
        <w:rPr>
          <w:rFonts w:ascii="Times New Roman" w:hAnsi="Times New Roman" w:cs="Times New Roman"/>
          <w:sz w:val="28"/>
          <w:szCs w:val="28"/>
        </w:rPr>
        <w:t>,</w:t>
      </w:r>
      <w:r w:rsidR="004726E0" w:rsidRPr="001D0846">
        <w:rPr>
          <w:rFonts w:ascii="Times New Roman" w:hAnsi="Times New Roman" w:cs="Times New Roman"/>
          <w:sz w:val="28"/>
          <w:szCs w:val="28"/>
        </w:rPr>
        <w:t xml:space="preserve"> care prevede politici de asistență și sprijin pentru contribuabili</w:t>
      </w:r>
      <w:r w:rsidR="00726B69">
        <w:rPr>
          <w:rFonts w:ascii="Times New Roman" w:hAnsi="Times New Roman" w:cs="Times New Roman"/>
          <w:sz w:val="28"/>
          <w:szCs w:val="28"/>
        </w:rPr>
        <w:t>i</w:t>
      </w:r>
      <w:r w:rsidR="004726E0" w:rsidRPr="001D0846">
        <w:rPr>
          <w:rFonts w:ascii="Times New Roman" w:hAnsi="Times New Roman" w:cs="Times New Roman"/>
          <w:sz w:val="28"/>
          <w:szCs w:val="28"/>
        </w:rPr>
        <w:t xml:space="preserve"> care execută la timp și în volum deplin obligațiile fiscale, precum și politici de detectare și descurajare a contribuabililor care se eschivează conștient de la plata impozitelor, taxelor și a altor plăți obligatorii, cu asigurarea sancționării inevitabile a acestora. Scopul programului este de a face publice inițiativele politice și măsurile în derulare prin care SFS intenționează să majoreze nivelul de conformare voluntară a </w:t>
      </w:r>
      <w:r w:rsidR="004726E0" w:rsidRPr="001D0846">
        <w:rPr>
          <w:rFonts w:ascii="Times New Roman" w:hAnsi="Times New Roman" w:cs="Times New Roman"/>
          <w:sz w:val="28"/>
          <w:szCs w:val="28"/>
        </w:rPr>
        <w:lastRenderedPageBreak/>
        <w:t>contribuabililor la declararea și plata obligațiilor fiscale</w:t>
      </w:r>
      <w:r w:rsidR="00726B69">
        <w:rPr>
          <w:rFonts w:ascii="Times New Roman" w:hAnsi="Times New Roman" w:cs="Times New Roman"/>
          <w:sz w:val="28"/>
          <w:szCs w:val="28"/>
        </w:rPr>
        <w:t>,</w:t>
      </w:r>
      <w:r w:rsidR="004726E0" w:rsidRPr="001D0846">
        <w:rPr>
          <w:rFonts w:ascii="Times New Roman" w:hAnsi="Times New Roman" w:cs="Times New Roman"/>
          <w:sz w:val="28"/>
          <w:szCs w:val="28"/>
        </w:rPr>
        <w:t xml:space="preserve"> implicând următoarele obiective: a) deservirea calitati</w:t>
      </w:r>
      <w:r w:rsidR="00B72B3E" w:rsidRPr="001D0846">
        <w:rPr>
          <w:rFonts w:ascii="Times New Roman" w:hAnsi="Times New Roman" w:cs="Times New Roman"/>
          <w:sz w:val="28"/>
          <w:szCs w:val="28"/>
        </w:rPr>
        <w:t>vă a contribuabililor;</w:t>
      </w:r>
      <w:r w:rsidR="004726E0" w:rsidRPr="001D0846">
        <w:rPr>
          <w:rFonts w:ascii="Times New Roman" w:hAnsi="Times New Roman" w:cs="Times New Roman"/>
          <w:sz w:val="28"/>
          <w:szCs w:val="28"/>
        </w:rPr>
        <w:t xml:space="preserve"> b) micșorarea presiunii asupra contribuabililor onești, care execută la timp și în volum deplin obligațiile fiscale; c) educarea și instruirea contribuabililor în scopul promovării continue a spiritului de conformare voluntară</w:t>
      </w:r>
      <w:r w:rsidR="00726B69">
        <w:rPr>
          <w:rFonts w:ascii="Times New Roman" w:hAnsi="Times New Roman" w:cs="Times New Roman"/>
          <w:sz w:val="28"/>
          <w:szCs w:val="28"/>
        </w:rPr>
        <w:t>,</w:t>
      </w:r>
      <w:r w:rsidR="004726E0" w:rsidRPr="001D0846">
        <w:rPr>
          <w:rFonts w:ascii="Times New Roman" w:hAnsi="Times New Roman" w:cs="Times New Roman"/>
          <w:sz w:val="28"/>
          <w:szCs w:val="28"/>
        </w:rPr>
        <w:t xml:space="preserve"> utilizând în acest scop un șir de activități și servicii de calitate; d) asigurarea sporirii nivelului de conformare fiscală.</w:t>
      </w:r>
    </w:p>
    <w:p w:rsidR="004726E0" w:rsidRPr="001D0846" w:rsidRDefault="004726E0" w:rsidP="006358AD">
      <w:pPr>
        <w:tabs>
          <w:tab w:val="left" w:pos="1080"/>
        </w:tabs>
        <w:spacing w:after="0" w:line="276" w:lineRule="auto"/>
        <w:contextualSpacing/>
        <w:jc w:val="both"/>
        <w:rPr>
          <w:rFonts w:ascii="Times New Roman" w:hAnsi="Times New Roman" w:cs="Times New Roman"/>
          <w:sz w:val="28"/>
          <w:szCs w:val="28"/>
        </w:rPr>
      </w:pPr>
      <w:r w:rsidRPr="001D0846">
        <w:rPr>
          <w:rFonts w:ascii="Times New Roman" w:hAnsi="Times New Roman" w:cs="Times New Roman"/>
          <w:sz w:val="28"/>
          <w:szCs w:val="28"/>
        </w:rPr>
        <w:t xml:space="preserve">           Programul de conformare voluntară a contribuabililor include tratamentele de conformare voluntară </w:t>
      </w:r>
      <w:r w:rsidRPr="001D0846">
        <w:rPr>
          <w:rFonts w:ascii="Times New Roman" w:hAnsi="Times New Roman" w:cs="Times New Roman"/>
          <w:b/>
          <w:sz w:val="28"/>
          <w:szCs w:val="28"/>
        </w:rPr>
        <w:t>-</w:t>
      </w:r>
      <w:r w:rsidRPr="001D0846">
        <w:rPr>
          <w:rFonts w:ascii="Times New Roman" w:hAnsi="Times New Roman" w:cs="Times New Roman"/>
          <w:sz w:val="28"/>
          <w:szCs w:val="28"/>
        </w:rPr>
        <w:t xml:space="preserve"> măsuri, acțiuni și procedee aplicate contribuabililor de către SFS</w:t>
      </w:r>
      <w:r w:rsidR="00726B69">
        <w:rPr>
          <w:rFonts w:ascii="Times New Roman" w:hAnsi="Times New Roman" w:cs="Times New Roman"/>
          <w:sz w:val="28"/>
          <w:szCs w:val="28"/>
        </w:rPr>
        <w:t>,</w:t>
      </w:r>
      <w:r w:rsidRPr="001D0846">
        <w:rPr>
          <w:rFonts w:ascii="Times New Roman" w:hAnsi="Times New Roman" w:cs="Times New Roman"/>
          <w:sz w:val="28"/>
          <w:szCs w:val="28"/>
        </w:rPr>
        <w:t xml:space="preserve"> care poartă caracter de prevenire (</w:t>
      </w:r>
      <w:r w:rsidRPr="003F2ED8">
        <w:rPr>
          <w:rFonts w:ascii="Times New Roman" w:hAnsi="Times New Roman" w:cs="Times New Roman"/>
          <w:sz w:val="28"/>
          <w:szCs w:val="28"/>
        </w:rPr>
        <w:t>contactarea</w:t>
      </w:r>
      <w:r w:rsidRPr="001D0846">
        <w:rPr>
          <w:rFonts w:ascii="Times New Roman" w:hAnsi="Times New Roman" w:cs="Times New Roman"/>
          <w:sz w:val="28"/>
          <w:szCs w:val="28"/>
        </w:rPr>
        <w:t xml:space="preserve"> contribuabilului; organizarea ședințelor de conformare cu persoanele cu funcții de răspundere ale contribuabilului</w:t>
      </w:r>
      <w:r w:rsidR="003F2ED8">
        <w:rPr>
          <w:rFonts w:ascii="Times New Roman" w:hAnsi="Times New Roman" w:cs="Times New Roman"/>
          <w:sz w:val="28"/>
          <w:szCs w:val="28"/>
        </w:rPr>
        <w:t>,</w:t>
      </w:r>
      <w:r w:rsidRPr="001D0846">
        <w:rPr>
          <w:rFonts w:ascii="Times New Roman" w:hAnsi="Times New Roman" w:cs="Times New Roman"/>
          <w:sz w:val="28"/>
          <w:szCs w:val="28"/>
        </w:rPr>
        <w:t xml:space="preserve"> precum și a ședințelor de conformare ramurale; organizarea seminarelor de asistență metodologică acordată de SFS în funcție de domeniul de activitate a contribuabilului; efectuarea vizitelor fiscale), precum și tratamentele de conformare forțată </w:t>
      </w:r>
      <w:r w:rsidRPr="001D0846">
        <w:rPr>
          <w:rFonts w:ascii="Times New Roman" w:hAnsi="Times New Roman" w:cs="Times New Roman"/>
          <w:b/>
          <w:sz w:val="28"/>
          <w:szCs w:val="28"/>
        </w:rPr>
        <w:t xml:space="preserve">– </w:t>
      </w:r>
      <w:r w:rsidRPr="001D0846">
        <w:rPr>
          <w:rFonts w:ascii="Times New Roman" w:hAnsi="Times New Roman" w:cs="Times New Roman"/>
          <w:sz w:val="28"/>
          <w:szCs w:val="28"/>
        </w:rPr>
        <w:t>măsuri aplicate față de contribuabili</w:t>
      </w:r>
      <w:r w:rsidR="003F2ED8">
        <w:rPr>
          <w:rFonts w:ascii="Times New Roman" w:hAnsi="Times New Roman" w:cs="Times New Roman"/>
          <w:sz w:val="28"/>
          <w:szCs w:val="28"/>
        </w:rPr>
        <w:t>i</w:t>
      </w:r>
      <w:r w:rsidRPr="001D0846">
        <w:rPr>
          <w:rFonts w:ascii="Times New Roman" w:hAnsi="Times New Roman" w:cs="Times New Roman"/>
          <w:sz w:val="28"/>
          <w:szCs w:val="28"/>
        </w:rPr>
        <w:t xml:space="preserve"> care nu sunt dispuși în con</w:t>
      </w:r>
      <w:r w:rsidR="00AC71C5" w:rsidRPr="001D0846">
        <w:rPr>
          <w:rFonts w:ascii="Times New Roman" w:hAnsi="Times New Roman" w:cs="Times New Roman"/>
          <w:sz w:val="28"/>
          <w:szCs w:val="28"/>
        </w:rPr>
        <w:t>tinuare să se conformeze și fac</w:t>
      </w:r>
      <w:r w:rsidRPr="001D0846">
        <w:rPr>
          <w:rFonts w:ascii="Times New Roman" w:hAnsi="Times New Roman" w:cs="Times New Roman"/>
          <w:sz w:val="28"/>
          <w:szCs w:val="28"/>
        </w:rPr>
        <w:t xml:space="preserve"> acest lucru în mod conștient, asumându-și riscul în mod deliberat (instituirea posturilor fiscale; efectuarea controalelor fiscale; aplicarea măsurilor de executare silită).</w:t>
      </w:r>
    </w:p>
    <w:p w:rsidR="004726E0" w:rsidRPr="001D0846" w:rsidRDefault="004726E0" w:rsidP="006358AD">
      <w:pPr>
        <w:tabs>
          <w:tab w:val="left" w:pos="1080"/>
        </w:tabs>
        <w:spacing w:after="0" w:line="276" w:lineRule="auto"/>
        <w:contextualSpacing/>
        <w:jc w:val="both"/>
        <w:rPr>
          <w:rFonts w:ascii="Times New Roman" w:hAnsi="Times New Roman" w:cs="Times New Roman"/>
          <w:sz w:val="28"/>
          <w:szCs w:val="28"/>
        </w:rPr>
      </w:pPr>
      <w:r w:rsidRPr="001D0846">
        <w:rPr>
          <w:rFonts w:ascii="Times New Roman" w:hAnsi="Times New Roman" w:cs="Times New Roman"/>
          <w:sz w:val="28"/>
          <w:szCs w:val="28"/>
        </w:rPr>
        <w:t xml:space="preserve">           Aceste activități au drept scop majorarea nivelului de disciplină fiscală a contribuabililor, prin promovarea continuă a spiritului de conformare voluntară la declararea și achitarea în termen a obligațiilor fiscale. Activitățile de conformare voluntară realizate de SFS în anul 2017 au avut ca scop asigurarea prevenirii eschivării de la plata și calculul impozitelor, comiterii încălcărilor fiscale, precum și legalizarea afacerilor din cadrul economiei tenebre prin înregistrarea agenților economici în modul stabilit și atribuirea unui statut legal al genurilor de activitate desfășurate.</w:t>
      </w:r>
    </w:p>
    <w:p w:rsidR="004726E0" w:rsidRPr="001D0846" w:rsidRDefault="003F2ED8" w:rsidP="006358AD">
      <w:pPr>
        <w:tabs>
          <w:tab w:val="left" w:pos="1080"/>
        </w:tabs>
        <w:spacing w:after="0" w:line="276" w:lineRule="auto"/>
        <w:contextualSpacing/>
        <w:jc w:val="both"/>
        <w:rPr>
          <w:rFonts w:ascii="Times New Roman" w:hAnsi="Times New Roman" w:cs="Times New Roman"/>
          <w:sz w:val="28"/>
          <w:szCs w:val="28"/>
        </w:rPr>
      </w:pPr>
      <w:r>
        <w:rPr>
          <w:rFonts w:ascii="Times New Roman" w:hAnsi="Times New Roman" w:cs="Times New Roman"/>
          <w:sz w:val="28"/>
          <w:szCs w:val="28"/>
        </w:rPr>
        <w:t>Pentru</w:t>
      </w:r>
      <w:r w:rsidR="004726E0" w:rsidRPr="001D0846">
        <w:rPr>
          <w:rFonts w:ascii="Times New Roman" w:hAnsi="Times New Roman" w:cs="Times New Roman"/>
          <w:sz w:val="28"/>
          <w:szCs w:val="28"/>
        </w:rPr>
        <w:t xml:space="preserve"> realiz</w:t>
      </w:r>
      <w:r>
        <w:rPr>
          <w:rFonts w:ascii="Times New Roman" w:hAnsi="Times New Roman" w:cs="Times New Roman"/>
          <w:sz w:val="28"/>
          <w:szCs w:val="28"/>
        </w:rPr>
        <w:t>area</w:t>
      </w:r>
      <w:r w:rsidR="004726E0" w:rsidRPr="00B172B4">
        <w:rPr>
          <w:rFonts w:ascii="Times New Roman" w:hAnsi="Times New Roman" w:cs="Times New Roman"/>
          <w:sz w:val="28"/>
          <w:szCs w:val="28"/>
        </w:rPr>
        <w:t xml:space="preserve">obiectivelor programului, SFS a stabilit activitățile din economia </w:t>
      </w:r>
      <w:r w:rsidR="00526E16" w:rsidRPr="00B172B4">
        <w:rPr>
          <w:rFonts w:ascii="Times New Roman" w:hAnsi="Times New Roman" w:cs="Times New Roman"/>
          <w:sz w:val="28"/>
          <w:szCs w:val="28"/>
        </w:rPr>
        <w:t>Republicii Moldova</w:t>
      </w:r>
      <w:r w:rsidR="004726E0" w:rsidRPr="00B172B4">
        <w:rPr>
          <w:rFonts w:ascii="Times New Roman" w:hAnsi="Times New Roman" w:cs="Times New Roman"/>
          <w:sz w:val="28"/>
          <w:szCs w:val="28"/>
        </w:rPr>
        <w:t xml:space="preserve"> care întrunesc riscuri de neconformare fiscală, cu elaborarea rapoartelor de risc și a listei</w:t>
      </w:r>
      <w:r w:rsidR="004726E0" w:rsidRPr="001D0846">
        <w:rPr>
          <w:rFonts w:ascii="Times New Roman" w:hAnsi="Times New Roman" w:cs="Times New Roman"/>
          <w:sz w:val="28"/>
          <w:szCs w:val="28"/>
        </w:rPr>
        <w:t xml:space="preserve"> agenților economici</w:t>
      </w:r>
      <w:r w:rsidR="00B172B4">
        <w:rPr>
          <w:rFonts w:ascii="Times New Roman" w:hAnsi="Times New Roman" w:cs="Times New Roman"/>
          <w:sz w:val="28"/>
          <w:szCs w:val="28"/>
        </w:rPr>
        <w:t>,</w:t>
      </w:r>
      <w:r w:rsidR="004726E0" w:rsidRPr="005F66C3">
        <w:rPr>
          <w:rFonts w:ascii="Times New Roman" w:hAnsi="Times New Roman" w:cs="Times New Roman"/>
          <w:sz w:val="28"/>
          <w:szCs w:val="28"/>
        </w:rPr>
        <w:t xml:space="preserve">care </w:t>
      </w:r>
      <w:r w:rsidR="00B172B4" w:rsidRPr="005F66C3">
        <w:rPr>
          <w:rFonts w:ascii="Times New Roman" w:hAnsi="Times New Roman" w:cs="Times New Roman"/>
          <w:sz w:val="28"/>
          <w:szCs w:val="28"/>
        </w:rPr>
        <w:t>includ</w:t>
      </w:r>
      <w:r w:rsidR="004726E0" w:rsidRPr="005F66C3">
        <w:rPr>
          <w:rFonts w:ascii="Times New Roman" w:hAnsi="Times New Roman" w:cs="Times New Roman"/>
          <w:sz w:val="28"/>
          <w:szCs w:val="28"/>
        </w:rPr>
        <w:t xml:space="preserve"> indici de neconformare</w:t>
      </w:r>
      <w:r w:rsidR="00B172B4" w:rsidRPr="005F66C3">
        <w:rPr>
          <w:rFonts w:ascii="Times New Roman" w:hAnsi="Times New Roman" w:cs="Times New Roman"/>
          <w:sz w:val="28"/>
          <w:szCs w:val="28"/>
        </w:rPr>
        <w:t xml:space="preserve"> și sunt </w:t>
      </w:r>
      <w:r w:rsidR="004726E0" w:rsidRPr="005F66C3">
        <w:rPr>
          <w:rFonts w:ascii="Times New Roman" w:hAnsi="Times New Roman" w:cs="Times New Roman"/>
          <w:sz w:val="28"/>
          <w:szCs w:val="28"/>
        </w:rPr>
        <w:t>întocmite în baza datelor SI</w:t>
      </w:r>
      <w:r w:rsidR="000C61BF" w:rsidRPr="005F66C3">
        <w:rPr>
          <w:rFonts w:ascii="Times New Roman" w:hAnsi="Times New Roman" w:cs="Times New Roman"/>
          <w:sz w:val="28"/>
          <w:szCs w:val="28"/>
        </w:rPr>
        <w:t>A</w:t>
      </w:r>
      <w:r w:rsidR="004726E0" w:rsidRPr="005F66C3">
        <w:rPr>
          <w:rFonts w:ascii="Times New Roman" w:hAnsi="Times New Roman" w:cs="Times New Roman"/>
          <w:sz w:val="28"/>
          <w:szCs w:val="28"/>
        </w:rPr>
        <w:t xml:space="preserve"> al SFS, pr</w:t>
      </w:r>
      <w:r w:rsidR="000C61BF" w:rsidRPr="005F66C3">
        <w:rPr>
          <w:rFonts w:ascii="Times New Roman" w:hAnsi="Times New Roman" w:cs="Times New Roman"/>
          <w:sz w:val="28"/>
          <w:szCs w:val="28"/>
        </w:rPr>
        <w:t>ecum și a altor</w:t>
      </w:r>
      <w:r w:rsidR="000C61BF">
        <w:rPr>
          <w:rFonts w:ascii="Times New Roman" w:hAnsi="Times New Roman" w:cs="Times New Roman"/>
          <w:sz w:val="28"/>
          <w:szCs w:val="28"/>
        </w:rPr>
        <w:t xml:space="preserve"> surse de date: MF</w:t>
      </w:r>
      <w:r w:rsidR="004726E0" w:rsidRPr="001D0846">
        <w:rPr>
          <w:rFonts w:ascii="Times New Roman" w:hAnsi="Times New Roman" w:cs="Times New Roman"/>
          <w:sz w:val="28"/>
          <w:szCs w:val="28"/>
        </w:rPr>
        <w:t>, S</w:t>
      </w:r>
      <w:r w:rsidR="000C61BF">
        <w:rPr>
          <w:rFonts w:ascii="Times New Roman" w:hAnsi="Times New Roman" w:cs="Times New Roman"/>
          <w:sz w:val="28"/>
          <w:szCs w:val="28"/>
        </w:rPr>
        <w:t>V</w:t>
      </w:r>
      <w:r w:rsidR="004726E0" w:rsidRPr="001D0846">
        <w:rPr>
          <w:rFonts w:ascii="Times New Roman" w:hAnsi="Times New Roman" w:cs="Times New Roman"/>
          <w:sz w:val="28"/>
          <w:szCs w:val="28"/>
        </w:rPr>
        <w:t>, B</w:t>
      </w:r>
      <w:r w:rsidR="000C61BF">
        <w:rPr>
          <w:rFonts w:ascii="Times New Roman" w:hAnsi="Times New Roman" w:cs="Times New Roman"/>
          <w:sz w:val="28"/>
          <w:szCs w:val="28"/>
        </w:rPr>
        <w:t>NS</w:t>
      </w:r>
      <w:r w:rsidR="004726E0" w:rsidRPr="001D0846">
        <w:rPr>
          <w:rFonts w:ascii="Times New Roman" w:hAnsi="Times New Roman" w:cs="Times New Roman"/>
          <w:sz w:val="28"/>
          <w:szCs w:val="28"/>
        </w:rPr>
        <w:t>, instituțiile financiare.</w:t>
      </w:r>
    </w:p>
    <w:p w:rsidR="004726E0" w:rsidRPr="001D0846" w:rsidRDefault="004726E0" w:rsidP="006358AD">
      <w:pPr>
        <w:tabs>
          <w:tab w:val="left" w:pos="1080"/>
        </w:tabs>
        <w:spacing w:after="0" w:line="276" w:lineRule="auto"/>
        <w:contextualSpacing/>
        <w:jc w:val="both"/>
        <w:rPr>
          <w:rFonts w:ascii="Times New Roman" w:hAnsi="Times New Roman" w:cs="Times New Roman"/>
          <w:sz w:val="28"/>
          <w:szCs w:val="28"/>
        </w:rPr>
      </w:pPr>
      <w:r w:rsidRPr="001D0846">
        <w:rPr>
          <w:rFonts w:ascii="Times New Roman" w:hAnsi="Times New Roman" w:cs="Times New Roman"/>
          <w:sz w:val="28"/>
          <w:szCs w:val="28"/>
        </w:rPr>
        <w:t xml:space="preserve">          În scopul continuității măsurilor de conformare voluntară a contribuabililor, extinderii bazei impozabile și contracarării fenomenului de evaziune fiscală, în special</w:t>
      </w:r>
      <w:r w:rsidR="00526E16">
        <w:rPr>
          <w:rFonts w:ascii="Times New Roman" w:hAnsi="Times New Roman" w:cs="Times New Roman"/>
          <w:sz w:val="28"/>
          <w:szCs w:val="28"/>
        </w:rPr>
        <w:t>,</w:t>
      </w:r>
      <w:r w:rsidRPr="001D0846">
        <w:rPr>
          <w:rFonts w:ascii="Times New Roman" w:hAnsi="Times New Roman" w:cs="Times New Roman"/>
          <w:sz w:val="28"/>
          <w:szCs w:val="28"/>
        </w:rPr>
        <w:t xml:space="preserve"> în domeniile de activitate cu risc sporit de neconformare, SFS evaluează și monitorizează activitatea contribuabililor</w:t>
      </w:r>
      <w:r w:rsidR="00526E16">
        <w:rPr>
          <w:rFonts w:ascii="Times New Roman" w:hAnsi="Times New Roman" w:cs="Times New Roman"/>
          <w:sz w:val="28"/>
          <w:szCs w:val="28"/>
        </w:rPr>
        <w:t>,</w:t>
      </w:r>
      <w:r w:rsidRPr="001D0846">
        <w:rPr>
          <w:rFonts w:ascii="Times New Roman" w:hAnsi="Times New Roman" w:cs="Times New Roman"/>
          <w:sz w:val="28"/>
          <w:szCs w:val="28"/>
        </w:rPr>
        <w:t xml:space="preserve"> în vederea conformării voluntare </w:t>
      </w:r>
      <w:r w:rsidR="000C61BF">
        <w:rPr>
          <w:rFonts w:ascii="Times New Roman" w:hAnsi="Times New Roman" w:cs="Times New Roman"/>
          <w:sz w:val="28"/>
          <w:szCs w:val="28"/>
        </w:rPr>
        <w:t xml:space="preserve">a </w:t>
      </w:r>
      <w:r w:rsidR="00526E16">
        <w:rPr>
          <w:rFonts w:ascii="Times New Roman" w:hAnsi="Times New Roman" w:cs="Times New Roman"/>
          <w:sz w:val="28"/>
          <w:szCs w:val="28"/>
        </w:rPr>
        <w:t>acestora</w:t>
      </w:r>
      <w:r w:rsidR="000C61BF">
        <w:rPr>
          <w:rFonts w:ascii="Times New Roman" w:hAnsi="Times New Roman" w:cs="Times New Roman"/>
          <w:sz w:val="28"/>
          <w:szCs w:val="28"/>
        </w:rPr>
        <w:t xml:space="preserve">. </w:t>
      </w:r>
      <w:r w:rsidRPr="001D0846">
        <w:rPr>
          <w:rFonts w:ascii="Times New Roman" w:hAnsi="Times New Roman" w:cs="Times New Roman"/>
          <w:sz w:val="28"/>
          <w:szCs w:val="28"/>
        </w:rPr>
        <w:t>Astfel, conform Ordinului SFS</w:t>
      </w:r>
      <w:r w:rsidRPr="001D0846">
        <w:rPr>
          <w:rStyle w:val="FootnoteReference"/>
          <w:rFonts w:ascii="Times New Roman" w:hAnsi="Times New Roman" w:cs="Times New Roman"/>
          <w:sz w:val="28"/>
          <w:szCs w:val="28"/>
        </w:rPr>
        <w:footnoteReference w:id="22"/>
      </w:r>
      <w:r w:rsidR="00526E16">
        <w:rPr>
          <w:rFonts w:ascii="Times New Roman" w:hAnsi="Times New Roman" w:cs="Times New Roman"/>
          <w:sz w:val="28"/>
          <w:szCs w:val="28"/>
        </w:rPr>
        <w:t>,</w:t>
      </w:r>
      <w:r w:rsidRPr="001D0846">
        <w:rPr>
          <w:rFonts w:ascii="Times New Roman" w:hAnsi="Times New Roman" w:cs="Times New Roman"/>
          <w:sz w:val="28"/>
          <w:szCs w:val="28"/>
        </w:rPr>
        <w:t xml:space="preserve"> a fost aprobată lista contribuabililor cu riscuri de neconformare fiscală, cu modificările ulterioare, în număr de 5700 agenți </w:t>
      </w:r>
      <w:r w:rsidRPr="001D0846">
        <w:rPr>
          <w:rFonts w:ascii="Times New Roman" w:hAnsi="Times New Roman" w:cs="Times New Roman"/>
          <w:sz w:val="28"/>
          <w:szCs w:val="28"/>
        </w:rPr>
        <w:lastRenderedPageBreak/>
        <w:t>economici, care</w:t>
      </w:r>
      <w:r w:rsidR="00526E16">
        <w:rPr>
          <w:rFonts w:ascii="Times New Roman" w:hAnsi="Times New Roman" w:cs="Times New Roman"/>
          <w:sz w:val="28"/>
          <w:szCs w:val="28"/>
        </w:rPr>
        <w:t>,</w:t>
      </w:r>
      <w:r w:rsidRPr="001D0846">
        <w:rPr>
          <w:rFonts w:ascii="Times New Roman" w:hAnsi="Times New Roman" w:cs="Times New Roman"/>
          <w:sz w:val="28"/>
          <w:szCs w:val="28"/>
        </w:rPr>
        <w:t xml:space="preserve"> începând cu 01.04.2017</w:t>
      </w:r>
      <w:r w:rsidR="00526E16">
        <w:rPr>
          <w:rFonts w:ascii="Times New Roman" w:hAnsi="Times New Roman" w:cs="Times New Roman"/>
          <w:sz w:val="28"/>
          <w:szCs w:val="28"/>
        </w:rPr>
        <w:t>,</w:t>
      </w:r>
      <w:r w:rsidRPr="001D0846">
        <w:rPr>
          <w:rFonts w:ascii="Times New Roman" w:hAnsi="Times New Roman" w:cs="Times New Roman"/>
          <w:sz w:val="28"/>
          <w:szCs w:val="28"/>
        </w:rPr>
        <w:t xml:space="preserve"> sunt monitorizați de către SFS prin prisma Programului de conformare voluntară. În </w:t>
      </w:r>
      <w:r w:rsidR="00526E16">
        <w:rPr>
          <w:rFonts w:ascii="Times New Roman" w:hAnsi="Times New Roman" w:cs="Times New Roman"/>
          <w:sz w:val="28"/>
          <w:szCs w:val="28"/>
        </w:rPr>
        <w:t>P</w:t>
      </w:r>
      <w:r w:rsidRPr="001D0846">
        <w:rPr>
          <w:rFonts w:ascii="Times New Roman" w:hAnsi="Times New Roman" w:cs="Times New Roman"/>
          <w:sz w:val="28"/>
          <w:szCs w:val="28"/>
        </w:rPr>
        <w:t xml:space="preserve">rogram au fost incluse următoarele activități din economia </w:t>
      </w:r>
      <w:r w:rsidR="00526E16">
        <w:rPr>
          <w:rFonts w:ascii="Times New Roman" w:hAnsi="Times New Roman" w:cs="Times New Roman"/>
          <w:sz w:val="28"/>
          <w:szCs w:val="28"/>
        </w:rPr>
        <w:t xml:space="preserve">Republicii </w:t>
      </w:r>
      <w:r w:rsidRPr="001D0846">
        <w:rPr>
          <w:rFonts w:ascii="Times New Roman" w:hAnsi="Times New Roman" w:cs="Times New Roman"/>
          <w:sz w:val="28"/>
          <w:szCs w:val="28"/>
        </w:rPr>
        <w:t>Moldov</w:t>
      </w:r>
      <w:r w:rsidR="00526E16">
        <w:rPr>
          <w:rFonts w:ascii="Times New Roman" w:hAnsi="Times New Roman" w:cs="Times New Roman"/>
          <w:sz w:val="28"/>
          <w:szCs w:val="28"/>
        </w:rPr>
        <w:t>a</w:t>
      </w:r>
      <w:r w:rsidRPr="001D0846">
        <w:rPr>
          <w:rFonts w:ascii="Times New Roman" w:hAnsi="Times New Roman" w:cs="Times New Roman"/>
          <w:sz w:val="28"/>
          <w:szCs w:val="28"/>
        </w:rPr>
        <w:t>: întreținerea și reparația autovehiculelor (500 agenți economici, sau 9%), agricultura</w:t>
      </w:r>
      <w:r w:rsidR="00B72B3E" w:rsidRPr="001D0846">
        <w:rPr>
          <w:rFonts w:ascii="Times New Roman" w:hAnsi="Times New Roman" w:cs="Times New Roman"/>
          <w:sz w:val="28"/>
          <w:szCs w:val="28"/>
        </w:rPr>
        <w:t xml:space="preserve"> (2068 agenți economici, sau 36</w:t>
      </w:r>
      <w:r w:rsidRPr="001D0846">
        <w:rPr>
          <w:rFonts w:ascii="Times New Roman" w:hAnsi="Times New Roman" w:cs="Times New Roman"/>
          <w:sz w:val="28"/>
          <w:szCs w:val="28"/>
        </w:rPr>
        <w:t>%), comerțul cu ridicata și amănuntul (2745 agenți economici, sau 48 %) și construcții (387 agenți economici, sau 7%).</w:t>
      </w:r>
    </w:p>
    <w:p w:rsidR="004726E0" w:rsidRPr="001D0846" w:rsidRDefault="004726E0" w:rsidP="006358AD">
      <w:pPr>
        <w:tabs>
          <w:tab w:val="left" w:pos="1080"/>
        </w:tabs>
        <w:spacing w:after="0" w:line="276" w:lineRule="auto"/>
        <w:contextualSpacing/>
        <w:jc w:val="both"/>
        <w:rPr>
          <w:rFonts w:ascii="Times New Roman" w:hAnsi="Times New Roman" w:cs="Times New Roman"/>
          <w:sz w:val="28"/>
          <w:szCs w:val="28"/>
        </w:rPr>
      </w:pPr>
      <w:r w:rsidRPr="001D0846">
        <w:rPr>
          <w:rFonts w:ascii="Times New Roman" w:hAnsi="Times New Roman" w:cs="Times New Roman"/>
          <w:sz w:val="28"/>
          <w:szCs w:val="28"/>
        </w:rPr>
        <w:t xml:space="preserve">           Analiza </w:t>
      </w:r>
      <w:r w:rsidR="000C61BF">
        <w:rPr>
          <w:rFonts w:ascii="Times New Roman" w:hAnsi="Times New Roman" w:cs="Times New Roman"/>
          <w:sz w:val="28"/>
          <w:szCs w:val="28"/>
        </w:rPr>
        <w:t>efectuată de audit asupra</w:t>
      </w:r>
      <w:r w:rsidRPr="001D0846">
        <w:rPr>
          <w:rFonts w:ascii="Times New Roman" w:hAnsi="Times New Roman" w:cs="Times New Roman"/>
          <w:sz w:val="28"/>
          <w:szCs w:val="28"/>
        </w:rPr>
        <w:t xml:space="preserve"> implementării Programului de conformare voluntară pentru anul 2017, precum și a altor rezultate atinse în domeniu</w:t>
      </w:r>
      <w:r w:rsidR="004B3C17">
        <w:rPr>
          <w:rFonts w:ascii="Times New Roman" w:hAnsi="Times New Roman" w:cs="Times New Roman"/>
          <w:sz w:val="28"/>
          <w:szCs w:val="28"/>
        </w:rPr>
        <w:t>,</w:t>
      </w:r>
      <w:r w:rsidRPr="001D0846">
        <w:rPr>
          <w:rFonts w:ascii="Times New Roman" w:hAnsi="Times New Roman" w:cs="Times New Roman"/>
          <w:sz w:val="28"/>
          <w:szCs w:val="28"/>
        </w:rPr>
        <w:t xml:space="preserve"> care reflectă situația per ansamblu a conformării voluntare a contribuabililor</w:t>
      </w:r>
      <w:r w:rsidR="004B3C17">
        <w:rPr>
          <w:rFonts w:ascii="Times New Roman" w:hAnsi="Times New Roman" w:cs="Times New Roman"/>
          <w:sz w:val="28"/>
          <w:szCs w:val="28"/>
        </w:rPr>
        <w:t>,</w:t>
      </w:r>
      <w:r w:rsidRPr="001D0846">
        <w:rPr>
          <w:rFonts w:ascii="Times New Roman" w:hAnsi="Times New Roman" w:cs="Times New Roman"/>
          <w:sz w:val="28"/>
          <w:szCs w:val="28"/>
        </w:rPr>
        <w:t xml:space="preserve"> relevă următoarele:</w:t>
      </w:r>
    </w:p>
    <w:p w:rsidR="002D4B8D" w:rsidRPr="001D0846" w:rsidRDefault="004726E0" w:rsidP="00224B9A">
      <w:pPr>
        <w:pStyle w:val="ListParagraph"/>
        <w:numPr>
          <w:ilvl w:val="0"/>
          <w:numId w:val="10"/>
        </w:numPr>
        <w:tabs>
          <w:tab w:val="left" w:pos="630"/>
        </w:tabs>
        <w:spacing w:after="0" w:line="276" w:lineRule="auto"/>
        <w:ind w:left="0" w:firstLine="270"/>
        <w:jc w:val="both"/>
        <w:rPr>
          <w:rFonts w:ascii="Times New Roman" w:hAnsi="Times New Roman" w:cs="Times New Roman"/>
          <w:sz w:val="28"/>
          <w:szCs w:val="28"/>
        </w:rPr>
      </w:pPr>
      <w:r w:rsidRPr="001D0846">
        <w:rPr>
          <w:rFonts w:ascii="Times New Roman" w:hAnsi="Times New Roman" w:cs="Times New Roman"/>
          <w:sz w:val="28"/>
          <w:szCs w:val="28"/>
        </w:rPr>
        <w:t>Ponderea contribuabililor monitorizați prin prisma Programului de conformare voluntară (5700 contribuabili) în totalul contribuabililor înregistrați în R</w:t>
      </w:r>
      <w:r w:rsidR="000C61BF">
        <w:rPr>
          <w:rFonts w:ascii="Times New Roman" w:hAnsi="Times New Roman" w:cs="Times New Roman"/>
          <w:sz w:val="28"/>
          <w:szCs w:val="28"/>
        </w:rPr>
        <w:t>FS</w:t>
      </w:r>
      <w:r w:rsidRPr="001D0846">
        <w:rPr>
          <w:rFonts w:ascii="Times New Roman" w:hAnsi="Times New Roman" w:cs="Times New Roman"/>
          <w:sz w:val="28"/>
          <w:szCs w:val="28"/>
        </w:rPr>
        <w:t xml:space="preserve"> la situația </w:t>
      </w:r>
      <w:r w:rsidR="004B3C17">
        <w:rPr>
          <w:rFonts w:ascii="Times New Roman" w:hAnsi="Times New Roman" w:cs="Times New Roman"/>
          <w:sz w:val="28"/>
          <w:szCs w:val="28"/>
        </w:rPr>
        <w:t xml:space="preserve">din </w:t>
      </w:r>
      <w:r w:rsidRPr="001D0846">
        <w:rPr>
          <w:rFonts w:ascii="Times New Roman" w:hAnsi="Times New Roman" w:cs="Times New Roman"/>
          <w:sz w:val="28"/>
          <w:szCs w:val="28"/>
        </w:rPr>
        <w:t>31.12.2017 (351110 c</w:t>
      </w:r>
      <w:r w:rsidR="00E8009E" w:rsidRPr="001D0846">
        <w:rPr>
          <w:rFonts w:ascii="Times New Roman" w:hAnsi="Times New Roman" w:cs="Times New Roman"/>
          <w:sz w:val="28"/>
          <w:szCs w:val="28"/>
        </w:rPr>
        <w:t>ontribuabili) constituie 1,6</w:t>
      </w:r>
      <w:r w:rsidR="002D4B8D" w:rsidRPr="001D0846">
        <w:rPr>
          <w:rFonts w:ascii="Times New Roman" w:hAnsi="Times New Roman" w:cs="Times New Roman"/>
          <w:sz w:val="28"/>
          <w:szCs w:val="28"/>
        </w:rPr>
        <w:t xml:space="preserve"> %;</w:t>
      </w:r>
    </w:p>
    <w:p w:rsidR="004726E0" w:rsidRPr="001D0846" w:rsidRDefault="004726E0" w:rsidP="00224B9A">
      <w:pPr>
        <w:pStyle w:val="ListParagraph"/>
        <w:numPr>
          <w:ilvl w:val="0"/>
          <w:numId w:val="10"/>
        </w:numPr>
        <w:tabs>
          <w:tab w:val="left" w:pos="630"/>
        </w:tabs>
        <w:spacing w:after="0" w:line="276" w:lineRule="auto"/>
        <w:ind w:left="0" w:firstLine="270"/>
        <w:jc w:val="both"/>
        <w:rPr>
          <w:rFonts w:ascii="Times New Roman" w:hAnsi="Times New Roman" w:cs="Times New Roman"/>
          <w:sz w:val="28"/>
          <w:szCs w:val="28"/>
        </w:rPr>
      </w:pPr>
      <w:r w:rsidRPr="005F66C3">
        <w:rPr>
          <w:rFonts w:ascii="Times New Roman" w:hAnsi="Times New Roman" w:cs="Times New Roman"/>
          <w:sz w:val="28"/>
          <w:szCs w:val="28"/>
        </w:rPr>
        <w:t>Modul de raportare de către SFS a realizării programului nu a cuprins o analiză</w:t>
      </w:r>
      <w:r w:rsidR="00967DB7" w:rsidRPr="005F66C3">
        <w:rPr>
          <w:rFonts w:ascii="Times New Roman" w:hAnsi="Times New Roman" w:cs="Times New Roman"/>
          <w:sz w:val="28"/>
          <w:szCs w:val="28"/>
        </w:rPr>
        <w:t xml:space="preserve"> exhaustivă</w:t>
      </w:r>
      <w:r w:rsidRPr="005F66C3">
        <w:rPr>
          <w:rFonts w:ascii="Times New Roman" w:hAnsi="Times New Roman" w:cs="Times New Roman"/>
          <w:sz w:val="28"/>
          <w:szCs w:val="28"/>
        </w:rPr>
        <w:t xml:space="preserve"> de evaluare a</w:t>
      </w:r>
      <w:r w:rsidR="00967DB7" w:rsidRPr="001D0846">
        <w:rPr>
          <w:rFonts w:ascii="Times New Roman" w:hAnsi="Times New Roman" w:cs="Times New Roman"/>
          <w:sz w:val="28"/>
          <w:szCs w:val="28"/>
        </w:rPr>
        <w:t xml:space="preserve">nivelului de conformare voluntară a </w:t>
      </w:r>
      <w:r w:rsidRPr="001D0846">
        <w:rPr>
          <w:rFonts w:ascii="Times New Roman" w:hAnsi="Times New Roman" w:cs="Times New Roman"/>
          <w:sz w:val="28"/>
          <w:szCs w:val="28"/>
        </w:rPr>
        <w:t>contribuabililor</w:t>
      </w:r>
      <w:r w:rsidR="004B3C17">
        <w:rPr>
          <w:rFonts w:ascii="Times New Roman" w:hAnsi="Times New Roman" w:cs="Times New Roman"/>
          <w:sz w:val="28"/>
          <w:szCs w:val="28"/>
        </w:rPr>
        <w:t>,</w:t>
      </w:r>
      <w:r w:rsidR="00967DB7" w:rsidRPr="001D0846">
        <w:rPr>
          <w:rFonts w:ascii="Times New Roman" w:hAnsi="Times New Roman" w:cs="Times New Roman"/>
          <w:sz w:val="28"/>
          <w:szCs w:val="28"/>
        </w:rPr>
        <w:t xml:space="preserve">precum </w:t>
      </w:r>
      <w:r w:rsidRPr="001D0846">
        <w:rPr>
          <w:rFonts w:ascii="Times New Roman" w:hAnsi="Times New Roman" w:cs="Times New Roman"/>
          <w:sz w:val="28"/>
          <w:szCs w:val="28"/>
        </w:rPr>
        <w:t xml:space="preserve">și a </w:t>
      </w:r>
      <w:r w:rsidR="00967DB7" w:rsidRPr="001D0846">
        <w:rPr>
          <w:rFonts w:ascii="Times New Roman" w:hAnsi="Times New Roman" w:cs="Times New Roman"/>
          <w:sz w:val="28"/>
          <w:szCs w:val="28"/>
        </w:rPr>
        <w:t>măsurilor de conformare forțată;</w:t>
      </w:r>
    </w:p>
    <w:p w:rsidR="00E86E19" w:rsidRDefault="004726E0" w:rsidP="00E86E19">
      <w:pPr>
        <w:pStyle w:val="ListParagraph"/>
        <w:numPr>
          <w:ilvl w:val="0"/>
          <w:numId w:val="10"/>
        </w:numPr>
        <w:tabs>
          <w:tab w:val="left" w:pos="630"/>
        </w:tabs>
        <w:spacing w:after="0" w:line="276" w:lineRule="auto"/>
        <w:ind w:left="0" w:firstLine="270"/>
        <w:jc w:val="both"/>
        <w:rPr>
          <w:rFonts w:ascii="Times New Roman" w:hAnsi="Times New Roman" w:cs="Times New Roman"/>
          <w:i/>
          <w:sz w:val="28"/>
          <w:szCs w:val="28"/>
        </w:rPr>
      </w:pPr>
      <w:r w:rsidRPr="001D0846">
        <w:rPr>
          <w:rFonts w:ascii="Times New Roman" w:hAnsi="Times New Roman" w:cs="Times New Roman"/>
          <w:sz w:val="28"/>
          <w:szCs w:val="28"/>
        </w:rPr>
        <w:t xml:space="preserve">Obligațiile fiscale achitate la BPN de către contribuabilii monitorizați în </w:t>
      </w:r>
      <w:r w:rsidR="004B3C17">
        <w:rPr>
          <w:rFonts w:ascii="Times New Roman" w:hAnsi="Times New Roman" w:cs="Times New Roman"/>
          <w:sz w:val="28"/>
          <w:szCs w:val="28"/>
        </w:rPr>
        <w:t xml:space="preserve">anul </w:t>
      </w:r>
      <w:r w:rsidRPr="001D0846">
        <w:rPr>
          <w:rFonts w:ascii="Times New Roman" w:hAnsi="Times New Roman" w:cs="Times New Roman"/>
          <w:sz w:val="28"/>
          <w:szCs w:val="28"/>
        </w:rPr>
        <w:t xml:space="preserve"> 2017</w:t>
      </w:r>
      <w:r w:rsidR="00AB0FA6" w:rsidRPr="001D0846">
        <w:rPr>
          <w:rFonts w:ascii="Times New Roman" w:hAnsi="Times New Roman" w:cs="Times New Roman"/>
          <w:sz w:val="28"/>
          <w:szCs w:val="28"/>
        </w:rPr>
        <w:t>, conform datelor SFS</w:t>
      </w:r>
      <w:r w:rsidR="004B3C17">
        <w:rPr>
          <w:rFonts w:ascii="Times New Roman" w:hAnsi="Times New Roman" w:cs="Times New Roman"/>
          <w:sz w:val="28"/>
          <w:szCs w:val="28"/>
        </w:rPr>
        <w:t>,</w:t>
      </w:r>
      <w:r w:rsidRPr="001D0846">
        <w:rPr>
          <w:rFonts w:ascii="Times New Roman" w:hAnsi="Times New Roman" w:cs="Times New Roman"/>
          <w:sz w:val="28"/>
          <w:szCs w:val="28"/>
        </w:rPr>
        <w:t xml:space="preserve"> constituie 2050 mil.lei, </w:t>
      </w:r>
      <w:r w:rsidRPr="000C61BF">
        <w:rPr>
          <w:rFonts w:ascii="Times New Roman" w:hAnsi="Times New Roman" w:cs="Times New Roman"/>
          <w:sz w:val="28"/>
          <w:szCs w:val="28"/>
        </w:rPr>
        <w:t>sau cu 460,8 mil.lei (29%) mai mult comparativ cu perioada similară a anului 2016</w:t>
      </w:r>
      <w:r w:rsidR="004B3C17">
        <w:rPr>
          <w:rFonts w:ascii="Times New Roman" w:hAnsi="Times New Roman" w:cs="Times New Roman"/>
          <w:sz w:val="28"/>
          <w:szCs w:val="28"/>
        </w:rPr>
        <w:t>;</w:t>
      </w:r>
    </w:p>
    <w:p w:rsidR="005772B2" w:rsidRDefault="00E86E19" w:rsidP="00E86E19">
      <w:pPr>
        <w:pStyle w:val="ListParagraph"/>
        <w:numPr>
          <w:ilvl w:val="0"/>
          <w:numId w:val="10"/>
        </w:numPr>
        <w:tabs>
          <w:tab w:val="left" w:pos="630"/>
        </w:tabs>
        <w:spacing w:after="0" w:line="276" w:lineRule="auto"/>
        <w:ind w:left="0" w:firstLine="270"/>
        <w:jc w:val="both"/>
        <w:rPr>
          <w:rFonts w:ascii="Times New Roman" w:hAnsi="Times New Roman" w:cs="Times New Roman"/>
          <w:i/>
          <w:sz w:val="28"/>
          <w:szCs w:val="28"/>
        </w:rPr>
      </w:pPr>
      <w:r>
        <w:rPr>
          <w:rFonts w:ascii="Times New Roman" w:hAnsi="Times New Roman" w:cs="Times New Roman"/>
          <w:sz w:val="28"/>
          <w:szCs w:val="28"/>
        </w:rPr>
        <w:t>O</w:t>
      </w:r>
      <w:r w:rsidR="004726E0" w:rsidRPr="00E86E19">
        <w:rPr>
          <w:rFonts w:ascii="Times New Roman" w:hAnsi="Times New Roman" w:cs="Times New Roman"/>
          <w:sz w:val="28"/>
          <w:szCs w:val="28"/>
        </w:rPr>
        <w:t>bligațiile fiscale calculate la BPN de către contribuabilii monitorizați în anul 2017</w:t>
      </w:r>
      <w:r w:rsidR="004B3C17">
        <w:rPr>
          <w:rFonts w:ascii="Times New Roman" w:hAnsi="Times New Roman" w:cs="Times New Roman"/>
          <w:sz w:val="28"/>
          <w:szCs w:val="28"/>
        </w:rPr>
        <w:t>,</w:t>
      </w:r>
      <w:r w:rsidR="008B295F" w:rsidRPr="00E86E19">
        <w:rPr>
          <w:rFonts w:ascii="Times New Roman" w:hAnsi="Times New Roman" w:cs="Times New Roman"/>
          <w:sz w:val="28"/>
          <w:szCs w:val="28"/>
        </w:rPr>
        <w:t xml:space="preserve"> conform datelor SFS</w:t>
      </w:r>
      <w:r w:rsidR="004B3C17">
        <w:rPr>
          <w:rFonts w:ascii="Times New Roman" w:hAnsi="Times New Roman" w:cs="Times New Roman"/>
          <w:sz w:val="28"/>
          <w:szCs w:val="28"/>
        </w:rPr>
        <w:t>,</w:t>
      </w:r>
      <w:r w:rsidR="004726E0" w:rsidRPr="00E86E19">
        <w:rPr>
          <w:rFonts w:ascii="Times New Roman" w:hAnsi="Times New Roman" w:cs="Times New Roman"/>
          <w:sz w:val="28"/>
          <w:szCs w:val="28"/>
        </w:rPr>
        <w:t xml:space="preserve"> constituie 1932,6 mil.lei, sau cu 274</w:t>
      </w:r>
      <w:r w:rsidR="004B3C17">
        <w:rPr>
          <w:rFonts w:ascii="Times New Roman" w:hAnsi="Times New Roman" w:cs="Times New Roman"/>
          <w:sz w:val="28"/>
          <w:szCs w:val="28"/>
        </w:rPr>
        <w:t>,0</w:t>
      </w:r>
      <w:r w:rsidR="004726E0" w:rsidRPr="00E86E19">
        <w:rPr>
          <w:rFonts w:ascii="Times New Roman" w:hAnsi="Times New Roman" w:cs="Times New Roman"/>
          <w:sz w:val="28"/>
          <w:szCs w:val="28"/>
        </w:rPr>
        <w:t xml:space="preserve"> mil.lei mai mult (16,5%) comparativ cu anul 2016. </w:t>
      </w:r>
      <w:r w:rsidRPr="000C61BF">
        <w:rPr>
          <w:rFonts w:ascii="Times New Roman" w:hAnsi="Times New Roman" w:cs="Times New Roman"/>
          <w:i/>
          <w:sz w:val="28"/>
          <w:szCs w:val="28"/>
        </w:rPr>
        <w:t>Informația privind obligațiile fiscale</w:t>
      </w:r>
      <w:r>
        <w:rPr>
          <w:rFonts w:ascii="Times New Roman" w:hAnsi="Times New Roman" w:cs="Times New Roman"/>
          <w:i/>
          <w:sz w:val="28"/>
          <w:szCs w:val="28"/>
        </w:rPr>
        <w:t xml:space="preserve"> calculate și</w:t>
      </w:r>
      <w:r w:rsidRPr="000C61BF">
        <w:rPr>
          <w:rFonts w:ascii="Times New Roman" w:hAnsi="Times New Roman" w:cs="Times New Roman"/>
          <w:i/>
          <w:sz w:val="28"/>
          <w:szCs w:val="28"/>
        </w:rPr>
        <w:t xml:space="preserve"> achitate la BPN în </w:t>
      </w:r>
      <w:r>
        <w:rPr>
          <w:rFonts w:ascii="Times New Roman" w:hAnsi="Times New Roman" w:cs="Times New Roman"/>
          <w:i/>
          <w:sz w:val="28"/>
          <w:szCs w:val="28"/>
        </w:rPr>
        <w:t xml:space="preserve">perioada </w:t>
      </w:r>
      <w:r w:rsidR="004B3C17">
        <w:rPr>
          <w:rFonts w:ascii="Times New Roman" w:hAnsi="Times New Roman" w:cs="Times New Roman"/>
          <w:i/>
          <w:sz w:val="28"/>
          <w:szCs w:val="28"/>
        </w:rPr>
        <w:t xml:space="preserve">anilor </w:t>
      </w:r>
      <w:r>
        <w:rPr>
          <w:rFonts w:ascii="Times New Roman" w:hAnsi="Times New Roman" w:cs="Times New Roman"/>
          <w:i/>
          <w:sz w:val="28"/>
          <w:szCs w:val="28"/>
        </w:rPr>
        <w:t>2016-2017 de către contribuabilii monitorizați prin prisma Programului de conformare voluntară</w:t>
      </w:r>
      <w:r w:rsidR="004B3C17">
        <w:rPr>
          <w:rFonts w:ascii="Times New Roman" w:hAnsi="Times New Roman" w:cs="Times New Roman"/>
          <w:i/>
          <w:sz w:val="28"/>
          <w:szCs w:val="28"/>
        </w:rPr>
        <w:t>este</w:t>
      </w:r>
      <w:r w:rsidRPr="000C61BF">
        <w:rPr>
          <w:rFonts w:ascii="Times New Roman" w:hAnsi="Times New Roman" w:cs="Times New Roman"/>
          <w:i/>
          <w:sz w:val="28"/>
          <w:szCs w:val="28"/>
        </w:rPr>
        <w:t xml:space="preserve"> prez</w:t>
      </w:r>
      <w:r w:rsidR="004B3C17">
        <w:rPr>
          <w:rFonts w:ascii="Times New Roman" w:hAnsi="Times New Roman" w:cs="Times New Roman"/>
          <w:i/>
          <w:sz w:val="28"/>
          <w:szCs w:val="28"/>
        </w:rPr>
        <w:t>enta</w:t>
      </w:r>
      <w:r w:rsidRPr="000C61BF">
        <w:rPr>
          <w:rFonts w:ascii="Times New Roman" w:hAnsi="Times New Roman" w:cs="Times New Roman"/>
          <w:i/>
          <w:sz w:val="28"/>
          <w:szCs w:val="28"/>
        </w:rPr>
        <w:t>tă în Tabelul nr.21 din Anexa nr.3 la Raport</w:t>
      </w:r>
      <w:r w:rsidR="004B3C17">
        <w:rPr>
          <w:rFonts w:ascii="Times New Roman" w:hAnsi="Times New Roman" w:cs="Times New Roman"/>
          <w:i/>
          <w:sz w:val="28"/>
          <w:szCs w:val="28"/>
        </w:rPr>
        <w:t>ul</w:t>
      </w:r>
      <w:r w:rsidRPr="000C61BF">
        <w:rPr>
          <w:rFonts w:ascii="Times New Roman" w:hAnsi="Times New Roman" w:cs="Times New Roman"/>
          <w:i/>
          <w:sz w:val="28"/>
          <w:szCs w:val="28"/>
        </w:rPr>
        <w:t xml:space="preserve"> de audit.</w:t>
      </w:r>
    </w:p>
    <w:p w:rsidR="004726E0" w:rsidRPr="001D0846" w:rsidRDefault="004726E0" w:rsidP="006358AD">
      <w:pPr>
        <w:tabs>
          <w:tab w:val="left" w:pos="1080"/>
        </w:tabs>
        <w:spacing w:after="0" w:line="276" w:lineRule="auto"/>
        <w:contextualSpacing/>
        <w:jc w:val="both"/>
        <w:rPr>
          <w:rFonts w:ascii="Times New Roman" w:hAnsi="Times New Roman" w:cs="Times New Roman"/>
          <w:sz w:val="28"/>
          <w:szCs w:val="28"/>
        </w:rPr>
      </w:pPr>
      <w:r w:rsidRPr="001D0846">
        <w:rPr>
          <w:rFonts w:ascii="Times New Roman" w:hAnsi="Times New Roman" w:cs="Times New Roman"/>
          <w:sz w:val="28"/>
          <w:szCs w:val="28"/>
        </w:rPr>
        <w:t xml:space="preserve">         Deși SFS a atins unele rezultate în implementarea Programului de conformare voluntară, probele colectate de audit relevă</w:t>
      </w:r>
      <w:r w:rsidR="000C7A31" w:rsidRPr="001D0846">
        <w:rPr>
          <w:rFonts w:ascii="Times New Roman" w:hAnsi="Times New Roman" w:cs="Times New Roman"/>
          <w:sz w:val="28"/>
          <w:szCs w:val="28"/>
        </w:rPr>
        <w:t>,</w:t>
      </w:r>
      <w:r w:rsidRPr="001D0846">
        <w:rPr>
          <w:rFonts w:ascii="Times New Roman" w:hAnsi="Times New Roman" w:cs="Times New Roman"/>
          <w:sz w:val="28"/>
          <w:szCs w:val="28"/>
        </w:rPr>
        <w:t xml:space="preserve"> per ansamblu</w:t>
      </w:r>
      <w:r w:rsidR="000C7A31" w:rsidRPr="001D0846">
        <w:rPr>
          <w:rFonts w:ascii="Times New Roman" w:hAnsi="Times New Roman" w:cs="Times New Roman"/>
          <w:sz w:val="28"/>
          <w:szCs w:val="28"/>
        </w:rPr>
        <w:t>,</w:t>
      </w:r>
      <w:r w:rsidRPr="001D0846">
        <w:rPr>
          <w:rFonts w:ascii="Times New Roman" w:hAnsi="Times New Roman" w:cs="Times New Roman"/>
          <w:sz w:val="28"/>
          <w:szCs w:val="28"/>
        </w:rPr>
        <w:t xml:space="preserve"> un nivel redus de conformare voluntară a contribuabililor la calcularea deplină, achitarea la timp și integral</w:t>
      </w:r>
      <w:r w:rsidR="004B3C17">
        <w:rPr>
          <w:rFonts w:ascii="Times New Roman" w:hAnsi="Times New Roman" w:cs="Times New Roman"/>
          <w:sz w:val="28"/>
          <w:szCs w:val="28"/>
        </w:rPr>
        <w:t>ă</w:t>
      </w:r>
      <w:r w:rsidRPr="001D0846">
        <w:rPr>
          <w:rFonts w:ascii="Times New Roman" w:hAnsi="Times New Roman" w:cs="Times New Roman"/>
          <w:sz w:val="28"/>
          <w:szCs w:val="28"/>
        </w:rPr>
        <w:t xml:space="preserve"> la BPN a impozitelor și taxelor, </w:t>
      </w:r>
      <w:r w:rsidR="004B3C17">
        <w:rPr>
          <w:rFonts w:ascii="Times New Roman" w:hAnsi="Times New Roman" w:cs="Times New Roman"/>
          <w:sz w:val="28"/>
          <w:szCs w:val="28"/>
        </w:rPr>
        <w:t>exprimat</w:t>
      </w:r>
      <w:r w:rsidRPr="001D0846">
        <w:rPr>
          <w:rFonts w:ascii="Times New Roman" w:hAnsi="Times New Roman" w:cs="Times New Roman"/>
          <w:sz w:val="28"/>
          <w:szCs w:val="28"/>
        </w:rPr>
        <w:t xml:space="preserve"> prin</w:t>
      </w:r>
      <w:r w:rsidR="004B3C17">
        <w:rPr>
          <w:rFonts w:ascii="Times New Roman" w:hAnsi="Times New Roman" w:cs="Times New Roman"/>
          <w:sz w:val="28"/>
          <w:szCs w:val="28"/>
        </w:rPr>
        <w:t xml:space="preserve"> următoarele</w:t>
      </w:r>
      <w:r w:rsidRPr="001D0846">
        <w:rPr>
          <w:rFonts w:ascii="Times New Roman" w:hAnsi="Times New Roman" w:cs="Times New Roman"/>
          <w:sz w:val="28"/>
          <w:szCs w:val="28"/>
        </w:rPr>
        <w:t>:</w:t>
      </w:r>
    </w:p>
    <w:p w:rsidR="005F66C3" w:rsidRDefault="005F66C3" w:rsidP="005F66C3">
      <w:pPr>
        <w:tabs>
          <w:tab w:val="left" w:pos="630"/>
          <w:tab w:val="left" w:pos="993"/>
        </w:tabs>
        <w:spacing w:after="0" w:line="276" w:lineRule="auto"/>
        <w:jc w:val="both"/>
        <w:rPr>
          <w:rFonts w:ascii="Times New Roman" w:hAnsi="Times New Roman" w:cs="Times New Roman"/>
          <w:sz w:val="28"/>
          <w:szCs w:val="28"/>
        </w:rPr>
      </w:pPr>
      <w:r>
        <w:rPr>
          <w:rFonts w:ascii="Times New Roman" w:hAnsi="Times New Roman" w:cs="Times New Roman"/>
          <w:sz w:val="28"/>
          <w:szCs w:val="28"/>
        </w:rPr>
        <w:tab/>
        <w:t xml:space="preserve">(i) </w:t>
      </w:r>
      <w:r w:rsidR="004726E0" w:rsidRPr="005F66C3">
        <w:rPr>
          <w:rFonts w:ascii="Times New Roman" w:hAnsi="Times New Roman" w:cs="Times New Roman"/>
          <w:sz w:val="28"/>
          <w:szCs w:val="28"/>
        </w:rPr>
        <w:t>Gradul redus de prezentare de către contribuabili a declarațiilor fiscale (VEN12, IVAO15, UNIF14). Astfel, conform datelor prezentate de SFS, în anul 2016</w:t>
      </w:r>
      <w:r w:rsidR="004B3C17" w:rsidRPr="005F66C3">
        <w:rPr>
          <w:rFonts w:ascii="Times New Roman" w:hAnsi="Times New Roman" w:cs="Times New Roman"/>
          <w:sz w:val="28"/>
          <w:szCs w:val="28"/>
        </w:rPr>
        <w:t>,</w:t>
      </w:r>
      <w:r w:rsidR="004726E0" w:rsidRPr="005F66C3">
        <w:rPr>
          <w:rFonts w:ascii="Times New Roman" w:hAnsi="Times New Roman" w:cs="Times New Roman"/>
          <w:sz w:val="28"/>
          <w:szCs w:val="28"/>
        </w:rPr>
        <w:t xml:space="preserve"> din numărul total de 121929 de contribuabili subiecți ai impunerii cu impozit</w:t>
      </w:r>
      <w:r w:rsidR="00B172B4" w:rsidRPr="005F66C3">
        <w:rPr>
          <w:rFonts w:ascii="Times New Roman" w:hAnsi="Times New Roman" w:cs="Times New Roman"/>
          <w:sz w:val="28"/>
          <w:szCs w:val="28"/>
        </w:rPr>
        <w:t xml:space="preserve">ul </w:t>
      </w:r>
      <w:r w:rsidR="004726E0" w:rsidRPr="005F66C3">
        <w:rPr>
          <w:rFonts w:ascii="Times New Roman" w:hAnsi="Times New Roman" w:cs="Times New Roman"/>
          <w:sz w:val="28"/>
          <w:szCs w:val="28"/>
        </w:rPr>
        <w:t xml:space="preserve"> pe venit</w:t>
      </w:r>
      <w:r w:rsidR="00BA0862" w:rsidRPr="005F66C3">
        <w:rPr>
          <w:rFonts w:ascii="Times New Roman" w:hAnsi="Times New Roman" w:cs="Times New Roman"/>
          <w:sz w:val="28"/>
          <w:szCs w:val="28"/>
        </w:rPr>
        <w:t>,</w:t>
      </w:r>
      <w:r w:rsidR="004726E0" w:rsidRPr="005F66C3">
        <w:rPr>
          <w:rFonts w:ascii="Times New Roman" w:hAnsi="Times New Roman" w:cs="Times New Roman"/>
          <w:sz w:val="28"/>
          <w:szCs w:val="28"/>
        </w:rPr>
        <w:t xml:space="preserve"> conform datelor R</w:t>
      </w:r>
      <w:r w:rsidR="00E86E19" w:rsidRPr="005F66C3">
        <w:rPr>
          <w:rFonts w:ascii="Times New Roman" w:hAnsi="Times New Roman" w:cs="Times New Roman"/>
          <w:sz w:val="28"/>
          <w:szCs w:val="28"/>
        </w:rPr>
        <w:t>FS</w:t>
      </w:r>
      <w:r w:rsidR="004726E0" w:rsidRPr="005F66C3">
        <w:rPr>
          <w:rFonts w:ascii="Times New Roman" w:hAnsi="Times New Roman" w:cs="Times New Roman"/>
          <w:sz w:val="28"/>
          <w:szCs w:val="28"/>
        </w:rPr>
        <w:t>, au prezentat declarația VEN12 doar 41842 contribuabili</w:t>
      </w:r>
      <w:r w:rsidR="00E86E19" w:rsidRPr="005F66C3">
        <w:rPr>
          <w:rFonts w:ascii="Times New Roman" w:hAnsi="Times New Roman" w:cs="Times New Roman"/>
          <w:sz w:val="28"/>
          <w:szCs w:val="28"/>
        </w:rPr>
        <w:t>, sau</w:t>
      </w:r>
      <w:r w:rsidR="004726E0" w:rsidRPr="005F66C3">
        <w:rPr>
          <w:rFonts w:ascii="Times New Roman" w:hAnsi="Times New Roman" w:cs="Times New Roman"/>
          <w:sz w:val="28"/>
          <w:szCs w:val="28"/>
        </w:rPr>
        <w:t xml:space="preserve"> 34,2 %, iar declarația IVAO15 – 34005 contribuabili, sau 27,9 %. Totodată</w:t>
      </w:r>
      <w:r w:rsidR="00BA0862" w:rsidRPr="005F66C3">
        <w:rPr>
          <w:rFonts w:ascii="Times New Roman" w:hAnsi="Times New Roman" w:cs="Times New Roman"/>
          <w:sz w:val="28"/>
          <w:szCs w:val="28"/>
        </w:rPr>
        <w:t>,</w:t>
      </w:r>
      <w:r w:rsidR="004726E0" w:rsidRPr="005F66C3">
        <w:rPr>
          <w:rFonts w:ascii="Times New Roman" w:hAnsi="Times New Roman" w:cs="Times New Roman"/>
          <w:sz w:val="28"/>
          <w:szCs w:val="28"/>
        </w:rPr>
        <w:t xml:space="preserve"> din numărul total de întreprinderi individuale (49423 contribuabili)</w:t>
      </w:r>
      <w:r w:rsidR="00BA0862" w:rsidRPr="005F66C3">
        <w:rPr>
          <w:rFonts w:ascii="Times New Roman" w:hAnsi="Times New Roman" w:cs="Times New Roman"/>
          <w:sz w:val="28"/>
          <w:szCs w:val="28"/>
        </w:rPr>
        <w:t>,</w:t>
      </w:r>
      <w:r w:rsidR="004726E0" w:rsidRPr="005F66C3">
        <w:rPr>
          <w:rFonts w:ascii="Times New Roman" w:hAnsi="Times New Roman" w:cs="Times New Roman"/>
          <w:sz w:val="28"/>
          <w:szCs w:val="28"/>
        </w:rPr>
        <w:t xml:space="preserve"> au prezen</w:t>
      </w:r>
      <w:r w:rsidR="00E51A8A">
        <w:rPr>
          <w:rFonts w:ascii="Times New Roman" w:hAnsi="Times New Roman" w:cs="Times New Roman"/>
          <w:sz w:val="28"/>
          <w:szCs w:val="28"/>
        </w:rPr>
        <w:t>tat declarația UNIF14 doar 19088</w:t>
      </w:r>
      <w:bookmarkStart w:id="15" w:name="_GoBack"/>
      <w:bookmarkEnd w:id="15"/>
      <w:r w:rsidR="004726E0" w:rsidRPr="005F66C3">
        <w:rPr>
          <w:rFonts w:ascii="Times New Roman" w:hAnsi="Times New Roman" w:cs="Times New Roman"/>
          <w:sz w:val="28"/>
          <w:szCs w:val="28"/>
        </w:rPr>
        <w:t xml:space="preserve"> contribuabili, sau 38,7 %. Analogic, în </w:t>
      </w:r>
      <w:r w:rsidR="00BA0862" w:rsidRPr="005F66C3">
        <w:rPr>
          <w:rFonts w:ascii="Times New Roman" w:hAnsi="Times New Roman" w:cs="Times New Roman"/>
          <w:sz w:val="28"/>
          <w:szCs w:val="28"/>
        </w:rPr>
        <w:t xml:space="preserve">anul </w:t>
      </w:r>
      <w:r w:rsidR="004726E0" w:rsidRPr="005F66C3">
        <w:rPr>
          <w:rFonts w:ascii="Times New Roman" w:hAnsi="Times New Roman" w:cs="Times New Roman"/>
          <w:sz w:val="28"/>
          <w:szCs w:val="28"/>
        </w:rPr>
        <w:t xml:space="preserve"> 2015, gradul de prezentare a declarațiilor fiscale VEN12 și </w:t>
      </w:r>
      <w:r w:rsidR="004726E0" w:rsidRPr="005F66C3">
        <w:rPr>
          <w:rFonts w:ascii="Times New Roman" w:hAnsi="Times New Roman" w:cs="Times New Roman"/>
          <w:sz w:val="28"/>
          <w:szCs w:val="28"/>
        </w:rPr>
        <w:lastRenderedPageBreak/>
        <w:t>IVAO15 a constituit 32,6 % și</w:t>
      </w:r>
      <w:r w:rsidR="00BA0862" w:rsidRPr="005F66C3">
        <w:rPr>
          <w:rFonts w:ascii="Times New Roman" w:hAnsi="Times New Roman" w:cs="Times New Roman"/>
          <w:sz w:val="28"/>
          <w:szCs w:val="28"/>
        </w:rPr>
        <w:t>,</w:t>
      </w:r>
      <w:r w:rsidR="004726E0" w:rsidRPr="005F66C3">
        <w:rPr>
          <w:rFonts w:ascii="Times New Roman" w:hAnsi="Times New Roman" w:cs="Times New Roman"/>
          <w:sz w:val="28"/>
          <w:szCs w:val="28"/>
        </w:rPr>
        <w:t xml:space="preserve"> respectiv</w:t>
      </w:r>
      <w:r w:rsidR="00BA0862" w:rsidRPr="005F66C3">
        <w:rPr>
          <w:rFonts w:ascii="Times New Roman" w:hAnsi="Times New Roman" w:cs="Times New Roman"/>
          <w:sz w:val="28"/>
          <w:szCs w:val="28"/>
        </w:rPr>
        <w:t>,</w:t>
      </w:r>
      <w:r w:rsidR="004726E0" w:rsidRPr="005F66C3">
        <w:rPr>
          <w:rFonts w:ascii="Times New Roman" w:hAnsi="Times New Roman" w:cs="Times New Roman"/>
          <w:sz w:val="28"/>
          <w:szCs w:val="28"/>
        </w:rPr>
        <w:t xml:space="preserve"> 2</w:t>
      </w:r>
      <w:r w:rsidR="00E86E19" w:rsidRPr="005F66C3">
        <w:rPr>
          <w:rFonts w:ascii="Times New Roman" w:hAnsi="Times New Roman" w:cs="Times New Roman"/>
          <w:sz w:val="28"/>
          <w:szCs w:val="28"/>
        </w:rPr>
        <w:t>8,4 %, iar a declarațiilor UNIF</w:t>
      </w:r>
      <w:r w:rsidR="004726E0" w:rsidRPr="005F66C3">
        <w:rPr>
          <w:rFonts w:ascii="Times New Roman" w:hAnsi="Times New Roman" w:cs="Times New Roman"/>
          <w:sz w:val="28"/>
          <w:szCs w:val="28"/>
        </w:rPr>
        <w:t>14 de către întreprinderile individuale – 37,8 %;</w:t>
      </w:r>
    </w:p>
    <w:p w:rsidR="004726E0" w:rsidRPr="005F66C3" w:rsidRDefault="005F66C3" w:rsidP="005F66C3">
      <w:pPr>
        <w:tabs>
          <w:tab w:val="left" w:pos="630"/>
          <w:tab w:val="left" w:pos="993"/>
        </w:tabs>
        <w:spacing w:after="0" w:line="276" w:lineRule="auto"/>
        <w:jc w:val="both"/>
        <w:rPr>
          <w:rFonts w:ascii="Times New Roman" w:hAnsi="Times New Roman" w:cs="Times New Roman"/>
          <w:sz w:val="28"/>
          <w:szCs w:val="28"/>
        </w:rPr>
      </w:pPr>
      <w:r>
        <w:rPr>
          <w:rFonts w:ascii="Times New Roman" w:hAnsi="Times New Roman" w:cs="Times New Roman"/>
          <w:sz w:val="28"/>
          <w:szCs w:val="28"/>
        </w:rPr>
        <w:tab/>
        <w:t xml:space="preserve">(ii) </w:t>
      </w:r>
      <w:r w:rsidR="004726E0" w:rsidRPr="005F66C3">
        <w:rPr>
          <w:rFonts w:ascii="Times New Roman" w:hAnsi="Times New Roman" w:cs="Times New Roman"/>
          <w:sz w:val="28"/>
          <w:szCs w:val="28"/>
        </w:rPr>
        <w:t>Nivelul ridicat al calculelor suplimentare a</w:t>
      </w:r>
      <w:r w:rsidR="00BA0862" w:rsidRPr="005F66C3">
        <w:rPr>
          <w:rFonts w:ascii="Times New Roman" w:hAnsi="Times New Roman" w:cs="Times New Roman"/>
          <w:sz w:val="28"/>
          <w:szCs w:val="28"/>
        </w:rPr>
        <w:t>le</w:t>
      </w:r>
      <w:r w:rsidR="004726E0" w:rsidRPr="005F66C3">
        <w:rPr>
          <w:rFonts w:ascii="Times New Roman" w:hAnsi="Times New Roman" w:cs="Times New Roman"/>
          <w:sz w:val="28"/>
          <w:szCs w:val="28"/>
        </w:rPr>
        <w:t xml:space="preserve"> obligației fiscale la BPN în rezultatul controalelor efectuate</w:t>
      </w:r>
      <w:r w:rsidR="00D32613" w:rsidRPr="005F66C3">
        <w:rPr>
          <w:rFonts w:ascii="Times New Roman" w:hAnsi="Times New Roman" w:cs="Times New Roman"/>
          <w:sz w:val="28"/>
          <w:szCs w:val="28"/>
        </w:rPr>
        <w:t xml:space="preserve"> de către SFS</w:t>
      </w:r>
      <w:r w:rsidR="004726E0" w:rsidRPr="005F66C3">
        <w:rPr>
          <w:rFonts w:ascii="Times New Roman" w:hAnsi="Times New Roman" w:cs="Times New Roman"/>
          <w:sz w:val="28"/>
          <w:szCs w:val="28"/>
        </w:rPr>
        <w:t xml:space="preserve">. Astfel, probele colectate de audit relevă că, în </w:t>
      </w:r>
      <w:r w:rsidR="00BA0862" w:rsidRPr="005F66C3">
        <w:rPr>
          <w:rFonts w:ascii="Times New Roman" w:hAnsi="Times New Roman" w:cs="Times New Roman"/>
          <w:sz w:val="28"/>
          <w:szCs w:val="28"/>
        </w:rPr>
        <w:t>anul</w:t>
      </w:r>
      <w:r w:rsidR="004726E0" w:rsidRPr="005F66C3">
        <w:rPr>
          <w:rFonts w:ascii="Times New Roman" w:hAnsi="Times New Roman" w:cs="Times New Roman"/>
          <w:sz w:val="28"/>
          <w:szCs w:val="28"/>
        </w:rPr>
        <w:t xml:space="preserve"> 2017</w:t>
      </w:r>
      <w:r w:rsidR="00DC0C35" w:rsidRPr="005F66C3">
        <w:rPr>
          <w:rFonts w:ascii="Times New Roman" w:hAnsi="Times New Roman" w:cs="Times New Roman"/>
          <w:sz w:val="28"/>
          <w:szCs w:val="28"/>
        </w:rPr>
        <w:t>,</w:t>
      </w:r>
      <w:r w:rsidR="004726E0" w:rsidRPr="005F66C3">
        <w:rPr>
          <w:rFonts w:ascii="Times New Roman" w:hAnsi="Times New Roman" w:cs="Times New Roman"/>
          <w:sz w:val="28"/>
          <w:szCs w:val="28"/>
        </w:rPr>
        <w:t xml:space="preserve"> în rezultatul a 26884 de controale</w:t>
      </w:r>
      <w:r w:rsidR="00DC0C35" w:rsidRPr="005F66C3">
        <w:rPr>
          <w:rFonts w:ascii="Times New Roman" w:hAnsi="Times New Roman" w:cs="Times New Roman"/>
          <w:sz w:val="28"/>
          <w:szCs w:val="28"/>
        </w:rPr>
        <w:t>,s-</w:t>
      </w:r>
      <w:r w:rsidR="004726E0" w:rsidRPr="005F66C3">
        <w:rPr>
          <w:rFonts w:ascii="Times New Roman" w:hAnsi="Times New Roman" w:cs="Times New Roman"/>
          <w:sz w:val="28"/>
          <w:szCs w:val="28"/>
        </w:rPr>
        <w:t xml:space="preserve">au calculat suplimentar obligații fiscale în sumă de 2045,6 mil.lei, fiind încasate 214,2 mil. lei (10,5%). Analogic, în </w:t>
      </w:r>
      <w:r w:rsidR="00DC0C35" w:rsidRPr="005F66C3">
        <w:rPr>
          <w:rFonts w:ascii="Times New Roman" w:hAnsi="Times New Roman" w:cs="Times New Roman"/>
          <w:sz w:val="28"/>
          <w:szCs w:val="28"/>
        </w:rPr>
        <w:t>anul</w:t>
      </w:r>
      <w:r w:rsidR="004726E0" w:rsidRPr="005F66C3">
        <w:rPr>
          <w:rFonts w:ascii="Times New Roman" w:hAnsi="Times New Roman" w:cs="Times New Roman"/>
          <w:sz w:val="28"/>
          <w:szCs w:val="28"/>
        </w:rPr>
        <w:t xml:space="preserve"> 2016</w:t>
      </w:r>
      <w:r w:rsidR="00DC0C35" w:rsidRPr="005F66C3">
        <w:rPr>
          <w:rFonts w:ascii="Times New Roman" w:hAnsi="Times New Roman" w:cs="Times New Roman"/>
          <w:sz w:val="28"/>
          <w:szCs w:val="28"/>
        </w:rPr>
        <w:t>,</w:t>
      </w:r>
      <w:r w:rsidR="004726E0" w:rsidRPr="005F66C3">
        <w:rPr>
          <w:rFonts w:ascii="Times New Roman" w:hAnsi="Times New Roman" w:cs="Times New Roman"/>
          <w:sz w:val="28"/>
          <w:szCs w:val="28"/>
        </w:rPr>
        <w:t>în rezultatul a 25951 de controale</w:t>
      </w:r>
      <w:r w:rsidR="00DC0C35" w:rsidRPr="005F66C3">
        <w:rPr>
          <w:rFonts w:ascii="Times New Roman" w:hAnsi="Times New Roman" w:cs="Times New Roman"/>
          <w:sz w:val="28"/>
          <w:szCs w:val="28"/>
        </w:rPr>
        <w:t>,</w:t>
      </w:r>
      <w:r w:rsidR="004726E0" w:rsidRPr="005F66C3">
        <w:rPr>
          <w:rFonts w:ascii="Times New Roman" w:hAnsi="Times New Roman" w:cs="Times New Roman"/>
          <w:sz w:val="28"/>
          <w:szCs w:val="28"/>
        </w:rPr>
        <w:t xml:space="preserve">au fost calculate suplimentar obligații fiscale în sumă de 2897,6 mil.lei, </w:t>
      </w:r>
      <w:r w:rsidR="00DC0C35" w:rsidRPr="005F66C3">
        <w:rPr>
          <w:rFonts w:ascii="Times New Roman" w:hAnsi="Times New Roman" w:cs="Times New Roman"/>
          <w:sz w:val="28"/>
          <w:szCs w:val="28"/>
        </w:rPr>
        <w:t>dar s-au</w:t>
      </w:r>
      <w:r w:rsidR="004726E0" w:rsidRPr="005F66C3">
        <w:rPr>
          <w:rFonts w:ascii="Times New Roman" w:hAnsi="Times New Roman" w:cs="Times New Roman"/>
          <w:sz w:val="28"/>
          <w:szCs w:val="28"/>
        </w:rPr>
        <w:t xml:space="preserve"> încasat 112,8 mil.lei (3,9%), iar în </w:t>
      </w:r>
      <w:r w:rsidR="00DC0C35" w:rsidRPr="005F66C3">
        <w:rPr>
          <w:rFonts w:ascii="Times New Roman" w:hAnsi="Times New Roman" w:cs="Times New Roman"/>
          <w:sz w:val="28"/>
          <w:szCs w:val="28"/>
        </w:rPr>
        <w:t>anul</w:t>
      </w:r>
      <w:r w:rsidR="004726E0" w:rsidRPr="005F66C3">
        <w:rPr>
          <w:rFonts w:ascii="Times New Roman" w:hAnsi="Times New Roman" w:cs="Times New Roman"/>
          <w:sz w:val="28"/>
          <w:szCs w:val="28"/>
        </w:rPr>
        <w:t xml:space="preserve"> 2015</w:t>
      </w:r>
      <w:r w:rsidR="00DC0C35" w:rsidRPr="005F66C3">
        <w:rPr>
          <w:rFonts w:ascii="Times New Roman" w:hAnsi="Times New Roman" w:cs="Times New Roman"/>
          <w:sz w:val="28"/>
          <w:szCs w:val="28"/>
        </w:rPr>
        <w:t>,</w:t>
      </w:r>
      <w:r w:rsidR="004726E0" w:rsidRPr="005F66C3">
        <w:rPr>
          <w:rFonts w:ascii="Times New Roman" w:hAnsi="Times New Roman" w:cs="Times New Roman"/>
          <w:sz w:val="28"/>
          <w:szCs w:val="28"/>
        </w:rPr>
        <w:t>în rezultatul a 33101 de controale</w:t>
      </w:r>
      <w:r w:rsidR="00DC0C35" w:rsidRPr="005F66C3">
        <w:rPr>
          <w:rFonts w:ascii="Times New Roman" w:hAnsi="Times New Roman" w:cs="Times New Roman"/>
          <w:sz w:val="28"/>
          <w:szCs w:val="28"/>
        </w:rPr>
        <w:t>,s-</w:t>
      </w:r>
      <w:r w:rsidR="004726E0" w:rsidRPr="005F66C3">
        <w:rPr>
          <w:rFonts w:ascii="Times New Roman" w:hAnsi="Times New Roman" w:cs="Times New Roman"/>
          <w:sz w:val="28"/>
          <w:szCs w:val="28"/>
        </w:rPr>
        <w:t xml:space="preserve">au calculat suplimentar obligații fiscale </w:t>
      </w:r>
      <w:r w:rsidR="00DC0C35" w:rsidRPr="005F66C3">
        <w:rPr>
          <w:rFonts w:ascii="Times New Roman" w:hAnsi="Times New Roman" w:cs="Times New Roman"/>
          <w:sz w:val="28"/>
          <w:szCs w:val="28"/>
        </w:rPr>
        <w:t xml:space="preserve">în sumă de </w:t>
      </w:r>
      <w:r w:rsidR="004726E0" w:rsidRPr="005F66C3">
        <w:rPr>
          <w:rFonts w:ascii="Times New Roman" w:hAnsi="Times New Roman" w:cs="Times New Roman"/>
          <w:sz w:val="28"/>
          <w:szCs w:val="28"/>
        </w:rPr>
        <w:t>1635,4 mil.lei, fiind încasate 133</w:t>
      </w:r>
      <w:r w:rsidR="00DC0C35" w:rsidRPr="005F66C3">
        <w:rPr>
          <w:rFonts w:ascii="Times New Roman" w:hAnsi="Times New Roman" w:cs="Times New Roman"/>
          <w:sz w:val="28"/>
          <w:szCs w:val="28"/>
        </w:rPr>
        <w:t>,0</w:t>
      </w:r>
      <w:r w:rsidR="004726E0" w:rsidRPr="005F66C3">
        <w:rPr>
          <w:rFonts w:ascii="Times New Roman" w:hAnsi="Times New Roman" w:cs="Times New Roman"/>
          <w:sz w:val="28"/>
          <w:szCs w:val="28"/>
        </w:rPr>
        <w:t xml:space="preserve"> mil.lei (9%);</w:t>
      </w:r>
    </w:p>
    <w:p w:rsidR="004726E0" w:rsidRPr="005F66C3" w:rsidRDefault="005F66C3" w:rsidP="005F66C3">
      <w:pPr>
        <w:tabs>
          <w:tab w:val="left" w:pos="630"/>
          <w:tab w:val="left" w:pos="993"/>
        </w:tabs>
        <w:spacing w:after="0" w:line="276" w:lineRule="auto"/>
        <w:jc w:val="both"/>
        <w:rPr>
          <w:rFonts w:ascii="Times New Roman" w:hAnsi="Times New Roman" w:cs="Times New Roman"/>
          <w:sz w:val="28"/>
          <w:szCs w:val="28"/>
        </w:rPr>
      </w:pPr>
      <w:r>
        <w:rPr>
          <w:rFonts w:ascii="Times New Roman" w:hAnsi="Times New Roman" w:cs="Times New Roman"/>
          <w:sz w:val="28"/>
          <w:szCs w:val="28"/>
        </w:rPr>
        <w:tab/>
        <w:t xml:space="preserve">(iii) </w:t>
      </w:r>
      <w:r w:rsidR="00DC0C35" w:rsidRPr="005F66C3">
        <w:rPr>
          <w:rFonts w:ascii="Times New Roman" w:hAnsi="Times New Roman" w:cs="Times New Roman"/>
          <w:sz w:val="28"/>
          <w:szCs w:val="28"/>
        </w:rPr>
        <w:t>R</w:t>
      </w:r>
      <w:r w:rsidR="004726E0" w:rsidRPr="005F66C3">
        <w:rPr>
          <w:rFonts w:ascii="Times New Roman" w:hAnsi="Times New Roman" w:cs="Times New Roman"/>
          <w:sz w:val="28"/>
          <w:szCs w:val="28"/>
        </w:rPr>
        <w:t>estanțel</w:t>
      </w:r>
      <w:r w:rsidR="00DC0C35" w:rsidRPr="005F66C3">
        <w:rPr>
          <w:rFonts w:ascii="Times New Roman" w:hAnsi="Times New Roman" w:cs="Times New Roman"/>
          <w:sz w:val="28"/>
          <w:szCs w:val="28"/>
        </w:rPr>
        <w:t>e</w:t>
      </w:r>
      <w:r w:rsidR="004726E0" w:rsidRPr="005F66C3">
        <w:rPr>
          <w:rFonts w:ascii="Times New Roman" w:hAnsi="Times New Roman" w:cs="Times New Roman"/>
          <w:sz w:val="28"/>
          <w:szCs w:val="28"/>
        </w:rPr>
        <w:t xml:space="preserve"> contribuabililor la BPNla 31.12.2017 constituie 2182</w:t>
      </w:r>
      <w:r w:rsidR="00DC0C35" w:rsidRPr="005F66C3">
        <w:rPr>
          <w:rFonts w:ascii="Times New Roman" w:hAnsi="Times New Roman" w:cs="Times New Roman"/>
          <w:sz w:val="28"/>
          <w:szCs w:val="28"/>
        </w:rPr>
        <w:t>,0</w:t>
      </w:r>
      <w:r w:rsidR="004726E0" w:rsidRPr="005F66C3">
        <w:rPr>
          <w:rFonts w:ascii="Times New Roman" w:hAnsi="Times New Roman" w:cs="Times New Roman"/>
          <w:sz w:val="28"/>
          <w:szCs w:val="28"/>
        </w:rPr>
        <w:t xml:space="preserve"> mil.lei, fiind în creștere cu 338</w:t>
      </w:r>
      <w:r w:rsidR="00DC0C35" w:rsidRPr="005F66C3">
        <w:rPr>
          <w:rFonts w:ascii="Times New Roman" w:hAnsi="Times New Roman" w:cs="Times New Roman"/>
          <w:sz w:val="28"/>
          <w:szCs w:val="28"/>
        </w:rPr>
        <w:t>,0</w:t>
      </w:r>
      <w:r w:rsidR="004726E0" w:rsidRPr="005F66C3">
        <w:rPr>
          <w:rFonts w:ascii="Times New Roman" w:hAnsi="Times New Roman" w:cs="Times New Roman"/>
          <w:sz w:val="28"/>
          <w:szCs w:val="28"/>
        </w:rPr>
        <w:t xml:space="preserve"> mil.lei (15,5%) față de anul 2015 și cu 356</w:t>
      </w:r>
      <w:r w:rsidR="00DC0C35" w:rsidRPr="005F66C3">
        <w:rPr>
          <w:rFonts w:ascii="Times New Roman" w:hAnsi="Times New Roman" w:cs="Times New Roman"/>
          <w:sz w:val="28"/>
          <w:szCs w:val="28"/>
        </w:rPr>
        <w:t>,0</w:t>
      </w:r>
      <w:r w:rsidR="004726E0" w:rsidRPr="005F66C3">
        <w:rPr>
          <w:rFonts w:ascii="Times New Roman" w:hAnsi="Times New Roman" w:cs="Times New Roman"/>
          <w:sz w:val="28"/>
          <w:szCs w:val="28"/>
        </w:rPr>
        <w:t xml:space="preserve"> mil.lei (16,3%) față de anul 2016.     </w:t>
      </w:r>
    </w:p>
    <w:p w:rsidR="004726E0" w:rsidRPr="001D0846" w:rsidRDefault="004726E0" w:rsidP="009453E5">
      <w:pPr>
        <w:pStyle w:val="ListParagraph"/>
        <w:numPr>
          <w:ilvl w:val="0"/>
          <w:numId w:val="10"/>
        </w:numPr>
        <w:tabs>
          <w:tab w:val="left" w:pos="270"/>
          <w:tab w:val="left" w:pos="993"/>
        </w:tabs>
        <w:spacing w:after="0" w:line="276" w:lineRule="auto"/>
        <w:ind w:left="0" w:firstLine="709"/>
        <w:jc w:val="both"/>
        <w:rPr>
          <w:rFonts w:ascii="Times New Roman" w:hAnsi="Times New Roman" w:cs="Times New Roman"/>
          <w:sz w:val="28"/>
          <w:szCs w:val="28"/>
        </w:rPr>
      </w:pPr>
      <w:r w:rsidRPr="001D0846">
        <w:rPr>
          <w:rFonts w:ascii="Times New Roman" w:hAnsi="Times New Roman" w:cs="Times New Roman"/>
          <w:sz w:val="28"/>
          <w:szCs w:val="28"/>
        </w:rPr>
        <w:t xml:space="preserve"> În </w:t>
      </w:r>
      <w:r w:rsidR="00DC0C35">
        <w:rPr>
          <w:rFonts w:ascii="Times New Roman" w:hAnsi="Times New Roman" w:cs="Times New Roman"/>
          <w:sz w:val="28"/>
          <w:szCs w:val="28"/>
        </w:rPr>
        <w:t>anii</w:t>
      </w:r>
      <w:r w:rsidRPr="001D0846">
        <w:rPr>
          <w:rFonts w:ascii="Times New Roman" w:hAnsi="Times New Roman" w:cs="Times New Roman"/>
          <w:sz w:val="28"/>
          <w:szCs w:val="28"/>
        </w:rPr>
        <w:t xml:space="preserve"> 2016-2017</w:t>
      </w:r>
      <w:r w:rsidR="00AC44EE" w:rsidRPr="001D0846">
        <w:rPr>
          <w:rFonts w:ascii="Times New Roman" w:hAnsi="Times New Roman" w:cs="Times New Roman"/>
          <w:sz w:val="28"/>
          <w:szCs w:val="28"/>
        </w:rPr>
        <w:t xml:space="preserve">,SFS a efectuat verificări asupra aplicării măsurilor de conformare voluntară a contribuabililor în cadrul unor subdiviziuni, </w:t>
      </w:r>
      <w:r w:rsidR="00DC0C35">
        <w:rPr>
          <w:rFonts w:ascii="Times New Roman" w:hAnsi="Times New Roman" w:cs="Times New Roman"/>
          <w:sz w:val="28"/>
          <w:szCs w:val="28"/>
        </w:rPr>
        <w:t xml:space="preserve">relevând </w:t>
      </w:r>
      <w:r w:rsidR="00AC44EE" w:rsidRPr="001D0846">
        <w:rPr>
          <w:rFonts w:ascii="Times New Roman" w:hAnsi="Times New Roman" w:cs="Times New Roman"/>
          <w:sz w:val="28"/>
          <w:szCs w:val="28"/>
        </w:rPr>
        <w:t>următoarele</w:t>
      </w:r>
      <w:r w:rsidRPr="001D0846">
        <w:rPr>
          <w:rFonts w:ascii="Times New Roman" w:hAnsi="Times New Roman" w:cs="Times New Roman"/>
          <w:sz w:val="28"/>
          <w:szCs w:val="28"/>
        </w:rPr>
        <w:t xml:space="preserve"> vulnerabilități: (i) monitorizarea insuficientă de către conducerea subdiviziunilor a procesului de conformare voluntară în secto</w:t>
      </w:r>
      <w:r w:rsidR="00265D49" w:rsidRPr="001D0846">
        <w:rPr>
          <w:rFonts w:ascii="Times New Roman" w:hAnsi="Times New Roman" w:cs="Times New Roman"/>
          <w:sz w:val="28"/>
          <w:szCs w:val="28"/>
        </w:rPr>
        <w:t xml:space="preserve">rul administrat; </w:t>
      </w:r>
      <w:r w:rsidRPr="001D0846">
        <w:rPr>
          <w:rFonts w:ascii="Times New Roman" w:hAnsi="Times New Roman" w:cs="Times New Roman"/>
          <w:sz w:val="28"/>
          <w:szCs w:val="28"/>
        </w:rPr>
        <w:t>(ii) lipsa consecutivității și continuității măsurilor; (iii) neîntocmirea sau nesemnarea proceselor-verbale în rezultatul ședințelor/întrunirilor de conformare cu participarea contribuabililor; (iv) nemonitorizarea activității agenților economici și a gradului de conformare voluntară; (v) neinformarea conducerii subdiviziunilor cu privire la cazurile de activitate ilicită depistate, pentru luarea de atitudin</w:t>
      </w:r>
      <w:r w:rsidR="003C4C19">
        <w:rPr>
          <w:rFonts w:ascii="Times New Roman" w:hAnsi="Times New Roman" w:cs="Times New Roman"/>
          <w:sz w:val="28"/>
          <w:szCs w:val="28"/>
        </w:rPr>
        <w:t>e</w:t>
      </w:r>
      <w:r w:rsidRPr="001D0846">
        <w:rPr>
          <w:rFonts w:ascii="Times New Roman" w:hAnsi="Times New Roman" w:cs="Times New Roman"/>
          <w:sz w:val="28"/>
          <w:szCs w:val="28"/>
        </w:rPr>
        <w:t xml:space="preserve"> și a deciziilor de rigoare; (vi) neîntocmirea rapoartelor în rezultatul vizitelor fiscale efectuate în cadrul </w:t>
      </w:r>
      <w:r w:rsidR="00265D49" w:rsidRPr="001D0846">
        <w:rPr>
          <w:rFonts w:ascii="Times New Roman" w:hAnsi="Times New Roman" w:cs="Times New Roman"/>
          <w:sz w:val="28"/>
          <w:szCs w:val="28"/>
        </w:rPr>
        <w:t>monitorizării contribuabililor;</w:t>
      </w:r>
      <w:r w:rsidRPr="001D0846">
        <w:rPr>
          <w:rFonts w:ascii="Times New Roman" w:hAnsi="Times New Roman" w:cs="Times New Roman"/>
          <w:sz w:val="28"/>
          <w:szCs w:val="28"/>
        </w:rPr>
        <w:t xml:space="preserve"> (vii) monitorizarea insuficientă a procesului de înregistrare a subdiviziunilor contribuabililor care desfășoară activitate în domeniul agriculturii.</w:t>
      </w:r>
    </w:p>
    <w:p w:rsidR="00385FE6" w:rsidRPr="001D0846" w:rsidRDefault="00385FE6" w:rsidP="00385FE6">
      <w:pPr>
        <w:pStyle w:val="ListParagraph"/>
        <w:tabs>
          <w:tab w:val="left" w:pos="270"/>
        </w:tabs>
        <w:spacing w:after="0" w:line="276" w:lineRule="auto"/>
        <w:ind w:left="360"/>
        <w:jc w:val="both"/>
        <w:rPr>
          <w:rFonts w:ascii="Times New Roman" w:hAnsi="Times New Roman" w:cs="Times New Roman"/>
          <w:sz w:val="28"/>
          <w:szCs w:val="28"/>
        </w:rPr>
      </w:pPr>
    </w:p>
    <w:p w:rsidR="00557D2F" w:rsidRPr="001D0846" w:rsidRDefault="00E86E19" w:rsidP="00E86E19">
      <w:pPr>
        <w:spacing w:after="0" w:line="276" w:lineRule="auto"/>
        <w:ind w:firstLine="709"/>
        <w:jc w:val="both"/>
        <w:rPr>
          <w:rFonts w:ascii="Times New Roman" w:hAnsi="Times New Roman" w:cs="Times New Roman"/>
          <w:b/>
          <w:sz w:val="28"/>
          <w:szCs w:val="28"/>
        </w:rPr>
      </w:pPr>
      <w:r w:rsidRPr="00E86E19">
        <w:rPr>
          <w:rFonts w:ascii="Times New Roman" w:hAnsi="Times New Roman" w:cs="Times New Roman"/>
          <w:b/>
          <w:i/>
          <w:sz w:val="28"/>
          <w:szCs w:val="28"/>
        </w:rPr>
        <w:t>3.6.2.</w:t>
      </w:r>
      <w:r w:rsidR="004726E0" w:rsidRPr="00E86E19">
        <w:rPr>
          <w:rFonts w:ascii="Times New Roman" w:hAnsi="Times New Roman" w:cs="Times New Roman"/>
          <w:sz w:val="28"/>
          <w:szCs w:val="28"/>
        </w:rPr>
        <w:t xml:space="preserve">Potrivit obiectivelor politicii de administrare vamală din perioada </w:t>
      </w:r>
      <w:r w:rsidR="003C4C19">
        <w:rPr>
          <w:rFonts w:ascii="Times New Roman" w:hAnsi="Times New Roman" w:cs="Times New Roman"/>
          <w:sz w:val="28"/>
          <w:szCs w:val="28"/>
        </w:rPr>
        <w:t xml:space="preserve">anilor </w:t>
      </w:r>
      <w:r w:rsidR="004726E0" w:rsidRPr="00E86E19">
        <w:rPr>
          <w:rFonts w:ascii="Times New Roman" w:hAnsi="Times New Roman" w:cs="Times New Roman"/>
          <w:sz w:val="28"/>
          <w:szCs w:val="28"/>
        </w:rPr>
        <w:t>2015-2017, SV</w:t>
      </w:r>
      <w:r w:rsidR="004726E0" w:rsidRPr="001D0846">
        <w:rPr>
          <w:rFonts w:ascii="Times New Roman" w:hAnsi="Times New Roman" w:cs="Times New Roman"/>
          <w:sz w:val="28"/>
          <w:szCs w:val="28"/>
        </w:rPr>
        <w:t xml:space="preserve"> urma să asigure promovarea conformării voluntare la plata drepturilor de import/export</w:t>
      </w:r>
      <w:r w:rsidR="003C4C19">
        <w:rPr>
          <w:rFonts w:ascii="Times New Roman" w:hAnsi="Times New Roman" w:cs="Times New Roman"/>
          <w:sz w:val="28"/>
          <w:szCs w:val="28"/>
        </w:rPr>
        <w:t>,</w:t>
      </w:r>
      <w:r w:rsidR="004726E0" w:rsidRPr="001D0846">
        <w:rPr>
          <w:rFonts w:ascii="Times New Roman" w:hAnsi="Times New Roman" w:cs="Times New Roman"/>
          <w:sz w:val="28"/>
          <w:szCs w:val="28"/>
        </w:rPr>
        <w:t xml:space="preserve"> prin implementarea procedurilor vamale moderne, care facilitează comerțul extern şi asigură securitatea lanțului de aprovizionare internațională.</w:t>
      </w:r>
    </w:p>
    <w:p w:rsidR="004726E0" w:rsidRPr="001D0846" w:rsidRDefault="00557D2F" w:rsidP="00557D2F">
      <w:pPr>
        <w:spacing w:after="0" w:line="276" w:lineRule="auto"/>
        <w:ind w:firstLine="709"/>
        <w:jc w:val="both"/>
        <w:rPr>
          <w:rFonts w:ascii="Times New Roman" w:hAnsi="Times New Roman" w:cs="Times New Roman"/>
          <w:b/>
          <w:sz w:val="28"/>
          <w:szCs w:val="28"/>
        </w:rPr>
      </w:pPr>
      <w:r w:rsidRPr="001D0846">
        <w:rPr>
          <w:rFonts w:ascii="Times New Roman" w:hAnsi="Times New Roman" w:cs="Times New Roman"/>
          <w:sz w:val="28"/>
          <w:szCs w:val="28"/>
        </w:rPr>
        <w:t>Deși SV a implementat unele mecanisme de facilitare a traficului transfrontalier</w:t>
      </w:r>
      <w:r w:rsidR="00AC355D" w:rsidRPr="001D0846">
        <w:rPr>
          <w:rStyle w:val="FootnoteReference"/>
          <w:rFonts w:ascii="Times New Roman" w:hAnsi="Times New Roman" w:cs="Times New Roman"/>
          <w:sz w:val="28"/>
          <w:szCs w:val="28"/>
        </w:rPr>
        <w:footnoteReference w:id="23"/>
      </w:r>
      <w:r w:rsidR="003C4C19">
        <w:rPr>
          <w:rFonts w:ascii="Times New Roman" w:hAnsi="Times New Roman" w:cs="Times New Roman"/>
          <w:sz w:val="28"/>
          <w:szCs w:val="28"/>
        </w:rPr>
        <w:t>,</w:t>
      </w:r>
      <w:r w:rsidRPr="001D0846">
        <w:rPr>
          <w:rFonts w:ascii="Times New Roman" w:hAnsi="Times New Roman" w:cs="Times New Roman"/>
          <w:sz w:val="28"/>
          <w:szCs w:val="28"/>
        </w:rPr>
        <w:t xml:space="preserve"> care au acordat mai multe beneficii agenților economici care se </w:t>
      </w:r>
      <w:r w:rsidRPr="001D0846">
        <w:rPr>
          <w:rFonts w:ascii="Times New Roman" w:hAnsi="Times New Roman" w:cs="Times New Roman"/>
          <w:sz w:val="28"/>
          <w:szCs w:val="28"/>
        </w:rPr>
        <w:lastRenderedPageBreak/>
        <w:t>conformează cadrului normativ în vigoare, a</w:t>
      </w:r>
      <w:r w:rsidR="004726E0" w:rsidRPr="001D0846">
        <w:rPr>
          <w:rFonts w:ascii="Times New Roman" w:hAnsi="Times New Roman" w:cs="Times New Roman"/>
          <w:sz w:val="28"/>
          <w:szCs w:val="28"/>
        </w:rPr>
        <w:t>uditul denotă că</w:t>
      </w:r>
      <w:r w:rsidR="003C4C19">
        <w:rPr>
          <w:rFonts w:ascii="Times New Roman" w:hAnsi="Times New Roman" w:cs="Times New Roman"/>
          <w:sz w:val="28"/>
          <w:szCs w:val="28"/>
        </w:rPr>
        <w:t>,</w:t>
      </w:r>
      <w:r w:rsidR="004726E0" w:rsidRPr="001D0846">
        <w:rPr>
          <w:rFonts w:ascii="Times New Roman" w:hAnsi="Times New Roman" w:cs="Times New Roman"/>
          <w:sz w:val="28"/>
          <w:szCs w:val="28"/>
        </w:rPr>
        <w:t xml:space="preserve"> în perioada analizată, SV nu a elaborat un program </w:t>
      </w:r>
      <w:r w:rsidRPr="001D0846">
        <w:rPr>
          <w:rFonts w:ascii="Times New Roman" w:hAnsi="Times New Roman" w:cs="Times New Roman"/>
          <w:sz w:val="28"/>
          <w:szCs w:val="28"/>
        </w:rPr>
        <w:t xml:space="preserve">unic </w:t>
      </w:r>
      <w:r w:rsidR="004726E0" w:rsidRPr="001D0846">
        <w:rPr>
          <w:rFonts w:ascii="Times New Roman" w:hAnsi="Times New Roman" w:cs="Times New Roman"/>
          <w:sz w:val="28"/>
          <w:szCs w:val="28"/>
        </w:rPr>
        <w:t>de conformare voluntară</w:t>
      </w:r>
      <w:r w:rsidR="003C4C19">
        <w:rPr>
          <w:rFonts w:ascii="Times New Roman" w:hAnsi="Times New Roman" w:cs="Times New Roman"/>
          <w:sz w:val="28"/>
          <w:szCs w:val="28"/>
        </w:rPr>
        <w:t>,</w:t>
      </w:r>
      <w:r w:rsidR="004726E0" w:rsidRPr="001D0846">
        <w:rPr>
          <w:rFonts w:ascii="Times New Roman" w:hAnsi="Times New Roman" w:cs="Times New Roman"/>
          <w:sz w:val="28"/>
          <w:szCs w:val="28"/>
        </w:rPr>
        <w:t xml:space="preserve"> cu măsuri de asistență pentru plătitorii vamali care achită la timp și integral la buget obligațiile vamale, precum și măsuri de descurajare și sancționare a subiecților care se eschivează conștient de la stingerea obligației vamale, în scopul contracarării fenomenului de evaziune fiscală, în special</w:t>
      </w:r>
      <w:r w:rsidR="003C4C19">
        <w:rPr>
          <w:rFonts w:ascii="Times New Roman" w:hAnsi="Times New Roman" w:cs="Times New Roman"/>
          <w:sz w:val="28"/>
          <w:szCs w:val="28"/>
        </w:rPr>
        <w:t>,</w:t>
      </w:r>
      <w:r w:rsidR="004726E0" w:rsidRPr="001D0846">
        <w:rPr>
          <w:rFonts w:ascii="Times New Roman" w:hAnsi="Times New Roman" w:cs="Times New Roman"/>
          <w:sz w:val="28"/>
          <w:szCs w:val="28"/>
        </w:rPr>
        <w:t xml:space="preserve"> în domeniile de activitate cu risc sporit de neconformare.</w:t>
      </w:r>
    </w:p>
    <w:p w:rsidR="004726E0" w:rsidRPr="001D0846" w:rsidRDefault="004726E0" w:rsidP="006358AD">
      <w:pPr>
        <w:tabs>
          <w:tab w:val="left" w:pos="1080"/>
        </w:tabs>
        <w:spacing w:after="0" w:line="276" w:lineRule="auto"/>
        <w:contextualSpacing/>
        <w:jc w:val="both"/>
        <w:rPr>
          <w:rFonts w:ascii="Times New Roman" w:hAnsi="Times New Roman" w:cs="Times New Roman"/>
          <w:sz w:val="28"/>
          <w:szCs w:val="28"/>
        </w:rPr>
      </w:pPr>
      <w:r w:rsidRPr="001D0846">
        <w:rPr>
          <w:rFonts w:ascii="Times New Roman" w:hAnsi="Times New Roman" w:cs="Times New Roman"/>
          <w:sz w:val="28"/>
          <w:szCs w:val="28"/>
        </w:rPr>
        <w:t xml:space="preserve">          Probele colectate de audit relevă</w:t>
      </w:r>
      <w:r w:rsidR="003C4C19">
        <w:rPr>
          <w:rFonts w:ascii="Times New Roman" w:hAnsi="Times New Roman" w:cs="Times New Roman"/>
          <w:sz w:val="28"/>
          <w:szCs w:val="28"/>
        </w:rPr>
        <w:t>,</w:t>
      </w:r>
      <w:r w:rsidRPr="001D0846">
        <w:rPr>
          <w:rFonts w:ascii="Times New Roman" w:hAnsi="Times New Roman" w:cs="Times New Roman"/>
          <w:sz w:val="28"/>
          <w:szCs w:val="28"/>
        </w:rPr>
        <w:t xml:space="preserve"> per ansamblu</w:t>
      </w:r>
      <w:r w:rsidR="003C4C19">
        <w:rPr>
          <w:rFonts w:ascii="Times New Roman" w:hAnsi="Times New Roman" w:cs="Times New Roman"/>
          <w:sz w:val="28"/>
          <w:szCs w:val="28"/>
        </w:rPr>
        <w:t>,</w:t>
      </w:r>
      <w:r w:rsidRPr="001D0846">
        <w:rPr>
          <w:rFonts w:ascii="Times New Roman" w:hAnsi="Times New Roman" w:cs="Times New Roman"/>
          <w:sz w:val="28"/>
          <w:szCs w:val="28"/>
        </w:rPr>
        <w:t xml:space="preserve"> un nivel redus de conformare voluntară a </w:t>
      </w:r>
      <w:r w:rsidR="00582AA1">
        <w:rPr>
          <w:rFonts w:ascii="Times New Roman" w:hAnsi="Times New Roman" w:cs="Times New Roman"/>
          <w:sz w:val="28"/>
          <w:szCs w:val="28"/>
        </w:rPr>
        <w:t>plătitorilor vamali</w:t>
      </w:r>
      <w:r w:rsidRPr="001D0846">
        <w:rPr>
          <w:rFonts w:ascii="Times New Roman" w:hAnsi="Times New Roman" w:cs="Times New Roman"/>
          <w:sz w:val="28"/>
          <w:szCs w:val="28"/>
        </w:rPr>
        <w:t xml:space="preserve"> la calcularea deplină, achitarea la timp și integral</w:t>
      </w:r>
      <w:r w:rsidR="003C4C19">
        <w:rPr>
          <w:rFonts w:ascii="Times New Roman" w:hAnsi="Times New Roman" w:cs="Times New Roman"/>
          <w:sz w:val="28"/>
          <w:szCs w:val="28"/>
        </w:rPr>
        <w:t>ă</w:t>
      </w:r>
      <w:r w:rsidRPr="001D0846">
        <w:rPr>
          <w:rFonts w:ascii="Times New Roman" w:hAnsi="Times New Roman" w:cs="Times New Roman"/>
          <w:sz w:val="28"/>
          <w:szCs w:val="28"/>
        </w:rPr>
        <w:t xml:space="preserve"> la B</w:t>
      </w:r>
      <w:r w:rsidR="00582AA1">
        <w:rPr>
          <w:rFonts w:ascii="Times New Roman" w:hAnsi="Times New Roman" w:cs="Times New Roman"/>
          <w:sz w:val="28"/>
          <w:szCs w:val="28"/>
        </w:rPr>
        <w:t>S</w:t>
      </w:r>
      <w:r w:rsidRPr="001D0846">
        <w:rPr>
          <w:rFonts w:ascii="Times New Roman" w:hAnsi="Times New Roman" w:cs="Times New Roman"/>
          <w:sz w:val="28"/>
          <w:szCs w:val="28"/>
        </w:rPr>
        <w:t xml:space="preserve"> a impozitelor și taxelor, </w:t>
      </w:r>
      <w:r w:rsidR="003C4C19">
        <w:rPr>
          <w:rFonts w:ascii="Times New Roman" w:hAnsi="Times New Roman" w:cs="Times New Roman"/>
          <w:sz w:val="28"/>
          <w:szCs w:val="28"/>
        </w:rPr>
        <w:t>exprimat</w:t>
      </w:r>
      <w:r w:rsidRPr="001D0846">
        <w:rPr>
          <w:rFonts w:ascii="Times New Roman" w:hAnsi="Times New Roman" w:cs="Times New Roman"/>
          <w:sz w:val="28"/>
          <w:szCs w:val="28"/>
        </w:rPr>
        <w:t xml:space="preserve"> prin:</w:t>
      </w:r>
    </w:p>
    <w:p w:rsidR="004726E0" w:rsidRPr="000A59C4" w:rsidRDefault="000A59C4" w:rsidP="000A59C4">
      <w:pPr>
        <w:tabs>
          <w:tab w:val="left" w:pos="630"/>
          <w:tab w:val="left" w:pos="993"/>
        </w:tabs>
        <w:spacing w:after="0" w:line="276" w:lineRule="auto"/>
        <w:jc w:val="both"/>
        <w:rPr>
          <w:rFonts w:ascii="Times New Roman" w:hAnsi="Times New Roman" w:cs="Times New Roman"/>
          <w:sz w:val="28"/>
          <w:szCs w:val="28"/>
        </w:rPr>
      </w:pPr>
      <w:r>
        <w:rPr>
          <w:rFonts w:ascii="Times New Roman" w:hAnsi="Times New Roman" w:cs="Times New Roman"/>
          <w:sz w:val="28"/>
          <w:szCs w:val="28"/>
        </w:rPr>
        <w:tab/>
        <w:t xml:space="preserve">(i) </w:t>
      </w:r>
      <w:r w:rsidR="004726E0" w:rsidRPr="000A59C4">
        <w:rPr>
          <w:rFonts w:ascii="Times New Roman" w:hAnsi="Times New Roman" w:cs="Times New Roman"/>
          <w:sz w:val="28"/>
          <w:szCs w:val="28"/>
        </w:rPr>
        <w:t>Nivelul ridicat al calculelor suplimentare a</w:t>
      </w:r>
      <w:r w:rsidR="003C4C19" w:rsidRPr="000A59C4">
        <w:rPr>
          <w:rFonts w:ascii="Times New Roman" w:hAnsi="Times New Roman" w:cs="Times New Roman"/>
          <w:sz w:val="28"/>
          <w:szCs w:val="28"/>
        </w:rPr>
        <w:t>le</w:t>
      </w:r>
      <w:r w:rsidR="004726E0" w:rsidRPr="000A59C4">
        <w:rPr>
          <w:rFonts w:ascii="Times New Roman" w:hAnsi="Times New Roman" w:cs="Times New Roman"/>
          <w:sz w:val="28"/>
          <w:szCs w:val="28"/>
        </w:rPr>
        <w:t xml:space="preserve"> obligației vamale la B</w:t>
      </w:r>
      <w:r w:rsidR="00582AA1" w:rsidRPr="000A59C4">
        <w:rPr>
          <w:rFonts w:ascii="Times New Roman" w:hAnsi="Times New Roman" w:cs="Times New Roman"/>
          <w:sz w:val="28"/>
          <w:szCs w:val="28"/>
        </w:rPr>
        <w:t xml:space="preserve">S </w:t>
      </w:r>
      <w:r w:rsidR="004726E0" w:rsidRPr="000A59C4">
        <w:rPr>
          <w:rFonts w:ascii="Times New Roman" w:hAnsi="Times New Roman" w:cs="Times New Roman"/>
          <w:sz w:val="28"/>
          <w:szCs w:val="28"/>
        </w:rPr>
        <w:t xml:space="preserve">în rezultatul controalelor efectuate. Astfel, probele colectate de audit relevă că, în </w:t>
      </w:r>
      <w:r w:rsidR="003C4C19" w:rsidRPr="000A59C4">
        <w:rPr>
          <w:rFonts w:ascii="Times New Roman" w:hAnsi="Times New Roman" w:cs="Times New Roman"/>
          <w:sz w:val="28"/>
          <w:szCs w:val="28"/>
        </w:rPr>
        <w:t xml:space="preserve">anul </w:t>
      </w:r>
      <w:r w:rsidR="004726E0" w:rsidRPr="000A59C4">
        <w:rPr>
          <w:rFonts w:ascii="Times New Roman" w:hAnsi="Times New Roman" w:cs="Times New Roman"/>
          <w:sz w:val="28"/>
          <w:szCs w:val="28"/>
        </w:rPr>
        <w:t xml:space="preserve"> 2017</w:t>
      </w:r>
      <w:r w:rsidR="003C4C19" w:rsidRPr="000A59C4">
        <w:rPr>
          <w:rFonts w:ascii="Times New Roman" w:hAnsi="Times New Roman" w:cs="Times New Roman"/>
          <w:sz w:val="28"/>
          <w:szCs w:val="28"/>
        </w:rPr>
        <w:t>,</w:t>
      </w:r>
      <w:r w:rsidR="00001049" w:rsidRPr="000A59C4">
        <w:rPr>
          <w:rFonts w:ascii="Times New Roman" w:hAnsi="Times New Roman" w:cs="Times New Roman"/>
          <w:sz w:val="28"/>
          <w:szCs w:val="28"/>
        </w:rPr>
        <w:t xml:space="preserve"> în rezultatul a 237</w:t>
      </w:r>
      <w:r w:rsidR="004726E0" w:rsidRPr="000A59C4">
        <w:rPr>
          <w:rFonts w:ascii="Times New Roman" w:hAnsi="Times New Roman" w:cs="Times New Roman"/>
          <w:sz w:val="28"/>
          <w:szCs w:val="28"/>
        </w:rPr>
        <w:t xml:space="preserve"> de controale </w:t>
      </w:r>
      <w:r w:rsidR="00001049" w:rsidRPr="000A59C4">
        <w:rPr>
          <w:rFonts w:ascii="Times New Roman" w:hAnsi="Times New Roman" w:cs="Times New Roman"/>
          <w:sz w:val="28"/>
          <w:szCs w:val="28"/>
        </w:rPr>
        <w:t xml:space="preserve">efectuate de către SV, </w:t>
      </w:r>
      <w:r w:rsidR="004726E0" w:rsidRPr="000A59C4">
        <w:rPr>
          <w:rFonts w:ascii="Times New Roman" w:hAnsi="Times New Roman" w:cs="Times New Roman"/>
          <w:sz w:val="28"/>
          <w:szCs w:val="28"/>
        </w:rPr>
        <w:t xml:space="preserve">au fost recalculate obligații vamale în sumă de </w:t>
      </w:r>
      <w:r w:rsidR="00001049" w:rsidRPr="000A59C4">
        <w:rPr>
          <w:rFonts w:ascii="Times New Roman" w:hAnsi="Times New Roman" w:cs="Times New Roman"/>
          <w:sz w:val="28"/>
          <w:szCs w:val="28"/>
        </w:rPr>
        <w:t xml:space="preserve">68,1 mil.lei, </w:t>
      </w:r>
      <w:r w:rsidR="003C4C19" w:rsidRPr="000A59C4">
        <w:rPr>
          <w:rFonts w:ascii="Times New Roman" w:hAnsi="Times New Roman" w:cs="Times New Roman"/>
          <w:sz w:val="28"/>
          <w:szCs w:val="28"/>
        </w:rPr>
        <w:t>dar s-au</w:t>
      </w:r>
      <w:r w:rsidR="00001049" w:rsidRPr="000A59C4">
        <w:rPr>
          <w:rFonts w:ascii="Times New Roman" w:hAnsi="Times New Roman" w:cs="Times New Roman"/>
          <w:sz w:val="28"/>
          <w:szCs w:val="28"/>
        </w:rPr>
        <w:t xml:space="preserve"> încasat 24,2 mil.lei (35,5</w:t>
      </w:r>
      <w:r w:rsidR="004726E0" w:rsidRPr="000A59C4">
        <w:rPr>
          <w:rFonts w:ascii="Times New Roman" w:hAnsi="Times New Roman" w:cs="Times New Roman"/>
          <w:sz w:val="28"/>
          <w:szCs w:val="28"/>
        </w:rPr>
        <w:t xml:space="preserve">%). Analogic, în </w:t>
      </w:r>
      <w:r w:rsidR="003C4C19" w:rsidRPr="000A59C4">
        <w:rPr>
          <w:rFonts w:ascii="Times New Roman" w:hAnsi="Times New Roman" w:cs="Times New Roman"/>
          <w:sz w:val="28"/>
          <w:szCs w:val="28"/>
        </w:rPr>
        <w:t>anul</w:t>
      </w:r>
      <w:r w:rsidR="004726E0" w:rsidRPr="000A59C4">
        <w:rPr>
          <w:rFonts w:ascii="Times New Roman" w:hAnsi="Times New Roman" w:cs="Times New Roman"/>
          <w:sz w:val="28"/>
          <w:szCs w:val="28"/>
        </w:rPr>
        <w:t xml:space="preserve"> 2016</w:t>
      </w:r>
      <w:r w:rsidR="003C4C19" w:rsidRPr="000A59C4">
        <w:rPr>
          <w:rFonts w:ascii="Times New Roman" w:hAnsi="Times New Roman" w:cs="Times New Roman"/>
          <w:sz w:val="28"/>
          <w:szCs w:val="28"/>
        </w:rPr>
        <w:t>,</w:t>
      </w:r>
      <w:r w:rsidR="004726E0" w:rsidRPr="000A59C4">
        <w:rPr>
          <w:rFonts w:ascii="Times New Roman" w:hAnsi="Times New Roman" w:cs="Times New Roman"/>
          <w:sz w:val="28"/>
          <w:szCs w:val="28"/>
        </w:rPr>
        <w:t xml:space="preserve"> în rezultatul a 143 de controale</w:t>
      </w:r>
      <w:r w:rsidR="003C4C19" w:rsidRPr="000A59C4">
        <w:rPr>
          <w:rFonts w:ascii="Times New Roman" w:hAnsi="Times New Roman" w:cs="Times New Roman"/>
          <w:sz w:val="28"/>
          <w:szCs w:val="28"/>
        </w:rPr>
        <w:t>, s-</w:t>
      </w:r>
      <w:r w:rsidR="004726E0" w:rsidRPr="000A59C4">
        <w:rPr>
          <w:rFonts w:ascii="Times New Roman" w:hAnsi="Times New Roman" w:cs="Times New Roman"/>
          <w:sz w:val="28"/>
          <w:szCs w:val="28"/>
        </w:rPr>
        <w:t>au recalculat obligații vamale în sumă de 19,4 mil.lei, fiind încasate 8,6 mil.lei (44,3%), iar în anul 2015</w:t>
      </w:r>
      <w:r w:rsidR="003C4C19" w:rsidRPr="000A59C4">
        <w:rPr>
          <w:rFonts w:ascii="Times New Roman" w:hAnsi="Times New Roman" w:cs="Times New Roman"/>
          <w:sz w:val="28"/>
          <w:szCs w:val="28"/>
        </w:rPr>
        <w:t xml:space="preserve">, </w:t>
      </w:r>
      <w:r w:rsidR="004726E0" w:rsidRPr="000A59C4">
        <w:rPr>
          <w:rFonts w:ascii="Times New Roman" w:hAnsi="Times New Roman" w:cs="Times New Roman"/>
          <w:sz w:val="28"/>
          <w:szCs w:val="28"/>
        </w:rPr>
        <w:t xml:space="preserve"> în rezultatul a 245 de controale</w:t>
      </w:r>
      <w:r w:rsidR="003C4C19" w:rsidRPr="000A59C4">
        <w:rPr>
          <w:rFonts w:ascii="Times New Roman" w:hAnsi="Times New Roman" w:cs="Times New Roman"/>
          <w:sz w:val="28"/>
          <w:szCs w:val="28"/>
        </w:rPr>
        <w:t>,</w:t>
      </w:r>
      <w:r w:rsidR="004726E0" w:rsidRPr="000A59C4">
        <w:rPr>
          <w:rFonts w:ascii="Times New Roman" w:hAnsi="Times New Roman" w:cs="Times New Roman"/>
          <w:sz w:val="28"/>
          <w:szCs w:val="28"/>
        </w:rPr>
        <w:t xml:space="preserve"> au fost recalculate obligații vamale în sumă de 35,1 mil.lei, </w:t>
      </w:r>
      <w:r w:rsidR="003C4C19" w:rsidRPr="000A59C4">
        <w:rPr>
          <w:rFonts w:ascii="Times New Roman" w:hAnsi="Times New Roman" w:cs="Times New Roman"/>
          <w:sz w:val="28"/>
          <w:szCs w:val="28"/>
        </w:rPr>
        <w:t>dar s-au</w:t>
      </w:r>
      <w:r w:rsidR="004726E0" w:rsidRPr="000A59C4">
        <w:rPr>
          <w:rFonts w:ascii="Times New Roman" w:hAnsi="Times New Roman" w:cs="Times New Roman"/>
          <w:sz w:val="28"/>
          <w:szCs w:val="28"/>
        </w:rPr>
        <w:t xml:space="preserve"> încasat 20,4 mil.lei (58,1%);</w:t>
      </w:r>
    </w:p>
    <w:p w:rsidR="004726E0" w:rsidRPr="000A59C4" w:rsidRDefault="000A59C4" w:rsidP="000A59C4">
      <w:pPr>
        <w:tabs>
          <w:tab w:val="left" w:pos="630"/>
          <w:tab w:val="left" w:pos="993"/>
        </w:tabs>
        <w:spacing w:after="0" w:line="276" w:lineRule="auto"/>
        <w:jc w:val="both"/>
        <w:rPr>
          <w:rFonts w:ascii="Times New Roman" w:hAnsi="Times New Roman" w:cs="Times New Roman"/>
          <w:sz w:val="28"/>
          <w:szCs w:val="28"/>
        </w:rPr>
      </w:pPr>
      <w:r>
        <w:rPr>
          <w:rFonts w:ascii="Times New Roman" w:hAnsi="Times New Roman" w:cs="Times New Roman"/>
          <w:sz w:val="28"/>
          <w:szCs w:val="28"/>
        </w:rPr>
        <w:tab/>
        <w:t xml:space="preserve">(ii) </w:t>
      </w:r>
      <w:r w:rsidR="003C4C19" w:rsidRPr="000A59C4">
        <w:rPr>
          <w:rFonts w:ascii="Times New Roman" w:hAnsi="Times New Roman" w:cs="Times New Roman"/>
          <w:sz w:val="28"/>
          <w:szCs w:val="28"/>
        </w:rPr>
        <w:t>R</w:t>
      </w:r>
      <w:r w:rsidR="004726E0" w:rsidRPr="000A59C4">
        <w:rPr>
          <w:rFonts w:ascii="Times New Roman" w:hAnsi="Times New Roman" w:cs="Times New Roman"/>
          <w:sz w:val="28"/>
          <w:szCs w:val="28"/>
        </w:rPr>
        <w:t>estanțel</w:t>
      </w:r>
      <w:r w:rsidR="003C4C19" w:rsidRPr="000A59C4">
        <w:rPr>
          <w:rFonts w:ascii="Times New Roman" w:hAnsi="Times New Roman" w:cs="Times New Roman"/>
          <w:sz w:val="28"/>
          <w:szCs w:val="28"/>
        </w:rPr>
        <w:t>e semnificative ale</w:t>
      </w:r>
      <w:r w:rsidR="004726E0" w:rsidRPr="000A59C4">
        <w:rPr>
          <w:rFonts w:ascii="Times New Roman" w:hAnsi="Times New Roman" w:cs="Times New Roman"/>
          <w:sz w:val="28"/>
          <w:szCs w:val="28"/>
        </w:rPr>
        <w:t xml:space="preserve"> plătitorilor vamali la BS</w:t>
      </w:r>
      <w:r w:rsidR="003C4C19" w:rsidRPr="000A59C4">
        <w:rPr>
          <w:rFonts w:ascii="Times New Roman" w:hAnsi="Times New Roman" w:cs="Times New Roman"/>
          <w:sz w:val="28"/>
          <w:szCs w:val="28"/>
        </w:rPr>
        <w:t>,</w:t>
      </w:r>
      <w:r w:rsidR="004726E0" w:rsidRPr="000A59C4">
        <w:rPr>
          <w:rFonts w:ascii="Times New Roman" w:hAnsi="Times New Roman" w:cs="Times New Roman"/>
          <w:sz w:val="28"/>
          <w:szCs w:val="28"/>
        </w:rPr>
        <w:t xml:space="preserve"> care la 31.12.2017 constituie </w:t>
      </w:r>
      <w:r w:rsidR="004726E0" w:rsidRPr="000A59C4">
        <w:rPr>
          <w:rFonts w:ascii="Times New Roman" w:eastAsia="Times New Roman" w:hAnsi="Times New Roman" w:cs="Times New Roman"/>
          <w:sz w:val="28"/>
          <w:szCs w:val="28"/>
        </w:rPr>
        <w:t xml:space="preserve">385,8 mil.lei, fiind în creștere cu </w:t>
      </w:r>
      <w:r w:rsidR="004726E0" w:rsidRPr="000A59C4">
        <w:rPr>
          <w:rFonts w:ascii="Times New Roman" w:hAnsi="Times New Roman" w:cs="Times New Roman"/>
          <w:sz w:val="28"/>
          <w:szCs w:val="28"/>
        </w:rPr>
        <w:t>66,3 mil.lei față de anul 2016 și cu 78,6 mil</w:t>
      </w:r>
      <w:r w:rsidR="003C4C19" w:rsidRPr="000A59C4">
        <w:rPr>
          <w:rFonts w:ascii="Times New Roman" w:hAnsi="Times New Roman" w:cs="Times New Roman"/>
          <w:sz w:val="28"/>
          <w:szCs w:val="28"/>
        </w:rPr>
        <w:t>.</w:t>
      </w:r>
      <w:r w:rsidR="004726E0" w:rsidRPr="000A59C4">
        <w:rPr>
          <w:rFonts w:ascii="Times New Roman" w:hAnsi="Times New Roman" w:cs="Times New Roman"/>
          <w:sz w:val="28"/>
          <w:szCs w:val="28"/>
        </w:rPr>
        <w:t xml:space="preserve"> lei față de anul 2015.</w:t>
      </w:r>
    </w:p>
    <w:p w:rsidR="00266A26" w:rsidRPr="00C77119" w:rsidRDefault="00175939" w:rsidP="003C4B9E">
      <w:pPr>
        <w:pStyle w:val="Heading1"/>
        <w:spacing w:before="0" w:line="276" w:lineRule="auto"/>
        <w:jc w:val="both"/>
        <w:rPr>
          <w:rFonts w:ascii="Times New Roman" w:hAnsi="Times New Roman" w:cs="Times New Roman"/>
          <w:b/>
          <w:color w:val="auto"/>
          <w:sz w:val="28"/>
          <w:szCs w:val="28"/>
        </w:rPr>
      </w:pPr>
      <w:bookmarkStart w:id="16" w:name="_Toc515894893"/>
      <w:r w:rsidRPr="00C87733">
        <w:rPr>
          <w:rFonts w:ascii="Times New Roman" w:hAnsi="Times New Roman" w:cs="Times New Roman"/>
          <w:b/>
          <w:color w:val="auto"/>
          <w:sz w:val="28"/>
          <w:szCs w:val="28"/>
        </w:rPr>
        <w:t>3</w:t>
      </w:r>
      <w:r w:rsidR="00C947DA" w:rsidRPr="00C87733">
        <w:rPr>
          <w:rFonts w:ascii="Times New Roman" w:hAnsi="Times New Roman" w:cs="Times New Roman"/>
          <w:b/>
          <w:color w:val="auto"/>
          <w:sz w:val="28"/>
          <w:szCs w:val="28"/>
        </w:rPr>
        <w:t>.7</w:t>
      </w:r>
      <w:r w:rsidR="005772B2" w:rsidRPr="00C87733">
        <w:rPr>
          <w:rFonts w:ascii="Times New Roman" w:hAnsi="Times New Roman" w:cs="Times New Roman"/>
          <w:b/>
          <w:color w:val="auto"/>
          <w:sz w:val="28"/>
          <w:szCs w:val="28"/>
        </w:rPr>
        <w:t>.</w:t>
      </w:r>
      <w:bookmarkStart w:id="17" w:name="_Toc484003637"/>
      <w:r w:rsidR="005772B2" w:rsidRPr="00C87733">
        <w:rPr>
          <w:rFonts w:ascii="Times New Roman" w:hAnsi="Times New Roman" w:cs="Times New Roman"/>
          <w:b/>
          <w:color w:val="auto"/>
          <w:sz w:val="28"/>
          <w:szCs w:val="28"/>
        </w:rPr>
        <w:t xml:space="preserve"> Rezult</w:t>
      </w:r>
      <w:r w:rsidR="00266A26" w:rsidRPr="00C87733">
        <w:rPr>
          <w:rFonts w:ascii="Times New Roman" w:hAnsi="Times New Roman" w:cs="Times New Roman"/>
          <w:b/>
          <w:color w:val="auto"/>
          <w:sz w:val="28"/>
          <w:szCs w:val="28"/>
        </w:rPr>
        <w:t>at</w:t>
      </w:r>
      <w:r w:rsidR="005477BB" w:rsidRPr="00C87733">
        <w:rPr>
          <w:rFonts w:ascii="Times New Roman" w:hAnsi="Times New Roman" w:cs="Times New Roman"/>
          <w:b/>
          <w:color w:val="auto"/>
          <w:sz w:val="28"/>
          <w:szCs w:val="28"/>
        </w:rPr>
        <w:t>ele</w:t>
      </w:r>
      <w:r w:rsidR="00D10A5A" w:rsidRPr="00C77119">
        <w:rPr>
          <w:rFonts w:ascii="Times New Roman" w:hAnsi="Times New Roman" w:cs="Times New Roman"/>
          <w:b/>
          <w:color w:val="auto"/>
          <w:sz w:val="28"/>
          <w:szCs w:val="28"/>
        </w:rPr>
        <w:t xml:space="preserve"> controale</w:t>
      </w:r>
      <w:r w:rsidR="005477BB" w:rsidRPr="00C77119">
        <w:rPr>
          <w:rFonts w:ascii="Times New Roman" w:hAnsi="Times New Roman" w:cs="Times New Roman"/>
          <w:b/>
          <w:color w:val="auto"/>
          <w:sz w:val="28"/>
          <w:szCs w:val="28"/>
        </w:rPr>
        <w:t>lor</w:t>
      </w:r>
      <w:r w:rsidR="00266A26" w:rsidRPr="00C77119">
        <w:rPr>
          <w:rFonts w:ascii="Times New Roman" w:hAnsi="Times New Roman" w:cs="Times New Roman"/>
          <w:b/>
          <w:color w:val="auto"/>
          <w:sz w:val="28"/>
          <w:szCs w:val="28"/>
        </w:rPr>
        <w:t xml:space="preserve"> fiscale și </w:t>
      </w:r>
      <w:r w:rsidR="005772B2" w:rsidRPr="00C77119">
        <w:rPr>
          <w:rFonts w:ascii="Times New Roman" w:hAnsi="Times New Roman" w:cs="Times New Roman"/>
          <w:b/>
          <w:color w:val="auto"/>
          <w:sz w:val="28"/>
          <w:szCs w:val="28"/>
        </w:rPr>
        <w:t>vamale</w:t>
      </w:r>
      <w:r w:rsidR="005477BB" w:rsidRPr="00C77119">
        <w:rPr>
          <w:rFonts w:ascii="Times New Roman" w:hAnsi="Times New Roman" w:cs="Times New Roman"/>
          <w:b/>
          <w:color w:val="auto"/>
          <w:sz w:val="28"/>
          <w:szCs w:val="28"/>
        </w:rPr>
        <w:t xml:space="preserve"> și impactul acestora </w:t>
      </w:r>
      <w:r w:rsidR="00D10A5A" w:rsidRPr="00C77119">
        <w:rPr>
          <w:rFonts w:ascii="Times New Roman" w:hAnsi="Times New Roman" w:cs="Times New Roman"/>
          <w:b/>
          <w:color w:val="auto"/>
          <w:sz w:val="28"/>
          <w:szCs w:val="28"/>
        </w:rPr>
        <w:t>a</w:t>
      </w:r>
      <w:r w:rsidR="005477BB" w:rsidRPr="00C77119">
        <w:rPr>
          <w:rFonts w:ascii="Times New Roman" w:hAnsi="Times New Roman" w:cs="Times New Roman"/>
          <w:b/>
          <w:color w:val="auto"/>
          <w:sz w:val="28"/>
          <w:szCs w:val="28"/>
        </w:rPr>
        <w:t>supra</w:t>
      </w:r>
      <w:r w:rsidR="00D10A5A" w:rsidRPr="00C77119">
        <w:rPr>
          <w:rFonts w:ascii="Times New Roman" w:hAnsi="Times New Roman" w:cs="Times New Roman"/>
          <w:b/>
          <w:color w:val="auto"/>
          <w:sz w:val="28"/>
          <w:szCs w:val="28"/>
        </w:rPr>
        <w:t xml:space="preserve"> performanțelor</w:t>
      </w:r>
      <w:r w:rsidR="004C4AC6" w:rsidRPr="00C77119">
        <w:rPr>
          <w:rFonts w:ascii="Times New Roman" w:hAnsi="Times New Roman" w:cs="Times New Roman"/>
          <w:b/>
          <w:color w:val="auto"/>
          <w:sz w:val="28"/>
          <w:szCs w:val="28"/>
        </w:rPr>
        <w:t xml:space="preserve"> instituționale.</w:t>
      </w:r>
      <w:bookmarkEnd w:id="16"/>
    </w:p>
    <w:bookmarkEnd w:id="17"/>
    <w:p w:rsidR="00E048A3" w:rsidRDefault="005772B2" w:rsidP="00582AA1">
      <w:pPr>
        <w:spacing w:after="0" w:line="276" w:lineRule="auto"/>
        <w:ind w:firstLine="720"/>
        <w:jc w:val="both"/>
        <w:rPr>
          <w:rFonts w:ascii="Times New Roman" w:hAnsi="Times New Roman" w:cs="Times New Roman"/>
          <w:i/>
          <w:sz w:val="28"/>
          <w:szCs w:val="28"/>
        </w:rPr>
      </w:pPr>
      <w:r w:rsidRPr="001D0846">
        <w:rPr>
          <w:rFonts w:ascii="Times New Roman" w:eastAsia="Times New Roman" w:hAnsi="Times New Roman" w:cs="Times New Roman"/>
          <w:i/>
          <w:sz w:val="28"/>
          <w:szCs w:val="28"/>
          <w:lang w:eastAsia="ru-RU"/>
        </w:rPr>
        <w:t>În scopul prevenirii și combaterii evaziunii fiscale și vamale, precum și reducer</w:t>
      </w:r>
      <w:r w:rsidR="00C87733">
        <w:rPr>
          <w:rFonts w:ascii="Times New Roman" w:eastAsia="Times New Roman" w:hAnsi="Times New Roman" w:cs="Times New Roman"/>
          <w:i/>
          <w:sz w:val="28"/>
          <w:szCs w:val="28"/>
          <w:lang w:eastAsia="ru-RU"/>
        </w:rPr>
        <w:t>ii</w:t>
      </w:r>
      <w:r w:rsidRPr="001D0846">
        <w:rPr>
          <w:rFonts w:ascii="Times New Roman" w:eastAsia="Times New Roman" w:hAnsi="Times New Roman" w:cs="Times New Roman"/>
          <w:i/>
          <w:sz w:val="28"/>
          <w:szCs w:val="28"/>
          <w:lang w:eastAsia="ru-RU"/>
        </w:rPr>
        <w:t xml:space="preserve"> decalajului fiscal, SFS și SV urmau să asigure efectuarea controalelor fiscale și vamale, cu încasarea sumelor calculate suplimentar la BPN. </w:t>
      </w:r>
      <w:r w:rsidRPr="001D0846">
        <w:rPr>
          <w:rFonts w:ascii="Times New Roman" w:hAnsi="Times New Roman" w:cs="Times New Roman"/>
          <w:i/>
          <w:sz w:val="28"/>
          <w:szCs w:val="28"/>
        </w:rPr>
        <w:t xml:space="preserve">Deși organele fiscale și vamale </w:t>
      </w:r>
      <w:r w:rsidR="00E048A3" w:rsidRPr="001D0846">
        <w:rPr>
          <w:rFonts w:ascii="Times New Roman" w:hAnsi="Times New Roman" w:cs="Times New Roman"/>
          <w:i/>
          <w:sz w:val="28"/>
          <w:szCs w:val="28"/>
        </w:rPr>
        <w:t>au întreprins măsuri antievaziune</w:t>
      </w:r>
      <w:r w:rsidR="00C87733">
        <w:rPr>
          <w:rFonts w:ascii="Times New Roman" w:hAnsi="Times New Roman" w:cs="Times New Roman"/>
          <w:i/>
          <w:sz w:val="28"/>
          <w:szCs w:val="28"/>
        </w:rPr>
        <w:t>,</w:t>
      </w:r>
      <w:r w:rsidR="00E048A3" w:rsidRPr="001D0846">
        <w:rPr>
          <w:rFonts w:ascii="Times New Roman" w:hAnsi="Times New Roman" w:cs="Times New Roman"/>
          <w:i/>
          <w:sz w:val="28"/>
          <w:szCs w:val="28"/>
        </w:rPr>
        <w:t xml:space="preserve"> înregistr</w:t>
      </w:r>
      <w:r w:rsidR="00C87733">
        <w:rPr>
          <w:rFonts w:ascii="Times New Roman" w:hAnsi="Times New Roman" w:cs="Times New Roman"/>
          <w:i/>
          <w:sz w:val="28"/>
          <w:szCs w:val="28"/>
        </w:rPr>
        <w:t>â</w:t>
      </w:r>
      <w:r w:rsidR="00E048A3" w:rsidRPr="001D0846">
        <w:rPr>
          <w:rFonts w:ascii="Times New Roman" w:hAnsi="Times New Roman" w:cs="Times New Roman"/>
          <w:i/>
          <w:sz w:val="28"/>
          <w:szCs w:val="28"/>
        </w:rPr>
        <w:t xml:space="preserve">nd rezultate în acest domeniu, au modernizat și actualizat procesele de control </w:t>
      </w:r>
      <w:r w:rsidRPr="001D0846">
        <w:rPr>
          <w:rFonts w:ascii="Times New Roman" w:hAnsi="Times New Roman" w:cs="Times New Roman"/>
          <w:i/>
          <w:sz w:val="28"/>
          <w:szCs w:val="28"/>
        </w:rPr>
        <w:t xml:space="preserve">fiscal și vamal, prin îmbunătățirea cadrului normativ-metodologic de planificare și organizare a activităților de control, modernizarea criteriilor de selectivitate </w:t>
      </w:r>
      <w:r w:rsidRPr="001D0846">
        <w:rPr>
          <w:rFonts w:ascii="Times New Roman" w:hAnsi="Times New Roman"/>
          <w:i/>
          <w:sz w:val="28"/>
          <w:szCs w:val="28"/>
          <w:lang w:eastAsia="zh-CN"/>
        </w:rPr>
        <w:t>bazate pe procedee de analiză a riscurilor</w:t>
      </w:r>
      <w:r w:rsidRPr="001D0846">
        <w:rPr>
          <w:rFonts w:ascii="Times New Roman" w:hAnsi="Times New Roman" w:cs="Times New Roman"/>
          <w:i/>
          <w:sz w:val="28"/>
          <w:szCs w:val="28"/>
        </w:rPr>
        <w:t>,</w:t>
      </w:r>
      <w:r w:rsidR="00E048A3" w:rsidRPr="001D0846">
        <w:rPr>
          <w:rFonts w:ascii="Times New Roman" w:hAnsi="Times New Roman" w:cs="Times New Roman"/>
          <w:i/>
          <w:sz w:val="28"/>
          <w:szCs w:val="28"/>
        </w:rPr>
        <w:t xml:space="preserve"> auditul </w:t>
      </w:r>
      <w:r w:rsidR="00C87733">
        <w:rPr>
          <w:rFonts w:ascii="Times New Roman" w:hAnsi="Times New Roman" w:cs="Times New Roman"/>
          <w:i/>
          <w:sz w:val="28"/>
          <w:szCs w:val="28"/>
        </w:rPr>
        <w:t xml:space="preserve">a </w:t>
      </w:r>
      <w:r w:rsidR="00E048A3" w:rsidRPr="001D0846">
        <w:rPr>
          <w:rFonts w:ascii="Times New Roman" w:hAnsi="Times New Roman" w:cs="Times New Roman"/>
          <w:i/>
          <w:sz w:val="28"/>
          <w:szCs w:val="28"/>
        </w:rPr>
        <w:t>constat</w:t>
      </w:r>
      <w:r w:rsidR="00C87733">
        <w:rPr>
          <w:rFonts w:ascii="Times New Roman" w:hAnsi="Times New Roman" w:cs="Times New Roman"/>
          <w:i/>
          <w:sz w:val="28"/>
          <w:szCs w:val="28"/>
        </w:rPr>
        <w:t>at</w:t>
      </w:r>
      <w:r w:rsidR="00E048A3" w:rsidRPr="001D0846">
        <w:rPr>
          <w:rFonts w:ascii="Times New Roman" w:hAnsi="Times New Roman" w:cs="Times New Roman"/>
          <w:i/>
          <w:sz w:val="28"/>
          <w:szCs w:val="28"/>
        </w:rPr>
        <w:t xml:space="preserve"> lipsa </w:t>
      </w:r>
      <w:r w:rsidR="00502828" w:rsidRPr="001D0846">
        <w:rPr>
          <w:rFonts w:ascii="Times New Roman" w:hAnsi="Times New Roman" w:cs="Times New Roman"/>
          <w:i/>
          <w:sz w:val="28"/>
          <w:szCs w:val="28"/>
        </w:rPr>
        <w:t>unei metodologii deestimare</w:t>
      </w:r>
      <w:r w:rsidR="00C15E18" w:rsidRPr="001D0846">
        <w:rPr>
          <w:rFonts w:ascii="Times New Roman" w:hAnsi="Times New Roman" w:cs="Times New Roman"/>
          <w:i/>
          <w:sz w:val="28"/>
          <w:szCs w:val="28"/>
        </w:rPr>
        <w:t xml:space="preserve"> a</w:t>
      </w:r>
      <w:r w:rsidR="00E048A3" w:rsidRPr="001D0846">
        <w:rPr>
          <w:rFonts w:ascii="Times New Roman" w:hAnsi="Times New Roman" w:cs="Times New Roman"/>
          <w:i/>
          <w:sz w:val="28"/>
          <w:szCs w:val="28"/>
        </w:rPr>
        <w:t xml:space="preserve"> evaziunii fiscale</w:t>
      </w:r>
      <w:r w:rsidR="00C87733">
        <w:rPr>
          <w:rFonts w:ascii="Times New Roman" w:hAnsi="Times New Roman" w:cs="Times New Roman"/>
          <w:i/>
          <w:sz w:val="28"/>
          <w:szCs w:val="28"/>
        </w:rPr>
        <w:t>,</w:t>
      </w:r>
      <w:r w:rsidR="00E048A3" w:rsidRPr="001D0846">
        <w:rPr>
          <w:rFonts w:ascii="Times New Roman" w:hAnsi="Times New Roman" w:cs="Times New Roman"/>
          <w:i/>
          <w:sz w:val="28"/>
          <w:szCs w:val="28"/>
        </w:rPr>
        <w:t xml:space="preserve"> precum și nerealizarea unor performanțe </w:t>
      </w:r>
      <w:r w:rsidRPr="001D0846">
        <w:rPr>
          <w:rFonts w:ascii="Times New Roman" w:hAnsi="Times New Roman" w:cs="Times New Roman"/>
          <w:i/>
          <w:sz w:val="28"/>
          <w:szCs w:val="28"/>
        </w:rPr>
        <w:t>stabilite în activitatea de control</w:t>
      </w:r>
      <w:r w:rsidR="00E048A3" w:rsidRPr="001D0846">
        <w:rPr>
          <w:rFonts w:ascii="Times New Roman" w:hAnsi="Times New Roman" w:cs="Times New Roman"/>
          <w:i/>
          <w:sz w:val="28"/>
          <w:szCs w:val="28"/>
        </w:rPr>
        <w:t>,</w:t>
      </w:r>
      <w:r w:rsidRPr="001D0846">
        <w:rPr>
          <w:rFonts w:ascii="Times New Roman" w:hAnsi="Times New Roman" w:cs="Times New Roman"/>
          <w:i/>
          <w:sz w:val="28"/>
          <w:szCs w:val="28"/>
        </w:rPr>
        <w:t>fapt care are impact asupra eficienței și eficacității administrării fiscale și vamale. Cele mențio</w:t>
      </w:r>
      <w:r w:rsidR="00582AA1">
        <w:rPr>
          <w:rFonts w:ascii="Times New Roman" w:hAnsi="Times New Roman" w:cs="Times New Roman"/>
          <w:i/>
          <w:sz w:val="28"/>
          <w:szCs w:val="28"/>
        </w:rPr>
        <w:t xml:space="preserve">nate </w:t>
      </w:r>
      <w:r w:rsidR="00582AA1" w:rsidRPr="00B172B4">
        <w:rPr>
          <w:rFonts w:ascii="Times New Roman" w:hAnsi="Times New Roman" w:cs="Times New Roman"/>
          <w:i/>
          <w:sz w:val="28"/>
          <w:szCs w:val="28"/>
        </w:rPr>
        <w:t xml:space="preserve">sunt </w:t>
      </w:r>
      <w:r w:rsidR="00582AA1" w:rsidRPr="00B172B4">
        <w:rPr>
          <w:rFonts w:ascii="Times New Roman" w:hAnsi="Times New Roman" w:cs="Times New Roman"/>
          <w:i/>
          <w:sz w:val="28"/>
          <w:szCs w:val="28"/>
        </w:rPr>
        <w:lastRenderedPageBreak/>
        <w:t>cauzate</w:t>
      </w:r>
      <w:r w:rsidR="00BD1E54">
        <w:rPr>
          <w:rFonts w:ascii="Times New Roman" w:hAnsi="Times New Roman" w:cs="Times New Roman"/>
          <w:i/>
          <w:sz w:val="28"/>
          <w:szCs w:val="28"/>
        </w:rPr>
        <w:t>,</w:t>
      </w:r>
      <w:r w:rsidR="00582AA1">
        <w:rPr>
          <w:rFonts w:ascii="Times New Roman" w:hAnsi="Times New Roman" w:cs="Times New Roman"/>
          <w:i/>
          <w:sz w:val="28"/>
          <w:szCs w:val="28"/>
        </w:rPr>
        <w:t xml:space="preserve"> în special</w:t>
      </w:r>
      <w:r w:rsidR="00BD1E54">
        <w:rPr>
          <w:rFonts w:ascii="Times New Roman" w:hAnsi="Times New Roman" w:cs="Times New Roman"/>
          <w:i/>
          <w:sz w:val="28"/>
          <w:szCs w:val="28"/>
        </w:rPr>
        <w:t>,</w:t>
      </w:r>
      <w:r w:rsidR="00582AA1">
        <w:rPr>
          <w:rFonts w:ascii="Times New Roman" w:hAnsi="Times New Roman" w:cs="Times New Roman"/>
          <w:i/>
          <w:sz w:val="28"/>
          <w:szCs w:val="28"/>
        </w:rPr>
        <w:t xml:space="preserve"> de rezervele stabilite în procesul de monitorizare a activității de control și încasare a sumelor calculate/recalculate, </w:t>
      </w:r>
    </w:p>
    <w:p w:rsidR="00582AA1" w:rsidRPr="00582AA1" w:rsidRDefault="00582AA1" w:rsidP="00582AA1">
      <w:pPr>
        <w:spacing w:after="0" w:line="276" w:lineRule="auto"/>
        <w:jc w:val="both"/>
        <w:rPr>
          <w:rFonts w:ascii="Times New Roman" w:hAnsi="Times New Roman" w:cs="Times New Roman"/>
          <w:i/>
          <w:sz w:val="28"/>
          <w:szCs w:val="28"/>
        </w:rPr>
      </w:pPr>
      <w:r w:rsidRPr="00582AA1">
        <w:rPr>
          <w:rFonts w:ascii="Times New Roman" w:hAnsi="Times New Roman" w:cs="Times New Roman"/>
          <w:i/>
          <w:sz w:val="28"/>
          <w:szCs w:val="28"/>
        </w:rPr>
        <w:t xml:space="preserve">precum </w:t>
      </w:r>
      <w:r w:rsidRPr="000A59C4">
        <w:rPr>
          <w:rFonts w:ascii="Times New Roman" w:hAnsi="Times New Roman" w:cs="Times New Roman"/>
          <w:i/>
          <w:sz w:val="28"/>
          <w:szCs w:val="28"/>
        </w:rPr>
        <w:t>și</w:t>
      </w:r>
      <w:r w:rsidR="00D84626" w:rsidRPr="000A59C4">
        <w:rPr>
          <w:rFonts w:ascii="Times New Roman" w:hAnsi="Times New Roman" w:cs="Times New Roman"/>
          <w:i/>
          <w:sz w:val="28"/>
          <w:szCs w:val="28"/>
        </w:rPr>
        <w:t xml:space="preserve">de </w:t>
      </w:r>
      <w:r w:rsidRPr="000A59C4">
        <w:rPr>
          <w:rFonts w:ascii="Times New Roman" w:hAnsi="Times New Roman" w:cs="Times New Roman"/>
          <w:i/>
          <w:sz w:val="28"/>
          <w:szCs w:val="28"/>
        </w:rPr>
        <w:t>anularea unor calcule suplimentare la buget în urma examinării contestațiilor/cererilor</w:t>
      </w:r>
      <w:r w:rsidRPr="00582AA1">
        <w:rPr>
          <w:rFonts w:ascii="Times New Roman" w:hAnsi="Times New Roman" w:cs="Times New Roman"/>
          <w:i/>
          <w:sz w:val="28"/>
          <w:szCs w:val="28"/>
        </w:rPr>
        <w:t xml:space="preserve"> de chemare în judecată</w:t>
      </w:r>
      <w:r w:rsidR="00D84626">
        <w:rPr>
          <w:rFonts w:ascii="Times New Roman" w:hAnsi="Times New Roman" w:cs="Times New Roman"/>
          <w:i/>
          <w:sz w:val="28"/>
          <w:szCs w:val="28"/>
        </w:rPr>
        <w:t>,</w:t>
      </w:r>
      <w:r w:rsidRPr="00582AA1">
        <w:rPr>
          <w:rFonts w:ascii="Times New Roman" w:hAnsi="Times New Roman" w:cs="Times New Roman"/>
          <w:i/>
          <w:sz w:val="28"/>
          <w:szCs w:val="28"/>
        </w:rPr>
        <w:t xml:space="preserve"> depuse de contribuabili și plătitorii vamali.</w:t>
      </w:r>
    </w:p>
    <w:p w:rsidR="005772B2" w:rsidRPr="001D0846" w:rsidRDefault="00582AA1" w:rsidP="00A9359B">
      <w:pPr>
        <w:spacing w:after="0" w:line="276" w:lineRule="auto"/>
        <w:ind w:firstLine="709"/>
        <w:jc w:val="both"/>
        <w:rPr>
          <w:rFonts w:ascii="Times New Roman" w:hAnsi="Times New Roman" w:cs="Times New Roman"/>
          <w:i/>
          <w:sz w:val="28"/>
          <w:szCs w:val="28"/>
        </w:rPr>
      </w:pPr>
      <w:r w:rsidRPr="00582AA1">
        <w:rPr>
          <w:rFonts w:ascii="Times New Roman" w:hAnsi="Times New Roman" w:cs="Times New Roman"/>
          <w:b/>
          <w:i/>
          <w:color w:val="000000" w:themeColor="text1"/>
          <w:sz w:val="28"/>
          <w:szCs w:val="28"/>
        </w:rPr>
        <w:t>3.7.1.</w:t>
      </w:r>
      <w:r w:rsidR="005772B2" w:rsidRPr="001D0846">
        <w:rPr>
          <w:rFonts w:ascii="Times New Roman" w:eastAsia="Times New Roman" w:hAnsi="Times New Roman"/>
          <w:sz w:val="28"/>
          <w:szCs w:val="28"/>
          <w:lang w:eastAsia="ru-RU"/>
        </w:rPr>
        <w:t>În anul 2017</w:t>
      </w:r>
      <w:r w:rsidR="003F314B" w:rsidRPr="001D0846">
        <w:rPr>
          <w:rFonts w:ascii="Times New Roman" w:eastAsia="Times New Roman" w:hAnsi="Times New Roman"/>
          <w:sz w:val="28"/>
          <w:szCs w:val="28"/>
          <w:lang w:eastAsia="ru-RU"/>
        </w:rPr>
        <w:t>,</w:t>
      </w:r>
      <w:r w:rsidR="005772B2" w:rsidRPr="001D0846">
        <w:rPr>
          <w:rFonts w:ascii="Times New Roman" w:eastAsia="Times New Roman" w:hAnsi="Times New Roman"/>
          <w:sz w:val="28"/>
          <w:szCs w:val="28"/>
          <w:lang w:eastAsia="ru-RU"/>
        </w:rPr>
        <w:t xml:space="preserve"> SFS a efectuat în total 43843 controale fiscale</w:t>
      </w:r>
      <w:r w:rsidR="00DB5073">
        <w:rPr>
          <w:rFonts w:ascii="Times New Roman" w:eastAsia="Times New Roman" w:hAnsi="Times New Roman"/>
          <w:sz w:val="28"/>
          <w:szCs w:val="28"/>
          <w:lang w:eastAsia="ru-RU"/>
        </w:rPr>
        <w:t xml:space="preserve"> (</w:t>
      </w:r>
      <w:r w:rsidR="005772B2" w:rsidRPr="001D0846">
        <w:rPr>
          <w:rFonts w:ascii="Times New Roman" w:eastAsia="Times New Roman" w:hAnsi="Times New Roman"/>
          <w:sz w:val="28"/>
          <w:szCs w:val="28"/>
          <w:lang w:eastAsia="ru-RU"/>
        </w:rPr>
        <w:t xml:space="preserve">cu 2,5 %, sau </w:t>
      </w:r>
      <w:r w:rsidR="00DB5073">
        <w:rPr>
          <w:rFonts w:ascii="Times New Roman" w:eastAsia="Times New Roman" w:hAnsi="Times New Roman"/>
          <w:sz w:val="28"/>
          <w:szCs w:val="28"/>
          <w:lang w:eastAsia="ru-RU"/>
        </w:rPr>
        <w:t xml:space="preserve">cu </w:t>
      </w:r>
      <w:r w:rsidR="005772B2" w:rsidRPr="001D0846">
        <w:rPr>
          <w:rFonts w:ascii="Times New Roman" w:eastAsia="Times New Roman" w:hAnsi="Times New Roman"/>
          <w:sz w:val="28"/>
          <w:szCs w:val="28"/>
          <w:lang w:eastAsia="ru-RU"/>
        </w:rPr>
        <w:t>1088 controale</w:t>
      </w:r>
      <w:r w:rsidR="00DB5073">
        <w:rPr>
          <w:rFonts w:ascii="Times New Roman" w:eastAsia="Times New Roman" w:hAnsi="Times New Roman"/>
          <w:sz w:val="28"/>
          <w:szCs w:val="28"/>
          <w:lang w:eastAsia="ru-RU"/>
        </w:rPr>
        <w:t xml:space="preserve">,mai mult </w:t>
      </w:r>
      <w:r w:rsidR="005772B2" w:rsidRPr="001D0846">
        <w:rPr>
          <w:rFonts w:ascii="Times New Roman" w:eastAsia="Times New Roman" w:hAnsi="Times New Roman"/>
          <w:sz w:val="28"/>
          <w:szCs w:val="28"/>
          <w:lang w:eastAsia="ru-RU"/>
        </w:rPr>
        <w:t>față de anul 2016 și cu 23%</w:t>
      </w:r>
      <w:r w:rsidR="00DB5073">
        <w:rPr>
          <w:rFonts w:ascii="Times New Roman" w:eastAsia="Times New Roman" w:hAnsi="Times New Roman"/>
          <w:sz w:val="28"/>
          <w:szCs w:val="28"/>
          <w:lang w:eastAsia="ru-RU"/>
        </w:rPr>
        <w:t>,</w:t>
      </w:r>
      <w:r w:rsidR="005772B2" w:rsidRPr="001D0846">
        <w:rPr>
          <w:rFonts w:ascii="Times New Roman" w:eastAsia="Times New Roman" w:hAnsi="Times New Roman"/>
          <w:sz w:val="28"/>
          <w:szCs w:val="28"/>
          <w:lang w:eastAsia="ru-RU"/>
        </w:rPr>
        <w:t xml:space="preserve"> sau </w:t>
      </w:r>
      <w:r w:rsidR="00DB5073">
        <w:rPr>
          <w:rFonts w:ascii="Times New Roman" w:eastAsia="Times New Roman" w:hAnsi="Times New Roman"/>
          <w:sz w:val="28"/>
          <w:szCs w:val="28"/>
          <w:lang w:eastAsia="ru-RU"/>
        </w:rPr>
        <w:t xml:space="preserve">cu </w:t>
      </w:r>
      <w:r w:rsidR="005772B2" w:rsidRPr="001D0846">
        <w:rPr>
          <w:rFonts w:ascii="Times New Roman" w:eastAsia="Times New Roman" w:hAnsi="Times New Roman"/>
          <w:sz w:val="28"/>
          <w:szCs w:val="28"/>
          <w:lang w:eastAsia="ru-RU"/>
        </w:rPr>
        <w:t>13093 controale</w:t>
      </w:r>
      <w:r w:rsidR="00DB5073">
        <w:rPr>
          <w:rFonts w:ascii="Times New Roman" w:eastAsia="Times New Roman" w:hAnsi="Times New Roman"/>
          <w:sz w:val="28"/>
          <w:szCs w:val="28"/>
          <w:lang w:eastAsia="ru-RU"/>
        </w:rPr>
        <w:t>,</w:t>
      </w:r>
      <w:r w:rsidR="00DB5073" w:rsidRPr="001D0846">
        <w:rPr>
          <w:rFonts w:ascii="Times New Roman" w:eastAsia="Times New Roman" w:hAnsi="Times New Roman"/>
          <w:sz w:val="28"/>
          <w:szCs w:val="28"/>
          <w:lang w:eastAsia="ru-RU"/>
        </w:rPr>
        <w:t xml:space="preserve">mai puțin </w:t>
      </w:r>
      <w:r w:rsidR="005772B2" w:rsidRPr="001D0846">
        <w:rPr>
          <w:rFonts w:ascii="Times New Roman" w:eastAsia="Times New Roman" w:hAnsi="Times New Roman"/>
          <w:sz w:val="28"/>
          <w:szCs w:val="28"/>
          <w:lang w:eastAsia="ru-RU"/>
        </w:rPr>
        <w:t>față de anul 2015</w:t>
      </w:r>
      <w:r w:rsidR="00DB5073">
        <w:rPr>
          <w:rFonts w:ascii="Times New Roman" w:eastAsia="Times New Roman" w:hAnsi="Times New Roman"/>
          <w:sz w:val="28"/>
          <w:szCs w:val="28"/>
          <w:lang w:eastAsia="ru-RU"/>
        </w:rPr>
        <w:t>)</w:t>
      </w:r>
      <w:r w:rsidR="005772B2" w:rsidRPr="001D0846">
        <w:rPr>
          <w:rFonts w:ascii="Times New Roman" w:eastAsia="Times New Roman" w:hAnsi="Times New Roman"/>
          <w:sz w:val="28"/>
          <w:szCs w:val="28"/>
          <w:lang w:eastAsia="ru-RU"/>
        </w:rPr>
        <w:t>. Totodată, sumele calculate suplimentar la buget</w:t>
      </w:r>
      <w:r w:rsidR="005772B2" w:rsidRPr="001D0846">
        <w:rPr>
          <w:rFonts w:ascii="Times New Roman" w:hAnsi="Times New Roman"/>
          <w:sz w:val="28"/>
          <w:szCs w:val="28"/>
        </w:rPr>
        <w:t xml:space="preserve"> în anul 2017 în urma controalelor fiscale au înregistrat o scădere cu 29,4%, sau cu 852,1 mil.lei</w:t>
      </w:r>
      <w:r w:rsidR="00DB5073">
        <w:rPr>
          <w:rFonts w:ascii="Times New Roman" w:hAnsi="Times New Roman"/>
          <w:sz w:val="28"/>
          <w:szCs w:val="28"/>
        </w:rPr>
        <w:t>,</w:t>
      </w:r>
      <w:r w:rsidR="005772B2" w:rsidRPr="001D0846">
        <w:rPr>
          <w:rFonts w:ascii="Times New Roman" w:hAnsi="Times New Roman"/>
          <w:sz w:val="28"/>
          <w:szCs w:val="28"/>
        </w:rPr>
        <w:t xml:space="preserve"> față de anul 2016 și o creștere cu 20,1%, sau cu 410,2 mil.lei</w:t>
      </w:r>
      <w:r w:rsidR="00DB5073">
        <w:rPr>
          <w:rFonts w:ascii="Times New Roman" w:hAnsi="Times New Roman"/>
          <w:sz w:val="28"/>
          <w:szCs w:val="28"/>
        </w:rPr>
        <w:t>,</w:t>
      </w:r>
      <w:r w:rsidR="005772B2" w:rsidRPr="001D0846">
        <w:rPr>
          <w:rFonts w:ascii="Times New Roman" w:hAnsi="Times New Roman"/>
          <w:sz w:val="28"/>
          <w:szCs w:val="28"/>
        </w:rPr>
        <w:t xml:space="preserve"> față de anul 2015. Ponderea controalelor rezultative în totalul controalelor fiscale efectuate în anul 2017 a constituit 62,3 %, fiind în creștere cu 1,7 p.p. față de anul 2016 (60,7%) și cu 4,2 p.p. față de anul 2015 (58,1%).</w:t>
      </w:r>
    </w:p>
    <w:p w:rsidR="005772B2" w:rsidRPr="001D0846" w:rsidRDefault="005772B2" w:rsidP="00175939">
      <w:pPr>
        <w:pStyle w:val="ListParagraph"/>
        <w:tabs>
          <w:tab w:val="left" w:pos="0"/>
        </w:tabs>
        <w:spacing w:after="0" w:line="276" w:lineRule="auto"/>
        <w:ind w:left="0" w:firstLine="709"/>
        <w:jc w:val="both"/>
        <w:rPr>
          <w:rFonts w:ascii="Times New Roman" w:hAnsi="Times New Roman"/>
          <w:sz w:val="28"/>
          <w:szCs w:val="28"/>
        </w:rPr>
      </w:pPr>
      <w:r w:rsidRPr="001D0846">
        <w:rPr>
          <w:rFonts w:ascii="Times New Roman" w:hAnsi="Times New Roman"/>
          <w:sz w:val="28"/>
          <w:szCs w:val="28"/>
        </w:rPr>
        <w:tab/>
        <w:t>Auditul relevă un nivel redus de încasare la BPN a sumelor calculate suplimentar în rezultatul controalelor. Astfel, în anul 2017</w:t>
      </w:r>
      <w:r w:rsidR="00880F92">
        <w:rPr>
          <w:rFonts w:ascii="Times New Roman" w:hAnsi="Times New Roman"/>
          <w:sz w:val="28"/>
          <w:szCs w:val="28"/>
        </w:rPr>
        <w:t>,</w:t>
      </w:r>
      <w:r w:rsidRPr="001D0846">
        <w:rPr>
          <w:rFonts w:ascii="Times New Roman" w:hAnsi="Times New Roman"/>
          <w:sz w:val="28"/>
          <w:szCs w:val="28"/>
        </w:rPr>
        <w:t xml:space="preserve"> din totalul sumelor calculate (2045,6 mil.lei) au fost încasate 214,2 mil. lei, sau 10,5%, în anul 2016 </w:t>
      </w:r>
      <w:r w:rsidR="00880F92">
        <w:rPr>
          <w:rFonts w:ascii="Times New Roman" w:hAnsi="Times New Roman"/>
          <w:sz w:val="28"/>
          <w:szCs w:val="28"/>
        </w:rPr>
        <w:t>–respectiv,</w:t>
      </w:r>
      <w:r w:rsidRPr="001D0846">
        <w:rPr>
          <w:rFonts w:ascii="Times New Roman" w:hAnsi="Times New Roman"/>
          <w:sz w:val="28"/>
          <w:szCs w:val="28"/>
        </w:rPr>
        <w:t xml:space="preserve">112,8 mil.lei, sau 3,9 % din totalul de 2897,6 mil.lei, iar în anul 2015 </w:t>
      </w:r>
      <w:r w:rsidR="00E76BB8" w:rsidRPr="001D0846">
        <w:rPr>
          <w:rFonts w:ascii="Times New Roman" w:hAnsi="Times New Roman"/>
          <w:sz w:val="28"/>
          <w:szCs w:val="28"/>
        </w:rPr>
        <w:t>–</w:t>
      </w:r>
      <w:r w:rsidRPr="001D0846">
        <w:rPr>
          <w:rFonts w:ascii="Times New Roman" w:hAnsi="Times New Roman"/>
          <w:sz w:val="28"/>
          <w:szCs w:val="28"/>
        </w:rPr>
        <w:t xml:space="preserve"> 133</w:t>
      </w:r>
      <w:r w:rsidR="00E76BB8" w:rsidRPr="001D0846">
        <w:rPr>
          <w:rFonts w:ascii="Times New Roman" w:hAnsi="Times New Roman"/>
          <w:sz w:val="28"/>
          <w:szCs w:val="28"/>
        </w:rPr>
        <w:t>,0</w:t>
      </w:r>
      <w:r w:rsidRPr="001D0846">
        <w:rPr>
          <w:rFonts w:ascii="Times New Roman" w:hAnsi="Times New Roman"/>
          <w:sz w:val="28"/>
          <w:szCs w:val="28"/>
        </w:rPr>
        <w:t xml:space="preserve"> mil.lei, sau 9% din totalul de </w:t>
      </w:r>
      <w:r w:rsidR="00E10E2E" w:rsidRPr="001D0846">
        <w:rPr>
          <w:rFonts w:ascii="Times New Roman" w:hAnsi="Times New Roman"/>
          <w:sz w:val="28"/>
          <w:szCs w:val="28"/>
        </w:rPr>
        <w:t>1470,21</w:t>
      </w:r>
      <w:r w:rsidRPr="001D0846">
        <w:rPr>
          <w:rFonts w:ascii="Times New Roman" w:hAnsi="Times New Roman"/>
          <w:sz w:val="28"/>
          <w:szCs w:val="28"/>
        </w:rPr>
        <w:t xml:space="preserve"> mil.lei. </w:t>
      </w:r>
      <w:r w:rsidR="00880F92">
        <w:rPr>
          <w:rFonts w:ascii="Times New Roman" w:hAnsi="Times New Roman"/>
          <w:sz w:val="28"/>
          <w:szCs w:val="28"/>
        </w:rPr>
        <w:t>Se</w:t>
      </w:r>
      <w:r w:rsidR="007F0BDA" w:rsidRPr="001D0846">
        <w:rPr>
          <w:rFonts w:ascii="Times New Roman" w:hAnsi="Times New Roman"/>
          <w:sz w:val="28"/>
          <w:szCs w:val="28"/>
        </w:rPr>
        <w:t xml:space="preserve"> me</w:t>
      </w:r>
      <w:r w:rsidR="00880F92">
        <w:rPr>
          <w:rFonts w:ascii="Times New Roman" w:hAnsi="Times New Roman"/>
          <w:sz w:val="28"/>
          <w:szCs w:val="28"/>
        </w:rPr>
        <w:t>n</w:t>
      </w:r>
      <w:r w:rsidR="007F0BDA" w:rsidRPr="001D0846">
        <w:rPr>
          <w:rFonts w:ascii="Times New Roman" w:hAnsi="Times New Roman"/>
          <w:sz w:val="28"/>
          <w:szCs w:val="28"/>
        </w:rPr>
        <w:t xml:space="preserve">ționează că în totalul sumelor calculate suplimentar la buget se includ și calcule cu </w:t>
      </w:r>
      <w:r w:rsidR="00C65598">
        <w:rPr>
          <w:rFonts w:ascii="Times New Roman" w:hAnsi="Times New Roman"/>
          <w:sz w:val="28"/>
          <w:szCs w:val="28"/>
        </w:rPr>
        <w:t>grad</w:t>
      </w:r>
      <w:r w:rsidR="007F0BDA" w:rsidRPr="001D0846">
        <w:rPr>
          <w:rFonts w:ascii="Times New Roman" w:hAnsi="Times New Roman"/>
          <w:sz w:val="28"/>
          <w:szCs w:val="28"/>
        </w:rPr>
        <w:t xml:space="preserve"> redus de recuperare (</w:t>
      </w:r>
      <w:r w:rsidR="00C65598">
        <w:rPr>
          <w:rFonts w:ascii="Times New Roman" w:hAnsi="Times New Roman"/>
          <w:sz w:val="28"/>
          <w:szCs w:val="28"/>
        </w:rPr>
        <w:t>estimări prin metode și surse indirecte</w:t>
      </w:r>
      <w:r w:rsidR="007F0BDA" w:rsidRPr="001D0846">
        <w:rPr>
          <w:rFonts w:ascii="Times New Roman" w:hAnsi="Times New Roman"/>
          <w:sz w:val="28"/>
          <w:szCs w:val="28"/>
        </w:rPr>
        <w:t>, sumele calculate în proces de insolvabilitate).</w:t>
      </w:r>
    </w:p>
    <w:p w:rsidR="005772B2" w:rsidRPr="001D0846" w:rsidRDefault="005772B2" w:rsidP="00175939">
      <w:pPr>
        <w:pStyle w:val="ListParagraph"/>
        <w:tabs>
          <w:tab w:val="left" w:pos="0"/>
        </w:tabs>
        <w:spacing w:after="0" w:line="276" w:lineRule="auto"/>
        <w:ind w:left="0" w:firstLine="709"/>
        <w:jc w:val="both"/>
        <w:rPr>
          <w:rFonts w:ascii="Times New Roman" w:hAnsi="Times New Roman"/>
          <w:sz w:val="28"/>
          <w:szCs w:val="28"/>
        </w:rPr>
      </w:pPr>
      <w:r w:rsidRPr="001D0846">
        <w:rPr>
          <w:rFonts w:ascii="Times New Roman" w:hAnsi="Times New Roman"/>
          <w:sz w:val="28"/>
          <w:szCs w:val="28"/>
        </w:rPr>
        <w:tab/>
        <w:t>De asemenea, în cadrul controalelor fiscale efectuate de către SFS în anul 2017 au fost întocmite 18377 de procese-verbale contravenționale</w:t>
      </w:r>
      <w:r w:rsidR="00880F92">
        <w:rPr>
          <w:rFonts w:ascii="Times New Roman" w:hAnsi="Times New Roman"/>
          <w:sz w:val="28"/>
          <w:szCs w:val="28"/>
        </w:rPr>
        <w:t>,</w:t>
      </w:r>
      <w:r w:rsidRPr="001D0846">
        <w:rPr>
          <w:rFonts w:ascii="Times New Roman" w:hAnsi="Times New Roman"/>
          <w:sz w:val="28"/>
          <w:szCs w:val="28"/>
        </w:rPr>
        <w:t xml:space="preserve"> cu aplicarea sancțiunilor în valoare totală de 17</w:t>
      </w:r>
      <w:r w:rsidR="00880F92">
        <w:rPr>
          <w:rFonts w:ascii="Times New Roman" w:hAnsi="Times New Roman"/>
          <w:sz w:val="28"/>
          <w:szCs w:val="28"/>
        </w:rPr>
        <w:t>,0</w:t>
      </w:r>
      <w:r w:rsidRPr="001D0846">
        <w:rPr>
          <w:rFonts w:ascii="Times New Roman" w:hAnsi="Times New Roman"/>
          <w:sz w:val="28"/>
          <w:szCs w:val="28"/>
        </w:rPr>
        <w:t xml:space="preserve"> mil.lei, fiind încasate în buget 8,5 mil.lei</w:t>
      </w:r>
      <w:r w:rsidR="00880F92">
        <w:rPr>
          <w:rFonts w:ascii="Times New Roman" w:hAnsi="Times New Roman"/>
          <w:sz w:val="28"/>
          <w:szCs w:val="28"/>
        </w:rPr>
        <w:t>,</w:t>
      </w:r>
      <w:r w:rsidRPr="001D0846">
        <w:rPr>
          <w:rFonts w:ascii="Times New Roman" w:hAnsi="Times New Roman"/>
          <w:sz w:val="28"/>
          <w:szCs w:val="28"/>
        </w:rPr>
        <w:t xml:space="preserve"> sau 50% din totalul sumelor calculate. Analogic, în </w:t>
      </w:r>
      <w:r w:rsidR="00880F92">
        <w:rPr>
          <w:rFonts w:ascii="Times New Roman" w:hAnsi="Times New Roman"/>
          <w:sz w:val="28"/>
          <w:szCs w:val="28"/>
        </w:rPr>
        <w:t>anul</w:t>
      </w:r>
      <w:r w:rsidRPr="001D0846">
        <w:rPr>
          <w:rFonts w:ascii="Times New Roman" w:hAnsi="Times New Roman"/>
          <w:sz w:val="28"/>
          <w:szCs w:val="28"/>
        </w:rPr>
        <w:t xml:space="preserve"> 2016 au fost întocmite 10662 de procese-verbale contravenționale</w:t>
      </w:r>
      <w:r w:rsidR="00880F92">
        <w:rPr>
          <w:rFonts w:ascii="Times New Roman" w:hAnsi="Times New Roman"/>
          <w:sz w:val="28"/>
          <w:szCs w:val="28"/>
        </w:rPr>
        <w:t>,</w:t>
      </w:r>
      <w:r w:rsidRPr="001D0846">
        <w:rPr>
          <w:rFonts w:ascii="Times New Roman" w:hAnsi="Times New Roman"/>
          <w:sz w:val="28"/>
          <w:szCs w:val="28"/>
        </w:rPr>
        <w:t xml:space="preserve"> cu aplicarea sancțiunilor în valoare de 9,3 mil.lei, fiind încasate în buget 4,4 mil.lei</w:t>
      </w:r>
      <w:r w:rsidR="00880F92">
        <w:rPr>
          <w:rFonts w:ascii="Times New Roman" w:hAnsi="Times New Roman"/>
          <w:sz w:val="28"/>
          <w:szCs w:val="28"/>
        </w:rPr>
        <w:t>,</w:t>
      </w:r>
      <w:r w:rsidRPr="001D0846">
        <w:rPr>
          <w:rFonts w:ascii="Times New Roman" w:hAnsi="Times New Roman"/>
          <w:sz w:val="28"/>
          <w:szCs w:val="28"/>
        </w:rPr>
        <w:t xml:space="preserve"> sau 47,3 % din totalul sumelor calculate.</w:t>
      </w:r>
    </w:p>
    <w:p w:rsidR="00385FE6" w:rsidRPr="001D0846" w:rsidRDefault="005772B2" w:rsidP="005A5259">
      <w:pPr>
        <w:tabs>
          <w:tab w:val="left" w:pos="0"/>
        </w:tabs>
        <w:spacing w:after="0" w:line="276" w:lineRule="auto"/>
        <w:ind w:firstLine="709"/>
        <w:jc w:val="both"/>
        <w:rPr>
          <w:rFonts w:ascii="Times New Roman" w:hAnsi="Times New Roman"/>
          <w:sz w:val="28"/>
          <w:szCs w:val="28"/>
        </w:rPr>
      </w:pPr>
      <w:r w:rsidRPr="001D0846">
        <w:rPr>
          <w:rFonts w:ascii="Times New Roman" w:hAnsi="Times New Roman"/>
          <w:sz w:val="28"/>
          <w:szCs w:val="28"/>
        </w:rPr>
        <w:tab/>
        <w:t>Auditul remarcă că</w:t>
      </w:r>
      <w:r w:rsidR="00757F86">
        <w:rPr>
          <w:rFonts w:ascii="Times New Roman" w:hAnsi="Times New Roman"/>
          <w:sz w:val="28"/>
          <w:szCs w:val="28"/>
        </w:rPr>
        <w:t>,</w:t>
      </w:r>
      <w:r w:rsidRPr="001D0846">
        <w:rPr>
          <w:rFonts w:ascii="Times New Roman" w:hAnsi="Times New Roman"/>
          <w:sz w:val="28"/>
          <w:szCs w:val="28"/>
        </w:rPr>
        <w:t xml:space="preserve"> din numărul total al sumelor calculate suplimentar la buget în anul 2017 în rezultatul controalelor fiscale, obligațiile fiscale în sumă de 180</w:t>
      </w:r>
      <w:r w:rsidR="00757F86">
        <w:rPr>
          <w:rFonts w:ascii="Times New Roman" w:hAnsi="Times New Roman"/>
          <w:sz w:val="28"/>
          <w:szCs w:val="28"/>
        </w:rPr>
        <w:t>,0</w:t>
      </w:r>
      <w:r w:rsidRPr="001D0846">
        <w:rPr>
          <w:rFonts w:ascii="Times New Roman" w:hAnsi="Times New Roman"/>
          <w:sz w:val="28"/>
          <w:szCs w:val="28"/>
        </w:rPr>
        <w:t xml:space="preserve"> mil.lei au fost contestate, fiind anulate în rezultatul examinării contestațiilor obligații în sumă de 1,1 mil.lei. Analogic</w:t>
      </w:r>
      <w:r w:rsidR="00757F86">
        <w:rPr>
          <w:rFonts w:ascii="Times New Roman" w:hAnsi="Times New Roman"/>
          <w:sz w:val="28"/>
          <w:szCs w:val="28"/>
        </w:rPr>
        <w:t>,</w:t>
      </w:r>
      <w:r w:rsidRPr="001D0846">
        <w:rPr>
          <w:rFonts w:ascii="Times New Roman" w:hAnsi="Times New Roman"/>
          <w:sz w:val="28"/>
          <w:szCs w:val="28"/>
        </w:rPr>
        <w:t xml:space="preserve"> în </w:t>
      </w:r>
      <w:r w:rsidR="00757F86">
        <w:rPr>
          <w:rFonts w:ascii="Times New Roman" w:hAnsi="Times New Roman"/>
          <w:sz w:val="28"/>
          <w:szCs w:val="28"/>
        </w:rPr>
        <w:t>anul</w:t>
      </w:r>
      <w:r w:rsidRPr="001D0846">
        <w:rPr>
          <w:rFonts w:ascii="Times New Roman" w:hAnsi="Times New Roman"/>
          <w:sz w:val="28"/>
          <w:szCs w:val="28"/>
        </w:rPr>
        <w:t xml:space="preserve"> 2016 au fost contestate obligații fiscale calculate suplimentar în sumă de 317,6 mil.lei, fiind anulate obligații în sumă de 7,9 mil.lei.</w:t>
      </w:r>
    </w:p>
    <w:p w:rsidR="000A59C4" w:rsidRDefault="000A59C4" w:rsidP="003F314B">
      <w:pPr>
        <w:pStyle w:val="ListParagraph"/>
        <w:tabs>
          <w:tab w:val="left" w:pos="0"/>
        </w:tabs>
        <w:spacing w:after="0" w:line="276" w:lineRule="auto"/>
        <w:ind w:left="0" w:firstLine="709"/>
        <w:jc w:val="both"/>
        <w:rPr>
          <w:rFonts w:ascii="Times New Roman" w:hAnsi="Times New Roman"/>
          <w:b/>
          <w:i/>
          <w:sz w:val="28"/>
          <w:szCs w:val="28"/>
        </w:rPr>
      </w:pPr>
    </w:p>
    <w:p w:rsidR="005772B2" w:rsidRPr="001D0846" w:rsidRDefault="003F314B" w:rsidP="003F314B">
      <w:pPr>
        <w:pStyle w:val="ListParagraph"/>
        <w:tabs>
          <w:tab w:val="left" w:pos="0"/>
        </w:tabs>
        <w:spacing w:after="0" w:line="276" w:lineRule="auto"/>
        <w:ind w:left="0" w:firstLine="709"/>
        <w:jc w:val="both"/>
        <w:rPr>
          <w:rFonts w:ascii="Times New Roman" w:eastAsia="Times New Roman" w:hAnsi="Times New Roman"/>
          <w:sz w:val="28"/>
          <w:szCs w:val="28"/>
          <w:lang w:eastAsia="ru-RU"/>
        </w:rPr>
      </w:pPr>
      <w:r w:rsidRPr="001D0846">
        <w:rPr>
          <w:rFonts w:ascii="Times New Roman" w:hAnsi="Times New Roman"/>
          <w:b/>
          <w:i/>
          <w:sz w:val="28"/>
          <w:szCs w:val="28"/>
        </w:rPr>
        <w:tab/>
      </w:r>
      <w:r w:rsidR="00C65598">
        <w:rPr>
          <w:rFonts w:ascii="Times New Roman" w:hAnsi="Times New Roman"/>
          <w:b/>
          <w:i/>
          <w:sz w:val="28"/>
          <w:szCs w:val="28"/>
        </w:rPr>
        <w:t xml:space="preserve">3.7.2. </w:t>
      </w:r>
      <w:r w:rsidR="005772B2" w:rsidRPr="00C65598">
        <w:rPr>
          <w:rFonts w:ascii="Times New Roman" w:hAnsi="Times New Roman"/>
          <w:sz w:val="28"/>
          <w:szCs w:val="28"/>
        </w:rPr>
        <w:t>În anul 2017</w:t>
      </w:r>
      <w:r w:rsidR="00757F86">
        <w:rPr>
          <w:rFonts w:ascii="Times New Roman" w:hAnsi="Times New Roman"/>
          <w:sz w:val="28"/>
          <w:szCs w:val="28"/>
        </w:rPr>
        <w:t>,</w:t>
      </w:r>
      <w:r w:rsidR="005772B2" w:rsidRPr="00C65598">
        <w:rPr>
          <w:rFonts w:ascii="Times New Roman" w:hAnsi="Times New Roman"/>
          <w:sz w:val="28"/>
          <w:szCs w:val="28"/>
        </w:rPr>
        <w:t xml:space="preserve"> SV a efectuat în total 237 controale</w:t>
      </w:r>
      <w:r w:rsidR="00757F86">
        <w:rPr>
          <w:rFonts w:ascii="Times New Roman" w:hAnsi="Times New Roman"/>
          <w:sz w:val="28"/>
          <w:szCs w:val="28"/>
        </w:rPr>
        <w:t xml:space="preserve"> (</w:t>
      </w:r>
      <w:r w:rsidR="005772B2" w:rsidRPr="00C65598">
        <w:rPr>
          <w:rFonts w:ascii="Times New Roman" w:hAnsi="Times New Roman"/>
          <w:sz w:val="28"/>
          <w:szCs w:val="28"/>
        </w:rPr>
        <w:t xml:space="preserve">cu 39,7 %, sau </w:t>
      </w:r>
      <w:r w:rsidR="00757F86">
        <w:rPr>
          <w:rFonts w:ascii="Times New Roman" w:hAnsi="Times New Roman"/>
          <w:sz w:val="28"/>
          <w:szCs w:val="28"/>
        </w:rPr>
        <w:t xml:space="preserve">cu </w:t>
      </w:r>
      <w:r w:rsidR="005772B2" w:rsidRPr="00C65598">
        <w:rPr>
          <w:rFonts w:ascii="Times New Roman" w:hAnsi="Times New Roman"/>
          <w:sz w:val="28"/>
          <w:szCs w:val="28"/>
        </w:rPr>
        <w:t>94</w:t>
      </w:r>
      <w:r w:rsidR="005772B2" w:rsidRPr="001D0846">
        <w:rPr>
          <w:rFonts w:ascii="Times New Roman" w:hAnsi="Times New Roman"/>
          <w:sz w:val="28"/>
          <w:szCs w:val="28"/>
        </w:rPr>
        <w:t xml:space="preserve"> de controale</w:t>
      </w:r>
      <w:r w:rsidR="00757F86">
        <w:rPr>
          <w:rFonts w:ascii="Times New Roman" w:hAnsi="Times New Roman"/>
          <w:sz w:val="28"/>
          <w:szCs w:val="28"/>
        </w:rPr>
        <w:t xml:space="preserve">,mai mult </w:t>
      </w:r>
      <w:r w:rsidR="005772B2" w:rsidRPr="001D0846">
        <w:rPr>
          <w:rFonts w:ascii="Times New Roman" w:hAnsi="Times New Roman"/>
          <w:sz w:val="28"/>
          <w:szCs w:val="28"/>
        </w:rPr>
        <w:t xml:space="preserve">față de anul 2016 și cu 3,3 %, sau </w:t>
      </w:r>
      <w:r w:rsidR="00757F86">
        <w:rPr>
          <w:rFonts w:ascii="Times New Roman" w:hAnsi="Times New Roman"/>
          <w:sz w:val="28"/>
          <w:szCs w:val="28"/>
        </w:rPr>
        <w:t xml:space="preserve">cu </w:t>
      </w:r>
      <w:r w:rsidR="005772B2" w:rsidRPr="001D0846">
        <w:rPr>
          <w:rFonts w:ascii="Times New Roman" w:hAnsi="Times New Roman"/>
          <w:sz w:val="28"/>
          <w:szCs w:val="28"/>
        </w:rPr>
        <w:t>8 controale</w:t>
      </w:r>
      <w:r w:rsidR="00757F86">
        <w:rPr>
          <w:rFonts w:ascii="Times New Roman" w:hAnsi="Times New Roman"/>
          <w:sz w:val="28"/>
          <w:szCs w:val="28"/>
        </w:rPr>
        <w:t>, mai puțin</w:t>
      </w:r>
      <w:r w:rsidR="005772B2" w:rsidRPr="001D0846">
        <w:rPr>
          <w:rFonts w:ascii="Times New Roman" w:hAnsi="Times New Roman"/>
          <w:sz w:val="28"/>
          <w:szCs w:val="28"/>
        </w:rPr>
        <w:t xml:space="preserve"> față de anul 2015</w:t>
      </w:r>
      <w:r w:rsidR="00757F86">
        <w:rPr>
          <w:rFonts w:ascii="Times New Roman" w:hAnsi="Times New Roman"/>
          <w:sz w:val="28"/>
          <w:szCs w:val="28"/>
        </w:rPr>
        <w:t>)</w:t>
      </w:r>
      <w:r w:rsidR="005772B2" w:rsidRPr="001D0846">
        <w:rPr>
          <w:rFonts w:ascii="Times New Roman" w:hAnsi="Times New Roman"/>
          <w:sz w:val="28"/>
          <w:szCs w:val="28"/>
        </w:rPr>
        <w:t xml:space="preserve">. </w:t>
      </w:r>
      <w:r w:rsidR="005772B2" w:rsidRPr="001D0846">
        <w:rPr>
          <w:rFonts w:ascii="Times New Roman" w:eastAsia="Times New Roman" w:hAnsi="Times New Roman"/>
          <w:sz w:val="28"/>
          <w:szCs w:val="28"/>
          <w:lang w:eastAsia="ru-RU"/>
        </w:rPr>
        <w:t xml:space="preserve">Totodată, valoarea obligațiior vamale recalculate în rezultatul controalelor a înregistrat în anul 2017 o creștere cu 71,6 %, sau </w:t>
      </w:r>
      <w:r w:rsidR="00757F86">
        <w:rPr>
          <w:rFonts w:ascii="Times New Roman" w:eastAsia="Times New Roman" w:hAnsi="Times New Roman"/>
          <w:sz w:val="28"/>
          <w:szCs w:val="28"/>
          <w:lang w:eastAsia="ru-RU"/>
        </w:rPr>
        <w:t xml:space="preserve">cu </w:t>
      </w:r>
      <w:r w:rsidR="005772B2" w:rsidRPr="001D0846">
        <w:rPr>
          <w:rFonts w:ascii="Times New Roman" w:eastAsia="Times New Roman" w:hAnsi="Times New Roman"/>
          <w:sz w:val="28"/>
          <w:szCs w:val="28"/>
          <w:lang w:eastAsia="ru-RU"/>
        </w:rPr>
        <w:t>49</w:t>
      </w:r>
      <w:r w:rsidR="00757F86">
        <w:rPr>
          <w:rFonts w:ascii="Times New Roman" w:eastAsia="Times New Roman" w:hAnsi="Times New Roman"/>
          <w:sz w:val="28"/>
          <w:szCs w:val="28"/>
          <w:lang w:eastAsia="ru-RU"/>
        </w:rPr>
        <w:t>,0</w:t>
      </w:r>
      <w:r w:rsidR="005772B2" w:rsidRPr="001D0846">
        <w:rPr>
          <w:rFonts w:ascii="Times New Roman" w:eastAsia="Times New Roman" w:hAnsi="Times New Roman"/>
          <w:sz w:val="28"/>
          <w:szCs w:val="28"/>
          <w:lang w:eastAsia="ru-RU"/>
        </w:rPr>
        <w:t xml:space="preserve"> </w:t>
      </w:r>
      <w:r w:rsidR="005772B2" w:rsidRPr="001D0846">
        <w:rPr>
          <w:rFonts w:ascii="Times New Roman" w:eastAsia="Times New Roman" w:hAnsi="Times New Roman"/>
          <w:sz w:val="28"/>
          <w:szCs w:val="28"/>
          <w:lang w:eastAsia="ru-RU"/>
        </w:rPr>
        <w:lastRenderedPageBreak/>
        <w:t>mil.lei</w:t>
      </w:r>
      <w:r w:rsidR="00757F86">
        <w:rPr>
          <w:rFonts w:ascii="Times New Roman" w:eastAsia="Times New Roman" w:hAnsi="Times New Roman"/>
          <w:sz w:val="28"/>
          <w:szCs w:val="28"/>
          <w:lang w:eastAsia="ru-RU"/>
        </w:rPr>
        <w:t>,</w:t>
      </w:r>
      <w:r w:rsidR="005772B2" w:rsidRPr="001D0846">
        <w:rPr>
          <w:rFonts w:ascii="Times New Roman" w:eastAsia="Times New Roman" w:hAnsi="Times New Roman"/>
          <w:sz w:val="28"/>
          <w:szCs w:val="28"/>
          <w:lang w:eastAsia="ru-RU"/>
        </w:rPr>
        <w:t xml:space="preserve"> față de anul 2016 și cu 48,7 %, sau </w:t>
      </w:r>
      <w:r w:rsidR="00757F86">
        <w:rPr>
          <w:rFonts w:ascii="Times New Roman" w:eastAsia="Times New Roman" w:hAnsi="Times New Roman"/>
          <w:sz w:val="28"/>
          <w:szCs w:val="28"/>
          <w:lang w:eastAsia="ru-RU"/>
        </w:rPr>
        <w:t xml:space="preserve">cu </w:t>
      </w:r>
      <w:r w:rsidR="005772B2" w:rsidRPr="001D0846">
        <w:rPr>
          <w:rFonts w:ascii="Times New Roman" w:eastAsia="Times New Roman" w:hAnsi="Times New Roman"/>
          <w:sz w:val="28"/>
          <w:szCs w:val="28"/>
          <w:lang w:eastAsia="ru-RU"/>
        </w:rPr>
        <w:t>33,3 mil.lei</w:t>
      </w:r>
      <w:r w:rsidR="00757F86">
        <w:rPr>
          <w:rFonts w:ascii="Times New Roman" w:eastAsia="Times New Roman" w:hAnsi="Times New Roman"/>
          <w:sz w:val="28"/>
          <w:szCs w:val="28"/>
          <w:lang w:eastAsia="ru-RU"/>
        </w:rPr>
        <w:t>,</w:t>
      </w:r>
      <w:r w:rsidR="005772B2" w:rsidRPr="001D0846">
        <w:rPr>
          <w:rFonts w:ascii="Times New Roman" w:eastAsia="Times New Roman" w:hAnsi="Times New Roman"/>
          <w:sz w:val="28"/>
          <w:szCs w:val="28"/>
          <w:lang w:eastAsia="ru-RU"/>
        </w:rPr>
        <w:t xml:space="preserve"> față de anul 2015. </w:t>
      </w:r>
      <w:r w:rsidR="005772B2" w:rsidRPr="001D0846">
        <w:rPr>
          <w:rFonts w:ascii="Times New Roman" w:hAnsi="Times New Roman"/>
          <w:sz w:val="28"/>
          <w:szCs w:val="28"/>
        </w:rPr>
        <w:t>Ponderea controalelor rezultative în totalul controalelor efectuate în anul 2017 a constituit 82,3 %, fiind în creștere cu 0,5 p.p. față de anul 2016 (81,8%) și cu 14,5 p.p. față de anul 2015 (67,8%).</w:t>
      </w:r>
    </w:p>
    <w:p w:rsidR="005772B2" w:rsidRPr="001D0846" w:rsidRDefault="005772B2" w:rsidP="00175939">
      <w:pPr>
        <w:pStyle w:val="ListParagraph"/>
        <w:tabs>
          <w:tab w:val="left" w:pos="0"/>
        </w:tabs>
        <w:spacing w:after="0" w:line="276" w:lineRule="auto"/>
        <w:ind w:left="0" w:firstLine="709"/>
        <w:jc w:val="both"/>
        <w:rPr>
          <w:rFonts w:ascii="Times New Roman" w:hAnsi="Times New Roman"/>
          <w:i/>
          <w:color w:val="000000"/>
          <w:sz w:val="28"/>
          <w:szCs w:val="28"/>
        </w:rPr>
      </w:pPr>
      <w:r w:rsidRPr="001D0846">
        <w:rPr>
          <w:rFonts w:ascii="Times New Roman" w:hAnsi="Times New Roman"/>
          <w:sz w:val="28"/>
          <w:szCs w:val="28"/>
        </w:rPr>
        <w:tab/>
      </w:r>
      <w:r w:rsidRPr="001D0846">
        <w:rPr>
          <w:rFonts w:ascii="Times New Roman" w:hAnsi="Times New Roman"/>
          <w:color w:val="000000"/>
          <w:sz w:val="28"/>
          <w:szCs w:val="28"/>
        </w:rPr>
        <w:t xml:space="preserve">Analiza efectuată de audit relevă că, deși suma obligațiilor vamale calculate în baza deciziilor de regularizare </w:t>
      </w:r>
      <w:r w:rsidR="00E14DE8">
        <w:rPr>
          <w:rFonts w:ascii="Times New Roman" w:hAnsi="Times New Roman"/>
          <w:color w:val="000000"/>
          <w:sz w:val="28"/>
          <w:szCs w:val="28"/>
        </w:rPr>
        <w:t>a crescut</w:t>
      </w:r>
      <w:r w:rsidRPr="001D0846">
        <w:rPr>
          <w:rFonts w:ascii="Times New Roman" w:hAnsi="Times New Roman"/>
          <w:color w:val="000000"/>
          <w:sz w:val="28"/>
          <w:szCs w:val="28"/>
        </w:rPr>
        <w:t xml:space="preserve"> în anul 2017, ponderea sumelor încasate este la un nivel mai redus. Astfel, în anul 2017 au fost întocmite 2190 decizii de regularizare în baza cărora urma a fi încasat</w:t>
      </w:r>
      <w:r w:rsidR="00FF7B60">
        <w:rPr>
          <w:rFonts w:ascii="Times New Roman" w:hAnsi="Times New Roman"/>
          <w:color w:val="000000"/>
          <w:sz w:val="28"/>
          <w:szCs w:val="28"/>
        </w:rPr>
        <w:t>ă</w:t>
      </w:r>
      <w:r w:rsidRPr="001D0846">
        <w:rPr>
          <w:rFonts w:ascii="Times New Roman" w:hAnsi="Times New Roman"/>
          <w:color w:val="000000"/>
          <w:sz w:val="28"/>
          <w:szCs w:val="28"/>
        </w:rPr>
        <w:t xml:space="preserve"> la BS </w:t>
      </w:r>
      <w:r w:rsidR="00FF7B60">
        <w:rPr>
          <w:rFonts w:ascii="Times New Roman" w:hAnsi="Times New Roman"/>
          <w:color w:val="000000"/>
          <w:sz w:val="28"/>
          <w:szCs w:val="28"/>
        </w:rPr>
        <w:t xml:space="preserve">suma de </w:t>
      </w:r>
      <w:r w:rsidRPr="001D0846">
        <w:rPr>
          <w:rFonts w:ascii="Times New Roman" w:hAnsi="Times New Roman"/>
          <w:color w:val="000000"/>
          <w:sz w:val="28"/>
          <w:szCs w:val="28"/>
        </w:rPr>
        <w:t xml:space="preserve">81,4 mil. lei, </w:t>
      </w:r>
      <w:r w:rsidR="00FF7B60">
        <w:rPr>
          <w:rFonts w:ascii="Times New Roman" w:hAnsi="Times New Roman"/>
          <w:color w:val="000000"/>
          <w:sz w:val="28"/>
          <w:szCs w:val="28"/>
        </w:rPr>
        <w:t xml:space="preserve">dar </w:t>
      </w:r>
      <w:r w:rsidRPr="001D0846">
        <w:rPr>
          <w:rFonts w:ascii="Times New Roman" w:hAnsi="Times New Roman"/>
          <w:color w:val="000000"/>
          <w:sz w:val="28"/>
          <w:szCs w:val="28"/>
        </w:rPr>
        <w:t xml:space="preserve">de facto </w:t>
      </w:r>
      <w:r w:rsidR="00FF7B60">
        <w:rPr>
          <w:rFonts w:ascii="Times New Roman" w:hAnsi="Times New Roman"/>
          <w:color w:val="000000"/>
          <w:sz w:val="28"/>
          <w:szCs w:val="28"/>
        </w:rPr>
        <w:t>s-au</w:t>
      </w:r>
      <w:r w:rsidRPr="001D0846">
        <w:rPr>
          <w:rFonts w:ascii="Times New Roman" w:hAnsi="Times New Roman"/>
          <w:color w:val="000000"/>
          <w:sz w:val="28"/>
          <w:szCs w:val="28"/>
        </w:rPr>
        <w:t xml:space="preserve"> încasat doar 36,0 mil. lei, sau 44,2% din totalul sumelor calculate, </w:t>
      </w:r>
      <w:r w:rsidR="00FF7B60">
        <w:rPr>
          <w:rFonts w:ascii="Times New Roman" w:hAnsi="Times New Roman"/>
          <w:color w:val="000000"/>
          <w:sz w:val="28"/>
          <w:szCs w:val="28"/>
        </w:rPr>
        <w:t xml:space="preserve">astfel </w:t>
      </w:r>
      <w:r w:rsidRPr="001D0846">
        <w:rPr>
          <w:rFonts w:ascii="Times New Roman" w:hAnsi="Times New Roman"/>
          <w:color w:val="000000"/>
          <w:sz w:val="28"/>
          <w:szCs w:val="28"/>
        </w:rPr>
        <w:t xml:space="preserve">formându-se restanțe în sumă de 45,4 mil.lei. Situații similare se atestă și în </w:t>
      </w:r>
      <w:r w:rsidR="00FF7B60">
        <w:rPr>
          <w:rFonts w:ascii="Times New Roman" w:hAnsi="Times New Roman"/>
          <w:color w:val="000000"/>
          <w:sz w:val="28"/>
          <w:szCs w:val="28"/>
        </w:rPr>
        <w:t xml:space="preserve">anii </w:t>
      </w:r>
      <w:r w:rsidRPr="001D0846">
        <w:rPr>
          <w:rFonts w:ascii="Times New Roman" w:hAnsi="Times New Roman"/>
          <w:color w:val="000000"/>
          <w:sz w:val="28"/>
          <w:szCs w:val="28"/>
        </w:rPr>
        <w:t xml:space="preserve"> 2015-</w:t>
      </w:r>
      <w:r w:rsidRPr="00C65598">
        <w:rPr>
          <w:rFonts w:ascii="Times New Roman" w:hAnsi="Times New Roman"/>
          <w:color w:val="000000"/>
          <w:sz w:val="28"/>
          <w:szCs w:val="28"/>
        </w:rPr>
        <w:t xml:space="preserve">2016. </w:t>
      </w:r>
      <w:r w:rsidRPr="00C65598">
        <w:rPr>
          <w:rFonts w:ascii="Times New Roman" w:hAnsi="Times New Roman"/>
          <w:i/>
          <w:color w:val="000000"/>
          <w:sz w:val="28"/>
          <w:szCs w:val="28"/>
        </w:rPr>
        <w:t>Informația privind numărul deciziilor de regularizare adoptate, obligațiile vamale calculate și înca</w:t>
      </w:r>
      <w:r w:rsidR="00D76189" w:rsidRPr="00C65598">
        <w:rPr>
          <w:rFonts w:ascii="Times New Roman" w:hAnsi="Times New Roman"/>
          <w:i/>
          <w:color w:val="000000"/>
          <w:sz w:val="28"/>
          <w:szCs w:val="28"/>
        </w:rPr>
        <w:t xml:space="preserve">sate de SV în perioada </w:t>
      </w:r>
      <w:r w:rsidR="00FF7B60">
        <w:rPr>
          <w:rFonts w:ascii="Times New Roman" w:hAnsi="Times New Roman"/>
          <w:i/>
          <w:color w:val="000000"/>
          <w:sz w:val="28"/>
          <w:szCs w:val="28"/>
        </w:rPr>
        <w:t xml:space="preserve">anilor </w:t>
      </w:r>
      <w:r w:rsidR="00D76189" w:rsidRPr="00C65598">
        <w:rPr>
          <w:rFonts w:ascii="Times New Roman" w:hAnsi="Times New Roman"/>
          <w:i/>
          <w:color w:val="000000"/>
          <w:sz w:val="28"/>
          <w:szCs w:val="28"/>
        </w:rPr>
        <w:t>2015-2017</w:t>
      </w:r>
      <w:r w:rsidR="00FF7B60">
        <w:rPr>
          <w:rFonts w:ascii="Times New Roman" w:hAnsi="Times New Roman"/>
          <w:i/>
          <w:color w:val="000000"/>
          <w:sz w:val="28"/>
          <w:szCs w:val="28"/>
        </w:rPr>
        <w:t xml:space="preserve">este </w:t>
      </w:r>
      <w:r w:rsidR="00C65598" w:rsidRPr="00C65598">
        <w:rPr>
          <w:rFonts w:ascii="Times New Roman" w:hAnsi="Times New Roman"/>
          <w:i/>
          <w:color w:val="000000"/>
          <w:sz w:val="28"/>
          <w:szCs w:val="28"/>
        </w:rPr>
        <w:t xml:space="preserve"> prez</w:t>
      </w:r>
      <w:r w:rsidR="00FF7B60">
        <w:rPr>
          <w:rFonts w:ascii="Times New Roman" w:hAnsi="Times New Roman"/>
          <w:i/>
          <w:color w:val="000000"/>
          <w:sz w:val="28"/>
          <w:szCs w:val="28"/>
        </w:rPr>
        <w:t>enta</w:t>
      </w:r>
      <w:r w:rsidR="00C65598" w:rsidRPr="00C65598">
        <w:rPr>
          <w:rFonts w:ascii="Times New Roman" w:hAnsi="Times New Roman"/>
          <w:i/>
          <w:color w:val="000000"/>
          <w:sz w:val="28"/>
          <w:szCs w:val="28"/>
        </w:rPr>
        <w:t>tă în Tabelul nr.22</w:t>
      </w:r>
      <w:r w:rsidR="001601C4" w:rsidRPr="00C65598">
        <w:rPr>
          <w:rFonts w:ascii="Times New Roman" w:hAnsi="Times New Roman"/>
          <w:i/>
          <w:color w:val="000000"/>
          <w:sz w:val="28"/>
          <w:szCs w:val="28"/>
        </w:rPr>
        <w:t xml:space="preserve"> din Anexa nr.3</w:t>
      </w:r>
      <w:r w:rsidRPr="00C65598">
        <w:rPr>
          <w:rFonts w:ascii="Times New Roman" w:hAnsi="Times New Roman"/>
          <w:i/>
          <w:color w:val="000000"/>
          <w:sz w:val="28"/>
          <w:szCs w:val="28"/>
        </w:rPr>
        <w:t xml:space="preserve"> la Raport</w:t>
      </w:r>
      <w:r w:rsidR="00FF7B60">
        <w:rPr>
          <w:rFonts w:ascii="Times New Roman" w:hAnsi="Times New Roman"/>
          <w:i/>
          <w:color w:val="000000"/>
          <w:sz w:val="28"/>
          <w:szCs w:val="28"/>
        </w:rPr>
        <w:t>ul</w:t>
      </w:r>
      <w:r w:rsidRPr="00C65598">
        <w:rPr>
          <w:rFonts w:ascii="Times New Roman" w:hAnsi="Times New Roman"/>
          <w:i/>
          <w:color w:val="000000"/>
          <w:sz w:val="28"/>
          <w:szCs w:val="28"/>
        </w:rPr>
        <w:t xml:space="preserve"> de audit.</w:t>
      </w:r>
    </w:p>
    <w:p w:rsidR="005772B2" w:rsidRPr="001D0846" w:rsidRDefault="00FF7B60" w:rsidP="00175939">
      <w:pPr>
        <w:spacing w:after="0" w:line="276" w:lineRule="auto"/>
        <w:ind w:firstLine="709"/>
        <w:jc w:val="both"/>
        <w:rPr>
          <w:rFonts w:ascii="Times New Roman" w:hAnsi="Times New Roman"/>
          <w:i/>
          <w:color w:val="000000"/>
          <w:sz w:val="28"/>
          <w:szCs w:val="28"/>
        </w:rPr>
      </w:pPr>
      <w:r>
        <w:rPr>
          <w:rFonts w:ascii="Times New Roman" w:hAnsi="Times New Roman"/>
          <w:color w:val="000000"/>
          <w:sz w:val="28"/>
          <w:szCs w:val="28"/>
        </w:rPr>
        <w:t>D</w:t>
      </w:r>
      <w:r w:rsidR="005772B2" w:rsidRPr="00C65598">
        <w:rPr>
          <w:rFonts w:ascii="Times New Roman" w:hAnsi="Times New Roman"/>
          <w:color w:val="000000"/>
          <w:sz w:val="28"/>
          <w:szCs w:val="28"/>
        </w:rPr>
        <w:t>atel</w:t>
      </w:r>
      <w:r>
        <w:rPr>
          <w:rFonts w:ascii="Times New Roman" w:hAnsi="Times New Roman"/>
          <w:color w:val="000000"/>
          <w:sz w:val="28"/>
          <w:szCs w:val="28"/>
        </w:rPr>
        <w:t>e</w:t>
      </w:r>
      <w:r w:rsidR="005772B2" w:rsidRPr="00C65598">
        <w:rPr>
          <w:rFonts w:ascii="Times New Roman" w:hAnsi="Times New Roman"/>
          <w:color w:val="000000"/>
          <w:sz w:val="28"/>
          <w:szCs w:val="28"/>
        </w:rPr>
        <w:t xml:space="preserve"> prezentate în </w:t>
      </w:r>
      <w:r>
        <w:rPr>
          <w:rFonts w:ascii="Times New Roman" w:hAnsi="Times New Roman"/>
          <w:color w:val="000000"/>
          <w:sz w:val="28"/>
          <w:szCs w:val="28"/>
        </w:rPr>
        <w:t>t</w:t>
      </w:r>
      <w:r w:rsidR="005772B2" w:rsidRPr="00C65598">
        <w:rPr>
          <w:rFonts w:ascii="Times New Roman" w:hAnsi="Times New Roman"/>
          <w:color w:val="000000"/>
          <w:sz w:val="28"/>
          <w:szCs w:val="28"/>
        </w:rPr>
        <w:t xml:space="preserve">abel relevă un nivel redus de încasare a plăților vamale calculate în baza deciziilor de regularizare în </w:t>
      </w:r>
      <w:r>
        <w:rPr>
          <w:rFonts w:ascii="Times New Roman" w:hAnsi="Times New Roman"/>
          <w:color w:val="000000"/>
          <w:sz w:val="28"/>
          <w:szCs w:val="28"/>
        </w:rPr>
        <w:t>anii</w:t>
      </w:r>
      <w:r w:rsidR="005772B2" w:rsidRPr="00C65598">
        <w:rPr>
          <w:rFonts w:ascii="Times New Roman" w:hAnsi="Times New Roman"/>
          <w:color w:val="000000"/>
          <w:sz w:val="28"/>
          <w:szCs w:val="28"/>
        </w:rPr>
        <w:t xml:space="preserve"> 2015-2017</w:t>
      </w:r>
      <w:r>
        <w:rPr>
          <w:rFonts w:ascii="Times New Roman" w:hAnsi="Times New Roman"/>
          <w:color w:val="000000"/>
          <w:sz w:val="28"/>
          <w:szCs w:val="28"/>
        </w:rPr>
        <w:t>,</w:t>
      </w:r>
      <w:r w:rsidR="005772B2" w:rsidRPr="00C65598">
        <w:rPr>
          <w:rFonts w:ascii="Times New Roman" w:hAnsi="Times New Roman"/>
          <w:color w:val="000000"/>
          <w:sz w:val="28"/>
          <w:szCs w:val="28"/>
        </w:rPr>
        <w:t xml:space="preserve"> care</w:t>
      </w:r>
      <w:r>
        <w:rPr>
          <w:rFonts w:ascii="Times New Roman" w:hAnsi="Times New Roman"/>
          <w:color w:val="000000"/>
          <w:sz w:val="28"/>
          <w:szCs w:val="28"/>
        </w:rPr>
        <w:t>,</w:t>
      </w:r>
      <w:r w:rsidR="005772B2" w:rsidRPr="00C65598">
        <w:rPr>
          <w:rFonts w:ascii="Times New Roman" w:hAnsi="Times New Roman"/>
          <w:color w:val="000000"/>
          <w:sz w:val="28"/>
          <w:szCs w:val="28"/>
        </w:rPr>
        <w:t xml:space="preserve"> în medi</w:t>
      </w:r>
      <w:r>
        <w:rPr>
          <w:rFonts w:ascii="Times New Roman" w:hAnsi="Times New Roman"/>
          <w:color w:val="000000"/>
          <w:sz w:val="28"/>
          <w:szCs w:val="28"/>
        </w:rPr>
        <w:t>e,</w:t>
      </w:r>
      <w:r w:rsidR="005772B2" w:rsidRPr="00C65598">
        <w:rPr>
          <w:rFonts w:ascii="Times New Roman" w:hAnsi="Times New Roman"/>
          <w:color w:val="000000"/>
          <w:sz w:val="28"/>
          <w:szCs w:val="28"/>
        </w:rPr>
        <w:t xml:space="preserve"> a constitu</w:t>
      </w:r>
      <w:r w:rsidR="00E87061">
        <w:rPr>
          <w:rFonts w:ascii="Times New Roman" w:hAnsi="Times New Roman"/>
          <w:color w:val="000000"/>
          <w:sz w:val="28"/>
          <w:szCs w:val="28"/>
        </w:rPr>
        <w:t>i</w:t>
      </w:r>
      <w:r w:rsidR="005772B2" w:rsidRPr="00C65598">
        <w:rPr>
          <w:rFonts w:ascii="Times New Roman" w:hAnsi="Times New Roman"/>
          <w:color w:val="000000"/>
          <w:sz w:val="28"/>
          <w:szCs w:val="28"/>
        </w:rPr>
        <w:t>t 43,2 % din totalul sumelor calculate</w:t>
      </w:r>
      <w:r w:rsidR="005772B2" w:rsidRPr="00C65598">
        <w:rPr>
          <w:rFonts w:ascii="Times New Roman" w:hAnsi="Times New Roman"/>
          <w:i/>
          <w:color w:val="000000"/>
          <w:sz w:val="28"/>
          <w:szCs w:val="28"/>
        </w:rPr>
        <w:t xml:space="preserve">. </w:t>
      </w:r>
      <w:r w:rsidR="00626646" w:rsidRPr="00C65598">
        <w:rPr>
          <w:rFonts w:ascii="Times New Roman" w:hAnsi="Times New Roman"/>
          <w:i/>
          <w:color w:val="000000"/>
          <w:sz w:val="28"/>
          <w:szCs w:val="28"/>
        </w:rPr>
        <w:t>Evoluția</w:t>
      </w:r>
      <w:r w:rsidR="005772B2" w:rsidRPr="00C65598">
        <w:rPr>
          <w:rFonts w:ascii="Times New Roman" w:hAnsi="Times New Roman"/>
          <w:i/>
          <w:color w:val="000000"/>
          <w:sz w:val="28"/>
          <w:szCs w:val="28"/>
        </w:rPr>
        <w:t xml:space="preserve"> încasărilor în baza deciziilor de regulariza</w:t>
      </w:r>
      <w:r w:rsidR="00DC02F3" w:rsidRPr="00C65598">
        <w:rPr>
          <w:rFonts w:ascii="Times New Roman" w:hAnsi="Times New Roman"/>
          <w:i/>
          <w:color w:val="000000"/>
          <w:sz w:val="28"/>
          <w:szCs w:val="28"/>
        </w:rPr>
        <w:t xml:space="preserve">re </w:t>
      </w:r>
      <w:r>
        <w:rPr>
          <w:rFonts w:ascii="Times New Roman" w:hAnsi="Times New Roman"/>
          <w:i/>
          <w:color w:val="000000"/>
          <w:sz w:val="28"/>
          <w:szCs w:val="28"/>
        </w:rPr>
        <w:t>este redată</w:t>
      </w:r>
      <w:r w:rsidR="00DC02F3" w:rsidRPr="00C65598">
        <w:rPr>
          <w:rFonts w:ascii="Times New Roman" w:hAnsi="Times New Roman"/>
          <w:i/>
          <w:color w:val="000000"/>
          <w:sz w:val="28"/>
          <w:szCs w:val="28"/>
        </w:rPr>
        <w:t xml:space="preserve"> în Diagrama </w:t>
      </w:r>
      <w:r w:rsidR="00385FA6" w:rsidRPr="00C65598">
        <w:rPr>
          <w:rFonts w:ascii="Times New Roman" w:hAnsi="Times New Roman"/>
          <w:i/>
          <w:color w:val="000000"/>
          <w:sz w:val="28"/>
          <w:szCs w:val="28"/>
        </w:rPr>
        <w:t>nr.1</w:t>
      </w:r>
      <w:r w:rsidR="00C65598" w:rsidRPr="00C65598">
        <w:rPr>
          <w:rFonts w:ascii="Times New Roman" w:hAnsi="Times New Roman"/>
          <w:i/>
          <w:color w:val="000000"/>
          <w:sz w:val="28"/>
          <w:szCs w:val="28"/>
        </w:rPr>
        <w:t>5</w:t>
      </w:r>
      <w:r w:rsidR="00A20D46" w:rsidRPr="00C65598">
        <w:rPr>
          <w:rFonts w:ascii="Times New Roman" w:hAnsi="Times New Roman"/>
          <w:i/>
          <w:color w:val="000000"/>
          <w:sz w:val="28"/>
          <w:szCs w:val="28"/>
        </w:rPr>
        <w:t>din Anexa nr.4</w:t>
      </w:r>
      <w:r w:rsidR="006627B7" w:rsidRPr="00C65598">
        <w:rPr>
          <w:rFonts w:ascii="Times New Roman" w:hAnsi="Times New Roman"/>
          <w:i/>
          <w:color w:val="000000"/>
          <w:sz w:val="28"/>
          <w:szCs w:val="28"/>
        </w:rPr>
        <w:t xml:space="preserve"> la </w:t>
      </w:r>
      <w:r w:rsidR="00E87061">
        <w:rPr>
          <w:rFonts w:ascii="Times New Roman" w:hAnsi="Times New Roman"/>
          <w:i/>
          <w:color w:val="000000"/>
          <w:sz w:val="28"/>
          <w:szCs w:val="28"/>
        </w:rPr>
        <w:t xml:space="preserve">prezentul </w:t>
      </w:r>
      <w:r w:rsidR="006627B7" w:rsidRPr="00C65598">
        <w:rPr>
          <w:rFonts w:ascii="Times New Roman" w:hAnsi="Times New Roman"/>
          <w:i/>
          <w:color w:val="000000"/>
          <w:sz w:val="28"/>
          <w:szCs w:val="28"/>
        </w:rPr>
        <w:t>Raport de audit</w:t>
      </w:r>
      <w:r w:rsidR="005772B2" w:rsidRPr="00C65598">
        <w:rPr>
          <w:rFonts w:ascii="Times New Roman" w:hAnsi="Times New Roman"/>
          <w:i/>
          <w:color w:val="000000"/>
          <w:sz w:val="28"/>
          <w:szCs w:val="28"/>
        </w:rPr>
        <w:t>.</w:t>
      </w:r>
    </w:p>
    <w:p w:rsidR="005772B2" w:rsidRPr="001D0846" w:rsidRDefault="005772B2" w:rsidP="00175939">
      <w:pPr>
        <w:spacing w:after="0" w:line="276" w:lineRule="auto"/>
        <w:ind w:firstLine="709"/>
        <w:jc w:val="both"/>
        <w:rPr>
          <w:rFonts w:ascii="Times New Roman" w:hAnsi="Times New Roman"/>
          <w:color w:val="000000"/>
          <w:sz w:val="28"/>
          <w:szCs w:val="28"/>
        </w:rPr>
      </w:pPr>
      <w:r w:rsidRPr="001D0846">
        <w:rPr>
          <w:rFonts w:ascii="Times New Roman" w:hAnsi="Times New Roman"/>
          <w:color w:val="000000"/>
          <w:sz w:val="28"/>
          <w:szCs w:val="28"/>
        </w:rPr>
        <w:t>Analiza efectuată asupra deciziilor de regularizare, pe eșantioanele selectate de audit, relevă că</w:t>
      </w:r>
      <w:r w:rsidR="00E87061">
        <w:rPr>
          <w:rFonts w:ascii="Times New Roman" w:hAnsi="Times New Roman"/>
          <w:color w:val="000000"/>
          <w:sz w:val="28"/>
          <w:szCs w:val="28"/>
        </w:rPr>
        <w:t>,</w:t>
      </w:r>
      <w:r w:rsidRPr="001D0846">
        <w:rPr>
          <w:rFonts w:ascii="Times New Roman" w:hAnsi="Times New Roman"/>
          <w:color w:val="000000"/>
          <w:sz w:val="28"/>
          <w:szCs w:val="28"/>
        </w:rPr>
        <w:t xml:space="preserve"> în majoritatea cazurilor</w:t>
      </w:r>
      <w:r w:rsidR="00E87061">
        <w:rPr>
          <w:rFonts w:ascii="Times New Roman" w:hAnsi="Times New Roman"/>
          <w:color w:val="000000"/>
          <w:sz w:val="28"/>
          <w:szCs w:val="28"/>
        </w:rPr>
        <w:t>,</w:t>
      </w:r>
      <w:r w:rsidRPr="001D0846">
        <w:rPr>
          <w:rFonts w:ascii="Times New Roman" w:hAnsi="Times New Roman"/>
          <w:color w:val="000000"/>
          <w:sz w:val="28"/>
          <w:szCs w:val="28"/>
        </w:rPr>
        <w:t xml:space="preserve"> temei</w:t>
      </w:r>
      <w:r w:rsidR="00E87061">
        <w:rPr>
          <w:rFonts w:ascii="Times New Roman" w:hAnsi="Times New Roman"/>
          <w:color w:val="000000"/>
          <w:sz w:val="28"/>
          <w:szCs w:val="28"/>
        </w:rPr>
        <w:t>ul</w:t>
      </w:r>
      <w:r w:rsidRPr="001D0846">
        <w:rPr>
          <w:rFonts w:ascii="Times New Roman" w:hAnsi="Times New Roman"/>
          <w:color w:val="000000"/>
          <w:sz w:val="28"/>
          <w:szCs w:val="28"/>
        </w:rPr>
        <w:t xml:space="preserve"> de calculare a obligației vamale ține de nerespectarea de către plătitorii vamali a condițiilor privind facilitățile acordate la importul unor categorii de mărfuri. În acest context</w:t>
      </w:r>
      <w:r w:rsidR="00E87061">
        <w:rPr>
          <w:rFonts w:ascii="Times New Roman" w:hAnsi="Times New Roman"/>
          <w:color w:val="000000"/>
          <w:sz w:val="28"/>
          <w:szCs w:val="28"/>
        </w:rPr>
        <w:t>,</w:t>
      </w:r>
      <w:r w:rsidRPr="001D0846">
        <w:rPr>
          <w:rFonts w:ascii="Times New Roman" w:hAnsi="Times New Roman"/>
          <w:color w:val="000000"/>
          <w:sz w:val="28"/>
          <w:szCs w:val="28"/>
        </w:rPr>
        <w:t xml:space="preserve"> SV a efectuat</w:t>
      </w:r>
      <w:r w:rsidR="00E87061">
        <w:rPr>
          <w:rFonts w:ascii="Times New Roman" w:hAnsi="Times New Roman"/>
          <w:color w:val="000000"/>
          <w:sz w:val="28"/>
          <w:szCs w:val="28"/>
        </w:rPr>
        <w:t>,</w:t>
      </w:r>
      <w:r w:rsidRPr="001D0846">
        <w:rPr>
          <w:rFonts w:ascii="Times New Roman" w:hAnsi="Times New Roman"/>
          <w:color w:val="000000"/>
          <w:sz w:val="28"/>
          <w:szCs w:val="28"/>
        </w:rPr>
        <w:t xml:space="preserve"> în </w:t>
      </w:r>
      <w:r w:rsidR="00E87061">
        <w:rPr>
          <w:rFonts w:ascii="Times New Roman" w:hAnsi="Times New Roman"/>
          <w:color w:val="000000"/>
          <w:sz w:val="28"/>
          <w:szCs w:val="28"/>
        </w:rPr>
        <w:t xml:space="preserve">anii </w:t>
      </w:r>
      <w:r w:rsidRPr="001D0846">
        <w:rPr>
          <w:rFonts w:ascii="Times New Roman" w:hAnsi="Times New Roman"/>
          <w:color w:val="000000"/>
          <w:sz w:val="28"/>
          <w:szCs w:val="28"/>
        </w:rPr>
        <w:t xml:space="preserve"> 2015-2017</w:t>
      </w:r>
      <w:r w:rsidR="00E87061">
        <w:rPr>
          <w:rFonts w:ascii="Times New Roman" w:hAnsi="Times New Roman"/>
          <w:color w:val="000000"/>
          <w:sz w:val="28"/>
          <w:szCs w:val="28"/>
        </w:rPr>
        <w:t>,</w:t>
      </w:r>
      <w:r w:rsidRPr="001D0846">
        <w:rPr>
          <w:rFonts w:ascii="Times New Roman" w:hAnsi="Times New Roman"/>
          <w:color w:val="000000"/>
          <w:sz w:val="28"/>
          <w:szCs w:val="28"/>
        </w:rPr>
        <w:t xml:space="preserve"> controale ulterioare</w:t>
      </w:r>
      <w:r w:rsidR="00E87061">
        <w:rPr>
          <w:rFonts w:ascii="Times New Roman" w:hAnsi="Times New Roman"/>
          <w:color w:val="000000"/>
          <w:sz w:val="28"/>
          <w:szCs w:val="28"/>
        </w:rPr>
        <w:t>,</w:t>
      </w:r>
      <w:r w:rsidRPr="001D0846">
        <w:rPr>
          <w:rFonts w:ascii="Times New Roman" w:hAnsi="Times New Roman"/>
          <w:color w:val="000000"/>
          <w:sz w:val="28"/>
          <w:szCs w:val="28"/>
        </w:rPr>
        <w:t xml:space="preserve"> în rezultatul cărora au fost recalculate drepturile de import/export în sumă de 19,3 mil.lei, 12,2 mil. lei și</w:t>
      </w:r>
      <w:r w:rsidR="00E87061">
        <w:rPr>
          <w:rFonts w:ascii="Times New Roman" w:hAnsi="Times New Roman"/>
          <w:color w:val="000000"/>
          <w:sz w:val="28"/>
          <w:szCs w:val="28"/>
        </w:rPr>
        <w:t>,</w:t>
      </w:r>
      <w:r w:rsidRPr="001D0846">
        <w:rPr>
          <w:rFonts w:ascii="Times New Roman" w:hAnsi="Times New Roman"/>
          <w:color w:val="000000"/>
          <w:sz w:val="28"/>
          <w:szCs w:val="28"/>
        </w:rPr>
        <w:t xml:space="preserve"> respectiv</w:t>
      </w:r>
      <w:r w:rsidR="00E87061">
        <w:rPr>
          <w:rFonts w:ascii="Times New Roman" w:hAnsi="Times New Roman"/>
          <w:color w:val="000000"/>
          <w:sz w:val="28"/>
          <w:szCs w:val="28"/>
        </w:rPr>
        <w:t>,</w:t>
      </w:r>
      <w:r w:rsidRPr="001D0846">
        <w:rPr>
          <w:rFonts w:ascii="Times New Roman" w:hAnsi="Times New Roman"/>
          <w:color w:val="000000"/>
          <w:sz w:val="28"/>
          <w:szCs w:val="28"/>
        </w:rPr>
        <w:t xml:space="preserve"> 38,5 mil.lei. Astfel, în totalul cazurilor depistate</w:t>
      </w:r>
      <w:r w:rsidR="00E87061">
        <w:rPr>
          <w:rFonts w:ascii="Times New Roman" w:hAnsi="Times New Roman"/>
          <w:color w:val="000000"/>
          <w:sz w:val="28"/>
          <w:szCs w:val="28"/>
        </w:rPr>
        <w:t>,</w:t>
      </w:r>
      <w:r w:rsidRPr="001D0846">
        <w:rPr>
          <w:rFonts w:ascii="Times New Roman" w:hAnsi="Times New Roman"/>
          <w:color w:val="000000"/>
          <w:sz w:val="28"/>
          <w:szCs w:val="28"/>
        </w:rPr>
        <w:t xml:space="preserve"> ponderea majoră o dețin încălcările privind nerespectarea condițiilor aferente scutirilor aplicate la importul mijloacelor fixe utilizate nemijlocit la fabricarea produselor, prestarea serviciilor sau executarea lucrărilor destinate </w:t>
      </w:r>
      <w:r w:rsidR="00E87061">
        <w:rPr>
          <w:rFonts w:ascii="Times New Roman" w:hAnsi="Times New Roman"/>
          <w:color w:val="000000"/>
          <w:sz w:val="28"/>
          <w:szCs w:val="28"/>
        </w:rPr>
        <w:t>i</w:t>
      </w:r>
      <w:r w:rsidRPr="001D0846">
        <w:rPr>
          <w:rFonts w:ascii="Times New Roman" w:hAnsi="Times New Roman"/>
          <w:color w:val="000000"/>
          <w:sz w:val="28"/>
          <w:szCs w:val="28"/>
        </w:rPr>
        <w:t>ntroducerii în capitalul statutar</w:t>
      </w:r>
      <w:r w:rsidR="00E87061">
        <w:rPr>
          <w:rFonts w:ascii="Times New Roman" w:hAnsi="Times New Roman"/>
          <w:color w:val="000000"/>
          <w:sz w:val="28"/>
          <w:szCs w:val="28"/>
        </w:rPr>
        <w:t>,</w:t>
      </w:r>
      <w:r w:rsidRPr="001D0846">
        <w:rPr>
          <w:rFonts w:ascii="Times New Roman" w:hAnsi="Times New Roman"/>
          <w:color w:val="000000"/>
          <w:sz w:val="28"/>
          <w:szCs w:val="28"/>
        </w:rPr>
        <w:t xml:space="preserve"> fiind urmate de încălcările privind nerespectarea condițiilor aferente scutirilor aplicate pentru materia primă </w:t>
      </w:r>
      <w:r w:rsidRPr="001D0846">
        <w:rPr>
          <w:rFonts w:ascii="Times New Roman" w:hAnsi="Times New Roman" w:cs="Times New Roman"/>
          <w:color w:val="000000"/>
          <w:sz w:val="28"/>
          <w:szCs w:val="28"/>
        </w:rPr>
        <w:t>medicamentoasă</w:t>
      </w:r>
      <w:r w:rsidRPr="000A59C4">
        <w:rPr>
          <w:rFonts w:ascii="Times New Roman" w:hAnsi="Times New Roman" w:cs="Times New Roman"/>
          <w:color w:val="000000"/>
          <w:sz w:val="28"/>
          <w:szCs w:val="28"/>
        </w:rPr>
        <w:t>,  a materialelor</w:t>
      </w:r>
      <w:r w:rsidRPr="001D0846">
        <w:rPr>
          <w:rFonts w:ascii="Times New Roman" w:hAnsi="Times New Roman" w:cs="Times New Roman"/>
          <w:color w:val="000000"/>
          <w:sz w:val="28"/>
          <w:szCs w:val="28"/>
        </w:rPr>
        <w:t>, articolelor, ambalajului primar și secundar utilizate la prepararea și producerea medicamentelor, autorizate de M</w:t>
      </w:r>
      <w:r w:rsidR="00C65598">
        <w:rPr>
          <w:rFonts w:ascii="Times New Roman" w:hAnsi="Times New Roman" w:cs="Times New Roman"/>
          <w:color w:val="000000"/>
          <w:sz w:val="28"/>
          <w:szCs w:val="28"/>
        </w:rPr>
        <w:t>S</w:t>
      </w:r>
      <w:r w:rsidRPr="001D0846">
        <w:rPr>
          <w:rFonts w:ascii="Times New Roman" w:hAnsi="Times New Roman" w:cs="Times New Roman"/>
          <w:color w:val="000000"/>
          <w:sz w:val="28"/>
          <w:szCs w:val="28"/>
        </w:rPr>
        <w:t>. Astfel, î</w:t>
      </w:r>
      <w:r w:rsidRPr="001D0846">
        <w:rPr>
          <w:rFonts w:ascii="Times New Roman" w:hAnsi="Times New Roman"/>
          <w:color w:val="000000"/>
          <w:sz w:val="28"/>
          <w:szCs w:val="28"/>
        </w:rPr>
        <w:t xml:space="preserve">n </w:t>
      </w:r>
      <w:r w:rsidR="000261D8">
        <w:rPr>
          <w:rFonts w:ascii="Times New Roman" w:hAnsi="Times New Roman"/>
          <w:color w:val="000000"/>
          <w:sz w:val="28"/>
          <w:szCs w:val="28"/>
        </w:rPr>
        <w:t>anul</w:t>
      </w:r>
      <w:r w:rsidRPr="001D0846">
        <w:rPr>
          <w:rFonts w:ascii="Times New Roman" w:hAnsi="Times New Roman"/>
          <w:color w:val="000000"/>
          <w:sz w:val="28"/>
          <w:szCs w:val="28"/>
        </w:rPr>
        <w:t xml:space="preserve"> 2017</w:t>
      </w:r>
      <w:r w:rsidR="000261D8">
        <w:rPr>
          <w:rFonts w:ascii="Times New Roman" w:hAnsi="Times New Roman"/>
          <w:color w:val="000000"/>
          <w:sz w:val="28"/>
          <w:szCs w:val="28"/>
        </w:rPr>
        <w:t>,</w:t>
      </w:r>
      <w:r w:rsidRPr="001D0846">
        <w:rPr>
          <w:rFonts w:ascii="Times New Roman" w:hAnsi="Times New Roman"/>
          <w:color w:val="000000"/>
          <w:sz w:val="28"/>
          <w:szCs w:val="28"/>
        </w:rPr>
        <w:t xml:space="preserve"> de către SV au fost depistate 47 cazuri </w:t>
      </w:r>
      <w:r w:rsidR="000261D8">
        <w:rPr>
          <w:rFonts w:ascii="Times New Roman" w:hAnsi="Times New Roman"/>
          <w:color w:val="000000"/>
          <w:sz w:val="28"/>
          <w:szCs w:val="28"/>
        </w:rPr>
        <w:t>de</w:t>
      </w:r>
      <w:r w:rsidRPr="001D0846">
        <w:rPr>
          <w:rFonts w:ascii="Times New Roman" w:hAnsi="Times New Roman"/>
          <w:color w:val="000000"/>
          <w:sz w:val="28"/>
          <w:szCs w:val="28"/>
        </w:rPr>
        <w:t xml:space="preserve"> nerespectarea condițiilor aferente scutirilor aplicate la importul mijloacelor fixe destinate </w:t>
      </w:r>
      <w:r w:rsidR="000261D8">
        <w:rPr>
          <w:rFonts w:ascii="Times New Roman" w:hAnsi="Times New Roman"/>
          <w:color w:val="000000"/>
          <w:sz w:val="28"/>
          <w:szCs w:val="28"/>
        </w:rPr>
        <w:t>i</w:t>
      </w:r>
      <w:r w:rsidRPr="001D0846">
        <w:rPr>
          <w:rFonts w:ascii="Times New Roman" w:hAnsi="Times New Roman"/>
          <w:color w:val="000000"/>
          <w:sz w:val="28"/>
          <w:szCs w:val="28"/>
        </w:rPr>
        <w:t>ntroducerii în capitalul statutar, fiind recalculate drepturi de import/export în sumă de 18,9 mil.lei. Analogic</w:t>
      </w:r>
      <w:r w:rsidR="000261D8">
        <w:rPr>
          <w:rFonts w:ascii="Times New Roman" w:hAnsi="Times New Roman"/>
          <w:color w:val="000000"/>
          <w:sz w:val="28"/>
          <w:szCs w:val="28"/>
        </w:rPr>
        <w:t>,</w:t>
      </w:r>
      <w:r w:rsidRPr="001D0846">
        <w:rPr>
          <w:rFonts w:ascii="Times New Roman" w:hAnsi="Times New Roman"/>
          <w:color w:val="000000"/>
          <w:sz w:val="28"/>
          <w:szCs w:val="28"/>
        </w:rPr>
        <w:t xml:space="preserve"> în perioada</w:t>
      </w:r>
      <w:r w:rsidR="000261D8">
        <w:rPr>
          <w:rFonts w:ascii="Times New Roman" w:hAnsi="Times New Roman"/>
          <w:color w:val="000000"/>
          <w:sz w:val="28"/>
          <w:szCs w:val="28"/>
        </w:rPr>
        <w:t xml:space="preserve"> anilor</w:t>
      </w:r>
      <w:r w:rsidRPr="001D0846">
        <w:rPr>
          <w:rFonts w:ascii="Times New Roman" w:hAnsi="Times New Roman"/>
          <w:color w:val="000000"/>
          <w:sz w:val="28"/>
          <w:szCs w:val="28"/>
        </w:rPr>
        <w:t xml:space="preserve"> 2015</w:t>
      </w:r>
      <w:r w:rsidR="000261D8">
        <w:rPr>
          <w:rFonts w:ascii="Times New Roman" w:hAnsi="Times New Roman"/>
          <w:color w:val="000000"/>
          <w:sz w:val="28"/>
          <w:szCs w:val="28"/>
        </w:rPr>
        <w:t xml:space="preserve"> și </w:t>
      </w:r>
      <w:r w:rsidRPr="001D0846">
        <w:rPr>
          <w:rFonts w:ascii="Times New Roman" w:hAnsi="Times New Roman"/>
          <w:color w:val="000000"/>
          <w:sz w:val="28"/>
          <w:szCs w:val="28"/>
        </w:rPr>
        <w:t xml:space="preserve">2016 </w:t>
      </w:r>
      <w:r w:rsidR="000261D8">
        <w:rPr>
          <w:rFonts w:ascii="Times New Roman" w:hAnsi="Times New Roman"/>
          <w:color w:val="000000"/>
          <w:sz w:val="28"/>
          <w:szCs w:val="28"/>
        </w:rPr>
        <w:t>s-</w:t>
      </w:r>
      <w:r w:rsidRPr="001D0846">
        <w:rPr>
          <w:rFonts w:ascii="Times New Roman" w:hAnsi="Times New Roman"/>
          <w:color w:val="000000"/>
          <w:sz w:val="28"/>
          <w:szCs w:val="28"/>
        </w:rPr>
        <w:t>au depistat 92 cazuri și</w:t>
      </w:r>
      <w:r w:rsidR="000261D8">
        <w:rPr>
          <w:rFonts w:ascii="Times New Roman" w:hAnsi="Times New Roman"/>
          <w:color w:val="000000"/>
          <w:sz w:val="28"/>
          <w:szCs w:val="28"/>
        </w:rPr>
        <w:t>,</w:t>
      </w:r>
      <w:r w:rsidRPr="001D0846">
        <w:rPr>
          <w:rFonts w:ascii="Times New Roman" w:hAnsi="Times New Roman"/>
          <w:color w:val="000000"/>
          <w:sz w:val="28"/>
          <w:szCs w:val="28"/>
        </w:rPr>
        <w:t xml:space="preserve"> respectiv</w:t>
      </w:r>
      <w:r w:rsidR="000261D8">
        <w:rPr>
          <w:rFonts w:ascii="Times New Roman" w:hAnsi="Times New Roman"/>
          <w:color w:val="000000"/>
          <w:sz w:val="28"/>
          <w:szCs w:val="28"/>
        </w:rPr>
        <w:t>,</w:t>
      </w:r>
      <w:r w:rsidRPr="001D0846">
        <w:rPr>
          <w:rFonts w:ascii="Times New Roman" w:hAnsi="Times New Roman"/>
          <w:color w:val="000000"/>
          <w:sz w:val="28"/>
          <w:szCs w:val="28"/>
        </w:rPr>
        <w:t xml:space="preserve"> 51cazuri, fiind calculate suplimentar obligații vamale în sumă de 10,9 mil.lei și</w:t>
      </w:r>
      <w:r w:rsidR="000261D8">
        <w:rPr>
          <w:rFonts w:ascii="Times New Roman" w:hAnsi="Times New Roman"/>
          <w:color w:val="000000"/>
          <w:sz w:val="28"/>
          <w:szCs w:val="28"/>
        </w:rPr>
        <w:t>,</w:t>
      </w:r>
      <w:r w:rsidRPr="001D0846">
        <w:rPr>
          <w:rFonts w:ascii="Times New Roman" w:hAnsi="Times New Roman"/>
          <w:color w:val="000000"/>
          <w:sz w:val="28"/>
          <w:szCs w:val="28"/>
        </w:rPr>
        <w:t xml:space="preserve"> respectiv</w:t>
      </w:r>
      <w:r w:rsidR="000261D8">
        <w:rPr>
          <w:rFonts w:ascii="Times New Roman" w:hAnsi="Times New Roman"/>
          <w:color w:val="000000"/>
          <w:sz w:val="28"/>
          <w:szCs w:val="28"/>
        </w:rPr>
        <w:t xml:space="preserve">, </w:t>
      </w:r>
      <w:r w:rsidRPr="001D0846">
        <w:rPr>
          <w:rFonts w:ascii="Times New Roman" w:hAnsi="Times New Roman"/>
          <w:color w:val="000000"/>
          <w:sz w:val="28"/>
          <w:szCs w:val="28"/>
        </w:rPr>
        <w:t>7,8 mil.lei. Totodată, la 7 agenți economici c</w:t>
      </w:r>
      <w:r w:rsidR="000261D8">
        <w:rPr>
          <w:rFonts w:ascii="Times New Roman" w:hAnsi="Times New Roman"/>
          <w:color w:val="000000"/>
          <w:sz w:val="28"/>
          <w:szCs w:val="28"/>
        </w:rPr>
        <w:t>ar</w:t>
      </w:r>
      <w:r w:rsidRPr="001D0846">
        <w:rPr>
          <w:rFonts w:ascii="Times New Roman" w:hAnsi="Times New Roman"/>
          <w:color w:val="000000"/>
          <w:sz w:val="28"/>
          <w:szCs w:val="28"/>
        </w:rPr>
        <w:t xml:space="preserve">e practică activitate farmaceutică au fost recalculate în anul 2017 </w:t>
      </w:r>
      <w:r w:rsidRPr="001D0846">
        <w:rPr>
          <w:rFonts w:ascii="Times New Roman" w:hAnsi="Times New Roman"/>
          <w:color w:val="000000"/>
          <w:sz w:val="28"/>
          <w:szCs w:val="28"/>
        </w:rPr>
        <w:lastRenderedPageBreak/>
        <w:t>drepturile de import/export prin calcularea suplimentară a obligației vamale în sumă de 15,9 mil.lei pentru nerespectarea condițiilor aferente scutirilor aplicate în domeniu</w:t>
      </w:r>
      <w:r w:rsidR="000261D8">
        <w:rPr>
          <w:rFonts w:ascii="Times New Roman" w:hAnsi="Times New Roman"/>
          <w:color w:val="000000"/>
          <w:sz w:val="28"/>
          <w:szCs w:val="28"/>
        </w:rPr>
        <w:t>l</w:t>
      </w:r>
      <w:r w:rsidRPr="001D0846">
        <w:rPr>
          <w:rFonts w:ascii="Times New Roman" w:hAnsi="Times New Roman"/>
          <w:color w:val="000000"/>
          <w:sz w:val="28"/>
          <w:szCs w:val="28"/>
        </w:rPr>
        <w:t xml:space="preserve"> menționat.</w:t>
      </w:r>
    </w:p>
    <w:p w:rsidR="005772B2" w:rsidRPr="001D0846" w:rsidRDefault="005772B2" w:rsidP="00C77119">
      <w:pPr>
        <w:tabs>
          <w:tab w:val="left" w:pos="0"/>
        </w:tabs>
        <w:spacing w:after="0" w:line="276" w:lineRule="auto"/>
        <w:ind w:firstLine="709"/>
        <w:jc w:val="both"/>
        <w:rPr>
          <w:rFonts w:ascii="Times New Roman" w:hAnsi="Times New Roman"/>
          <w:sz w:val="28"/>
          <w:szCs w:val="28"/>
        </w:rPr>
      </w:pPr>
      <w:r w:rsidRPr="001D0846">
        <w:rPr>
          <w:rFonts w:ascii="Times New Roman" w:hAnsi="Times New Roman"/>
          <w:sz w:val="28"/>
          <w:szCs w:val="28"/>
        </w:rPr>
        <w:tab/>
        <w:t xml:space="preserve">Auditul remarcă că în </w:t>
      </w:r>
      <w:r w:rsidR="000261D8">
        <w:rPr>
          <w:rFonts w:ascii="Times New Roman" w:hAnsi="Times New Roman"/>
          <w:sz w:val="28"/>
          <w:szCs w:val="28"/>
        </w:rPr>
        <w:t>anul</w:t>
      </w:r>
      <w:r w:rsidRPr="001D0846">
        <w:rPr>
          <w:rFonts w:ascii="Times New Roman" w:hAnsi="Times New Roman"/>
          <w:sz w:val="28"/>
          <w:szCs w:val="28"/>
        </w:rPr>
        <w:t xml:space="preserve"> 2017</w:t>
      </w:r>
      <w:r w:rsidR="00135D3E">
        <w:rPr>
          <w:rFonts w:ascii="Times New Roman" w:hAnsi="Times New Roman"/>
          <w:sz w:val="28"/>
          <w:szCs w:val="28"/>
        </w:rPr>
        <w:t>,</w:t>
      </w:r>
      <w:r w:rsidRPr="001D0846">
        <w:rPr>
          <w:rFonts w:ascii="Times New Roman" w:hAnsi="Times New Roman"/>
          <w:sz w:val="28"/>
          <w:szCs w:val="28"/>
        </w:rPr>
        <w:t xml:space="preserve"> din numărul total al obligațiilor vamale recalculate, </w:t>
      </w:r>
      <w:r w:rsidR="00135D3E" w:rsidRPr="001D0846">
        <w:rPr>
          <w:rFonts w:ascii="Times New Roman" w:hAnsi="Times New Roman"/>
          <w:sz w:val="28"/>
          <w:szCs w:val="28"/>
        </w:rPr>
        <w:t xml:space="preserve">au fost contestate </w:t>
      </w:r>
      <w:r w:rsidRPr="001D0846">
        <w:rPr>
          <w:rFonts w:ascii="Times New Roman" w:hAnsi="Times New Roman"/>
          <w:sz w:val="28"/>
          <w:szCs w:val="28"/>
        </w:rPr>
        <w:t>obligații în sumă de 18,7 mil.lei, în rezultatul examinării c</w:t>
      </w:r>
      <w:r w:rsidR="00135D3E">
        <w:rPr>
          <w:rFonts w:ascii="Times New Roman" w:hAnsi="Times New Roman"/>
          <w:sz w:val="28"/>
          <w:szCs w:val="28"/>
        </w:rPr>
        <w:t xml:space="preserve">ăroras-au anulat </w:t>
      </w:r>
      <w:r w:rsidRPr="001D0846">
        <w:rPr>
          <w:rFonts w:ascii="Times New Roman" w:hAnsi="Times New Roman"/>
          <w:sz w:val="28"/>
          <w:szCs w:val="28"/>
        </w:rPr>
        <w:t>obligații în sumă de 3,7 mil.lei. Totodată, în baza hotăr</w:t>
      </w:r>
      <w:r w:rsidR="00135D3E">
        <w:rPr>
          <w:rFonts w:ascii="Times New Roman" w:hAnsi="Times New Roman"/>
          <w:sz w:val="28"/>
          <w:szCs w:val="28"/>
        </w:rPr>
        <w:t>â</w:t>
      </w:r>
      <w:r w:rsidRPr="001D0846">
        <w:rPr>
          <w:rFonts w:ascii="Times New Roman" w:hAnsi="Times New Roman"/>
          <w:sz w:val="28"/>
          <w:szCs w:val="28"/>
        </w:rPr>
        <w:t>rilor de judecată</w:t>
      </w:r>
      <w:r w:rsidR="00135D3E">
        <w:rPr>
          <w:rFonts w:ascii="Times New Roman" w:hAnsi="Times New Roman"/>
          <w:sz w:val="28"/>
          <w:szCs w:val="28"/>
        </w:rPr>
        <w:t>,s-</w:t>
      </w:r>
      <w:r w:rsidRPr="001D0846">
        <w:rPr>
          <w:rFonts w:ascii="Times New Roman" w:hAnsi="Times New Roman"/>
          <w:sz w:val="28"/>
          <w:szCs w:val="28"/>
        </w:rPr>
        <w:t>au anulat obligații vamale recalculate în sumă de 7,2 mil.lei. Analogic</w:t>
      </w:r>
      <w:r w:rsidR="00135D3E">
        <w:rPr>
          <w:rFonts w:ascii="Times New Roman" w:hAnsi="Times New Roman"/>
          <w:sz w:val="28"/>
          <w:szCs w:val="28"/>
        </w:rPr>
        <w:t>,</w:t>
      </w:r>
      <w:r w:rsidRPr="001D0846">
        <w:rPr>
          <w:rFonts w:ascii="Times New Roman" w:hAnsi="Times New Roman"/>
          <w:sz w:val="28"/>
          <w:szCs w:val="28"/>
        </w:rPr>
        <w:t xml:space="preserve"> în </w:t>
      </w:r>
      <w:r w:rsidR="00135D3E">
        <w:rPr>
          <w:rFonts w:ascii="Times New Roman" w:hAnsi="Times New Roman"/>
          <w:sz w:val="28"/>
          <w:szCs w:val="28"/>
        </w:rPr>
        <w:t>anul</w:t>
      </w:r>
      <w:r w:rsidRPr="001D0846">
        <w:rPr>
          <w:rFonts w:ascii="Times New Roman" w:hAnsi="Times New Roman"/>
          <w:sz w:val="28"/>
          <w:szCs w:val="28"/>
        </w:rPr>
        <w:t xml:space="preserve"> 2016 au fost contestate obligații vamale în sumă de 17,7 mil.lei</w:t>
      </w:r>
      <w:r w:rsidR="00135D3E">
        <w:rPr>
          <w:rFonts w:ascii="Times New Roman" w:hAnsi="Times New Roman"/>
          <w:sz w:val="28"/>
          <w:szCs w:val="28"/>
        </w:rPr>
        <w:t xml:space="preserve"> și</w:t>
      </w:r>
      <w:r w:rsidR="00135D3E" w:rsidRPr="001D0846">
        <w:rPr>
          <w:rFonts w:ascii="Times New Roman" w:hAnsi="Times New Roman"/>
          <w:sz w:val="28"/>
          <w:szCs w:val="28"/>
        </w:rPr>
        <w:t>în rezul</w:t>
      </w:r>
      <w:r w:rsidR="00135D3E">
        <w:rPr>
          <w:rFonts w:ascii="Times New Roman" w:hAnsi="Times New Roman"/>
          <w:sz w:val="28"/>
          <w:szCs w:val="28"/>
        </w:rPr>
        <w:t xml:space="preserve">tatul examinării lors-au </w:t>
      </w:r>
      <w:r w:rsidRPr="001D0846">
        <w:rPr>
          <w:rFonts w:ascii="Times New Roman" w:hAnsi="Times New Roman"/>
          <w:sz w:val="28"/>
          <w:szCs w:val="28"/>
        </w:rPr>
        <w:t xml:space="preserve">anulat obligații în sumă de 0,8 mil.lei. </w:t>
      </w:r>
      <w:r w:rsidR="000A59C4">
        <w:rPr>
          <w:rFonts w:ascii="Times New Roman" w:hAnsi="Times New Roman"/>
          <w:sz w:val="28"/>
          <w:szCs w:val="28"/>
        </w:rPr>
        <w:t>În</w:t>
      </w:r>
      <w:r w:rsidRPr="001D0846">
        <w:rPr>
          <w:rFonts w:ascii="Times New Roman" w:hAnsi="Times New Roman"/>
          <w:sz w:val="28"/>
          <w:szCs w:val="28"/>
        </w:rPr>
        <w:t xml:space="preserve"> baza hotăr</w:t>
      </w:r>
      <w:r w:rsidR="00135D3E">
        <w:rPr>
          <w:rFonts w:ascii="Times New Roman" w:hAnsi="Times New Roman"/>
          <w:sz w:val="28"/>
          <w:szCs w:val="28"/>
        </w:rPr>
        <w:t>â</w:t>
      </w:r>
      <w:r w:rsidRPr="001D0846">
        <w:rPr>
          <w:rFonts w:ascii="Times New Roman" w:hAnsi="Times New Roman"/>
          <w:sz w:val="28"/>
          <w:szCs w:val="28"/>
        </w:rPr>
        <w:t>rilor de judecată</w:t>
      </w:r>
      <w:r w:rsidR="00135D3E">
        <w:rPr>
          <w:rFonts w:ascii="Times New Roman" w:hAnsi="Times New Roman"/>
          <w:sz w:val="28"/>
          <w:szCs w:val="28"/>
        </w:rPr>
        <w:t>,</w:t>
      </w:r>
      <w:r w:rsidRPr="001D0846">
        <w:rPr>
          <w:rFonts w:ascii="Times New Roman" w:hAnsi="Times New Roman"/>
          <w:sz w:val="28"/>
          <w:szCs w:val="28"/>
        </w:rPr>
        <w:t xml:space="preserve"> au fost anulate obligații vamale recalculate în sumă de 8,8 mil.lei.</w:t>
      </w:r>
    </w:p>
    <w:p w:rsidR="003C4B9E" w:rsidRDefault="003C4B9E" w:rsidP="00C77119">
      <w:pPr>
        <w:pStyle w:val="Heading1"/>
        <w:spacing w:before="0" w:line="276" w:lineRule="auto"/>
        <w:ind w:firstLine="709"/>
        <w:jc w:val="both"/>
        <w:rPr>
          <w:rFonts w:ascii="Times New Roman" w:hAnsi="Times New Roman" w:cs="Times New Roman"/>
          <w:b/>
          <w:color w:val="auto"/>
          <w:sz w:val="28"/>
          <w:szCs w:val="28"/>
        </w:rPr>
      </w:pPr>
    </w:p>
    <w:p w:rsidR="00C77119" w:rsidRPr="00C77119" w:rsidRDefault="00C77119" w:rsidP="00CA01B8">
      <w:pPr>
        <w:pStyle w:val="Heading1"/>
        <w:spacing w:before="0" w:line="276" w:lineRule="auto"/>
        <w:jc w:val="both"/>
        <w:rPr>
          <w:rFonts w:ascii="Times New Roman" w:hAnsi="Times New Roman" w:cs="Times New Roman"/>
          <w:b/>
          <w:color w:val="auto"/>
          <w:sz w:val="28"/>
          <w:szCs w:val="28"/>
        </w:rPr>
      </w:pPr>
      <w:bookmarkStart w:id="18" w:name="_Toc515894894"/>
      <w:r w:rsidRPr="00C77119">
        <w:rPr>
          <w:rFonts w:ascii="Times New Roman" w:hAnsi="Times New Roman" w:cs="Times New Roman"/>
          <w:b/>
          <w:color w:val="auto"/>
          <w:sz w:val="28"/>
          <w:szCs w:val="28"/>
        </w:rPr>
        <w:t>3.8. Implementarea de către organele fiscale și vamale a recomandărilor auditurilor precedente ale Curții de Conturi.</w:t>
      </w:r>
      <w:bookmarkEnd w:id="18"/>
    </w:p>
    <w:p w:rsidR="002F3B1F" w:rsidRPr="00FE0B45" w:rsidRDefault="00FE0B45" w:rsidP="00C77119">
      <w:pPr>
        <w:spacing w:after="0" w:line="276" w:lineRule="auto"/>
        <w:ind w:firstLine="709"/>
        <w:jc w:val="both"/>
        <w:rPr>
          <w:rFonts w:ascii="Times New Roman" w:hAnsi="Times New Roman" w:cs="Times New Roman"/>
          <w:i/>
          <w:sz w:val="28"/>
          <w:szCs w:val="28"/>
        </w:rPr>
      </w:pPr>
      <w:r w:rsidRPr="00FE0B45">
        <w:rPr>
          <w:rFonts w:ascii="Times New Roman" w:eastAsia="Times New Roman" w:hAnsi="Times New Roman"/>
          <w:b/>
          <w:i/>
          <w:sz w:val="28"/>
          <w:szCs w:val="28"/>
          <w:lang w:eastAsia="ru-RU"/>
        </w:rPr>
        <w:t>3.8.1.</w:t>
      </w:r>
      <w:r w:rsidR="00C77119" w:rsidRPr="00C77119">
        <w:rPr>
          <w:rFonts w:ascii="Times New Roman" w:eastAsia="Times New Roman" w:hAnsi="Times New Roman"/>
          <w:sz w:val="28"/>
          <w:szCs w:val="28"/>
          <w:lang w:eastAsia="ru-RU"/>
        </w:rPr>
        <w:t xml:space="preserve">Verificarea </w:t>
      </w:r>
      <w:r w:rsidR="004621B8">
        <w:rPr>
          <w:rFonts w:ascii="Times New Roman" w:eastAsia="Times New Roman" w:hAnsi="Times New Roman"/>
          <w:sz w:val="28"/>
          <w:szCs w:val="28"/>
          <w:lang w:eastAsia="ru-RU"/>
        </w:rPr>
        <w:t xml:space="preserve">executării cerințelor și </w:t>
      </w:r>
      <w:r w:rsidR="002F3B1F">
        <w:rPr>
          <w:rFonts w:ascii="Times New Roman" w:eastAsia="Times New Roman" w:hAnsi="Times New Roman"/>
          <w:sz w:val="28"/>
          <w:szCs w:val="28"/>
          <w:lang w:eastAsia="ru-RU"/>
        </w:rPr>
        <w:t>implementării</w:t>
      </w:r>
      <w:r w:rsidR="00C77119" w:rsidRPr="00C77119">
        <w:rPr>
          <w:rFonts w:ascii="Times New Roman" w:hAnsi="Times New Roman"/>
          <w:sz w:val="28"/>
          <w:szCs w:val="28"/>
        </w:rPr>
        <w:t xml:space="preserve"> recomandărilor din </w:t>
      </w:r>
      <w:r w:rsidR="00C77119" w:rsidRPr="00FE0B45">
        <w:rPr>
          <w:rFonts w:ascii="Times New Roman" w:hAnsi="Times New Roman" w:cs="Times New Roman"/>
          <w:i/>
          <w:sz w:val="28"/>
          <w:szCs w:val="28"/>
        </w:rPr>
        <w:t>Hotărârea Curții de</w:t>
      </w:r>
      <w:r w:rsidR="002F3B1F" w:rsidRPr="00FE0B45">
        <w:rPr>
          <w:rFonts w:ascii="Times New Roman" w:hAnsi="Times New Roman" w:cs="Times New Roman"/>
          <w:i/>
          <w:sz w:val="28"/>
          <w:szCs w:val="28"/>
        </w:rPr>
        <w:t xml:space="preserve"> Conturi nr.44 din 20.11.2015</w:t>
      </w:r>
      <w:r w:rsidR="00C77119" w:rsidRPr="00FE0B45">
        <w:rPr>
          <w:rFonts w:ascii="Times New Roman" w:hAnsi="Times New Roman" w:cs="Times New Roman"/>
          <w:i/>
          <w:sz w:val="28"/>
          <w:szCs w:val="28"/>
        </w:rPr>
        <w:t>privind Raportul auditului performanței sistemului ad</w:t>
      </w:r>
      <w:r w:rsidR="002F3B1F" w:rsidRPr="00FE0B45">
        <w:rPr>
          <w:rFonts w:ascii="Times New Roman" w:hAnsi="Times New Roman" w:cs="Times New Roman"/>
          <w:i/>
          <w:sz w:val="28"/>
          <w:szCs w:val="28"/>
        </w:rPr>
        <w:t>ministrării veniturilor publice</w:t>
      </w:r>
      <w:r w:rsidR="002F3B1F">
        <w:rPr>
          <w:rFonts w:ascii="Times New Roman" w:hAnsi="Times New Roman" w:cs="Times New Roman"/>
          <w:sz w:val="28"/>
          <w:szCs w:val="28"/>
        </w:rPr>
        <w:t xml:space="preserve"> (</w:t>
      </w:r>
      <w:r>
        <w:rPr>
          <w:rFonts w:ascii="Times New Roman" w:hAnsi="Times New Roman" w:cs="Times New Roman"/>
          <w:sz w:val="28"/>
          <w:szCs w:val="28"/>
        </w:rPr>
        <w:t>termen</w:t>
      </w:r>
      <w:r w:rsidR="00135D3E">
        <w:rPr>
          <w:rFonts w:ascii="Times New Roman" w:hAnsi="Times New Roman" w:cs="Times New Roman"/>
          <w:sz w:val="28"/>
          <w:szCs w:val="28"/>
        </w:rPr>
        <w:t>ul</w:t>
      </w:r>
      <w:r w:rsidR="00C77119" w:rsidRPr="001D0846">
        <w:rPr>
          <w:rFonts w:ascii="Times New Roman" w:hAnsi="Times New Roman" w:cs="Times New Roman"/>
          <w:sz w:val="28"/>
          <w:szCs w:val="28"/>
        </w:rPr>
        <w:t xml:space="preserve"> de executare 18 luni din data publicării în M.O. al RM  din 15.01.2016</w:t>
      </w:r>
      <w:r w:rsidR="002F3B1F">
        <w:rPr>
          <w:rFonts w:ascii="Times New Roman" w:hAnsi="Times New Roman" w:cs="Times New Roman"/>
          <w:sz w:val="28"/>
          <w:szCs w:val="28"/>
        </w:rPr>
        <w:t>)</w:t>
      </w:r>
      <w:r w:rsidR="00C77119" w:rsidRPr="001D0846">
        <w:rPr>
          <w:rFonts w:ascii="Times New Roman" w:hAnsi="Times New Roman" w:cs="Times New Roman"/>
          <w:sz w:val="28"/>
          <w:szCs w:val="28"/>
        </w:rPr>
        <w:t xml:space="preserve"> relevă că</w:t>
      </w:r>
      <w:r w:rsidR="00135D3E">
        <w:rPr>
          <w:rFonts w:ascii="Times New Roman" w:hAnsi="Times New Roman" w:cs="Times New Roman"/>
          <w:sz w:val="28"/>
          <w:szCs w:val="28"/>
        </w:rPr>
        <w:t>,</w:t>
      </w:r>
      <w:r w:rsidR="00C77119" w:rsidRPr="001D0846">
        <w:rPr>
          <w:rFonts w:ascii="Times New Roman" w:hAnsi="Times New Roman" w:cs="Times New Roman"/>
          <w:sz w:val="28"/>
          <w:szCs w:val="28"/>
        </w:rPr>
        <w:t xml:space="preserve"> în total</w:t>
      </w:r>
      <w:r w:rsidR="00135D3E">
        <w:rPr>
          <w:rFonts w:ascii="Times New Roman" w:hAnsi="Times New Roman" w:cs="Times New Roman"/>
          <w:sz w:val="28"/>
          <w:szCs w:val="28"/>
        </w:rPr>
        <w:t>,</w:t>
      </w:r>
      <w:r w:rsidR="00C77119" w:rsidRPr="001D0846">
        <w:rPr>
          <w:rFonts w:ascii="Times New Roman" w:hAnsi="Times New Roman" w:cs="Times New Roman"/>
          <w:sz w:val="28"/>
          <w:szCs w:val="28"/>
        </w:rPr>
        <w:t xml:space="preserve"> au fost înaintate 12 cerințe și 35 recomandări, dintre care MF, SFS și S</w:t>
      </w:r>
      <w:r w:rsidR="002F3B1F">
        <w:rPr>
          <w:rFonts w:ascii="Times New Roman" w:hAnsi="Times New Roman" w:cs="Times New Roman"/>
          <w:sz w:val="28"/>
          <w:szCs w:val="28"/>
        </w:rPr>
        <w:t xml:space="preserve">V - 5 cerințe și 30 recomandări, nivelul de executare </w:t>
      </w:r>
      <w:r>
        <w:rPr>
          <w:rFonts w:ascii="Times New Roman" w:hAnsi="Times New Roman" w:cs="Times New Roman"/>
          <w:sz w:val="28"/>
          <w:szCs w:val="28"/>
        </w:rPr>
        <w:t xml:space="preserve">a acestora </w:t>
      </w:r>
      <w:r w:rsidR="002F3B1F">
        <w:rPr>
          <w:rFonts w:ascii="Times New Roman" w:hAnsi="Times New Roman" w:cs="Times New Roman"/>
          <w:sz w:val="28"/>
          <w:szCs w:val="28"/>
        </w:rPr>
        <w:t xml:space="preserve">constituind57,2%. </w:t>
      </w:r>
      <w:r w:rsidRPr="00FE0B45">
        <w:rPr>
          <w:rFonts w:ascii="Times New Roman" w:hAnsi="Times New Roman" w:cs="Times New Roman"/>
          <w:i/>
          <w:sz w:val="28"/>
          <w:szCs w:val="28"/>
        </w:rPr>
        <w:t xml:space="preserve">Informația privind </w:t>
      </w:r>
      <w:r>
        <w:rPr>
          <w:rFonts w:ascii="Times New Roman" w:hAnsi="Times New Roman" w:cs="Times New Roman"/>
          <w:i/>
          <w:sz w:val="28"/>
          <w:szCs w:val="28"/>
        </w:rPr>
        <w:t xml:space="preserve">nivelul de </w:t>
      </w:r>
      <w:r w:rsidRPr="00FE0B45">
        <w:rPr>
          <w:rFonts w:ascii="Times New Roman" w:hAnsi="Times New Roman" w:cs="Times New Roman"/>
          <w:i/>
          <w:sz w:val="28"/>
          <w:szCs w:val="28"/>
        </w:rPr>
        <w:t xml:space="preserve">executarea hotărârii menționate </w:t>
      </w:r>
      <w:r w:rsidR="00135D3E">
        <w:rPr>
          <w:rFonts w:ascii="Times New Roman" w:hAnsi="Times New Roman" w:cs="Times New Roman"/>
          <w:i/>
          <w:sz w:val="28"/>
          <w:szCs w:val="28"/>
        </w:rPr>
        <w:t>este</w:t>
      </w:r>
      <w:r w:rsidRPr="00FE0B45">
        <w:rPr>
          <w:rFonts w:ascii="Times New Roman" w:hAnsi="Times New Roman" w:cs="Times New Roman"/>
          <w:i/>
          <w:sz w:val="28"/>
          <w:szCs w:val="28"/>
        </w:rPr>
        <w:t xml:space="preserve"> prez</w:t>
      </w:r>
      <w:r w:rsidR="00135D3E">
        <w:rPr>
          <w:rFonts w:ascii="Times New Roman" w:hAnsi="Times New Roman" w:cs="Times New Roman"/>
          <w:i/>
          <w:sz w:val="28"/>
          <w:szCs w:val="28"/>
        </w:rPr>
        <w:t>enta</w:t>
      </w:r>
      <w:r w:rsidRPr="00FE0B45">
        <w:rPr>
          <w:rFonts w:ascii="Times New Roman" w:hAnsi="Times New Roman" w:cs="Times New Roman"/>
          <w:i/>
          <w:sz w:val="28"/>
          <w:szCs w:val="28"/>
        </w:rPr>
        <w:t>tă după cum urmează:</w:t>
      </w:r>
    </w:p>
    <w:p w:rsidR="00BF2FD8" w:rsidRDefault="00BF2FD8" w:rsidP="00C77119">
      <w:pPr>
        <w:pStyle w:val="ListParagraph"/>
        <w:tabs>
          <w:tab w:val="left" w:pos="360"/>
        </w:tabs>
        <w:spacing w:after="0" w:line="276" w:lineRule="auto"/>
        <w:ind w:left="360" w:firstLine="349"/>
        <w:jc w:val="both"/>
        <w:rPr>
          <w:rFonts w:ascii="Times New Roman" w:hAnsi="Times New Roman" w:cs="Times New Roman"/>
          <w:i/>
          <w:sz w:val="28"/>
          <w:szCs w:val="28"/>
          <w:u w:val="single"/>
        </w:rPr>
      </w:pPr>
    </w:p>
    <w:p w:rsidR="00C77119" w:rsidRPr="00BF2FD8" w:rsidRDefault="00C77119" w:rsidP="00C77119">
      <w:pPr>
        <w:pStyle w:val="ListParagraph"/>
        <w:tabs>
          <w:tab w:val="left" w:pos="360"/>
        </w:tabs>
        <w:spacing w:after="0" w:line="276" w:lineRule="auto"/>
        <w:ind w:left="360" w:firstLine="349"/>
        <w:jc w:val="both"/>
        <w:rPr>
          <w:rFonts w:ascii="Times New Roman" w:hAnsi="Times New Roman" w:cs="Times New Roman"/>
          <w:i/>
          <w:sz w:val="28"/>
          <w:szCs w:val="28"/>
        </w:rPr>
      </w:pPr>
      <w:r w:rsidRPr="00BF2FD8">
        <w:rPr>
          <w:rFonts w:ascii="Times New Roman" w:hAnsi="Times New Roman" w:cs="Times New Roman"/>
          <w:i/>
          <w:sz w:val="28"/>
          <w:szCs w:val="28"/>
        </w:rPr>
        <w:t>Cerințe înaintate:</w:t>
      </w:r>
    </w:p>
    <w:p w:rsidR="00C77119" w:rsidRPr="00BF2FD8" w:rsidRDefault="00C77119" w:rsidP="00C77119">
      <w:pPr>
        <w:pStyle w:val="ListParagraph"/>
        <w:numPr>
          <w:ilvl w:val="0"/>
          <w:numId w:val="12"/>
        </w:numPr>
        <w:tabs>
          <w:tab w:val="left" w:pos="360"/>
        </w:tabs>
        <w:spacing w:after="0" w:line="276" w:lineRule="auto"/>
        <w:ind w:left="0" w:firstLine="360"/>
        <w:jc w:val="both"/>
        <w:rPr>
          <w:rFonts w:ascii="Times New Roman" w:hAnsi="Times New Roman" w:cs="Times New Roman"/>
          <w:sz w:val="28"/>
          <w:szCs w:val="28"/>
        </w:rPr>
      </w:pPr>
      <w:r w:rsidRPr="00BF2FD8">
        <w:rPr>
          <w:rFonts w:ascii="Times New Roman" w:hAnsi="Times New Roman" w:cs="Times New Roman"/>
          <w:sz w:val="28"/>
          <w:szCs w:val="28"/>
        </w:rPr>
        <w:t xml:space="preserve">MF – 3 cerințe, dintre care 1 </w:t>
      </w:r>
      <w:r w:rsidR="000A59C4" w:rsidRPr="00BF2FD8">
        <w:rPr>
          <w:rFonts w:ascii="Times New Roman" w:hAnsi="Times New Roman" w:cs="Times New Roman"/>
          <w:sz w:val="28"/>
          <w:szCs w:val="28"/>
        </w:rPr>
        <w:t xml:space="preserve">- </w:t>
      </w:r>
      <w:r w:rsidRPr="00BF2FD8">
        <w:rPr>
          <w:rFonts w:ascii="Times New Roman" w:hAnsi="Times New Roman" w:cs="Times New Roman"/>
          <w:sz w:val="28"/>
          <w:szCs w:val="28"/>
        </w:rPr>
        <w:t xml:space="preserve">realizată, 1 </w:t>
      </w:r>
      <w:r w:rsidR="00135D3E" w:rsidRPr="00BF2FD8">
        <w:rPr>
          <w:rFonts w:ascii="Times New Roman" w:hAnsi="Times New Roman" w:cs="Times New Roman"/>
          <w:sz w:val="28"/>
          <w:szCs w:val="28"/>
        </w:rPr>
        <w:t xml:space="preserve">- </w:t>
      </w:r>
      <w:r w:rsidRPr="00BF2FD8">
        <w:rPr>
          <w:rFonts w:ascii="Times New Roman" w:hAnsi="Times New Roman" w:cs="Times New Roman"/>
          <w:sz w:val="28"/>
          <w:szCs w:val="28"/>
        </w:rPr>
        <w:t>parțial realizată</w:t>
      </w:r>
      <w:r w:rsidR="00135D3E" w:rsidRPr="00BF2FD8">
        <w:rPr>
          <w:rFonts w:ascii="Times New Roman" w:hAnsi="Times New Roman" w:cs="Times New Roman"/>
          <w:sz w:val="28"/>
          <w:szCs w:val="28"/>
        </w:rPr>
        <w:t>,</w:t>
      </w:r>
      <w:r w:rsidRPr="00BF2FD8">
        <w:rPr>
          <w:rFonts w:ascii="Times New Roman" w:hAnsi="Times New Roman" w:cs="Times New Roman"/>
          <w:sz w:val="28"/>
          <w:szCs w:val="28"/>
        </w:rPr>
        <w:t xml:space="preserve"> și 1</w:t>
      </w:r>
      <w:r w:rsidR="00135D3E" w:rsidRPr="00BF2FD8">
        <w:rPr>
          <w:rFonts w:ascii="Times New Roman" w:hAnsi="Times New Roman" w:cs="Times New Roman"/>
          <w:sz w:val="28"/>
          <w:szCs w:val="28"/>
        </w:rPr>
        <w:t xml:space="preserve">- </w:t>
      </w:r>
      <w:r w:rsidRPr="00BF2FD8">
        <w:rPr>
          <w:rFonts w:ascii="Times New Roman" w:hAnsi="Times New Roman" w:cs="Times New Roman"/>
          <w:sz w:val="28"/>
          <w:szCs w:val="28"/>
        </w:rPr>
        <w:t xml:space="preserve"> nerealizată.</w:t>
      </w:r>
    </w:p>
    <w:p w:rsidR="00C77119" w:rsidRPr="00BF2FD8" w:rsidRDefault="00C77119" w:rsidP="00C77119">
      <w:pPr>
        <w:pStyle w:val="ListParagraph"/>
        <w:numPr>
          <w:ilvl w:val="0"/>
          <w:numId w:val="12"/>
        </w:numPr>
        <w:tabs>
          <w:tab w:val="left" w:pos="360"/>
        </w:tabs>
        <w:spacing w:after="0" w:line="276" w:lineRule="auto"/>
        <w:ind w:left="0" w:firstLine="360"/>
        <w:jc w:val="both"/>
        <w:rPr>
          <w:rFonts w:ascii="Times New Roman" w:hAnsi="Times New Roman" w:cs="Times New Roman"/>
          <w:sz w:val="28"/>
          <w:szCs w:val="28"/>
        </w:rPr>
      </w:pPr>
      <w:r w:rsidRPr="00BF2FD8">
        <w:rPr>
          <w:rFonts w:ascii="Times New Roman" w:hAnsi="Times New Roman" w:cs="Times New Roman"/>
          <w:sz w:val="28"/>
          <w:szCs w:val="28"/>
        </w:rPr>
        <w:t>SFS și SV – 2 cerințe realizate.</w:t>
      </w:r>
    </w:p>
    <w:p w:rsidR="00C77119" w:rsidRPr="00BF2FD8" w:rsidRDefault="00C77119" w:rsidP="00C77119">
      <w:pPr>
        <w:pStyle w:val="ListParagraph"/>
        <w:numPr>
          <w:ilvl w:val="0"/>
          <w:numId w:val="12"/>
        </w:numPr>
        <w:tabs>
          <w:tab w:val="left" w:pos="360"/>
        </w:tabs>
        <w:spacing w:after="0" w:line="276" w:lineRule="auto"/>
        <w:ind w:left="0" w:firstLine="360"/>
        <w:jc w:val="both"/>
        <w:rPr>
          <w:rFonts w:ascii="Times New Roman" w:hAnsi="Times New Roman" w:cs="Times New Roman"/>
          <w:sz w:val="28"/>
          <w:szCs w:val="28"/>
        </w:rPr>
      </w:pPr>
      <w:r w:rsidRPr="00BF2FD8">
        <w:rPr>
          <w:rFonts w:ascii="Times New Roman" w:hAnsi="Times New Roman" w:cs="Times New Roman"/>
          <w:sz w:val="28"/>
          <w:szCs w:val="28"/>
        </w:rPr>
        <w:t>ME</w:t>
      </w:r>
      <w:r w:rsidR="00135D3E" w:rsidRPr="00BF2FD8">
        <w:rPr>
          <w:rFonts w:ascii="Times New Roman" w:hAnsi="Times New Roman" w:cs="Times New Roman"/>
          <w:sz w:val="28"/>
          <w:szCs w:val="28"/>
        </w:rPr>
        <w:t>,</w:t>
      </w:r>
      <w:r w:rsidRPr="00BF2FD8">
        <w:rPr>
          <w:rFonts w:ascii="Times New Roman" w:hAnsi="Times New Roman" w:cs="Times New Roman"/>
          <w:sz w:val="28"/>
          <w:szCs w:val="28"/>
        </w:rPr>
        <w:t xml:space="preserve"> în comun cu MF – 2 cerințe parțial realizate.</w:t>
      </w:r>
    </w:p>
    <w:p w:rsidR="00C77119" w:rsidRPr="00BF2FD8" w:rsidRDefault="00C77119" w:rsidP="00C77119">
      <w:pPr>
        <w:pStyle w:val="ListParagraph"/>
        <w:tabs>
          <w:tab w:val="left" w:pos="720"/>
        </w:tabs>
        <w:spacing w:after="0" w:line="276" w:lineRule="auto"/>
        <w:ind w:left="0" w:firstLine="709"/>
        <w:jc w:val="both"/>
        <w:rPr>
          <w:rFonts w:ascii="Times New Roman" w:hAnsi="Times New Roman" w:cs="Times New Roman"/>
          <w:i/>
          <w:sz w:val="28"/>
          <w:szCs w:val="28"/>
        </w:rPr>
      </w:pPr>
      <w:r w:rsidRPr="00BF2FD8">
        <w:rPr>
          <w:rFonts w:ascii="Times New Roman" w:hAnsi="Times New Roman" w:cs="Times New Roman"/>
          <w:i/>
          <w:sz w:val="28"/>
          <w:szCs w:val="28"/>
        </w:rPr>
        <w:t>Din 35 recomandări înaintate</w:t>
      </w:r>
      <w:r w:rsidR="00135D3E" w:rsidRPr="00BF2FD8">
        <w:rPr>
          <w:rFonts w:ascii="Times New Roman" w:hAnsi="Times New Roman" w:cs="Times New Roman"/>
          <w:i/>
          <w:sz w:val="28"/>
          <w:szCs w:val="28"/>
        </w:rPr>
        <w:t>,</w:t>
      </w:r>
      <w:r w:rsidR="00FE0B45" w:rsidRPr="00BF2FD8">
        <w:rPr>
          <w:rFonts w:ascii="Times New Roman" w:hAnsi="Times New Roman" w:cs="Times New Roman"/>
          <w:i/>
          <w:sz w:val="28"/>
          <w:szCs w:val="28"/>
        </w:rPr>
        <w:t xml:space="preserve"> 11 au fost reiterate din Hotărâ</w:t>
      </w:r>
      <w:r w:rsidRPr="00BF2FD8">
        <w:rPr>
          <w:rFonts w:ascii="Times New Roman" w:hAnsi="Times New Roman" w:cs="Times New Roman"/>
          <w:i/>
          <w:sz w:val="28"/>
          <w:szCs w:val="28"/>
        </w:rPr>
        <w:t xml:space="preserve">rile </w:t>
      </w:r>
      <w:r w:rsidR="00135D3E" w:rsidRPr="00BF2FD8">
        <w:rPr>
          <w:rFonts w:ascii="Times New Roman" w:hAnsi="Times New Roman" w:cs="Times New Roman"/>
          <w:i/>
          <w:sz w:val="28"/>
          <w:szCs w:val="28"/>
        </w:rPr>
        <w:t xml:space="preserve">precedente ale </w:t>
      </w:r>
      <w:r w:rsidRPr="00BF2FD8">
        <w:rPr>
          <w:rFonts w:ascii="Times New Roman" w:hAnsi="Times New Roman" w:cs="Times New Roman"/>
          <w:i/>
          <w:sz w:val="28"/>
          <w:szCs w:val="28"/>
        </w:rPr>
        <w:t>C</w:t>
      </w:r>
      <w:r w:rsidR="00135D3E" w:rsidRPr="00BF2FD8">
        <w:rPr>
          <w:rFonts w:ascii="Times New Roman" w:hAnsi="Times New Roman" w:cs="Times New Roman"/>
          <w:i/>
          <w:sz w:val="28"/>
          <w:szCs w:val="28"/>
        </w:rPr>
        <w:t xml:space="preserve">urții de </w:t>
      </w:r>
      <w:r w:rsidRPr="00BF2FD8">
        <w:rPr>
          <w:rFonts w:ascii="Times New Roman" w:hAnsi="Times New Roman" w:cs="Times New Roman"/>
          <w:i/>
          <w:sz w:val="28"/>
          <w:szCs w:val="28"/>
        </w:rPr>
        <w:t>C</w:t>
      </w:r>
      <w:r w:rsidR="00135D3E" w:rsidRPr="00BF2FD8">
        <w:rPr>
          <w:rFonts w:ascii="Times New Roman" w:hAnsi="Times New Roman" w:cs="Times New Roman"/>
          <w:i/>
          <w:sz w:val="28"/>
          <w:szCs w:val="28"/>
        </w:rPr>
        <w:t>onturi</w:t>
      </w:r>
      <w:r w:rsidRPr="00BF2FD8">
        <w:rPr>
          <w:rFonts w:ascii="Times New Roman" w:hAnsi="Times New Roman" w:cs="Times New Roman"/>
          <w:i/>
          <w:sz w:val="28"/>
          <w:szCs w:val="28"/>
        </w:rPr>
        <w:t>:</w:t>
      </w:r>
    </w:p>
    <w:p w:rsidR="00C77119" w:rsidRPr="001D0846" w:rsidRDefault="00C77119" w:rsidP="00C77119">
      <w:pPr>
        <w:pStyle w:val="ListParagraph"/>
        <w:numPr>
          <w:ilvl w:val="0"/>
          <w:numId w:val="13"/>
        </w:numPr>
        <w:tabs>
          <w:tab w:val="left" w:pos="720"/>
        </w:tabs>
        <w:spacing w:after="0" w:line="276" w:lineRule="auto"/>
        <w:ind w:left="0" w:firstLine="360"/>
        <w:jc w:val="both"/>
        <w:rPr>
          <w:rFonts w:ascii="Times New Roman" w:hAnsi="Times New Roman" w:cs="Times New Roman"/>
          <w:sz w:val="28"/>
          <w:szCs w:val="28"/>
        </w:rPr>
      </w:pPr>
      <w:r w:rsidRPr="001D0846">
        <w:rPr>
          <w:rFonts w:ascii="Times New Roman" w:hAnsi="Times New Roman" w:cs="Times New Roman"/>
          <w:sz w:val="28"/>
          <w:szCs w:val="28"/>
        </w:rPr>
        <w:t>MF – 8 recomandări</w:t>
      </w:r>
      <w:r w:rsidR="00135D3E">
        <w:rPr>
          <w:rFonts w:ascii="Times New Roman" w:hAnsi="Times New Roman" w:cs="Times New Roman"/>
          <w:sz w:val="28"/>
          <w:szCs w:val="28"/>
        </w:rPr>
        <w:t>,</w:t>
      </w:r>
      <w:r w:rsidRPr="001D0846">
        <w:rPr>
          <w:rFonts w:ascii="Times New Roman" w:hAnsi="Times New Roman" w:cs="Times New Roman"/>
          <w:sz w:val="28"/>
          <w:szCs w:val="28"/>
        </w:rPr>
        <w:t xml:space="preserve"> dintre care 3 sunt implementate, 1 </w:t>
      </w:r>
      <w:r w:rsidR="00135D3E">
        <w:rPr>
          <w:rFonts w:ascii="Times New Roman" w:hAnsi="Times New Roman" w:cs="Times New Roman"/>
          <w:sz w:val="28"/>
          <w:szCs w:val="28"/>
        </w:rPr>
        <w:t xml:space="preserve">- </w:t>
      </w:r>
      <w:r w:rsidRPr="001D0846">
        <w:rPr>
          <w:rFonts w:ascii="Times New Roman" w:hAnsi="Times New Roman" w:cs="Times New Roman"/>
          <w:sz w:val="28"/>
          <w:szCs w:val="28"/>
        </w:rPr>
        <w:t xml:space="preserve">parțial implementată, 1 </w:t>
      </w:r>
      <w:r w:rsidR="00135D3E">
        <w:rPr>
          <w:rFonts w:ascii="Times New Roman" w:hAnsi="Times New Roman" w:cs="Times New Roman"/>
          <w:sz w:val="28"/>
          <w:szCs w:val="28"/>
        </w:rPr>
        <w:t xml:space="preserve">– </w:t>
      </w:r>
      <w:r w:rsidRPr="001D0846">
        <w:rPr>
          <w:rFonts w:ascii="Times New Roman" w:hAnsi="Times New Roman" w:cs="Times New Roman"/>
          <w:sz w:val="28"/>
          <w:szCs w:val="28"/>
        </w:rPr>
        <w:t>neimplementată</w:t>
      </w:r>
      <w:r w:rsidR="00135D3E">
        <w:rPr>
          <w:rFonts w:ascii="Times New Roman" w:hAnsi="Times New Roman" w:cs="Times New Roman"/>
          <w:sz w:val="28"/>
          <w:szCs w:val="28"/>
        </w:rPr>
        <w:t>,</w:t>
      </w:r>
      <w:r w:rsidRPr="001D0846">
        <w:rPr>
          <w:rFonts w:ascii="Times New Roman" w:hAnsi="Times New Roman" w:cs="Times New Roman"/>
          <w:sz w:val="28"/>
          <w:szCs w:val="28"/>
        </w:rPr>
        <w:t xml:space="preserve"> și 3 </w:t>
      </w:r>
      <w:r w:rsidR="00135D3E">
        <w:rPr>
          <w:rFonts w:ascii="Times New Roman" w:hAnsi="Times New Roman" w:cs="Times New Roman"/>
          <w:sz w:val="28"/>
          <w:szCs w:val="28"/>
        </w:rPr>
        <w:t xml:space="preserve">- </w:t>
      </w:r>
      <w:r w:rsidRPr="001D0846">
        <w:rPr>
          <w:rFonts w:ascii="Times New Roman" w:hAnsi="Times New Roman" w:cs="Times New Roman"/>
          <w:sz w:val="28"/>
          <w:szCs w:val="28"/>
        </w:rPr>
        <w:t>neimplementate</w:t>
      </w:r>
    </w:p>
    <w:p w:rsidR="00C77119" w:rsidRPr="001D0846" w:rsidRDefault="00C77119" w:rsidP="00C77119">
      <w:pPr>
        <w:pStyle w:val="ListParagraph"/>
        <w:numPr>
          <w:ilvl w:val="0"/>
          <w:numId w:val="13"/>
        </w:numPr>
        <w:tabs>
          <w:tab w:val="left" w:pos="720"/>
        </w:tabs>
        <w:spacing w:after="0" w:line="276" w:lineRule="auto"/>
        <w:ind w:left="0" w:firstLine="360"/>
        <w:jc w:val="both"/>
        <w:rPr>
          <w:rFonts w:ascii="Times New Roman" w:hAnsi="Times New Roman" w:cs="Times New Roman"/>
          <w:sz w:val="28"/>
          <w:szCs w:val="28"/>
        </w:rPr>
      </w:pPr>
      <w:r w:rsidRPr="001D0846">
        <w:rPr>
          <w:rFonts w:ascii="Times New Roman" w:hAnsi="Times New Roman" w:cs="Times New Roman"/>
          <w:sz w:val="28"/>
          <w:szCs w:val="28"/>
        </w:rPr>
        <w:t>MF</w:t>
      </w:r>
      <w:r w:rsidR="00062548">
        <w:rPr>
          <w:rFonts w:ascii="Times New Roman" w:hAnsi="Times New Roman" w:cs="Times New Roman"/>
          <w:sz w:val="28"/>
          <w:szCs w:val="28"/>
        </w:rPr>
        <w:t>,</w:t>
      </w:r>
      <w:r w:rsidRPr="001D0846">
        <w:rPr>
          <w:rFonts w:ascii="Times New Roman" w:hAnsi="Times New Roman" w:cs="Times New Roman"/>
          <w:sz w:val="28"/>
          <w:szCs w:val="28"/>
        </w:rPr>
        <w:t xml:space="preserve"> în comun cu SFS și SV – 2</w:t>
      </w:r>
      <w:r w:rsidR="00062548">
        <w:rPr>
          <w:rFonts w:ascii="Times New Roman" w:hAnsi="Times New Roman" w:cs="Times New Roman"/>
          <w:sz w:val="28"/>
          <w:szCs w:val="28"/>
        </w:rPr>
        <w:t>,</w:t>
      </w:r>
      <w:r w:rsidRPr="001D0846">
        <w:rPr>
          <w:rFonts w:ascii="Times New Roman" w:hAnsi="Times New Roman" w:cs="Times New Roman"/>
          <w:sz w:val="28"/>
          <w:szCs w:val="28"/>
        </w:rPr>
        <w:t xml:space="preserve"> dintre care 1 este implementată și 1 </w:t>
      </w:r>
      <w:r w:rsidR="00062548">
        <w:rPr>
          <w:rFonts w:ascii="Times New Roman" w:hAnsi="Times New Roman" w:cs="Times New Roman"/>
          <w:sz w:val="28"/>
          <w:szCs w:val="28"/>
        </w:rPr>
        <w:t xml:space="preserve">- </w:t>
      </w:r>
      <w:r w:rsidRPr="001D0846">
        <w:rPr>
          <w:rFonts w:ascii="Times New Roman" w:hAnsi="Times New Roman" w:cs="Times New Roman"/>
          <w:sz w:val="28"/>
          <w:szCs w:val="28"/>
        </w:rPr>
        <w:t>parțial implementată.</w:t>
      </w:r>
    </w:p>
    <w:p w:rsidR="00C77119" w:rsidRPr="001D0846" w:rsidRDefault="00C77119" w:rsidP="00C77119">
      <w:pPr>
        <w:pStyle w:val="ListParagraph"/>
        <w:numPr>
          <w:ilvl w:val="0"/>
          <w:numId w:val="13"/>
        </w:numPr>
        <w:tabs>
          <w:tab w:val="left" w:pos="720"/>
        </w:tabs>
        <w:spacing w:after="0" w:line="276" w:lineRule="auto"/>
        <w:ind w:left="0" w:firstLine="360"/>
        <w:jc w:val="both"/>
        <w:rPr>
          <w:rFonts w:ascii="Times New Roman" w:hAnsi="Times New Roman" w:cs="Times New Roman"/>
          <w:sz w:val="28"/>
          <w:szCs w:val="28"/>
        </w:rPr>
      </w:pPr>
      <w:r w:rsidRPr="001D0846">
        <w:rPr>
          <w:rFonts w:ascii="Times New Roman" w:hAnsi="Times New Roman" w:cs="Times New Roman"/>
          <w:sz w:val="28"/>
          <w:szCs w:val="28"/>
        </w:rPr>
        <w:t>SFS – 11 recomandări</w:t>
      </w:r>
      <w:r w:rsidR="00062548">
        <w:rPr>
          <w:rFonts w:ascii="Times New Roman" w:hAnsi="Times New Roman" w:cs="Times New Roman"/>
          <w:sz w:val="28"/>
          <w:szCs w:val="28"/>
        </w:rPr>
        <w:t>,</w:t>
      </w:r>
      <w:r w:rsidRPr="001D0846">
        <w:rPr>
          <w:rFonts w:ascii="Times New Roman" w:hAnsi="Times New Roman" w:cs="Times New Roman"/>
          <w:sz w:val="28"/>
          <w:szCs w:val="28"/>
        </w:rPr>
        <w:t xml:space="preserve"> dintre care 10 sunt implementate și 1 </w:t>
      </w:r>
      <w:r w:rsidR="00062548">
        <w:rPr>
          <w:rFonts w:ascii="Times New Roman" w:hAnsi="Times New Roman" w:cs="Times New Roman"/>
          <w:sz w:val="28"/>
          <w:szCs w:val="28"/>
        </w:rPr>
        <w:t xml:space="preserve">- </w:t>
      </w:r>
      <w:r w:rsidRPr="001D0846">
        <w:rPr>
          <w:rFonts w:ascii="Times New Roman" w:hAnsi="Times New Roman" w:cs="Times New Roman"/>
          <w:sz w:val="28"/>
          <w:szCs w:val="28"/>
        </w:rPr>
        <w:t>neimplementată.</w:t>
      </w:r>
    </w:p>
    <w:p w:rsidR="00C77119" w:rsidRPr="001D0846" w:rsidRDefault="00C77119" w:rsidP="00C77119">
      <w:pPr>
        <w:pStyle w:val="ListParagraph"/>
        <w:numPr>
          <w:ilvl w:val="0"/>
          <w:numId w:val="13"/>
        </w:numPr>
        <w:tabs>
          <w:tab w:val="left" w:pos="720"/>
        </w:tabs>
        <w:spacing w:after="0" w:line="276" w:lineRule="auto"/>
        <w:ind w:left="0" w:firstLine="360"/>
        <w:jc w:val="both"/>
        <w:rPr>
          <w:rFonts w:ascii="Times New Roman" w:hAnsi="Times New Roman" w:cs="Times New Roman"/>
          <w:sz w:val="28"/>
          <w:szCs w:val="28"/>
        </w:rPr>
      </w:pPr>
      <w:r w:rsidRPr="001D0846">
        <w:rPr>
          <w:rFonts w:ascii="Times New Roman" w:hAnsi="Times New Roman" w:cs="Times New Roman"/>
          <w:sz w:val="28"/>
          <w:szCs w:val="28"/>
        </w:rPr>
        <w:t>SV – 9 recomandări</w:t>
      </w:r>
      <w:r w:rsidR="00062548">
        <w:rPr>
          <w:rFonts w:ascii="Times New Roman" w:hAnsi="Times New Roman" w:cs="Times New Roman"/>
          <w:sz w:val="28"/>
          <w:szCs w:val="28"/>
        </w:rPr>
        <w:t>,</w:t>
      </w:r>
      <w:r w:rsidRPr="001D0846">
        <w:rPr>
          <w:rFonts w:ascii="Times New Roman" w:hAnsi="Times New Roman" w:cs="Times New Roman"/>
          <w:sz w:val="28"/>
          <w:szCs w:val="28"/>
        </w:rPr>
        <w:t xml:space="preserve"> dintre care 5 sunt implementate și 4 </w:t>
      </w:r>
      <w:r w:rsidR="00062548">
        <w:rPr>
          <w:rFonts w:ascii="Times New Roman" w:hAnsi="Times New Roman" w:cs="Times New Roman"/>
          <w:sz w:val="28"/>
          <w:szCs w:val="28"/>
        </w:rPr>
        <w:t xml:space="preserve">- </w:t>
      </w:r>
      <w:r w:rsidRPr="001D0846">
        <w:rPr>
          <w:rFonts w:ascii="Times New Roman" w:hAnsi="Times New Roman" w:cs="Times New Roman"/>
          <w:sz w:val="28"/>
          <w:szCs w:val="28"/>
        </w:rPr>
        <w:t>parțial implementate.</w:t>
      </w:r>
    </w:p>
    <w:p w:rsidR="00C77119" w:rsidRDefault="00C77119" w:rsidP="00C77119">
      <w:pPr>
        <w:pStyle w:val="ListParagraph"/>
        <w:numPr>
          <w:ilvl w:val="0"/>
          <w:numId w:val="13"/>
        </w:numPr>
        <w:tabs>
          <w:tab w:val="left" w:pos="720"/>
        </w:tabs>
        <w:spacing w:after="0" w:line="276" w:lineRule="auto"/>
        <w:ind w:left="0" w:firstLine="360"/>
        <w:jc w:val="both"/>
        <w:rPr>
          <w:rFonts w:ascii="Times New Roman" w:hAnsi="Times New Roman" w:cs="Times New Roman"/>
          <w:sz w:val="28"/>
          <w:szCs w:val="28"/>
        </w:rPr>
      </w:pPr>
      <w:r w:rsidRPr="001D0846">
        <w:rPr>
          <w:rFonts w:ascii="Times New Roman" w:hAnsi="Times New Roman" w:cs="Times New Roman"/>
          <w:sz w:val="28"/>
          <w:szCs w:val="28"/>
        </w:rPr>
        <w:lastRenderedPageBreak/>
        <w:t>SFS și SV – 1 parțial implementată.</w:t>
      </w:r>
    </w:p>
    <w:p w:rsidR="00C77119" w:rsidRPr="001D0846" w:rsidRDefault="00FE0B45" w:rsidP="00FE0B45">
      <w:pPr>
        <w:pStyle w:val="ListParagraph"/>
        <w:tabs>
          <w:tab w:val="left" w:pos="720"/>
        </w:tabs>
        <w:spacing w:after="0" w:line="276" w:lineRule="auto"/>
        <w:ind w:left="0"/>
        <w:jc w:val="both"/>
        <w:rPr>
          <w:rFonts w:ascii="Times New Roman" w:hAnsi="Times New Roman" w:cs="Times New Roman"/>
          <w:sz w:val="28"/>
          <w:szCs w:val="28"/>
        </w:rPr>
      </w:pPr>
      <w:r>
        <w:rPr>
          <w:rFonts w:ascii="Times New Roman" w:hAnsi="Times New Roman" w:cs="Times New Roman"/>
          <w:sz w:val="28"/>
          <w:szCs w:val="28"/>
        </w:rPr>
        <w:tab/>
      </w:r>
      <w:r w:rsidRPr="00FE0B45">
        <w:rPr>
          <w:rFonts w:ascii="Times New Roman" w:hAnsi="Times New Roman" w:cs="Times New Roman"/>
          <w:b/>
          <w:i/>
          <w:sz w:val="28"/>
          <w:szCs w:val="28"/>
        </w:rPr>
        <w:t>3.8.2.</w:t>
      </w:r>
      <w:r w:rsidR="00C77119" w:rsidRPr="00FE0B45">
        <w:rPr>
          <w:rFonts w:ascii="Times New Roman" w:hAnsi="Times New Roman" w:cs="Times New Roman"/>
          <w:sz w:val="28"/>
          <w:szCs w:val="28"/>
        </w:rPr>
        <w:t xml:space="preserve">Urmare analizei </w:t>
      </w:r>
      <w:r w:rsidR="00C77119" w:rsidRPr="00FE0B45">
        <w:rPr>
          <w:rFonts w:ascii="Times New Roman" w:hAnsi="Times New Roman" w:cs="Times New Roman"/>
          <w:i/>
          <w:sz w:val="28"/>
          <w:szCs w:val="28"/>
        </w:rPr>
        <w:t xml:space="preserve">Hotărârii Curții de Conturi </w:t>
      </w:r>
      <w:r w:rsidRPr="00FE0B45">
        <w:rPr>
          <w:rFonts w:ascii="Times New Roman" w:hAnsi="Times New Roman" w:cs="Times New Roman"/>
          <w:i/>
          <w:sz w:val="28"/>
          <w:szCs w:val="28"/>
        </w:rPr>
        <w:t xml:space="preserve">nr.34 din 29.07.2016 </w:t>
      </w:r>
      <w:r w:rsidR="00C77119" w:rsidRPr="00FE0B45">
        <w:rPr>
          <w:rFonts w:ascii="Times New Roman" w:hAnsi="Times New Roman" w:cs="Times New Roman"/>
          <w:i/>
          <w:sz w:val="28"/>
          <w:szCs w:val="28"/>
        </w:rPr>
        <w:t xml:space="preserve">privind Raportul auditului de conformitate asociat auditului de performanță al sistemului facilităților fiscale și vamale </w:t>
      </w:r>
      <w:r>
        <w:rPr>
          <w:rFonts w:ascii="Times New Roman" w:hAnsi="Times New Roman" w:cs="Times New Roman"/>
          <w:sz w:val="28"/>
          <w:szCs w:val="28"/>
        </w:rPr>
        <w:t>(</w:t>
      </w:r>
      <w:r w:rsidR="00C77119" w:rsidRPr="001D0846">
        <w:rPr>
          <w:rFonts w:ascii="Times New Roman" w:hAnsi="Times New Roman" w:cs="Times New Roman"/>
          <w:sz w:val="28"/>
          <w:szCs w:val="28"/>
        </w:rPr>
        <w:t>termen</w:t>
      </w:r>
      <w:r w:rsidR="00062548">
        <w:rPr>
          <w:rFonts w:ascii="Times New Roman" w:hAnsi="Times New Roman" w:cs="Times New Roman"/>
          <w:sz w:val="28"/>
          <w:szCs w:val="28"/>
        </w:rPr>
        <w:t>ul</w:t>
      </w:r>
      <w:r w:rsidR="00C77119" w:rsidRPr="001D0846">
        <w:rPr>
          <w:rFonts w:ascii="Times New Roman" w:hAnsi="Times New Roman" w:cs="Times New Roman"/>
          <w:sz w:val="28"/>
          <w:szCs w:val="28"/>
        </w:rPr>
        <w:t xml:space="preserve"> de </w:t>
      </w:r>
      <w:r>
        <w:rPr>
          <w:rFonts w:ascii="Times New Roman" w:hAnsi="Times New Roman" w:cs="Times New Roman"/>
          <w:sz w:val="28"/>
          <w:szCs w:val="28"/>
        </w:rPr>
        <w:t xml:space="preserve">executare </w:t>
      </w:r>
      <w:r w:rsidR="00C77119" w:rsidRPr="001D0846">
        <w:rPr>
          <w:rFonts w:ascii="Times New Roman" w:hAnsi="Times New Roman" w:cs="Times New Roman"/>
          <w:sz w:val="28"/>
          <w:szCs w:val="28"/>
        </w:rPr>
        <w:t>18 luni din data publicării în M</w:t>
      </w:r>
      <w:r>
        <w:rPr>
          <w:rFonts w:ascii="Times New Roman" w:hAnsi="Times New Roman" w:cs="Times New Roman"/>
          <w:sz w:val="28"/>
          <w:szCs w:val="28"/>
        </w:rPr>
        <w:t>.</w:t>
      </w:r>
      <w:r w:rsidR="00C77119" w:rsidRPr="001D0846">
        <w:rPr>
          <w:rFonts w:ascii="Times New Roman" w:hAnsi="Times New Roman" w:cs="Times New Roman"/>
          <w:sz w:val="28"/>
          <w:szCs w:val="28"/>
        </w:rPr>
        <w:t>O</w:t>
      </w:r>
      <w:r>
        <w:rPr>
          <w:rFonts w:ascii="Times New Roman" w:hAnsi="Times New Roman" w:cs="Times New Roman"/>
          <w:sz w:val="28"/>
          <w:szCs w:val="28"/>
        </w:rPr>
        <w:t>.</w:t>
      </w:r>
      <w:r w:rsidR="00C77119" w:rsidRPr="001D0846">
        <w:rPr>
          <w:rFonts w:ascii="Times New Roman" w:hAnsi="Times New Roman" w:cs="Times New Roman"/>
          <w:sz w:val="28"/>
          <w:szCs w:val="28"/>
        </w:rPr>
        <w:t xml:space="preserve"> al RM </w:t>
      </w:r>
      <w:r w:rsidR="00062548">
        <w:rPr>
          <w:rFonts w:ascii="Times New Roman" w:hAnsi="Times New Roman" w:cs="Times New Roman"/>
          <w:sz w:val="28"/>
          <w:szCs w:val="28"/>
        </w:rPr>
        <w:t xml:space="preserve">din </w:t>
      </w:r>
      <w:r w:rsidR="00C77119" w:rsidRPr="001D0846">
        <w:rPr>
          <w:rFonts w:ascii="Times New Roman" w:hAnsi="Times New Roman" w:cs="Times New Roman"/>
          <w:sz w:val="28"/>
          <w:szCs w:val="28"/>
        </w:rPr>
        <w:t>04.11.2016</w:t>
      </w:r>
      <w:r>
        <w:rPr>
          <w:rFonts w:ascii="Times New Roman" w:hAnsi="Times New Roman" w:cs="Times New Roman"/>
          <w:sz w:val="28"/>
          <w:szCs w:val="28"/>
        </w:rPr>
        <w:t>)</w:t>
      </w:r>
      <w:r w:rsidR="00C77119" w:rsidRPr="001D0846">
        <w:rPr>
          <w:rFonts w:ascii="Times New Roman" w:hAnsi="Times New Roman" w:cs="Times New Roman"/>
          <w:sz w:val="28"/>
          <w:szCs w:val="28"/>
        </w:rPr>
        <w:t xml:space="preserve">, </w:t>
      </w:r>
      <w:r w:rsidR="004621B8">
        <w:rPr>
          <w:rFonts w:ascii="Times New Roman" w:hAnsi="Times New Roman" w:cs="Times New Roman"/>
          <w:sz w:val="28"/>
          <w:szCs w:val="28"/>
        </w:rPr>
        <w:t>se menționează</w:t>
      </w:r>
      <w:r w:rsidR="00C77119" w:rsidRPr="001D0846">
        <w:rPr>
          <w:rFonts w:ascii="Times New Roman" w:hAnsi="Times New Roman" w:cs="Times New Roman"/>
          <w:sz w:val="28"/>
          <w:szCs w:val="28"/>
        </w:rPr>
        <w:t xml:space="preserve"> că au fost înaintate 4 cerințe și 11 recomandări, termenul </w:t>
      </w:r>
      <w:r w:rsidR="00062548">
        <w:rPr>
          <w:rFonts w:ascii="Times New Roman" w:hAnsi="Times New Roman" w:cs="Times New Roman"/>
          <w:sz w:val="28"/>
          <w:szCs w:val="28"/>
        </w:rPr>
        <w:t>de executare</w:t>
      </w:r>
      <w:r w:rsidR="00C77119" w:rsidRPr="001D0846">
        <w:rPr>
          <w:rFonts w:ascii="Times New Roman" w:hAnsi="Times New Roman" w:cs="Times New Roman"/>
          <w:sz w:val="28"/>
          <w:szCs w:val="28"/>
        </w:rPr>
        <w:t xml:space="preserve"> expir</w:t>
      </w:r>
      <w:r w:rsidR="00062548">
        <w:rPr>
          <w:rFonts w:ascii="Times New Roman" w:hAnsi="Times New Roman" w:cs="Times New Roman"/>
          <w:sz w:val="28"/>
          <w:szCs w:val="28"/>
        </w:rPr>
        <w:t>ând</w:t>
      </w:r>
      <w:r w:rsidR="00C77119" w:rsidRPr="001D0846">
        <w:rPr>
          <w:rFonts w:ascii="Times New Roman" w:hAnsi="Times New Roman" w:cs="Times New Roman"/>
          <w:sz w:val="28"/>
          <w:szCs w:val="28"/>
        </w:rPr>
        <w:t xml:space="preserve"> la data de 04.05.2018</w:t>
      </w:r>
      <w:r w:rsidR="00062548">
        <w:rPr>
          <w:rFonts w:ascii="Times New Roman" w:hAnsi="Times New Roman" w:cs="Times New Roman"/>
          <w:sz w:val="28"/>
          <w:szCs w:val="28"/>
        </w:rPr>
        <w:t>,</w:t>
      </w:r>
      <w:r w:rsidR="00C77119" w:rsidRPr="001D0846">
        <w:rPr>
          <w:rFonts w:ascii="Times New Roman" w:hAnsi="Times New Roman" w:cs="Times New Roman"/>
          <w:sz w:val="28"/>
          <w:szCs w:val="28"/>
        </w:rPr>
        <w:t xml:space="preserve"> sau la etapa de raportare a </w:t>
      </w:r>
      <w:r w:rsidR="004621B8">
        <w:rPr>
          <w:rFonts w:ascii="Times New Roman" w:hAnsi="Times New Roman" w:cs="Times New Roman"/>
          <w:sz w:val="28"/>
          <w:szCs w:val="28"/>
        </w:rPr>
        <w:t>prezentei misiuni de audit,</w:t>
      </w:r>
      <w:r w:rsidR="00C77119" w:rsidRPr="001D0846">
        <w:rPr>
          <w:rFonts w:ascii="Times New Roman" w:hAnsi="Times New Roman" w:cs="Times New Roman"/>
          <w:sz w:val="28"/>
          <w:szCs w:val="28"/>
        </w:rPr>
        <w:t xml:space="preserve"> entitățile urm</w:t>
      </w:r>
      <w:r w:rsidR="00062548">
        <w:rPr>
          <w:rFonts w:ascii="Times New Roman" w:hAnsi="Times New Roman" w:cs="Times New Roman"/>
          <w:sz w:val="28"/>
          <w:szCs w:val="28"/>
        </w:rPr>
        <w:t>â</w:t>
      </w:r>
      <w:r w:rsidR="00C77119" w:rsidRPr="001D0846">
        <w:rPr>
          <w:rFonts w:ascii="Times New Roman" w:hAnsi="Times New Roman" w:cs="Times New Roman"/>
          <w:sz w:val="28"/>
          <w:szCs w:val="28"/>
        </w:rPr>
        <w:t>nd să prezinte informațiile actualizate la data respectivă.</w:t>
      </w:r>
    </w:p>
    <w:p w:rsidR="004621B8" w:rsidRPr="00BF2FD8" w:rsidRDefault="00C77119" w:rsidP="004621B8">
      <w:pPr>
        <w:tabs>
          <w:tab w:val="left" w:pos="0"/>
        </w:tabs>
        <w:spacing w:after="0" w:line="276" w:lineRule="auto"/>
        <w:jc w:val="both"/>
        <w:rPr>
          <w:rFonts w:ascii="Times New Roman" w:hAnsi="Times New Roman" w:cs="Times New Roman"/>
          <w:i/>
          <w:sz w:val="28"/>
          <w:szCs w:val="28"/>
        </w:rPr>
      </w:pPr>
      <w:r w:rsidRPr="001D0846">
        <w:rPr>
          <w:rFonts w:ascii="Times New Roman" w:hAnsi="Times New Roman" w:cs="Times New Roman"/>
        </w:rPr>
        <w:tab/>
      </w:r>
      <w:r w:rsidR="004621B8" w:rsidRPr="004621B8">
        <w:rPr>
          <w:rFonts w:ascii="Times New Roman" w:hAnsi="Times New Roman" w:cs="Times New Roman"/>
          <w:b/>
          <w:i/>
          <w:sz w:val="28"/>
          <w:szCs w:val="28"/>
        </w:rPr>
        <w:t>3.8.</w:t>
      </w:r>
      <w:r w:rsidR="003C4B9E">
        <w:rPr>
          <w:rFonts w:ascii="Times New Roman" w:hAnsi="Times New Roman" w:cs="Times New Roman"/>
          <w:b/>
          <w:i/>
          <w:sz w:val="28"/>
          <w:szCs w:val="28"/>
        </w:rPr>
        <w:t>3</w:t>
      </w:r>
      <w:r w:rsidR="004621B8" w:rsidRPr="004621B8">
        <w:rPr>
          <w:rFonts w:ascii="Times New Roman" w:hAnsi="Times New Roman" w:cs="Times New Roman"/>
          <w:b/>
          <w:i/>
          <w:sz w:val="28"/>
          <w:szCs w:val="28"/>
        </w:rPr>
        <w:t>.</w:t>
      </w:r>
      <w:r w:rsidRPr="001D0846">
        <w:rPr>
          <w:rFonts w:ascii="Times New Roman" w:eastAsia="Times New Roman" w:hAnsi="Times New Roman"/>
          <w:sz w:val="28"/>
          <w:szCs w:val="28"/>
          <w:lang w:eastAsia="ru-RU"/>
        </w:rPr>
        <w:t xml:space="preserve">Verificarea </w:t>
      </w:r>
      <w:r w:rsidRPr="001D0846">
        <w:rPr>
          <w:rFonts w:ascii="Times New Roman" w:hAnsi="Times New Roman"/>
          <w:sz w:val="28"/>
          <w:szCs w:val="28"/>
        </w:rPr>
        <w:t xml:space="preserve">executării cerinţelorşi implementării recomandărilor din </w:t>
      </w:r>
      <w:r w:rsidRPr="004621B8">
        <w:rPr>
          <w:rFonts w:ascii="Times New Roman" w:hAnsi="Times New Roman" w:cs="Times New Roman"/>
          <w:i/>
          <w:sz w:val="28"/>
          <w:szCs w:val="28"/>
        </w:rPr>
        <w:t xml:space="preserve">Hotărârea Curții de Conturi nr.20 din 26.05.2017 privind Raportul auditului performanței ,,Relevanța instrumentelor de gestiune silită a obligației fiscale/vamale pentru anii 2014-2016” </w:t>
      </w:r>
      <w:r w:rsidRPr="001D0846">
        <w:rPr>
          <w:rFonts w:ascii="Times New Roman" w:hAnsi="Times New Roman" w:cs="Times New Roman"/>
          <w:sz w:val="28"/>
          <w:szCs w:val="28"/>
        </w:rPr>
        <w:t xml:space="preserve">relevă că au fost înaintate 19 cerințe și 16 recomandări, dintre care MF, SFS și </w:t>
      </w:r>
      <w:r w:rsidR="004621B8">
        <w:rPr>
          <w:rFonts w:ascii="Times New Roman" w:hAnsi="Times New Roman" w:cs="Times New Roman"/>
          <w:sz w:val="28"/>
          <w:szCs w:val="28"/>
        </w:rPr>
        <w:t xml:space="preserve">SV </w:t>
      </w:r>
      <w:r w:rsidR="00062548">
        <w:rPr>
          <w:rFonts w:ascii="Times New Roman" w:hAnsi="Times New Roman" w:cs="Times New Roman"/>
          <w:sz w:val="28"/>
          <w:szCs w:val="28"/>
        </w:rPr>
        <w:t xml:space="preserve">- </w:t>
      </w:r>
      <w:r w:rsidR="004621B8">
        <w:rPr>
          <w:rFonts w:ascii="Times New Roman" w:hAnsi="Times New Roman" w:cs="Times New Roman"/>
          <w:sz w:val="28"/>
          <w:szCs w:val="28"/>
        </w:rPr>
        <w:t xml:space="preserve">8 cerințe și 10 recomandări, nivelul de executare a acestora constituind </w:t>
      </w:r>
      <w:r w:rsidR="004621B8" w:rsidRPr="001D0846">
        <w:rPr>
          <w:rFonts w:ascii="Times New Roman" w:hAnsi="Times New Roman" w:cs="Times New Roman"/>
          <w:sz w:val="28"/>
          <w:szCs w:val="28"/>
        </w:rPr>
        <w:t>77,8%</w:t>
      </w:r>
      <w:r w:rsidR="004621B8">
        <w:rPr>
          <w:rFonts w:ascii="Times New Roman" w:hAnsi="Times New Roman" w:cs="Times New Roman"/>
          <w:sz w:val="28"/>
          <w:szCs w:val="28"/>
        </w:rPr>
        <w:t xml:space="preserve">. </w:t>
      </w:r>
      <w:r w:rsidR="004621B8" w:rsidRPr="00FE0B45">
        <w:rPr>
          <w:rFonts w:ascii="Times New Roman" w:hAnsi="Times New Roman" w:cs="Times New Roman"/>
          <w:i/>
          <w:sz w:val="28"/>
          <w:szCs w:val="28"/>
        </w:rPr>
        <w:t xml:space="preserve">Informația privind </w:t>
      </w:r>
      <w:r w:rsidR="004621B8">
        <w:rPr>
          <w:rFonts w:ascii="Times New Roman" w:hAnsi="Times New Roman" w:cs="Times New Roman"/>
          <w:i/>
          <w:sz w:val="28"/>
          <w:szCs w:val="28"/>
        </w:rPr>
        <w:t xml:space="preserve">nivelul de </w:t>
      </w:r>
      <w:r w:rsidR="004621B8" w:rsidRPr="00FE0B45">
        <w:rPr>
          <w:rFonts w:ascii="Times New Roman" w:hAnsi="Times New Roman" w:cs="Times New Roman"/>
          <w:i/>
          <w:sz w:val="28"/>
          <w:szCs w:val="28"/>
        </w:rPr>
        <w:t xml:space="preserve">executarea hotărârii menționate </w:t>
      </w:r>
      <w:r w:rsidR="00062548">
        <w:rPr>
          <w:rFonts w:ascii="Times New Roman" w:hAnsi="Times New Roman" w:cs="Times New Roman"/>
          <w:i/>
          <w:sz w:val="28"/>
          <w:szCs w:val="28"/>
        </w:rPr>
        <w:t>este</w:t>
      </w:r>
      <w:r w:rsidR="004621B8" w:rsidRPr="00BF2FD8">
        <w:rPr>
          <w:rFonts w:ascii="Times New Roman" w:hAnsi="Times New Roman" w:cs="Times New Roman"/>
          <w:i/>
          <w:sz w:val="28"/>
          <w:szCs w:val="28"/>
        </w:rPr>
        <w:t>prez</w:t>
      </w:r>
      <w:r w:rsidR="00062548" w:rsidRPr="00BF2FD8">
        <w:rPr>
          <w:rFonts w:ascii="Times New Roman" w:hAnsi="Times New Roman" w:cs="Times New Roman"/>
          <w:i/>
          <w:sz w:val="28"/>
          <w:szCs w:val="28"/>
        </w:rPr>
        <w:t>enta</w:t>
      </w:r>
      <w:r w:rsidR="004621B8" w:rsidRPr="00BF2FD8">
        <w:rPr>
          <w:rFonts w:ascii="Times New Roman" w:hAnsi="Times New Roman" w:cs="Times New Roman"/>
          <w:i/>
          <w:sz w:val="28"/>
          <w:szCs w:val="28"/>
        </w:rPr>
        <w:t>tă după cum urmează:</w:t>
      </w:r>
    </w:p>
    <w:p w:rsidR="004621B8" w:rsidRPr="00BF2FD8" w:rsidRDefault="004621B8" w:rsidP="004621B8">
      <w:pPr>
        <w:tabs>
          <w:tab w:val="left" w:pos="0"/>
        </w:tabs>
        <w:spacing w:after="0" w:line="276" w:lineRule="auto"/>
        <w:jc w:val="both"/>
        <w:rPr>
          <w:rFonts w:ascii="Times New Roman" w:hAnsi="Times New Roman" w:cs="Times New Roman"/>
          <w:i/>
          <w:sz w:val="28"/>
          <w:szCs w:val="28"/>
        </w:rPr>
      </w:pPr>
    </w:p>
    <w:p w:rsidR="00C77119" w:rsidRPr="00BF2FD8" w:rsidRDefault="00C77119" w:rsidP="00C77119">
      <w:pPr>
        <w:pStyle w:val="ListParagraph"/>
        <w:tabs>
          <w:tab w:val="left" w:pos="360"/>
        </w:tabs>
        <w:spacing w:after="0" w:line="276" w:lineRule="auto"/>
        <w:ind w:left="360"/>
        <w:jc w:val="both"/>
        <w:rPr>
          <w:rFonts w:ascii="Times New Roman" w:hAnsi="Times New Roman" w:cs="Times New Roman"/>
          <w:sz w:val="28"/>
          <w:szCs w:val="28"/>
        </w:rPr>
      </w:pPr>
      <w:r w:rsidRPr="00BF2FD8">
        <w:rPr>
          <w:rFonts w:ascii="Times New Roman" w:hAnsi="Times New Roman" w:cs="Times New Roman"/>
          <w:sz w:val="28"/>
          <w:szCs w:val="28"/>
        </w:rPr>
        <w:t>Cerințe și recomandări înaintate:</w:t>
      </w:r>
    </w:p>
    <w:p w:rsidR="00C77119" w:rsidRPr="001D0846" w:rsidRDefault="00C77119" w:rsidP="00C77119">
      <w:pPr>
        <w:pStyle w:val="ListParagraph"/>
        <w:numPr>
          <w:ilvl w:val="0"/>
          <w:numId w:val="14"/>
        </w:numPr>
        <w:tabs>
          <w:tab w:val="left" w:pos="810"/>
        </w:tabs>
        <w:spacing w:after="0" w:line="276" w:lineRule="auto"/>
        <w:ind w:left="0" w:firstLine="360"/>
        <w:jc w:val="both"/>
        <w:rPr>
          <w:rFonts w:ascii="Times New Roman" w:hAnsi="Times New Roman" w:cs="Times New Roman"/>
          <w:sz w:val="28"/>
          <w:szCs w:val="28"/>
        </w:rPr>
      </w:pPr>
      <w:r w:rsidRPr="001D0846">
        <w:rPr>
          <w:rFonts w:ascii="Times New Roman" w:hAnsi="Times New Roman" w:cs="Times New Roman"/>
          <w:sz w:val="28"/>
          <w:szCs w:val="28"/>
        </w:rPr>
        <w:t>SFS – au fost înaintate 4 cerințe și 6 recomandări</w:t>
      </w:r>
      <w:r w:rsidR="00062548">
        <w:rPr>
          <w:rFonts w:ascii="Times New Roman" w:hAnsi="Times New Roman" w:cs="Times New Roman"/>
          <w:sz w:val="28"/>
          <w:szCs w:val="28"/>
        </w:rPr>
        <w:t>,</w:t>
      </w:r>
      <w:r w:rsidRPr="001D0846">
        <w:rPr>
          <w:rFonts w:ascii="Times New Roman" w:hAnsi="Times New Roman" w:cs="Times New Roman"/>
          <w:sz w:val="28"/>
          <w:szCs w:val="28"/>
        </w:rPr>
        <w:t xml:space="preserve"> care </w:t>
      </w:r>
      <w:r w:rsidR="00B96397">
        <w:rPr>
          <w:rFonts w:ascii="Times New Roman" w:hAnsi="Times New Roman" w:cs="Times New Roman"/>
          <w:sz w:val="28"/>
          <w:szCs w:val="28"/>
        </w:rPr>
        <w:t>s-</w:t>
      </w:r>
      <w:r w:rsidRPr="001D0846">
        <w:rPr>
          <w:rFonts w:ascii="Times New Roman" w:hAnsi="Times New Roman" w:cs="Times New Roman"/>
          <w:sz w:val="28"/>
          <w:szCs w:val="28"/>
        </w:rPr>
        <w:t>au implementat în termenul stabilit;</w:t>
      </w:r>
    </w:p>
    <w:p w:rsidR="00C77119" w:rsidRPr="001D0846" w:rsidRDefault="00C77119" w:rsidP="00C77119">
      <w:pPr>
        <w:pStyle w:val="ListParagraph"/>
        <w:numPr>
          <w:ilvl w:val="0"/>
          <w:numId w:val="14"/>
        </w:numPr>
        <w:tabs>
          <w:tab w:val="left" w:pos="810"/>
        </w:tabs>
        <w:spacing w:after="0" w:line="276" w:lineRule="auto"/>
        <w:ind w:left="0" w:firstLine="360"/>
        <w:jc w:val="both"/>
        <w:rPr>
          <w:rFonts w:ascii="Times New Roman" w:hAnsi="Times New Roman" w:cs="Times New Roman"/>
          <w:sz w:val="28"/>
          <w:szCs w:val="28"/>
        </w:rPr>
      </w:pPr>
      <w:r w:rsidRPr="001D0846">
        <w:rPr>
          <w:rFonts w:ascii="Times New Roman" w:hAnsi="Times New Roman" w:cs="Times New Roman"/>
          <w:sz w:val="28"/>
          <w:szCs w:val="28"/>
        </w:rPr>
        <w:t>SV – au fost înaintate 3 cerințe</w:t>
      </w:r>
      <w:r w:rsidR="00062548">
        <w:rPr>
          <w:rFonts w:ascii="Times New Roman" w:hAnsi="Times New Roman" w:cs="Times New Roman"/>
          <w:sz w:val="28"/>
          <w:szCs w:val="28"/>
        </w:rPr>
        <w:t>,</w:t>
      </w:r>
      <w:r w:rsidRPr="001D0846">
        <w:rPr>
          <w:rFonts w:ascii="Times New Roman" w:hAnsi="Times New Roman" w:cs="Times New Roman"/>
          <w:sz w:val="28"/>
          <w:szCs w:val="28"/>
        </w:rPr>
        <w:t xml:space="preserve"> din</w:t>
      </w:r>
      <w:r w:rsidR="00062548">
        <w:rPr>
          <w:rFonts w:ascii="Times New Roman" w:hAnsi="Times New Roman" w:cs="Times New Roman"/>
          <w:sz w:val="28"/>
          <w:szCs w:val="28"/>
        </w:rPr>
        <w:t>tre</w:t>
      </w:r>
      <w:r w:rsidRPr="001D0846">
        <w:rPr>
          <w:rFonts w:ascii="Times New Roman" w:hAnsi="Times New Roman" w:cs="Times New Roman"/>
          <w:sz w:val="28"/>
          <w:szCs w:val="28"/>
        </w:rPr>
        <w:t xml:space="preserve"> care 1-realizată, 1-parțial realizată, 1-nerealizată</w:t>
      </w:r>
      <w:r w:rsidR="00062548">
        <w:rPr>
          <w:rFonts w:ascii="Times New Roman" w:hAnsi="Times New Roman" w:cs="Times New Roman"/>
          <w:sz w:val="28"/>
          <w:szCs w:val="28"/>
        </w:rPr>
        <w:t>,</w:t>
      </w:r>
      <w:r w:rsidRPr="001D0846">
        <w:rPr>
          <w:rFonts w:ascii="Times New Roman" w:hAnsi="Times New Roman" w:cs="Times New Roman"/>
          <w:sz w:val="28"/>
          <w:szCs w:val="28"/>
        </w:rPr>
        <w:t xml:space="preserve"> și 4 recomandări</w:t>
      </w:r>
      <w:r w:rsidR="00062548">
        <w:rPr>
          <w:rFonts w:ascii="Times New Roman" w:hAnsi="Times New Roman" w:cs="Times New Roman"/>
          <w:sz w:val="28"/>
          <w:szCs w:val="28"/>
        </w:rPr>
        <w:t>,</w:t>
      </w:r>
      <w:r w:rsidRPr="001D0846">
        <w:rPr>
          <w:rFonts w:ascii="Times New Roman" w:hAnsi="Times New Roman" w:cs="Times New Roman"/>
          <w:sz w:val="28"/>
          <w:szCs w:val="28"/>
        </w:rPr>
        <w:t>din</w:t>
      </w:r>
      <w:r w:rsidR="00B96397">
        <w:rPr>
          <w:rFonts w:ascii="Times New Roman" w:hAnsi="Times New Roman" w:cs="Times New Roman"/>
          <w:sz w:val="28"/>
          <w:szCs w:val="28"/>
        </w:rPr>
        <w:t>tre</w:t>
      </w:r>
      <w:r w:rsidRPr="001D0846">
        <w:rPr>
          <w:rFonts w:ascii="Times New Roman" w:hAnsi="Times New Roman" w:cs="Times New Roman"/>
          <w:sz w:val="28"/>
          <w:szCs w:val="28"/>
        </w:rPr>
        <w:t xml:space="preserve"> care 2 s</w:t>
      </w:r>
      <w:r w:rsidR="00B96397">
        <w:rPr>
          <w:rFonts w:ascii="Times New Roman" w:hAnsi="Times New Roman" w:cs="Times New Roman"/>
          <w:sz w:val="28"/>
          <w:szCs w:val="28"/>
        </w:rPr>
        <w:t>u</w:t>
      </w:r>
      <w:r w:rsidRPr="001D0846">
        <w:rPr>
          <w:rFonts w:ascii="Times New Roman" w:hAnsi="Times New Roman" w:cs="Times New Roman"/>
          <w:sz w:val="28"/>
          <w:szCs w:val="28"/>
        </w:rPr>
        <w:t xml:space="preserve">nt implementate, 1 </w:t>
      </w:r>
      <w:r w:rsidR="00B96397">
        <w:rPr>
          <w:rFonts w:ascii="Times New Roman" w:hAnsi="Times New Roman" w:cs="Times New Roman"/>
          <w:sz w:val="28"/>
          <w:szCs w:val="28"/>
        </w:rPr>
        <w:t xml:space="preserve">- </w:t>
      </w:r>
      <w:r w:rsidRPr="001D0846">
        <w:rPr>
          <w:rFonts w:ascii="Times New Roman" w:hAnsi="Times New Roman" w:cs="Times New Roman"/>
          <w:sz w:val="28"/>
          <w:szCs w:val="28"/>
        </w:rPr>
        <w:t>parțial implementată</w:t>
      </w:r>
      <w:r w:rsidR="00B96397">
        <w:rPr>
          <w:rFonts w:ascii="Times New Roman" w:hAnsi="Times New Roman" w:cs="Times New Roman"/>
          <w:sz w:val="28"/>
          <w:szCs w:val="28"/>
        </w:rPr>
        <w:t>,</w:t>
      </w:r>
      <w:r w:rsidRPr="001D0846">
        <w:rPr>
          <w:rFonts w:ascii="Times New Roman" w:hAnsi="Times New Roman" w:cs="Times New Roman"/>
          <w:sz w:val="28"/>
          <w:szCs w:val="28"/>
        </w:rPr>
        <w:t xml:space="preserve"> și 1 </w:t>
      </w:r>
      <w:r w:rsidR="00B96397">
        <w:rPr>
          <w:rFonts w:ascii="Times New Roman" w:hAnsi="Times New Roman" w:cs="Times New Roman"/>
          <w:sz w:val="28"/>
          <w:szCs w:val="28"/>
        </w:rPr>
        <w:t xml:space="preserve">- </w:t>
      </w:r>
      <w:r w:rsidRPr="001D0846">
        <w:rPr>
          <w:rFonts w:ascii="Times New Roman" w:hAnsi="Times New Roman" w:cs="Times New Roman"/>
          <w:sz w:val="28"/>
          <w:szCs w:val="28"/>
        </w:rPr>
        <w:t>n</w:t>
      </w:r>
      <w:r w:rsidR="00B96397">
        <w:rPr>
          <w:rFonts w:ascii="Times New Roman" w:hAnsi="Times New Roman" w:cs="Times New Roman"/>
          <w:sz w:val="28"/>
          <w:szCs w:val="28"/>
        </w:rPr>
        <w:t>e</w:t>
      </w:r>
      <w:r w:rsidRPr="001D0846">
        <w:rPr>
          <w:rFonts w:ascii="Times New Roman" w:hAnsi="Times New Roman" w:cs="Times New Roman"/>
          <w:sz w:val="28"/>
          <w:szCs w:val="28"/>
        </w:rPr>
        <w:t>implementată.</w:t>
      </w:r>
    </w:p>
    <w:p w:rsidR="00C77119" w:rsidRPr="001D0846" w:rsidRDefault="00C77119" w:rsidP="00C77119">
      <w:pPr>
        <w:pStyle w:val="ListParagraph"/>
        <w:numPr>
          <w:ilvl w:val="0"/>
          <w:numId w:val="12"/>
        </w:numPr>
        <w:tabs>
          <w:tab w:val="left" w:pos="0"/>
          <w:tab w:val="left" w:pos="810"/>
        </w:tabs>
        <w:spacing w:after="0" w:line="276" w:lineRule="auto"/>
        <w:ind w:left="0" w:firstLine="360"/>
        <w:jc w:val="both"/>
        <w:rPr>
          <w:rFonts w:ascii="Times New Roman" w:hAnsi="Times New Roman" w:cs="Times New Roman"/>
          <w:sz w:val="28"/>
          <w:szCs w:val="28"/>
        </w:rPr>
      </w:pPr>
      <w:r w:rsidRPr="001D0846">
        <w:rPr>
          <w:rFonts w:ascii="Times New Roman" w:hAnsi="Times New Roman" w:cs="Times New Roman"/>
          <w:sz w:val="28"/>
          <w:szCs w:val="28"/>
        </w:rPr>
        <w:t xml:space="preserve">MF </w:t>
      </w:r>
      <w:r w:rsidR="00B96397">
        <w:rPr>
          <w:rFonts w:ascii="Times New Roman" w:hAnsi="Times New Roman" w:cs="Times New Roman"/>
          <w:sz w:val="28"/>
          <w:szCs w:val="28"/>
        </w:rPr>
        <w:t>i-</w:t>
      </w:r>
      <w:r w:rsidRPr="001D0846">
        <w:rPr>
          <w:rFonts w:ascii="Times New Roman" w:hAnsi="Times New Roman" w:cs="Times New Roman"/>
          <w:sz w:val="28"/>
          <w:szCs w:val="28"/>
        </w:rPr>
        <w:t xml:space="preserve">a fost înaintată </w:t>
      </w:r>
      <w:r w:rsidR="00B96397">
        <w:rPr>
          <w:rFonts w:ascii="Times New Roman" w:hAnsi="Times New Roman" w:cs="Times New Roman"/>
          <w:sz w:val="28"/>
          <w:szCs w:val="28"/>
        </w:rPr>
        <w:t>1</w:t>
      </w:r>
      <w:r w:rsidRPr="001D0846">
        <w:rPr>
          <w:rFonts w:ascii="Times New Roman" w:hAnsi="Times New Roman" w:cs="Times New Roman"/>
          <w:sz w:val="28"/>
          <w:szCs w:val="28"/>
        </w:rPr>
        <w:t xml:space="preserve"> cerință</w:t>
      </w:r>
      <w:r w:rsidR="00B96397">
        <w:rPr>
          <w:rFonts w:ascii="Times New Roman" w:hAnsi="Times New Roman" w:cs="Times New Roman"/>
          <w:sz w:val="28"/>
          <w:szCs w:val="28"/>
        </w:rPr>
        <w:t>,</w:t>
      </w:r>
      <w:r w:rsidRPr="001D0846">
        <w:rPr>
          <w:rFonts w:ascii="Times New Roman" w:hAnsi="Times New Roman" w:cs="Times New Roman"/>
          <w:sz w:val="28"/>
          <w:szCs w:val="28"/>
        </w:rPr>
        <w:t xml:space="preserve"> care </w:t>
      </w:r>
      <w:r w:rsidR="00B96397">
        <w:rPr>
          <w:rFonts w:ascii="Times New Roman" w:hAnsi="Times New Roman" w:cs="Times New Roman"/>
          <w:sz w:val="28"/>
          <w:szCs w:val="28"/>
        </w:rPr>
        <w:t>s-</w:t>
      </w:r>
      <w:r w:rsidRPr="001D0846">
        <w:rPr>
          <w:rFonts w:ascii="Times New Roman" w:hAnsi="Times New Roman" w:cs="Times New Roman"/>
          <w:sz w:val="28"/>
          <w:szCs w:val="28"/>
        </w:rPr>
        <w:t xml:space="preserve">a </w:t>
      </w:r>
      <w:r w:rsidR="00B96397">
        <w:rPr>
          <w:rFonts w:ascii="Times New Roman" w:hAnsi="Times New Roman" w:cs="Times New Roman"/>
          <w:sz w:val="28"/>
          <w:szCs w:val="28"/>
        </w:rPr>
        <w:t>executat,</w:t>
      </w:r>
      <w:r w:rsidRPr="001D0846">
        <w:rPr>
          <w:rFonts w:ascii="Times New Roman" w:hAnsi="Times New Roman" w:cs="Times New Roman"/>
          <w:sz w:val="28"/>
          <w:szCs w:val="28"/>
        </w:rPr>
        <w:t xml:space="preserve"> și </w:t>
      </w:r>
      <w:r w:rsidR="00B96397">
        <w:rPr>
          <w:rFonts w:ascii="Times New Roman" w:hAnsi="Times New Roman" w:cs="Times New Roman"/>
          <w:sz w:val="28"/>
          <w:szCs w:val="28"/>
        </w:rPr>
        <w:t>1</w:t>
      </w:r>
      <w:r w:rsidRPr="001D0846">
        <w:rPr>
          <w:rFonts w:ascii="Times New Roman" w:hAnsi="Times New Roman" w:cs="Times New Roman"/>
          <w:sz w:val="28"/>
          <w:szCs w:val="28"/>
        </w:rPr>
        <w:t xml:space="preserve"> cerință </w:t>
      </w:r>
      <w:r w:rsidR="00B96397">
        <w:rPr>
          <w:rFonts w:ascii="Times New Roman" w:hAnsi="Times New Roman" w:cs="Times New Roman"/>
          <w:sz w:val="28"/>
          <w:szCs w:val="28"/>
        </w:rPr>
        <w:t xml:space="preserve">- </w:t>
      </w:r>
      <w:r w:rsidRPr="001D0846">
        <w:rPr>
          <w:rFonts w:ascii="Times New Roman" w:hAnsi="Times New Roman" w:cs="Times New Roman"/>
          <w:sz w:val="28"/>
          <w:szCs w:val="28"/>
        </w:rPr>
        <w:t xml:space="preserve">MF </w:t>
      </w:r>
      <w:r w:rsidR="00B96397">
        <w:rPr>
          <w:rFonts w:ascii="Times New Roman" w:hAnsi="Times New Roman" w:cs="Times New Roman"/>
          <w:sz w:val="28"/>
          <w:szCs w:val="28"/>
        </w:rPr>
        <w:t>în</w:t>
      </w:r>
      <w:r w:rsidRPr="001D0846">
        <w:rPr>
          <w:rFonts w:ascii="Times New Roman" w:hAnsi="Times New Roman" w:cs="Times New Roman"/>
          <w:sz w:val="28"/>
          <w:szCs w:val="28"/>
        </w:rPr>
        <w:t xml:space="preserve"> comun cu MJ</w:t>
      </w:r>
      <w:r w:rsidR="00B96397">
        <w:rPr>
          <w:rFonts w:ascii="Times New Roman" w:hAnsi="Times New Roman" w:cs="Times New Roman"/>
          <w:sz w:val="28"/>
          <w:szCs w:val="28"/>
        </w:rPr>
        <w:t>,</w:t>
      </w:r>
      <w:r w:rsidRPr="001D0846">
        <w:rPr>
          <w:rFonts w:ascii="Times New Roman" w:hAnsi="Times New Roman" w:cs="Times New Roman"/>
          <w:sz w:val="28"/>
          <w:szCs w:val="28"/>
        </w:rPr>
        <w:t xml:space="preserve"> care </w:t>
      </w:r>
      <w:r w:rsidR="00B96397">
        <w:rPr>
          <w:rFonts w:ascii="Times New Roman" w:hAnsi="Times New Roman" w:cs="Times New Roman"/>
          <w:sz w:val="28"/>
          <w:szCs w:val="28"/>
        </w:rPr>
        <w:t>până în prezent</w:t>
      </w:r>
      <w:r w:rsidRPr="001D0846">
        <w:rPr>
          <w:rFonts w:ascii="Times New Roman" w:hAnsi="Times New Roman" w:cs="Times New Roman"/>
          <w:sz w:val="28"/>
          <w:szCs w:val="28"/>
        </w:rPr>
        <w:t xml:space="preserve">nu a fost </w:t>
      </w:r>
      <w:r w:rsidR="00B96397">
        <w:rPr>
          <w:rFonts w:ascii="Times New Roman" w:hAnsi="Times New Roman" w:cs="Times New Roman"/>
          <w:sz w:val="28"/>
          <w:szCs w:val="28"/>
        </w:rPr>
        <w:t>executată</w:t>
      </w:r>
      <w:r w:rsidRPr="001D0846">
        <w:rPr>
          <w:rFonts w:ascii="Times New Roman" w:hAnsi="Times New Roman" w:cs="Times New Roman"/>
          <w:sz w:val="28"/>
          <w:szCs w:val="28"/>
        </w:rPr>
        <w:t>.</w:t>
      </w:r>
    </w:p>
    <w:p w:rsidR="00C77119" w:rsidRPr="001D0846" w:rsidRDefault="00C77119" w:rsidP="00C77119">
      <w:pPr>
        <w:tabs>
          <w:tab w:val="left" w:pos="810"/>
        </w:tabs>
        <w:spacing w:after="0" w:line="276" w:lineRule="auto"/>
        <w:ind w:firstLine="360"/>
        <w:jc w:val="both"/>
        <w:rPr>
          <w:rFonts w:ascii="Times New Roman" w:hAnsi="Times New Roman" w:cs="Times New Roman"/>
        </w:rPr>
      </w:pPr>
    </w:p>
    <w:p w:rsidR="00C77119" w:rsidRPr="001D0846" w:rsidRDefault="00C77119" w:rsidP="00C77119">
      <w:pPr>
        <w:spacing w:after="0" w:line="276" w:lineRule="auto"/>
        <w:ind w:right="7" w:firstLine="709"/>
        <w:jc w:val="both"/>
        <w:rPr>
          <w:rFonts w:ascii="Times New Roman" w:hAnsi="Times New Roman"/>
          <w:sz w:val="28"/>
          <w:szCs w:val="28"/>
        </w:rPr>
      </w:pPr>
      <w:r w:rsidRPr="001D0846">
        <w:rPr>
          <w:rFonts w:ascii="Times New Roman" w:eastAsia="Times New Roman" w:hAnsi="Times New Roman"/>
          <w:sz w:val="28"/>
          <w:szCs w:val="28"/>
          <w:lang w:eastAsia="ru-RU"/>
        </w:rPr>
        <w:t>Se remarcă că, deși factorii de decizie a</w:t>
      </w:r>
      <w:r w:rsidR="00B96397">
        <w:rPr>
          <w:rFonts w:ascii="Times New Roman" w:eastAsia="Times New Roman" w:hAnsi="Times New Roman"/>
          <w:sz w:val="28"/>
          <w:szCs w:val="28"/>
          <w:lang w:eastAsia="ru-RU"/>
        </w:rPr>
        <w:t>i</w:t>
      </w:r>
      <w:r w:rsidRPr="001D0846">
        <w:rPr>
          <w:rFonts w:ascii="Times New Roman" w:eastAsia="Times New Roman" w:hAnsi="Times New Roman"/>
          <w:sz w:val="28"/>
          <w:szCs w:val="28"/>
          <w:lang w:eastAsia="ru-RU"/>
        </w:rPr>
        <w:t xml:space="preserve"> entităților auditate a</w:t>
      </w:r>
      <w:r w:rsidRPr="001D0846">
        <w:rPr>
          <w:rFonts w:ascii="Times New Roman" w:hAnsi="Times New Roman"/>
          <w:sz w:val="28"/>
          <w:szCs w:val="28"/>
        </w:rPr>
        <w:t>u întreprins anumite acţiuni în vederea remedierii vulnerabilităților/problematicilor/  neconformităților constatate de misiunile de audit precedente, având ca scop consolidarea capacităților instituționale în administrarea veniturilor publice, evaluările și activitățile desfășurate de auditul public extern relevă persistența unor vulnerabilități și problematici, acestea fiind cauzate de insuficienţa măsurilor întreprinse</w:t>
      </w:r>
      <w:r w:rsidR="00B96397">
        <w:rPr>
          <w:rFonts w:ascii="Times New Roman" w:hAnsi="Times New Roman"/>
          <w:sz w:val="28"/>
          <w:szCs w:val="28"/>
        </w:rPr>
        <w:t>,</w:t>
      </w:r>
      <w:r w:rsidRPr="001D0846">
        <w:rPr>
          <w:rFonts w:ascii="Times New Roman" w:hAnsi="Times New Roman"/>
          <w:sz w:val="28"/>
          <w:szCs w:val="28"/>
        </w:rPr>
        <w:t xml:space="preserve"> precum și </w:t>
      </w:r>
      <w:r w:rsidR="00B96397">
        <w:rPr>
          <w:rFonts w:ascii="Times New Roman" w:hAnsi="Times New Roman"/>
          <w:sz w:val="28"/>
          <w:szCs w:val="28"/>
        </w:rPr>
        <w:t xml:space="preserve">de </w:t>
      </w:r>
      <w:r w:rsidRPr="001D0846">
        <w:rPr>
          <w:rFonts w:ascii="Times New Roman" w:hAnsi="Times New Roman"/>
          <w:sz w:val="28"/>
          <w:szCs w:val="28"/>
        </w:rPr>
        <w:t xml:space="preserve">nefuncționarea unor elemente ale sistemului de control intern </w:t>
      </w:r>
      <w:r w:rsidR="00B96397">
        <w:rPr>
          <w:rFonts w:ascii="Times New Roman" w:hAnsi="Times New Roman"/>
          <w:sz w:val="28"/>
          <w:szCs w:val="28"/>
        </w:rPr>
        <w:t>în</w:t>
      </w:r>
      <w:r w:rsidRPr="001D0846">
        <w:rPr>
          <w:rFonts w:ascii="Times New Roman" w:hAnsi="Times New Roman"/>
          <w:sz w:val="28"/>
          <w:szCs w:val="28"/>
        </w:rPr>
        <w:t xml:space="preserve"> domeniul respectiv. </w:t>
      </w:r>
    </w:p>
    <w:p w:rsidR="00C77119" w:rsidRPr="001D0846" w:rsidRDefault="00C77119" w:rsidP="00C77119">
      <w:pPr>
        <w:spacing w:after="0" w:line="276" w:lineRule="auto"/>
        <w:ind w:right="7" w:firstLine="709"/>
        <w:jc w:val="both"/>
        <w:rPr>
          <w:rFonts w:ascii="Times New Roman" w:hAnsi="Times New Roman" w:cs="Times New Roman"/>
          <w:sz w:val="28"/>
          <w:szCs w:val="28"/>
        </w:rPr>
      </w:pPr>
      <w:r w:rsidRPr="001D0846">
        <w:rPr>
          <w:rFonts w:ascii="Times New Roman" w:hAnsi="Times New Roman"/>
          <w:sz w:val="28"/>
          <w:szCs w:val="28"/>
        </w:rPr>
        <w:t xml:space="preserve">Auditul menționează că </w:t>
      </w:r>
      <w:r w:rsidRPr="001D0846">
        <w:rPr>
          <w:rFonts w:ascii="Times New Roman" w:hAnsi="Times New Roman" w:cs="Times New Roman"/>
          <w:i/>
          <w:sz w:val="28"/>
          <w:szCs w:val="28"/>
        </w:rPr>
        <w:t xml:space="preserve">Hotărârea Curții de Conturi nr.44 din 20.11.2015, Hotărârea Curții </w:t>
      </w:r>
      <w:r w:rsidR="004621B8">
        <w:rPr>
          <w:rFonts w:ascii="Times New Roman" w:hAnsi="Times New Roman" w:cs="Times New Roman"/>
          <w:i/>
          <w:sz w:val="28"/>
          <w:szCs w:val="28"/>
        </w:rPr>
        <w:t>de Conturi nr.34 din 29.07.2016 și</w:t>
      </w:r>
      <w:r w:rsidRPr="001D0846">
        <w:rPr>
          <w:rFonts w:ascii="Times New Roman" w:hAnsi="Times New Roman" w:cs="Times New Roman"/>
          <w:i/>
          <w:sz w:val="28"/>
          <w:szCs w:val="28"/>
        </w:rPr>
        <w:t xml:space="preserve"> Hotărârea Curții de Conturi nr.20 din 26.05.2017</w:t>
      </w:r>
      <w:r w:rsidRPr="001D0846">
        <w:rPr>
          <w:rFonts w:ascii="Times New Roman" w:hAnsi="Times New Roman" w:cs="Times New Roman"/>
          <w:sz w:val="28"/>
          <w:szCs w:val="28"/>
        </w:rPr>
        <w:t>includ cerințe și recomandări înaintate entităților auditat</w:t>
      </w:r>
      <w:r w:rsidR="004621B8">
        <w:rPr>
          <w:rFonts w:ascii="Times New Roman" w:hAnsi="Times New Roman" w:cs="Times New Roman"/>
          <w:sz w:val="28"/>
          <w:szCs w:val="28"/>
        </w:rPr>
        <w:t>e în cadrul prezentului audit</w:t>
      </w:r>
      <w:r w:rsidR="006C20B7">
        <w:rPr>
          <w:rFonts w:ascii="Times New Roman" w:hAnsi="Times New Roman" w:cs="Times New Roman"/>
          <w:sz w:val="28"/>
          <w:szCs w:val="28"/>
        </w:rPr>
        <w:t>,precum</w:t>
      </w:r>
      <w:r w:rsidRPr="001D0846">
        <w:rPr>
          <w:rFonts w:ascii="Times New Roman" w:hAnsi="Times New Roman" w:cs="Times New Roman"/>
          <w:sz w:val="28"/>
          <w:szCs w:val="28"/>
        </w:rPr>
        <w:t xml:space="preserve"> și altor </w:t>
      </w:r>
      <w:r w:rsidR="004621B8">
        <w:rPr>
          <w:rFonts w:ascii="Times New Roman" w:hAnsi="Times New Roman" w:cs="Times New Roman"/>
          <w:sz w:val="28"/>
          <w:szCs w:val="28"/>
        </w:rPr>
        <w:t>entități/</w:t>
      </w:r>
      <w:r w:rsidRPr="001D0846">
        <w:rPr>
          <w:rFonts w:ascii="Times New Roman" w:hAnsi="Times New Roman" w:cs="Times New Roman"/>
          <w:sz w:val="28"/>
          <w:szCs w:val="28"/>
        </w:rPr>
        <w:t xml:space="preserve">administratori de venituri. Astfel, deoarece </w:t>
      </w:r>
      <w:r w:rsidR="004621B8">
        <w:rPr>
          <w:rFonts w:ascii="Times New Roman" w:hAnsi="Times New Roman" w:cs="Times New Roman"/>
          <w:sz w:val="28"/>
          <w:szCs w:val="28"/>
        </w:rPr>
        <w:t>prezentul audit</w:t>
      </w:r>
      <w:r w:rsidRPr="001D0846">
        <w:rPr>
          <w:rFonts w:ascii="Times New Roman" w:hAnsi="Times New Roman" w:cs="Times New Roman"/>
          <w:sz w:val="28"/>
          <w:szCs w:val="28"/>
        </w:rPr>
        <w:t xml:space="preserve"> s-a desfășurat doar la principalii administratori de </w:t>
      </w:r>
      <w:r w:rsidRPr="001D0846">
        <w:rPr>
          <w:rFonts w:ascii="Times New Roman" w:hAnsi="Times New Roman" w:cs="Times New Roman"/>
          <w:sz w:val="28"/>
          <w:szCs w:val="28"/>
        </w:rPr>
        <w:lastRenderedPageBreak/>
        <w:t xml:space="preserve">impozite și taxe (SFS și SV), implementarea cerințelor și recomandărilor </w:t>
      </w:r>
      <w:r w:rsidR="004621B8">
        <w:rPr>
          <w:rFonts w:ascii="Times New Roman" w:hAnsi="Times New Roman" w:cs="Times New Roman"/>
          <w:sz w:val="28"/>
          <w:szCs w:val="28"/>
        </w:rPr>
        <w:t>înaintate altor</w:t>
      </w:r>
      <w:r w:rsidRPr="001D0846">
        <w:rPr>
          <w:rFonts w:ascii="Times New Roman" w:hAnsi="Times New Roman" w:cs="Times New Roman"/>
          <w:sz w:val="28"/>
          <w:szCs w:val="28"/>
        </w:rPr>
        <w:t xml:space="preserve"> administratori vizați în H</w:t>
      </w:r>
      <w:r w:rsidR="006C20B7">
        <w:rPr>
          <w:rFonts w:ascii="Times New Roman" w:hAnsi="Times New Roman" w:cs="Times New Roman"/>
          <w:sz w:val="28"/>
          <w:szCs w:val="28"/>
        </w:rPr>
        <w:t xml:space="preserve">otărârile </w:t>
      </w:r>
      <w:r w:rsidRPr="001D0846">
        <w:rPr>
          <w:rFonts w:ascii="Times New Roman" w:hAnsi="Times New Roman" w:cs="Times New Roman"/>
          <w:sz w:val="28"/>
          <w:szCs w:val="28"/>
        </w:rPr>
        <w:t>C</w:t>
      </w:r>
      <w:r w:rsidR="006C20B7">
        <w:rPr>
          <w:rFonts w:ascii="Times New Roman" w:hAnsi="Times New Roman" w:cs="Times New Roman"/>
          <w:sz w:val="28"/>
          <w:szCs w:val="28"/>
        </w:rPr>
        <w:t xml:space="preserve">utții de </w:t>
      </w:r>
      <w:r w:rsidRPr="001D0846">
        <w:rPr>
          <w:rFonts w:ascii="Times New Roman" w:hAnsi="Times New Roman" w:cs="Times New Roman"/>
          <w:sz w:val="28"/>
          <w:szCs w:val="28"/>
        </w:rPr>
        <w:t>C</w:t>
      </w:r>
      <w:r w:rsidR="006C20B7">
        <w:rPr>
          <w:rFonts w:ascii="Times New Roman" w:hAnsi="Times New Roman" w:cs="Times New Roman"/>
          <w:sz w:val="28"/>
          <w:szCs w:val="28"/>
        </w:rPr>
        <w:t>onturi</w:t>
      </w:r>
      <w:r w:rsidRPr="001D0846">
        <w:rPr>
          <w:rFonts w:ascii="Times New Roman" w:hAnsi="Times New Roman" w:cs="Times New Roman"/>
          <w:sz w:val="28"/>
          <w:szCs w:val="28"/>
        </w:rPr>
        <w:t xml:space="preserve"> menționate nu a fost verificat</w:t>
      </w:r>
      <w:r w:rsidR="006C20B7">
        <w:rPr>
          <w:rFonts w:ascii="Times New Roman" w:hAnsi="Times New Roman" w:cs="Times New Roman"/>
          <w:sz w:val="28"/>
          <w:szCs w:val="28"/>
        </w:rPr>
        <w:t>ă</w:t>
      </w:r>
      <w:r w:rsidRPr="001D0846">
        <w:rPr>
          <w:rFonts w:ascii="Times New Roman" w:hAnsi="Times New Roman" w:cs="Times New Roman"/>
          <w:sz w:val="28"/>
          <w:szCs w:val="28"/>
        </w:rPr>
        <w:t>. Totoda</w:t>
      </w:r>
      <w:r w:rsidR="004621B8">
        <w:rPr>
          <w:rFonts w:ascii="Times New Roman" w:hAnsi="Times New Roman" w:cs="Times New Roman"/>
          <w:sz w:val="28"/>
          <w:szCs w:val="28"/>
        </w:rPr>
        <w:t>tă, având în vedere faptul că h</w:t>
      </w:r>
      <w:r w:rsidRPr="001D0846">
        <w:rPr>
          <w:rFonts w:ascii="Times New Roman" w:hAnsi="Times New Roman" w:cs="Times New Roman"/>
          <w:sz w:val="28"/>
          <w:szCs w:val="28"/>
        </w:rPr>
        <w:t>otăr</w:t>
      </w:r>
      <w:r w:rsidR="006C20B7">
        <w:rPr>
          <w:rFonts w:ascii="Times New Roman" w:hAnsi="Times New Roman" w:cs="Times New Roman"/>
          <w:sz w:val="28"/>
          <w:szCs w:val="28"/>
        </w:rPr>
        <w:t>â</w:t>
      </w:r>
      <w:r w:rsidRPr="001D0846">
        <w:rPr>
          <w:rFonts w:ascii="Times New Roman" w:hAnsi="Times New Roman" w:cs="Times New Roman"/>
          <w:sz w:val="28"/>
          <w:szCs w:val="28"/>
        </w:rPr>
        <w:t xml:space="preserve">rile menționate includ și recomandări reiterate din auditurile precedente, precum și faptul că unele </w:t>
      </w:r>
      <w:r w:rsidR="004621B8">
        <w:rPr>
          <w:rFonts w:ascii="Times New Roman" w:hAnsi="Times New Roman" w:cs="Times New Roman"/>
          <w:sz w:val="28"/>
          <w:szCs w:val="28"/>
        </w:rPr>
        <w:t>entități vizate</w:t>
      </w:r>
      <w:r w:rsidRPr="001D0846">
        <w:rPr>
          <w:rFonts w:ascii="Times New Roman" w:hAnsi="Times New Roman" w:cs="Times New Roman"/>
          <w:sz w:val="28"/>
          <w:szCs w:val="28"/>
        </w:rPr>
        <w:t xml:space="preserve"> au fost reorganizate prin absorbție, auditul </w:t>
      </w:r>
      <w:r w:rsidR="000A59C4">
        <w:rPr>
          <w:rFonts w:ascii="Times New Roman" w:hAnsi="Times New Roman" w:cs="Times New Roman"/>
          <w:sz w:val="28"/>
          <w:szCs w:val="28"/>
        </w:rPr>
        <w:t xml:space="preserve">consideră oportun efectuarea unei misiuni </w:t>
      </w:r>
      <w:r w:rsidRPr="001D0846">
        <w:rPr>
          <w:rFonts w:ascii="Times New Roman" w:hAnsi="Times New Roman" w:cs="Times New Roman"/>
          <w:sz w:val="28"/>
          <w:szCs w:val="28"/>
        </w:rPr>
        <w:t>de audit follow-up</w:t>
      </w:r>
      <w:r w:rsidR="004621B8">
        <w:rPr>
          <w:rFonts w:ascii="Times New Roman" w:hAnsi="Times New Roman" w:cs="Times New Roman"/>
          <w:sz w:val="28"/>
          <w:szCs w:val="28"/>
        </w:rPr>
        <w:t>privind executarea integrală a h</w:t>
      </w:r>
      <w:r w:rsidRPr="001D0846">
        <w:rPr>
          <w:rFonts w:ascii="Times New Roman" w:hAnsi="Times New Roman" w:cs="Times New Roman"/>
          <w:sz w:val="28"/>
          <w:szCs w:val="28"/>
        </w:rPr>
        <w:t>otăr</w:t>
      </w:r>
      <w:r w:rsidR="006C20B7">
        <w:rPr>
          <w:rFonts w:ascii="Times New Roman" w:hAnsi="Times New Roman" w:cs="Times New Roman"/>
          <w:sz w:val="28"/>
          <w:szCs w:val="28"/>
        </w:rPr>
        <w:t>â</w:t>
      </w:r>
      <w:r w:rsidRPr="001D0846">
        <w:rPr>
          <w:rFonts w:ascii="Times New Roman" w:hAnsi="Times New Roman" w:cs="Times New Roman"/>
          <w:sz w:val="28"/>
          <w:szCs w:val="28"/>
        </w:rPr>
        <w:t xml:space="preserve">rilor menționate.   </w:t>
      </w:r>
    </w:p>
    <w:p w:rsidR="00C77119" w:rsidRDefault="00C77119" w:rsidP="00C77119">
      <w:pPr>
        <w:tabs>
          <w:tab w:val="left" w:pos="0"/>
        </w:tabs>
        <w:spacing w:after="0" w:line="276" w:lineRule="auto"/>
        <w:ind w:firstLine="709"/>
        <w:jc w:val="both"/>
        <w:rPr>
          <w:rFonts w:ascii="Times New Roman" w:hAnsi="Times New Roman"/>
          <w:sz w:val="28"/>
          <w:szCs w:val="28"/>
        </w:rPr>
      </w:pPr>
    </w:p>
    <w:p w:rsidR="00C77119" w:rsidRPr="007116A5" w:rsidRDefault="00C947DA" w:rsidP="003C4B9E">
      <w:pPr>
        <w:pStyle w:val="Heading1"/>
        <w:spacing w:before="0" w:line="276" w:lineRule="auto"/>
        <w:jc w:val="both"/>
        <w:rPr>
          <w:rFonts w:ascii="Times New Roman" w:hAnsi="Times New Roman" w:cs="Times New Roman"/>
          <w:b/>
          <w:color w:val="auto"/>
          <w:sz w:val="28"/>
          <w:szCs w:val="28"/>
        </w:rPr>
      </w:pPr>
      <w:bookmarkStart w:id="19" w:name="_Toc515894895"/>
      <w:bookmarkStart w:id="20" w:name="_Toc505603941"/>
      <w:r w:rsidRPr="007116A5">
        <w:rPr>
          <w:rFonts w:ascii="Times New Roman" w:eastAsia="Times New Roman" w:hAnsi="Times New Roman" w:cs="Times New Roman"/>
          <w:b/>
          <w:color w:val="auto"/>
          <w:sz w:val="28"/>
          <w:szCs w:val="28"/>
        </w:rPr>
        <w:t>3.</w:t>
      </w:r>
      <w:r w:rsidR="00C77119" w:rsidRPr="007116A5">
        <w:rPr>
          <w:rFonts w:ascii="Times New Roman" w:eastAsia="Times New Roman" w:hAnsi="Times New Roman" w:cs="Times New Roman"/>
          <w:b/>
          <w:color w:val="auto"/>
          <w:sz w:val="28"/>
          <w:szCs w:val="28"/>
        </w:rPr>
        <w:t>9</w:t>
      </w:r>
      <w:r w:rsidR="009E21CF" w:rsidRPr="007116A5">
        <w:rPr>
          <w:rFonts w:ascii="Times New Roman" w:eastAsia="Times New Roman" w:hAnsi="Times New Roman" w:cs="Times New Roman"/>
          <w:b/>
          <w:color w:val="auto"/>
          <w:sz w:val="28"/>
          <w:szCs w:val="28"/>
        </w:rPr>
        <w:t xml:space="preserve">. </w:t>
      </w:r>
      <w:r w:rsidR="005477BB" w:rsidRPr="007116A5">
        <w:rPr>
          <w:rFonts w:ascii="Times New Roman" w:hAnsi="Times New Roman" w:cs="Times New Roman"/>
          <w:b/>
          <w:color w:val="auto"/>
          <w:sz w:val="28"/>
          <w:szCs w:val="28"/>
        </w:rPr>
        <w:t xml:space="preserve">Organizarea și implementarea de către organele fiscale și vamale a </w:t>
      </w:r>
      <w:r w:rsidR="00C77119" w:rsidRPr="007116A5">
        <w:rPr>
          <w:rFonts w:ascii="Times New Roman" w:hAnsi="Times New Roman" w:cs="Times New Roman"/>
          <w:b/>
          <w:color w:val="auto"/>
          <w:sz w:val="28"/>
          <w:szCs w:val="28"/>
        </w:rPr>
        <w:t>sistemului de control intern.</w:t>
      </w:r>
      <w:bookmarkEnd w:id="19"/>
    </w:p>
    <w:bookmarkEnd w:id="20"/>
    <w:p w:rsidR="009E21CF" w:rsidRDefault="009E21CF" w:rsidP="007116A5">
      <w:pPr>
        <w:tabs>
          <w:tab w:val="left" w:pos="450"/>
          <w:tab w:val="left" w:pos="990"/>
          <w:tab w:val="left" w:pos="1695"/>
        </w:tabs>
        <w:spacing w:after="0" w:line="276" w:lineRule="auto"/>
        <w:ind w:right="9"/>
        <w:jc w:val="both"/>
        <w:rPr>
          <w:rFonts w:ascii="Times New Roman" w:hAnsi="Times New Roman" w:cs="Times New Roman"/>
          <w:i/>
          <w:sz w:val="28"/>
          <w:szCs w:val="28"/>
        </w:rPr>
      </w:pPr>
      <w:r w:rsidRPr="001D0846">
        <w:rPr>
          <w:rFonts w:ascii="Times New Roman" w:eastAsia="Times New Roman" w:hAnsi="Times New Roman" w:cs="Times New Roman"/>
          <w:sz w:val="28"/>
          <w:szCs w:val="28"/>
          <w:lang w:eastAsia="ru-RU"/>
        </w:rPr>
        <w:tab/>
      </w:r>
      <w:r w:rsidRPr="001D0846">
        <w:rPr>
          <w:rFonts w:ascii="Times New Roman" w:eastAsia="Times New Roman" w:hAnsi="Times New Roman" w:cs="Times New Roman"/>
          <w:i/>
          <w:sz w:val="28"/>
          <w:szCs w:val="28"/>
          <w:lang w:eastAsia="ru-RU"/>
        </w:rPr>
        <w:t xml:space="preserve">Asigurarea unui management instituțional </w:t>
      </w:r>
      <w:r w:rsidR="004621B8">
        <w:rPr>
          <w:rFonts w:ascii="Times New Roman" w:eastAsia="Times New Roman" w:hAnsi="Times New Roman" w:cs="Times New Roman"/>
          <w:i/>
          <w:sz w:val="28"/>
          <w:szCs w:val="28"/>
          <w:lang w:eastAsia="ru-RU"/>
        </w:rPr>
        <w:t>adecvat</w:t>
      </w:r>
      <w:r w:rsidR="006C20B7">
        <w:rPr>
          <w:rFonts w:ascii="Times New Roman" w:eastAsia="Times New Roman" w:hAnsi="Times New Roman" w:cs="Times New Roman"/>
          <w:i/>
          <w:sz w:val="28"/>
          <w:szCs w:val="28"/>
          <w:lang w:eastAsia="ru-RU"/>
        </w:rPr>
        <w:t>,</w:t>
      </w:r>
      <w:r w:rsidRPr="001D0846">
        <w:rPr>
          <w:rFonts w:ascii="Times New Roman" w:eastAsia="Times New Roman" w:hAnsi="Times New Roman" w:cs="Times New Roman"/>
          <w:i/>
          <w:sz w:val="28"/>
          <w:szCs w:val="28"/>
          <w:lang w:eastAsia="ru-RU"/>
        </w:rPr>
        <w:t xml:space="preserve">menit să asigure realizarea </w:t>
      </w:r>
      <w:r w:rsidRPr="001D0846">
        <w:rPr>
          <w:rFonts w:ascii="Times New Roman" w:hAnsi="Times New Roman" w:cs="Times New Roman"/>
          <w:i/>
          <w:sz w:val="28"/>
          <w:szCs w:val="28"/>
        </w:rPr>
        <w:t>obiectivelor și atingerea performanțelor în administrarea impozitelor și taxelor, constituie o prioritate strategică pentru organele fiscale și vamale. Deși SFS și SV au asigurat condițiile de instituire și organizare a sistemului de control intern</w:t>
      </w:r>
      <w:r w:rsidR="006C20B7">
        <w:rPr>
          <w:rFonts w:ascii="Times New Roman" w:hAnsi="Times New Roman" w:cs="Times New Roman"/>
          <w:i/>
          <w:sz w:val="28"/>
          <w:szCs w:val="28"/>
        </w:rPr>
        <w:t>,</w:t>
      </w:r>
      <w:r w:rsidRPr="001D0846">
        <w:rPr>
          <w:rFonts w:ascii="Times New Roman" w:hAnsi="Times New Roman" w:cs="Times New Roman"/>
          <w:i/>
          <w:color w:val="000000"/>
          <w:sz w:val="28"/>
          <w:szCs w:val="28"/>
        </w:rPr>
        <w:t>pentru a</w:t>
      </w:r>
      <w:r w:rsidRPr="001D0846">
        <w:rPr>
          <w:rFonts w:ascii="Times New Roman" w:hAnsi="Times New Roman" w:cs="Times New Roman"/>
          <w:i/>
          <w:sz w:val="28"/>
          <w:szCs w:val="28"/>
        </w:rPr>
        <w:t xml:space="preserve"> oferi o asigurare rezonabilă privind atingerea obiectivelor și rezultatelor planificate, evaluările și activitățile desfășurate de auditul public extern relevă </w:t>
      </w:r>
      <w:r w:rsidR="00CD356B" w:rsidRPr="001D0846">
        <w:rPr>
          <w:rFonts w:ascii="Times New Roman" w:hAnsi="Times New Roman" w:cs="Times New Roman"/>
          <w:i/>
          <w:sz w:val="28"/>
          <w:szCs w:val="28"/>
        </w:rPr>
        <w:t xml:space="preserve">unele rezerve în implementarea/funcționarea  sistemului de control intern în cadrul SFS și SV. </w:t>
      </w:r>
      <w:r w:rsidR="006C20B7">
        <w:rPr>
          <w:rFonts w:ascii="Times New Roman" w:hAnsi="Times New Roman" w:cs="Times New Roman"/>
          <w:i/>
          <w:sz w:val="28"/>
          <w:szCs w:val="28"/>
        </w:rPr>
        <w:t>În consecință,</w:t>
      </w:r>
      <w:r w:rsidRPr="001D0846">
        <w:rPr>
          <w:rFonts w:ascii="Times New Roman" w:hAnsi="Times New Roman" w:cs="Times New Roman"/>
          <w:i/>
          <w:sz w:val="28"/>
          <w:szCs w:val="28"/>
        </w:rPr>
        <w:t xml:space="preserve"> auditul </w:t>
      </w:r>
      <w:r w:rsidR="00B06CA5">
        <w:rPr>
          <w:rFonts w:ascii="Times New Roman" w:hAnsi="Times New Roman" w:cs="Times New Roman"/>
          <w:i/>
          <w:sz w:val="28"/>
          <w:szCs w:val="28"/>
        </w:rPr>
        <w:t xml:space="preserve">a </w:t>
      </w:r>
      <w:r w:rsidRPr="001D0846">
        <w:rPr>
          <w:rFonts w:ascii="Times New Roman" w:hAnsi="Times New Roman" w:cs="Times New Roman"/>
          <w:i/>
          <w:sz w:val="28"/>
          <w:szCs w:val="28"/>
        </w:rPr>
        <w:t>relev</w:t>
      </w:r>
      <w:r w:rsidR="00B06CA5">
        <w:rPr>
          <w:rFonts w:ascii="Times New Roman" w:hAnsi="Times New Roman" w:cs="Times New Roman"/>
          <w:i/>
          <w:sz w:val="28"/>
          <w:szCs w:val="28"/>
        </w:rPr>
        <w:t xml:space="preserve">at unele </w:t>
      </w:r>
      <w:r w:rsidRPr="001D0846">
        <w:rPr>
          <w:rFonts w:ascii="Times New Roman" w:hAnsi="Times New Roman" w:cs="Times New Roman"/>
          <w:i/>
          <w:sz w:val="28"/>
          <w:szCs w:val="28"/>
        </w:rPr>
        <w:t>nerealizări/realizări parțiale ale unor performanțe în domeniul administrării fiscale și vamale, fapt care limitează rezultativitatea operațională aferentă administrării impozitelor și taxelor. Cele menționate sunt cauzate</w:t>
      </w:r>
      <w:r w:rsidR="006C20B7">
        <w:rPr>
          <w:rFonts w:ascii="Times New Roman" w:hAnsi="Times New Roman" w:cs="Times New Roman"/>
          <w:i/>
          <w:sz w:val="28"/>
          <w:szCs w:val="28"/>
        </w:rPr>
        <w:t>,</w:t>
      </w:r>
      <w:r w:rsidRPr="001D0846">
        <w:rPr>
          <w:rFonts w:ascii="Times New Roman" w:hAnsi="Times New Roman" w:cs="Times New Roman"/>
          <w:i/>
          <w:sz w:val="28"/>
          <w:szCs w:val="28"/>
        </w:rPr>
        <w:t xml:space="preserve"> în general</w:t>
      </w:r>
      <w:r w:rsidR="006C20B7">
        <w:rPr>
          <w:rFonts w:ascii="Times New Roman" w:hAnsi="Times New Roman" w:cs="Times New Roman"/>
          <w:i/>
          <w:sz w:val="28"/>
          <w:szCs w:val="28"/>
        </w:rPr>
        <w:t>,</w:t>
      </w:r>
      <w:r w:rsidRPr="001D0846">
        <w:rPr>
          <w:rFonts w:ascii="Times New Roman" w:hAnsi="Times New Roman" w:cs="Times New Roman"/>
          <w:i/>
          <w:sz w:val="28"/>
          <w:szCs w:val="28"/>
        </w:rPr>
        <w:t xml:space="preserve"> de insuficiența unor activități de control/ decizii de management în cadrul SFS și SV</w:t>
      </w:r>
      <w:r w:rsidR="006C20B7">
        <w:rPr>
          <w:rFonts w:ascii="Times New Roman" w:hAnsi="Times New Roman" w:cs="Times New Roman"/>
          <w:i/>
          <w:sz w:val="28"/>
          <w:szCs w:val="28"/>
        </w:rPr>
        <w:t>,</w:t>
      </w:r>
      <w:r w:rsidRPr="001D0846">
        <w:rPr>
          <w:rFonts w:ascii="Times New Roman" w:hAnsi="Times New Roman" w:cs="Times New Roman"/>
          <w:i/>
          <w:sz w:val="28"/>
          <w:szCs w:val="28"/>
        </w:rPr>
        <w:t xml:space="preserve"> care să asigure consolidarea capacităților și mobilizarea eforturilor în realizarea performanțelor instituționale în administrarea impozitelor și taxelor.</w:t>
      </w:r>
    </w:p>
    <w:p w:rsidR="009E21CF" w:rsidRPr="001D0846" w:rsidRDefault="009E21CF" w:rsidP="009E21CF">
      <w:pPr>
        <w:spacing w:after="0" w:line="276" w:lineRule="auto"/>
        <w:ind w:firstLine="720"/>
        <w:jc w:val="both"/>
        <w:rPr>
          <w:rFonts w:ascii="Times New Roman" w:hAnsi="Times New Roman" w:cs="Times New Roman"/>
          <w:color w:val="000000"/>
          <w:sz w:val="28"/>
          <w:szCs w:val="28"/>
        </w:rPr>
      </w:pPr>
      <w:r w:rsidRPr="001D0846">
        <w:rPr>
          <w:rFonts w:ascii="Times New Roman" w:hAnsi="Times New Roman" w:cs="Times New Roman"/>
          <w:sz w:val="28"/>
          <w:szCs w:val="28"/>
        </w:rPr>
        <w:t>În anul 2017</w:t>
      </w:r>
      <w:r w:rsidR="006C20B7">
        <w:rPr>
          <w:rFonts w:ascii="Times New Roman" w:hAnsi="Times New Roman" w:cs="Times New Roman"/>
          <w:sz w:val="28"/>
          <w:szCs w:val="28"/>
        </w:rPr>
        <w:t>,</w:t>
      </w:r>
      <w:r w:rsidRPr="001D0846">
        <w:rPr>
          <w:rFonts w:ascii="Times New Roman" w:hAnsi="Times New Roman" w:cs="Times New Roman"/>
          <w:sz w:val="28"/>
          <w:szCs w:val="28"/>
        </w:rPr>
        <w:t xml:space="preserve"> SFS și SV au activat în baza unor noi organigrame, elaborate în contextul reformelor instituționale implementate pe parcursul </w:t>
      </w:r>
      <w:r w:rsidR="006C20B7">
        <w:rPr>
          <w:rFonts w:ascii="Times New Roman" w:hAnsi="Times New Roman" w:cs="Times New Roman"/>
          <w:sz w:val="28"/>
          <w:szCs w:val="28"/>
        </w:rPr>
        <w:t>anilor</w:t>
      </w:r>
      <w:r w:rsidRPr="001D0846">
        <w:rPr>
          <w:rFonts w:ascii="Times New Roman" w:hAnsi="Times New Roman" w:cs="Times New Roman"/>
          <w:sz w:val="28"/>
          <w:szCs w:val="28"/>
        </w:rPr>
        <w:t xml:space="preserve"> 2016-2017, care au avut ca scop dezvoltarea structurilor instituționale capabile să asigure o administrare fiscală și vamală eficientă la nivel strategic şi</w:t>
      </w:r>
      <w:r w:rsidR="00CE3749">
        <w:rPr>
          <w:rFonts w:ascii="Times New Roman" w:hAnsi="Times New Roman" w:cs="Times New Roman"/>
          <w:sz w:val="28"/>
          <w:szCs w:val="28"/>
        </w:rPr>
        <w:t>nivel</w:t>
      </w:r>
      <w:r w:rsidRPr="001D0846">
        <w:rPr>
          <w:rFonts w:ascii="Times New Roman" w:hAnsi="Times New Roman" w:cs="Times New Roman"/>
          <w:sz w:val="28"/>
          <w:szCs w:val="28"/>
        </w:rPr>
        <w:t xml:space="preserve"> operațional, </w:t>
      </w:r>
      <w:r w:rsidRPr="001D0846">
        <w:rPr>
          <w:rFonts w:ascii="Times New Roman" w:hAnsi="Times New Roman" w:cs="Times New Roman"/>
          <w:sz w:val="28"/>
          <w:szCs w:val="28"/>
          <w:lang w:eastAsia="ru-RU"/>
        </w:rPr>
        <w:t xml:space="preserve">sporirea gradului de conformare voluntară a contribuabililor și maximizarea veniturilor bugetare. În perioada de referință, administrațiile fiscale și vamale au definit structurile instituționale, misiunea, </w:t>
      </w:r>
      <w:r w:rsidRPr="001D0846">
        <w:rPr>
          <w:rFonts w:ascii="Times New Roman" w:hAnsi="Times New Roman" w:cs="Times New Roman"/>
          <w:color w:val="000000"/>
          <w:sz w:val="28"/>
          <w:szCs w:val="28"/>
        </w:rPr>
        <w:t xml:space="preserve">competenţele, responsabilităţile, sarcinile şiobligaţiile de raportare ale fiecărei subdiviziuni structurale. De asemenea, atât </w:t>
      </w:r>
      <w:r w:rsidRPr="001D0846">
        <w:rPr>
          <w:rFonts w:ascii="Times New Roman" w:hAnsi="Times New Roman" w:cs="Times New Roman"/>
          <w:sz w:val="28"/>
          <w:szCs w:val="28"/>
        </w:rPr>
        <w:t>SFS</w:t>
      </w:r>
      <w:r w:rsidR="00CE3749">
        <w:rPr>
          <w:rFonts w:ascii="Times New Roman" w:hAnsi="Times New Roman" w:cs="Times New Roman"/>
          <w:sz w:val="28"/>
          <w:szCs w:val="28"/>
        </w:rPr>
        <w:t>,</w:t>
      </w:r>
      <w:r w:rsidRPr="001D0846">
        <w:rPr>
          <w:rFonts w:ascii="Times New Roman" w:hAnsi="Times New Roman" w:cs="Times New Roman"/>
          <w:sz w:val="28"/>
          <w:szCs w:val="28"/>
        </w:rPr>
        <w:t xml:space="preserve"> cât </w:t>
      </w:r>
      <w:r w:rsidR="00CE3749">
        <w:rPr>
          <w:rFonts w:ascii="Times New Roman" w:hAnsi="Times New Roman" w:cs="Times New Roman"/>
          <w:sz w:val="28"/>
          <w:szCs w:val="28"/>
        </w:rPr>
        <w:t xml:space="preserve">și </w:t>
      </w:r>
      <w:r w:rsidRPr="001D0846">
        <w:rPr>
          <w:rFonts w:ascii="Times New Roman" w:hAnsi="Times New Roman" w:cs="Times New Roman"/>
          <w:sz w:val="28"/>
          <w:szCs w:val="28"/>
        </w:rPr>
        <w:t>SV au asigurat definirea obiectivelor strategice și stabilirea indicatorilor de performanță în domeniul administrării impozitelor și taxelor, care derivă din obiectivele politicii de administrare fiscală și vamală, cu transpunerea acestora în planurile anuale de activitate și planurile de acțiuni</w:t>
      </w:r>
      <w:r w:rsidR="00CE3749">
        <w:rPr>
          <w:rFonts w:ascii="Times New Roman" w:hAnsi="Times New Roman" w:cs="Times New Roman"/>
          <w:sz w:val="28"/>
          <w:szCs w:val="28"/>
        </w:rPr>
        <w:t>,</w:t>
      </w:r>
      <w:r w:rsidRPr="001D0846">
        <w:rPr>
          <w:rFonts w:ascii="Times New Roman" w:hAnsi="Times New Roman" w:cs="Times New Roman"/>
          <w:sz w:val="28"/>
          <w:szCs w:val="28"/>
        </w:rPr>
        <w:t xml:space="preserve"> în vederea realizării activităților stabilite, cu evaluarea finală a rezultatelor/ performanțelor atinse.</w:t>
      </w:r>
    </w:p>
    <w:p w:rsidR="009E21CF" w:rsidRPr="001D0846" w:rsidRDefault="009E21CF" w:rsidP="009E21CF">
      <w:pPr>
        <w:spacing w:after="0" w:line="276" w:lineRule="auto"/>
        <w:ind w:firstLine="720"/>
        <w:jc w:val="both"/>
        <w:rPr>
          <w:rFonts w:ascii="Times New Roman" w:hAnsi="Times New Roman" w:cs="Times New Roman"/>
          <w:color w:val="000000"/>
          <w:sz w:val="28"/>
          <w:szCs w:val="28"/>
        </w:rPr>
      </w:pPr>
      <w:r w:rsidRPr="001D0846">
        <w:rPr>
          <w:rFonts w:ascii="Times New Roman" w:hAnsi="Times New Roman" w:cs="Times New Roman"/>
          <w:color w:val="000000"/>
          <w:sz w:val="28"/>
          <w:szCs w:val="28"/>
        </w:rPr>
        <w:lastRenderedPageBreak/>
        <w:t>În scopul asigur</w:t>
      </w:r>
      <w:r w:rsidR="00CE3749">
        <w:rPr>
          <w:rFonts w:ascii="Times New Roman" w:hAnsi="Times New Roman" w:cs="Times New Roman"/>
          <w:color w:val="000000"/>
          <w:sz w:val="28"/>
          <w:szCs w:val="28"/>
        </w:rPr>
        <w:t>ării</w:t>
      </w:r>
      <w:r w:rsidRPr="001D0846">
        <w:rPr>
          <w:rFonts w:ascii="Times New Roman" w:hAnsi="Times New Roman" w:cs="Times New Roman"/>
          <w:color w:val="000000"/>
          <w:sz w:val="28"/>
          <w:szCs w:val="28"/>
        </w:rPr>
        <w:t xml:space="preserve"> un</w:t>
      </w:r>
      <w:r w:rsidR="00CE3749">
        <w:rPr>
          <w:rFonts w:ascii="Times New Roman" w:hAnsi="Times New Roman" w:cs="Times New Roman"/>
          <w:color w:val="000000"/>
          <w:sz w:val="28"/>
          <w:szCs w:val="28"/>
        </w:rPr>
        <w:t>ui</w:t>
      </w:r>
      <w:r w:rsidRPr="001D0846">
        <w:rPr>
          <w:rFonts w:ascii="Times New Roman" w:hAnsi="Times New Roman" w:cs="Times New Roman"/>
          <w:color w:val="000000"/>
          <w:sz w:val="28"/>
          <w:szCs w:val="28"/>
        </w:rPr>
        <w:t xml:space="preserve"> management eficient al riscurilor în administrarea impozitelor și taxelor</w:t>
      </w:r>
      <w:r w:rsidR="00CE3749">
        <w:rPr>
          <w:rFonts w:ascii="Times New Roman" w:hAnsi="Times New Roman" w:cs="Times New Roman"/>
          <w:color w:val="000000"/>
          <w:sz w:val="28"/>
          <w:szCs w:val="28"/>
        </w:rPr>
        <w:t>,</w:t>
      </w:r>
      <w:r w:rsidRPr="001D0846">
        <w:rPr>
          <w:rFonts w:ascii="Times New Roman" w:hAnsi="Times New Roman" w:cs="Times New Roman"/>
          <w:color w:val="000000"/>
          <w:sz w:val="28"/>
          <w:szCs w:val="28"/>
        </w:rPr>
        <w:t xml:space="preserve"> au fost elaborate, atât la nivel central, c</w:t>
      </w:r>
      <w:r w:rsidR="00CE3749">
        <w:rPr>
          <w:rFonts w:ascii="Times New Roman" w:hAnsi="Times New Roman" w:cs="Times New Roman"/>
          <w:color w:val="000000"/>
          <w:sz w:val="28"/>
          <w:szCs w:val="28"/>
        </w:rPr>
        <w:t>â</w:t>
      </w:r>
      <w:r w:rsidRPr="001D0846">
        <w:rPr>
          <w:rFonts w:ascii="Times New Roman" w:hAnsi="Times New Roman" w:cs="Times New Roman"/>
          <w:color w:val="000000"/>
          <w:sz w:val="28"/>
          <w:szCs w:val="28"/>
        </w:rPr>
        <w:t>t și la nivelul subdivizunilor structurale ale SFS și SV</w:t>
      </w:r>
      <w:r w:rsidR="00CE3749">
        <w:rPr>
          <w:rFonts w:ascii="Times New Roman" w:hAnsi="Times New Roman" w:cs="Times New Roman"/>
          <w:color w:val="000000"/>
          <w:sz w:val="28"/>
          <w:szCs w:val="28"/>
        </w:rPr>
        <w:t>,</w:t>
      </w:r>
      <w:r w:rsidRPr="001D0846">
        <w:rPr>
          <w:rFonts w:ascii="Times New Roman" w:hAnsi="Times New Roman" w:cs="Times New Roman"/>
          <w:color w:val="000000"/>
          <w:sz w:val="28"/>
          <w:szCs w:val="28"/>
        </w:rPr>
        <w:t xml:space="preserve"> registre ale riscurilor</w:t>
      </w:r>
      <w:r w:rsidR="00CE3749">
        <w:rPr>
          <w:rFonts w:ascii="Times New Roman" w:hAnsi="Times New Roman" w:cs="Times New Roman"/>
          <w:color w:val="000000"/>
          <w:sz w:val="28"/>
          <w:szCs w:val="28"/>
        </w:rPr>
        <w:t>,</w:t>
      </w:r>
      <w:r w:rsidRPr="001D0846">
        <w:rPr>
          <w:rFonts w:ascii="Times New Roman" w:hAnsi="Times New Roman" w:cs="Times New Roman"/>
          <w:color w:val="000000"/>
          <w:sz w:val="28"/>
          <w:szCs w:val="28"/>
        </w:rPr>
        <w:t xml:space="preserve"> care includ acțiuni de identificare, evaluare şi control al riscurilor provenite din surse interne și externe, care pot influenţa atingerea obiectivelor și performanțelor instituționale. Totodată, au fost stabilite activități de control la toate nivelurile și în toate subdiviziunile structurale, </w:t>
      </w:r>
      <w:r w:rsidRPr="001D0846">
        <w:rPr>
          <w:rFonts w:ascii="Times New Roman" w:hAnsi="Times New Roman" w:cs="Times New Roman"/>
          <w:sz w:val="28"/>
          <w:szCs w:val="28"/>
        </w:rPr>
        <w:t xml:space="preserve">prin elaborarea de </w:t>
      </w:r>
      <w:r w:rsidRPr="001D0846">
        <w:rPr>
          <w:rFonts w:ascii="Times New Roman" w:hAnsi="Times New Roman" w:cs="Times New Roman"/>
          <w:color w:val="000000"/>
          <w:sz w:val="28"/>
          <w:szCs w:val="28"/>
        </w:rPr>
        <w:t>politici și proceduri, reguli interne, procese operaționale de bază şiactivităţi în cadrul entităţilor</w:t>
      </w:r>
      <w:r w:rsidR="00CE3749">
        <w:rPr>
          <w:rFonts w:ascii="Times New Roman" w:hAnsi="Times New Roman" w:cs="Times New Roman"/>
          <w:color w:val="000000"/>
          <w:sz w:val="28"/>
          <w:szCs w:val="28"/>
        </w:rPr>
        <w:t>, în scopul de</w:t>
      </w:r>
      <w:r w:rsidRPr="001D0846">
        <w:rPr>
          <w:rFonts w:ascii="Times New Roman" w:hAnsi="Times New Roman" w:cs="Times New Roman"/>
          <w:color w:val="000000"/>
          <w:sz w:val="28"/>
          <w:szCs w:val="28"/>
        </w:rPr>
        <w:t xml:space="preserve"> a asigura gestionarea riscurilor şi</w:t>
      </w:r>
      <w:r w:rsidR="00107E8A">
        <w:rPr>
          <w:rFonts w:ascii="Times New Roman" w:hAnsi="Times New Roman" w:cs="Times New Roman"/>
          <w:color w:val="000000"/>
          <w:sz w:val="28"/>
          <w:szCs w:val="28"/>
        </w:rPr>
        <w:t>de a</w:t>
      </w:r>
      <w:r w:rsidRPr="001D0846">
        <w:rPr>
          <w:rFonts w:ascii="Times New Roman" w:hAnsi="Times New Roman" w:cs="Times New Roman"/>
          <w:color w:val="000000"/>
          <w:sz w:val="28"/>
          <w:szCs w:val="28"/>
        </w:rPr>
        <w:t xml:space="preserve"> realiz</w:t>
      </w:r>
      <w:r w:rsidR="00107E8A">
        <w:rPr>
          <w:rFonts w:ascii="Times New Roman" w:hAnsi="Times New Roman" w:cs="Times New Roman"/>
          <w:color w:val="000000"/>
          <w:sz w:val="28"/>
          <w:szCs w:val="28"/>
        </w:rPr>
        <w:t>a</w:t>
      </w:r>
      <w:r w:rsidRPr="001D0846">
        <w:rPr>
          <w:rFonts w:ascii="Times New Roman" w:hAnsi="Times New Roman" w:cs="Times New Roman"/>
          <w:color w:val="000000"/>
          <w:sz w:val="28"/>
          <w:szCs w:val="28"/>
        </w:rPr>
        <w:t xml:space="preserve"> obiectivel</w:t>
      </w:r>
      <w:r w:rsidR="00107E8A">
        <w:rPr>
          <w:rFonts w:ascii="Times New Roman" w:hAnsi="Times New Roman" w:cs="Times New Roman"/>
          <w:color w:val="000000"/>
          <w:sz w:val="28"/>
          <w:szCs w:val="28"/>
        </w:rPr>
        <w:t>e</w:t>
      </w:r>
      <w:r w:rsidRPr="001D0846">
        <w:rPr>
          <w:rFonts w:ascii="Times New Roman" w:hAnsi="Times New Roman" w:cs="Times New Roman"/>
          <w:color w:val="000000"/>
          <w:sz w:val="28"/>
          <w:szCs w:val="28"/>
        </w:rPr>
        <w:t xml:space="preserve"> și performanțel</w:t>
      </w:r>
      <w:r w:rsidR="00107E8A">
        <w:rPr>
          <w:rFonts w:ascii="Times New Roman" w:hAnsi="Times New Roman" w:cs="Times New Roman"/>
          <w:color w:val="000000"/>
          <w:sz w:val="28"/>
          <w:szCs w:val="28"/>
        </w:rPr>
        <w:t>e</w:t>
      </w:r>
      <w:r w:rsidRPr="001D0846">
        <w:rPr>
          <w:rFonts w:ascii="Times New Roman" w:hAnsi="Times New Roman" w:cs="Times New Roman"/>
          <w:color w:val="000000"/>
          <w:sz w:val="28"/>
          <w:szCs w:val="28"/>
        </w:rPr>
        <w:t>.</w:t>
      </w:r>
    </w:p>
    <w:p w:rsidR="009E21CF" w:rsidRPr="001D0846" w:rsidRDefault="009E21CF" w:rsidP="009E21CF">
      <w:pPr>
        <w:spacing w:after="0" w:line="276" w:lineRule="auto"/>
        <w:ind w:firstLine="720"/>
        <w:jc w:val="both"/>
        <w:rPr>
          <w:rFonts w:ascii="Times New Roman" w:hAnsi="Times New Roman" w:cs="Times New Roman"/>
          <w:sz w:val="28"/>
          <w:szCs w:val="28"/>
        </w:rPr>
      </w:pPr>
      <w:r w:rsidRPr="001D0846">
        <w:rPr>
          <w:rFonts w:ascii="Times New Roman" w:hAnsi="Times New Roman" w:cs="Times New Roman"/>
          <w:color w:val="000000"/>
          <w:sz w:val="28"/>
          <w:szCs w:val="28"/>
        </w:rPr>
        <w:t xml:space="preserve">Astfel, SFS și SV au instituit un mediu de control favorabil, asigurând definirea clară a responsabilităților, delegarea împuternicirilor </w:t>
      </w:r>
      <w:r w:rsidRPr="001D0846">
        <w:rPr>
          <w:rFonts w:ascii="Times New Roman" w:hAnsi="Times New Roman" w:cs="Times New Roman"/>
          <w:sz w:val="28"/>
          <w:szCs w:val="28"/>
        </w:rPr>
        <w:t xml:space="preserve">pentru </w:t>
      </w:r>
      <w:r w:rsidR="00107E8A">
        <w:rPr>
          <w:rFonts w:ascii="Times New Roman" w:hAnsi="Times New Roman" w:cs="Times New Roman"/>
          <w:sz w:val="28"/>
          <w:szCs w:val="28"/>
        </w:rPr>
        <w:t xml:space="preserve">executarea </w:t>
      </w:r>
      <w:r w:rsidRPr="001D0846">
        <w:rPr>
          <w:rFonts w:ascii="Times New Roman" w:hAnsi="Times New Roman" w:cs="Times New Roman"/>
          <w:sz w:val="28"/>
          <w:szCs w:val="28"/>
        </w:rPr>
        <w:t xml:space="preserve"> atribuțiilor și sarcinilor funcționale ale entităților la nivel</w:t>
      </w:r>
      <w:r w:rsidR="00107E8A">
        <w:rPr>
          <w:rFonts w:ascii="Times New Roman" w:hAnsi="Times New Roman" w:cs="Times New Roman"/>
          <w:sz w:val="28"/>
          <w:szCs w:val="28"/>
        </w:rPr>
        <w:t>uril</w:t>
      </w:r>
      <w:r w:rsidRPr="001D0846">
        <w:rPr>
          <w:rFonts w:ascii="Times New Roman" w:hAnsi="Times New Roman" w:cs="Times New Roman"/>
          <w:sz w:val="28"/>
          <w:szCs w:val="28"/>
        </w:rPr>
        <w:t>e de subordonare corespunzătoare</w:t>
      </w:r>
      <w:r w:rsidRPr="001D0846">
        <w:rPr>
          <w:rFonts w:ascii="Times New Roman" w:hAnsi="Times New Roman" w:cs="Times New Roman"/>
          <w:color w:val="000000"/>
          <w:sz w:val="28"/>
          <w:szCs w:val="28"/>
        </w:rPr>
        <w:t>, divizarea și comunicarea obligațiilor angajaților,</w:t>
      </w:r>
      <w:r w:rsidRPr="001D0846">
        <w:rPr>
          <w:rFonts w:ascii="Times New Roman" w:hAnsi="Times New Roman" w:cs="Times New Roman"/>
          <w:sz w:val="28"/>
          <w:szCs w:val="28"/>
        </w:rPr>
        <w:t xml:space="preserve"> stabilirea modalităților și sistemelor de informare și comunicare, de evaluare și raportare a sistemului de control intern, crearea și funcționarea unităților de audit intern.</w:t>
      </w:r>
    </w:p>
    <w:p w:rsidR="009E21CF" w:rsidRPr="001D0846" w:rsidRDefault="009E21CF" w:rsidP="009E21CF">
      <w:pPr>
        <w:spacing w:after="0" w:line="276" w:lineRule="auto"/>
        <w:ind w:firstLine="720"/>
        <w:jc w:val="both"/>
        <w:rPr>
          <w:rFonts w:ascii="Times New Roman" w:hAnsi="Times New Roman" w:cs="Times New Roman"/>
          <w:sz w:val="28"/>
          <w:szCs w:val="28"/>
        </w:rPr>
      </w:pPr>
      <w:r w:rsidRPr="001D0846">
        <w:rPr>
          <w:rFonts w:ascii="Times New Roman" w:hAnsi="Times New Roman" w:cs="Times New Roman"/>
          <w:sz w:val="28"/>
          <w:szCs w:val="28"/>
        </w:rPr>
        <w:t>Evaluările și activitățile desfășurate de auditul public extern asupra modului de organizare și funcționare a</w:t>
      </w:r>
      <w:r w:rsidR="00B06CA5">
        <w:rPr>
          <w:rFonts w:ascii="Times New Roman" w:hAnsi="Times New Roman" w:cs="Times New Roman"/>
          <w:sz w:val="28"/>
          <w:szCs w:val="28"/>
        </w:rPr>
        <w:t xml:space="preserve"> sistemului de control intern </w:t>
      </w:r>
      <w:r w:rsidR="00107E8A">
        <w:rPr>
          <w:rFonts w:ascii="Times New Roman" w:hAnsi="Times New Roman" w:cs="Times New Roman"/>
          <w:sz w:val="28"/>
          <w:szCs w:val="28"/>
        </w:rPr>
        <w:t>î</w:t>
      </w:r>
      <w:r w:rsidRPr="001D0846">
        <w:rPr>
          <w:rFonts w:ascii="Times New Roman" w:hAnsi="Times New Roman" w:cs="Times New Roman"/>
          <w:sz w:val="28"/>
          <w:szCs w:val="28"/>
        </w:rPr>
        <w:t>n cadrul SFS și SV relevă unele rezerve</w:t>
      </w:r>
      <w:r w:rsidR="00B06CA5">
        <w:rPr>
          <w:rFonts w:ascii="Times New Roman" w:hAnsi="Times New Roman" w:cs="Times New Roman"/>
          <w:sz w:val="28"/>
          <w:szCs w:val="28"/>
        </w:rPr>
        <w:t xml:space="preserve"> în implementarea/funcționalitatea SCI</w:t>
      </w:r>
      <w:r w:rsidRPr="001D0846">
        <w:rPr>
          <w:rFonts w:ascii="Times New Roman" w:hAnsi="Times New Roman" w:cs="Times New Roman"/>
          <w:sz w:val="28"/>
          <w:szCs w:val="28"/>
        </w:rPr>
        <w:t>, fapt care a generat neatingerea unor performanțe în domeniul administrării impozitelor și taxelor, după cum urmează:</w:t>
      </w:r>
    </w:p>
    <w:p w:rsidR="00BF2FD8" w:rsidRDefault="00BF2FD8" w:rsidP="00BF2FD8">
      <w:pPr>
        <w:tabs>
          <w:tab w:val="left" w:pos="1134"/>
        </w:tabs>
        <w:spacing w:after="0" w:line="276" w:lineRule="auto"/>
        <w:jc w:val="both"/>
        <w:rPr>
          <w:rFonts w:ascii="Times New Roman" w:hAnsi="Times New Roman" w:cs="Times New Roman"/>
          <w:sz w:val="28"/>
          <w:szCs w:val="28"/>
        </w:rPr>
      </w:pPr>
      <w:r>
        <w:rPr>
          <w:rFonts w:ascii="Times New Roman" w:eastAsia="Calibri" w:hAnsi="Times New Roman" w:cs="Times New Roman"/>
          <w:sz w:val="28"/>
          <w:szCs w:val="28"/>
        </w:rPr>
        <w:t xml:space="preserve">       1)  </w:t>
      </w:r>
      <w:r w:rsidR="00B94C80" w:rsidRPr="00BF2FD8">
        <w:rPr>
          <w:rFonts w:ascii="Times New Roman" w:eastAsia="Calibri" w:hAnsi="Times New Roman" w:cs="Times New Roman"/>
          <w:sz w:val="28"/>
          <w:szCs w:val="28"/>
        </w:rPr>
        <w:t>În aspectul asigurării procesului de monitorizare continuă, prin activități</w:t>
      </w:r>
      <w:r w:rsidR="00B94C80" w:rsidRPr="00BF2FD8">
        <w:rPr>
          <w:rFonts w:ascii="Times New Roman" w:hAnsi="Times New Roman" w:cs="Times New Roman"/>
          <w:color w:val="000000"/>
          <w:sz w:val="28"/>
          <w:szCs w:val="28"/>
        </w:rPr>
        <w:t xml:space="preserve"> de supraveghere şi management, se atestă unele reserve în monitorizarea activității subdiviziunilor cu atribuții de </w:t>
      </w:r>
      <w:r w:rsidR="00B06CA5" w:rsidRPr="00BF2FD8">
        <w:rPr>
          <w:rFonts w:ascii="Times New Roman" w:hAnsi="Times New Roman" w:cs="Times New Roman"/>
          <w:color w:val="000000"/>
          <w:sz w:val="28"/>
          <w:szCs w:val="28"/>
        </w:rPr>
        <w:t xml:space="preserve">control și </w:t>
      </w:r>
      <w:r w:rsidR="00B94C80" w:rsidRPr="00BF2FD8">
        <w:rPr>
          <w:rFonts w:ascii="Times New Roman" w:hAnsi="Times New Roman" w:cs="Times New Roman"/>
          <w:color w:val="000000"/>
          <w:sz w:val="28"/>
          <w:szCs w:val="28"/>
        </w:rPr>
        <w:t>executare silită a</w:t>
      </w:r>
      <w:r w:rsidR="00107E8A" w:rsidRPr="00BF2FD8">
        <w:rPr>
          <w:rFonts w:ascii="Times New Roman" w:hAnsi="Times New Roman" w:cs="Times New Roman"/>
          <w:color w:val="000000"/>
          <w:sz w:val="28"/>
          <w:szCs w:val="28"/>
        </w:rPr>
        <w:t>le</w:t>
      </w:r>
      <w:r w:rsidR="00B94C80" w:rsidRPr="00BF2FD8">
        <w:rPr>
          <w:rFonts w:ascii="Times New Roman" w:hAnsi="Times New Roman" w:cs="Times New Roman"/>
          <w:color w:val="000000"/>
          <w:sz w:val="28"/>
          <w:szCs w:val="28"/>
        </w:rPr>
        <w:t xml:space="preserve"> SFS și SV</w:t>
      </w:r>
      <w:r w:rsidR="00F62A04" w:rsidRPr="00BF2FD8">
        <w:rPr>
          <w:rFonts w:ascii="Times New Roman" w:hAnsi="Times New Roman" w:cs="Times New Roman"/>
          <w:color w:val="000000"/>
          <w:sz w:val="28"/>
          <w:szCs w:val="28"/>
        </w:rPr>
        <w:t>,</w:t>
      </w:r>
      <w:r w:rsidR="00B94C80" w:rsidRPr="00BF2FD8">
        <w:rPr>
          <w:rFonts w:ascii="Times New Roman" w:hAnsi="Times New Roman" w:cs="Times New Roman"/>
          <w:sz w:val="28"/>
          <w:szCs w:val="28"/>
        </w:rPr>
        <w:t xml:space="preserve">în vederea </w:t>
      </w:r>
      <w:r w:rsidR="00B06CA5" w:rsidRPr="00BF2FD8">
        <w:rPr>
          <w:rFonts w:ascii="Times New Roman" w:hAnsi="Times New Roman" w:cs="Times New Roman"/>
          <w:sz w:val="28"/>
          <w:szCs w:val="28"/>
        </w:rPr>
        <w:t xml:space="preserve">încasării calculelor suplimentare și </w:t>
      </w:r>
      <w:r w:rsidR="00B94C80" w:rsidRPr="00BF2FD8">
        <w:rPr>
          <w:rFonts w:ascii="Times New Roman" w:hAnsi="Times New Roman" w:cs="Times New Roman"/>
          <w:sz w:val="28"/>
          <w:szCs w:val="28"/>
        </w:rPr>
        <w:t>recuperării restanțelor la BPN;</w:t>
      </w:r>
    </w:p>
    <w:p w:rsidR="00BF2FD8" w:rsidRDefault="00BF2FD8" w:rsidP="00BF2FD8">
      <w:pPr>
        <w:tabs>
          <w:tab w:val="left" w:pos="1134"/>
        </w:tabs>
        <w:spacing w:after="0" w:line="276"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2) </w:t>
      </w:r>
      <w:r w:rsidR="00B06CA5" w:rsidRPr="00BF2FD8">
        <w:rPr>
          <w:rFonts w:ascii="Times New Roman" w:hAnsi="Times New Roman" w:cs="Times New Roman"/>
          <w:color w:val="000000"/>
          <w:sz w:val="28"/>
          <w:szCs w:val="28"/>
        </w:rPr>
        <w:t>În aspectul evaluării funcționalității SCI prin intermediul funcției de audit intern, se atestă neefectuarea de către unitățile de audit intern din cadrul SFS și SV a unor evaluări per ansamblu a</w:t>
      </w:r>
      <w:r w:rsidR="00F62A04" w:rsidRPr="00BF2FD8">
        <w:rPr>
          <w:rFonts w:ascii="Times New Roman" w:hAnsi="Times New Roman" w:cs="Times New Roman"/>
          <w:color w:val="000000"/>
          <w:sz w:val="28"/>
          <w:szCs w:val="28"/>
        </w:rPr>
        <w:t>le</w:t>
      </w:r>
      <w:r w:rsidR="00B06CA5" w:rsidRPr="00BF2FD8">
        <w:rPr>
          <w:rFonts w:ascii="Times New Roman" w:hAnsi="Times New Roman" w:cs="Times New Roman"/>
          <w:color w:val="000000"/>
          <w:sz w:val="28"/>
          <w:szCs w:val="28"/>
        </w:rPr>
        <w:t xml:space="preserve"> sistemului </w:t>
      </w:r>
      <w:r w:rsidR="00F62A04" w:rsidRPr="00BF2FD8">
        <w:rPr>
          <w:rFonts w:ascii="Times New Roman" w:hAnsi="Times New Roman" w:cs="Times New Roman"/>
          <w:color w:val="000000"/>
          <w:sz w:val="28"/>
          <w:szCs w:val="28"/>
        </w:rPr>
        <w:t>de management financiar și control</w:t>
      </w:r>
      <w:r w:rsidR="00B06CA5" w:rsidRPr="00BF2FD8">
        <w:rPr>
          <w:rFonts w:ascii="Times New Roman" w:hAnsi="Times New Roman" w:cs="Times New Roman"/>
          <w:color w:val="000000"/>
          <w:sz w:val="28"/>
          <w:szCs w:val="28"/>
        </w:rPr>
        <w:t xml:space="preserve">, fiind efectuate evaluări </w:t>
      </w:r>
      <w:r w:rsidR="00F62A04" w:rsidRPr="00BF2FD8">
        <w:rPr>
          <w:rFonts w:ascii="Times New Roman" w:hAnsi="Times New Roman" w:cs="Times New Roman"/>
          <w:color w:val="000000"/>
          <w:sz w:val="28"/>
          <w:szCs w:val="28"/>
        </w:rPr>
        <w:t xml:space="preserve">doar </w:t>
      </w:r>
      <w:r w:rsidR="00B06CA5" w:rsidRPr="00BF2FD8">
        <w:rPr>
          <w:rFonts w:ascii="Times New Roman" w:hAnsi="Times New Roman" w:cs="Times New Roman"/>
          <w:color w:val="000000"/>
          <w:sz w:val="28"/>
          <w:szCs w:val="28"/>
        </w:rPr>
        <w:t>pe unele componente ale sistemului;</w:t>
      </w:r>
    </w:p>
    <w:p w:rsidR="00BF2FD8" w:rsidRDefault="00BF2FD8" w:rsidP="00BF2FD8">
      <w:pPr>
        <w:tabs>
          <w:tab w:val="left" w:pos="1134"/>
        </w:tabs>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3) </w:t>
      </w:r>
      <w:r w:rsidR="00C77116" w:rsidRPr="00BF2FD8">
        <w:rPr>
          <w:rFonts w:ascii="Times New Roman" w:hAnsi="Times New Roman" w:cs="Times New Roman"/>
          <w:color w:val="000000"/>
          <w:sz w:val="28"/>
          <w:szCs w:val="28"/>
        </w:rPr>
        <w:t xml:space="preserve">În aspectul realizării performanțelor stabilite în administrarea </w:t>
      </w:r>
      <w:r w:rsidR="00C77116" w:rsidRPr="00BF2FD8">
        <w:rPr>
          <w:rFonts w:ascii="Times New Roman" w:hAnsi="Times New Roman" w:cs="Times New Roman"/>
          <w:bCs/>
          <w:sz w:val="28"/>
          <w:szCs w:val="28"/>
          <w:lang w:eastAsia="ro-RO"/>
        </w:rPr>
        <w:t xml:space="preserve">de către SFS și SV a </w:t>
      </w:r>
      <w:r w:rsidR="00C77116" w:rsidRPr="00BF2FD8">
        <w:rPr>
          <w:rFonts w:ascii="Times New Roman" w:hAnsi="Times New Roman" w:cs="Times New Roman"/>
          <w:color w:val="000000"/>
          <w:sz w:val="28"/>
          <w:szCs w:val="28"/>
        </w:rPr>
        <w:t>impozitelor și taxelor</w:t>
      </w:r>
      <w:r w:rsidR="00F62A04" w:rsidRPr="00BF2FD8">
        <w:rPr>
          <w:rFonts w:ascii="Times New Roman" w:hAnsi="Times New Roman" w:cs="Times New Roman"/>
          <w:color w:val="000000"/>
          <w:sz w:val="28"/>
          <w:szCs w:val="28"/>
        </w:rPr>
        <w:t>,</w:t>
      </w:r>
      <w:r w:rsidR="00C77116" w:rsidRPr="00BF2FD8">
        <w:rPr>
          <w:rFonts w:ascii="Times New Roman" w:hAnsi="Times New Roman" w:cs="Times New Roman"/>
          <w:sz w:val="28"/>
          <w:szCs w:val="28"/>
        </w:rPr>
        <w:t xml:space="preserve">se atestă: </w:t>
      </w:r>
      <w:r w:rsidR="00C77116" w:rsidRPr="00BF2FD8">
        <w:rPr>
          <w:rFonts w:ascii="Times New Roman" w:hAnsi="Times New Roman" w:cs="Times New Roman"/>
          <w:i/>
          <w:sz w:val="28"/>
          <w:szCs w:val="28"/>
        </w:rPr>
        <w:t>(i)</w:t>
      </w:r>
      <w:r w:rsidR="00C77116" w:rsidRPr="00BF2FD8">
        <w:rPr>
          <w:rFonts w:ascii="Times New Roman" w:hAnsi="Times New Roman" w:cs="Times New Roman"/>
          <w:bCs/>
          <w:sz w:val="28"/>
          <w:szCs w:val="28"/>
          <w:lang w:eastAsia="ro-RO"/>
        </w:rPr>
        <w:t xml:space="preserve">nerealizarea planului de încasări în aspectul unor impozite și taxe; </w:t>
      </w:r>
      <w:r w:rsidR="00C77116" w:rsidRPr="00BF2FD8">
        <w:rPr>
          <w:rFonts w:ascii="Times New Roman" w:hAnsi="Times New Roman" w:cs="Times New Roman"/>
          <w:bCs/>
          <w:i/>
          <w:sz w:val="28"/>
          <w:szCs w:val="28"/>
          <w:lang w:eastAsia="ro-RO"/>
        </w:rPr>
        <w:t>(ii)</w:t>
      </w:r>
      <w:r w:rsidR="00C77116" w:rsidRPr="00BF2FD8">
        <w:rPr>
          <w:rFonts w:ascii="Times New Roman" w:hAnsi="Times New Roman" w:cs="Times New Roman"/>
          <w:bCs/>
          <w:sz w:val="28"/>
          <w:szCs w:val="28"/>
          <w:lang w:eastAsia="ro-RO"/>
        </w:rPr>
        <w:t xml:space="preserve"> ritmul încetinit de creștere a veniturilor colectate raportat la evoluția PIB; </w:t>
      </w:r>
      <w:r w:rsidR="00C77116" w:rsidRPr="00BF2FD8">
        <w:rPr>
          <w:rFonts w:ascii="Times New Roman" w:hAnsi="Times New Roman" w:cs="Times New Roman"/>
          <w:bCs/>
          <w:i/>
          <w:sz w:val="28"/>
          <w:szCs w:val="28"/>
          <w:lang w:eastAsia="ro-RO"/>
        </w:rPr>
        <w:t>(iii)</w:t>
      </w:r>
      <w:r w:rsidR="00AD4042" w:rsidRPr="00BF2FD8">
        <w:rPr>
          <w:rFonts w:ascii="Times New Roman" w:hAnsi="Times New Roman" w:cs="Times New Roman"/>
          <w:bCs/>
          <w:sz w:val="28"/>
          <w:szCs w:val="28"/>
          <w:lang w:eastAsia="ro-RO"/>
        </w:rPr>
        <w:t>rezerve la încasarea restanțelor la</w:t>
      </w:r>
      <w:r w:rsidR="00C77116" w:rsidRPr="00BF2FD8">
        <w:rPr>
          <w:rFonts w:ascii="Times New Roman" w:hAnsi="Times New Roman" w:cs="Times New Roman"/>
          <w:sz w:val="28"/>
          <w:szCs w:val="28"/>
        </w:rPr>
        <w:t xml:space="preserve"> BPN</w:t>
      </w:r>
      <w:r w:rsidR="00AD4042" w:rsidRPr="00BF2FD8">
        <w:rPr>
          <w:rFonts w:ascii="Times New Roman" w:hAnsi="Times New Roman" w:cs="Times New Roman"/>
          <w:sz w:val="28"/>
          <w:szCs w:val="28"/>
        </w:rPr>
        <w:t>, atestându-se tendințe de creștere continuă a acestora</w:t>
      </w:r>
      <w:r w:rsidR="00C77116" w:rsidRPr="00BF2FD8">
        <w:rPr>
          <w:rFonts w:ascii="Times New Roman" w:hAnsi="Times New Roman" w:cs="Times New Roman"/>
          <w:sz w:val="28"/>
          <w:szCs w:val="28"/>
        </w:rPr>
        <w:t xml:space="preserve">; </w:t>
      </w:r>
      <w:r w:rsidR="00C77116" w:rsidRPr="00BF2FD8">
        <w:rPr>
          <w:rFonts w:ascii="Times New Roman" w:hAnsi="Times New Roman" w:cs="Times New Roman"/>
          <w:i/>
          <w:sz w:val="28"/>
          <w:szCs w:val="28"/>
        </w:rPr>
        <w:t>(iv)</w:t>
      </w:r>
      <w:r w:rsidR="00C77116" w:rsidRPr="00BF2FD8">
        <w:rPr>
          <w:rFonts w:ascii="Times New Roman" w:hAnsi="Times New Roman" w:cs="Times New Roman"/>
          <w:sz w:val="28"/>
          <w:szCs w:val="28"/>
        </w:rPr>
        <w:t xml:space="preserve"> scăderea per ansamblu a nivelului de conformare voluntară a contribuabililor la stingerea obligației fiscale și vamale; </w:t>
      </w:r>
      <w:r w:rsidR="00C77116" w:rsidRPr="00BF2FD8">
        <w:rPr>
          <w:rFonts w:ascii="Times New Roman" w:hAnsi="Times New Roman" w:cs="Times New Roman"/>
          <w:i/>
          <w:sz w:val="28"/>
          <w:szCs w:val="28"/>
        </w:rPr>
        <w:t>(v)</w:t>
      </w:r>
      <w:r w:rsidR="00AD4042" w:rsidRPr="00BF2FD8">
        <w:rPr>
          <w:rFonts w:ascii="Times New Roman" w:hAnsi="Times New Roman" w:cs="Times New Roman"/>
          <w:sz w:val="28"/>
          <w:szCs w:val="28"/>
        </w:rPr>
        <w:t xml:space="preserve">problematici la încasarea unor sume calculate suplimentar la buget în baza controalelor efectuate; </w:t>
      </w:r>
      <w:r w:rsidR="00B06CA5" w:rsidRPr="00BF2FD8">
        <w:rPr>
          <w:rFonts w:ascii="Times New Roman" w:hAnsi="Times New Roman" w:cs="Times New Roman"/>
          <w:i/>
          <w:sz w:val="28"/>
          <w:szCs w:val="28"/>
        </w:rPr>
        <w:t xml:space="preserve">(vi) </w:t>
      </w:r>
      <w:r w:rsidR="00AD4042" w:rsidRPr="00BF2FD8">
        <w:rPr>
          <w:rFonts w:ascii="Times New Roman" w:hAnsi="Times New Roman" w:cs="Times New Roman"/>
          <w:sz w:val="28"/>
          <w:szCs w:val="28"/>
        </w:rPr>
        <w:t>realizarea/implementarea parțială a unor cerințe și recomandări ale auditurilor precedente;</w:t>
      </w:r>
    </w:p>
    <w:p w:rsidR="00C77116" w:rsidRPr="00BF2FD8" w:rsidRDefault="00BF2FD8" w:rsidP="00BF2FD8">
      <w:pPr>
        <w:tabs>
          <w:tab w:val="left" w:pos="1134"/>
        </w:tabs>
        <w:spacing w:after="0"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4) </w:t>
      </w:r>
      <w:r w:rsidR="00C77116" w:rsidRPr="00BF2FD8">
        <w:rPr>
          <w:rFonts w:ascii="Times New Roman" w:hAnsi="Times New Roman" w:cs="Times New Roman"/>
          <w:sz w:val="28"/>
          <w:szCs w:val="28"/>
        </w:rPr>
        <w:t>În aspectul asigurării siguranței și integrității informației, în cadrul SV se atestă raportarea incompletă a situației privind restanțele administrate la BS, fiind afectate rapoartele respective care sunt prezentate MF- administratorul de buget.</w:t>
      </w:r>
    </w:p>
    <w:p w:rsidR="009E21CF" w:rsidRPr="001D0846" w:rsidRDefault="009E21CF" w:rsidP="00BF2FD8">
      <w:pPr>
        <w:spacing w:after="0" w:line="276" w:lineRule="auto"/>
        <w:ind w:firstLine="720"/>
        <w:jc w:val="both"/>
        <w:rPr>
          <w:rFonts w:ascii="Times New Roman" w:hAnsi="Times New Roman" w:cs="Times New Roman"/>
          <w:sz w:val="28"/>
          <w:szCs w:val="28"/>
        </w:rPr>
      </w:pPr>
      <w:r w:rsidRPr="001D0846">
        <w:rPr>
          <w:rFonts w:ascii="Times New Roman" w:hAnsi="Times New Roman" w:cs="Times New Roman"/>
          <w:sz w:val="28"/>
          <w:szCs w:val="28"/>
        </w:rPr>
        <w:t xml:space="preserve">Situațiile constatate de auditul public extern la implementarea sistemului de control intern de către SFS și SV au avut impact asupra </w:t>
      </w:r>
      <w:r w:rsidR="00B06CA5">
        <w:rPr>
          <w:rFonts w:ascii="Times New Roman" w:hAnsi="Times New Roman" w:cs="Times New Roman"/>
          <w:sz w:val="28"/>
          <w:szCs w:val="28"/>
        </w:rPr>
        <w:t xml:space="preserve">funcționalității și rezultativității operaționale aferente administrării </w:t>
      </w:r>
      <w:r w:rsidR="00AD4042">
        <w:rPr>
          <w:rFonts w:ascii="Times New Roman" w:hAnsi="Times New Roman" w:cs="Times New Roman"/>
          <w:sz w:val="28"/>
          <w:szCs w:val="28"/>
        </w:rPr>
        <w:t>impozitelor și taxelor.</w:t>
      </w:r>
    </w:p>
    <w:p w:rsidR="009E21CF" w:rsidRPr="00AD4042" w:rsidRDefault="009E21CF" w:rsidP="00175939">
      <w:pPr>
        <w:tabs>
          <w:tab w:val="left" w:pos="0"/>
        </w:tabs>
        <w:spacing w:after="0" w:line="276" w:lineRule="auto"/>
        <w:ind w:firstLine="709"/>
        <w:jc w:val="both"/>
        <w:rPr>
          <w:rFonts w:ascii="Times New Roman" w:hAnsi="Times New Roman"/>
          <w:sz w:val="28"/>
          <w:szCs w:val="28"/>
        </w:rPr>
      </w:pPr>
    </w:p>
    <w:p w:rsidR="00BF2FD8" w:rsidRDefault="00BF2FD8" w:rsidP="00B952AC">
      <w:pPr>
        <w:tabs>
          <w:tab w:val="left" w:pos="630"/>
          <w:tab w:val="left" w:pos="993"/>
        </w:tabs>
        <w:spacing w:after="0" w:line="276" w:lineRule="auto"/>
        <w:jc w:val="both"/>
        <w:rPr>
          <w:rFonts w:ascii="Times New Roman" w:hAnsi="Times New Roman" w:cs="Times New Roman"/>
          <w:b/>
          <w:i/>
          <w:sz w:val="28"/>
          <w:szCs w:val="28"/>
        </w:rPr>
      </w:pPr>
    </w:p>
    <w:p w:rsidR="001F529E" w:rsidRDefault="001F529E" w:rsidP="00B952AC">
      <w:pPr>
        <w:tabs>
          <w:tab w:val="left" w:pos="630"/>
          <w:tab w:val="left" w:pos="993"/>
        </w:tabs>
        <w:spacing w:after="0" w:line="276" w:lineRule="auto"/>
        <w:jc w:val="both"/>
        <w:rPr>
          <w:rFonts w:ascii="Times New Roman" w:hAnsi="Times New Roman" w:cs="Times New Roman"/>
          <w:b/>
          <w:i/>
          <w:sz w:val="28"/>
          <w:szCs w:val="28"/>
        </w:rPr>
      </w:pPr>
    </w:p>
    <w:p w:rsidR="001F529E" w:rsidRDefault="001F529E" w:rsidP="00AD4042">
      <w:pPr>
        <w:tabs>
          <w:tab w:val="left" w:pos="630"/>
          <w:tab w:val="left" w:pos="993"/>
        </w:tabs>
        <w:spacing w:after="0" w:line="276" w:lineRule="auto"/>
        <w:jc w:val="both"/>
        <w:rPr>
          <w:rFonts w:ascii="Times New Roman" w:hAnsi="Times New Roman" w:cs="Times New Roman"/>
          <w:b/>
          <w:i/>
          <w:sz w:val="28"/>
          <w:szCs w:val="28"/>
        </w:rPr>
      </w:pPr>
    </w:p>
    <w:p w:rsidR="001F529E" w:rsidRDefault="001F529E" w:rsidP="00AD4042">
      <w:pPr>
        <w:tabs>
          <w:tab w:val="left" w:pos="630"/>
          <w:tab w:val="left" w:pos="993"/>
        </w:tabs>
        <w:spacing w:after="0" w:line="276" w:lineRule="auto"/>
        <w:jc w:val="both"/>
        <w:rPr>
          <w:rFonts w:ascii="Times New Roman" w:hAnsi="Times New Roman" w:cs="Times New Roman"/>
          <w:b/>
          <w:i/>
          <w:sz w:val="28"/>
          <w:szCs w:val="28"/>
        </w:rPr>
      </w:pPr>
    </w:p>
    <w:p w:rsidR="001F529E" w:rsidRDefault="001F529E" w:rsidP="00AD4042">
      <w:pPr>
        <w:tabs>
          <w:tab w:val="left" w:pos="630"/>
          <w:tab w:val="left" w:pos="993"/>
        </w:tabs>
        <w:spacing w:after="0" w:line="276" w:lineRule="auto"/>
        <w:jc w:val="both"/>
        <w:rPr>
          <w:rFonts w:ascii="Times New Roman" w:hAnsi="Times New Roman" w:cs="Times New Roman"/>
          <w:b/>
          <w:i/>
          <w:sz w:val="28"/>
          <w:szCs w:val="28"/>
        </w:rPr>
      </w:pPr>
    </w:p>
    <w:p w:rsidR="001F529E" w:rsidRDefault="001F529E" w:rsidP="00AD4042">
      <w:pPr>
        <w:tabs>
          <w:tab w:val="left" w:pos="630"/>
          <w:tab w:val="left" w:pos="993"/>
        </w:tabs>
        <w:spacing w:after="0" w:line="276" w:lineRule="auto"/>
        <w:jc w:val="both"/>
        <w:rPr>
          <w:rFonts w:ascii="Times New Roman" w:hAnsi="Times New Roman" w:cs="Times New Roman"/>
          <w:b/>
          <w:i/>
          <w:sz w:val="28"/>
          <w:szCs w:val="28"/>
        </w:rPr>
      </w:pPr>
    </w:p>
    <w:p w:rsidR="001F529E" w:rsidRDefault="001F529E" w:rsidP="00AD4042">
      <w:pPr>
        <w:tabs>
          <w:tab w:val="left" w:pos="630"/>
          <w:tab w:val="left" w:pos="993"/>
        </w:tabs>
        <w:spacing w:after="0" w:line="276" w:lineRule="auto"/>
        <w:jc w:val="both"/>
        <w:rPr>
          <w:rFonts w:ascii="Times New Roman" w:hAnsi="Times New Roman" w:cs="Times New Roman"/>
          <w:b/>
          <w:i/>
          <w:sz w:val="28"/>
          <w:szCs w:val="28"/>
        </w:rPr>
      </w:pPr>
    </w:p>
    <w:p w:rsidR="001F529E" w:rsidRDefault="001F529E" w:rsidP="00AD4042">
      <w:pPr>
        <w:tabs>
          <w:tab w:val="left" w:pos="630"/>
          <w:tab w:val="left" w:pos="993"/>
        </w:tabs>
        <w:spacing w:after="0" w:line="276" w:lineRule="auto"/>
        <w:jc w:val="both"/>
        <w:rPr>
          <w:rFonts w:ascii="Times New Roman" w:hAnsi="Times New Roman" w:cs="Times New Roman"/>
          <w:b/>
          <w:i/>
          <w:sz w:val="28"/>
          <w:szCs w:val="28"/>
        </w:rPr>
      </w:pPr>
    </w:p>
    <w:p w:rsidR="001F529E" w:rsidRDefault="001F529E" w:rsidP="00AD4042">
      <w:pPr>
        <w:tabs>
          <w:tab w:val="left" w:pos="630"/>
          <w:tab w:val="left" w:pos="993"/>
        </w:tabs>
        <w:spacing w:after="0" w:line="276" w:lineRule="auto"/>
        <w:jc w:val="both"/>
        <w:rPr>
          <w:rFonts w:ascii="Times New Roman" w:hAnsi="Times New Roman" w:cs="Times New Roman"/>
          <w:b/>
          <w:i/>
          <w:sz w:val="28"/>
          <w:szCs w:val="28"/>
        </w:rPr>
      </w:pPr>
    </w:p>
    <w:p w:rsidR="001F529E" w:rsidRDefault="001F529E" w:rsidP="00AD4042">
      <w:pPr>
        <w:tabs>
          <w:tab w:val="left" w:pos="630"/>
          <w:tab w:val="left" w:pos="993"/>
        </w:tabs>
        <w:spacing w:after="0" w:line="276" w:lineRule="auto"/>
        <w:jc w:val="both"/>
        <w:rPr>
          <w:rFonts w:ascii="Times New Roman" w:hAnsi="Times New Roman" w:cs="Times New Roman"/>
          <w:b/>
          <w:i/>
          <w:sz w:val="28"/>
          <w:szCs w:val="28"/>
        </w:rPr>
      </w:pPr>
    </w:p>
    <w:p w:rsidR="001F529E" w:rsidRDefault="001F529E" w:rsidP="00AD4042">
      <w:pPr>
        <w:tabs>
          <w:tab w:val="left" w:pos="630"/>
          <w:tab w:val="left" w:pos="993"/>
        </w:tabs>
        <w:spacing w:after="0" w:line="276" w:lineRule="auto"/>
        <w:jc w:val="both"/>
        <w:rPr>
          <w:rFonts w:ascii="Times New Roman" w:hAnsi="Times New Roman" w:cs="Times New Roman"/>
          <w:b/>
          <w:i/>
          <w:sz w:val="28"/>
          <w:szCs w:val="28"/>
        </w:rPr>
      </w:pPr>
    </w:p>
    <w:p w:rsidR="001F529E" w:rsidRDefault="001F529E" w:rsidP="00AD4042">
      <w:pPr>
        <w:tabs>
          <w:tab w:val="left" w:pos="630"/>
          <w:tab w:val="left" w:pos="993"/>
        </w:tabs>
        <w:spacing w:after="0" w:line="276" w:lineRule="auto"/>
        <w:jc w:val="both"/>
        <w:rPr>
          <w:rFonts w:ascii="Times New Roman" w:hAnsi="Times New Roman" w:cs="Times New Roman"/>
          <w:b/>
          <w:i/>
          <w:sz w:val="28"/>
          <w:szCs w:val="28"/>
        </w:rPr>
      </w:pPr>
    </w:p>
    <w:p w:rsidR="001F529E" w:rsidRDefault="001F529E" w:rsidP="00AD4042">
      <w:pPr>
        <w:tabs>
          <w:tab w:val="left" w:pos="630"/>
          <w:tab w:val="left" w:pos="993"/>
        </w:tabs>
        <w:spacing w:after="0" w:line="276" w:lineRule="auto"/>
        <w:jc w:val="both"/>
        <w:rPr>
          <w:rFonts w:ascii="Times New Roman" w:hAnsi="Times New Roman" w:cs="Times New Roman"/>
          <w:b/>
          <w:i/>
          <w:sz w:val="28"/>
          <w:szCs w:val="28"/>
        </w:rPr>
      </w:pPr>
    </w:p>
    <w:p w:rsidR="001F529E" w:rsidRDefault="001F529E" w:rsidP="00AD4042">
      <w:pPr>
        <w:tabs>
          <w:tab w:val="left" w:pos="630"/>
          <w:tab w:val="left" w:pos="993"/>
        </w:tabs>
        <w:spacing w:after="0" w:line="276" w:lineRule="auto"/>
        <w:jc w:val="both"/>
        <w:rPr>
          <w:rFonts w:ascii="Times New Roman" w:hAnsi="Times New Roman" w:cs="Times New Roman"/>
          <w:b/>
          <w:i/>
          <w:sz w:val="28"/>
          <w:szCs w:val="28"/>
        </w:rPr>
      </w:pPr>
    </w:p>
    <w:p w:rsidR="001F529E" w:rsidRDefault="001F529E" w:rsidP="00AD4042">
      <w:pPr>
        <w:tabs>
          <w:tab w:val="left" w:pos="630"/>
          <w:tab w:val="left" w:pos="993"/>
        </w:tabs>
        <w:spacing w:after="0" w:line="276" w:lineRule="auto"/>
        <w:jc w:val="both"/>
        <w:rPr>
          <w:rFonts w:ascii="Times New Roman" w:hAnsi="Times New Roman" w:cs="Times New Roman"/>
          <w:b/>
          <w:i/>
          <w:sz w:val="28"/>
          <w:szCs w:val="28"/>
        </w:rPr>
      </w:pPr>
    </w:p>
    <w:p w:rsidR="001F529E" w:rsidRDefault="001F529E" w:rsidP="00AD4042">
      <w:pPr>
        <w:tabs>
          <w:tab w:val="left" w:pos="630"/>
          <w:tab w:val="left" w:pos="993"/>
        </w:tabs>
        <w:spacing w:after="0" w:line="276" w:lineRule="auto"/>
        <w:jc w:val="both"/>
        <w:rPr>
          <w:rFonts w:ascii="Times New Roman" w:hAnsi="Times New Roman" w:cs="Times New Roman"/>
          <w:b/>
          <w:i/>
          <w:sz w:val="28"/>
          <w:szCs w:val="28"/>
        </w:rPr>
      </w:pPr>
    </w:p>
    <w:p w:rsidR="001F529E" w:rsidRDefault="001F529E" w:rsidP="00AD4042">
      <w:pPr>
        <w:tabs>
          <w:tab w:val="left" w:pos="630"/>
          <w:tab w:val="left" w:pos="993"/>
        </w:tabs>
        <w:spacing w:after="0" w:line="276" w:lineRule="auto"/>
        <w:jc w:val="both"/>
        <w:rPr>
          <w:rFonts w:ascii="Times New Roman" w:hAnsi="Times New Roman" w:cs="Times New Roman"/>
          <w:b/>
          <w:i/>
          <w:sz w:val="28"/>
          <w:szCs w:val="28"/>
        </w:rPr>
      </w:pPr>
    </w:p>
    <w:p w:rsidR="001F529E" w:rsidRDefault="001F529E" w:rsidP="00AD4042">
      <w:pPr>
        <w:tabs>
          <w:tab w:val="left" w:pos="630"/>
          <w:tab w:val="left" w:pos="993"/>
        </w:tabs>
        <w:spacing w:after="0" w:line="276" w:lineRule="auto"/>
        <w:jc w:val="both"/>
        <w:rPr>
          <w:rFonts w:ascii="Times New Roman" w:hAnsi="Times New Roman" w:cs="Times New Roman"/>
          <w:b/>
          <w:i/>
          <w:sz w:val="28"/>
          <w:szCs w:val="28"/>
        </w:rPr>
      </w:pPr>
    </w:p>
    <w:p w:rsidR="001F529E" w:rsidRDefault="001F529E" w:rsidP="00AD4042">
      <w:pPr>
        <w:tabs>
          <w:tab w:val="left" w:pos="630"/>
          <w:tab w:val="left" w:pos="993"/>
        </w:tabs>
        <w:spacing w:after="0" w:line="276" w:lineRule="auto"/>
        <w:jc w:val="both"/>
        <w:rPr>
          <w:rFonts w:ascii="Times New Roman" w:hAnsi="Times New Roman" w:cs="Times New Roman"/>
          <w:b/>
          <w:i/>
          <w:sz w:val="28"/>
          <w:szCs w:val="28"/>
        </w:rPr>
      </w:pPr>
    </w:p>
    <w:p w:rsidR="001F529E" w:rsidRDefault="001F529E" w:rsidP="00AD4042">
      <w:pPr>
        <w:tabs>
          <w:tab w:val="left" w:pos="630"/>
          <w:tab w:val="left" w:pos="993"/>
        </w:tabs>
        <w:spacing w:after="0" w:line="276" w:lineRule="auto"/>
        <w:jc w:val="both"/>
        <w:rPr>
          <w:rFonts w:ascii="Times New Roman" w:hAnsi="Times New Roman" w:cs="Times New Roman"/>
          <w:b/>
          <w:i/>
          <w:sz w:val="28"/>
          <w:szCs w:val="28"/>
        </w:rPr>
      </w:pPr>
    </w:p>
    <w:p w:rsidR="001F529E" w:rsidRDefault="001F529E" w:rsidP="00AD4042">
      <w:pPr>
        <w:tabs>
          <w:tab w:val="left" w:pos="630"/>
          <w:tab w:val="left" w:pos="993"/>
        </w:tabs>
        <w:spacing w:after="0" w:line="276" w:lineRule="auto"/>
        <w:jc w:val="both"/>
        <w:rPr>
          <w:rFonts w:ascii="Times New Roman" w:hAnsi="Times New Roman" w:cs="Times New Roman"/>
          <w:b/>
          <w:i/>
          <w:sz w:val="28"/>
          <w:szCs w:val="28"/>
        </w:rPr>
      </w:pPr>
    </w:p>
    <w:p w:rsidR="001F529E" w:rsidRDefault="001F529E" w:rsidP="00AD4042">
      <w:pPr>
        <w:tabs>
          <w:tab w:val="left" w:pos="630"/>
          <w:tab w:val="left" w:pos="993"/>
        </w:tabs>
        <w:spacing w:after="0" w:line="276" w:lineRule="auto"/>
        <w:jc w:val="both"/>
        <w:rPr>
          <w:rFonts w:ascii="Times New Roman" w:hAnsi="Times New Roman" w:cs="Times New Roman"/>
          <w:b/>
          <w:i/>
          <w:sz w:val="28"/>
          <w:szCs w:val="28"/>
        </w:rPr>
      </w:pPr>
    </w:p>
    <w:p w:rsidR="001F529E" w:rsidRDefault="001F529E" w:rsidP="00AD4042">
      <w:pPr>
        <w:tabs>
          <w:tab w:val="left" w:pos="630"/>
          <w:tab w:val="left" w:pos="993"/>
        </w:tabs>
        <w:spacing w:after="0" w:line="276" w:lineRule="auto"/>
        <w:jc w:val="both"/>
        <w:rPr>
          <w:rFonts w:ascii="Times New Roman" w:hAnsi="Times New Roman" w:cs="Times New Roman"/>
          <w:b/>
          <w:i/>
          <w:sz w:val="28"/>
          <w:szCs w:val="28"/>
        </w:rPr>
      </w:pPr>
    </w:p>
    <w:p w:rsidR="00B952AC" w:rsidRDefault="00B952AC" w:rsidP="00AD4042">
      <w:pPr>
        <w:tabs>
          <w:tab w:val="left" w:pos="630"/>
          <w:tab w:val="left" w:pos="993"/>
        </w:tabs>
        <w:spacing w:after="0" w:line="276" w:lineRule="auto"/>
        <w:jc w:val="both"/>
        <w:rPr>
          <w:rFonts w:ascii="Times New Roman" w:hAnsi="Times New Roman" w:cs="Times New Roman"/>
          <w:i/>
          <w:sz w:val="28"/>
          <w:szCs w:val="28"/>
        </w:rPr>
      </w:pPr>
      <w:r w:rsidRPr="0097570A">
        <w:rPr>
          <w:rFonts w:ascii="Times New Roman" w:hAnsi="Times New Roman" w:cs="Times New Roman"/>
          <w:b/>
          <w:i/>
          <w:sz w:val="28"/>
          <w:szCs w:val="28"/>
        </w:rPr>
        <w:t>Obiectivul nr.2:</w:t>
      </w:r>
      <w:r w:rsidRPr="0097570A">
        <w:rPr>
          <w:rFonts w:ascii="Times New Roman" w:hAnsi="Times New Roman" w:cs="Times New Roman"/>
          <w:i/>
          <w:sz w:val="28"/>
          <w:szCs w:val="28"/>
        </w:rPr>
        <w:t xml:space="preserve"> Elaborarea recomandărilor pentru îmbunătățirea managementului și a rezultatelor administrării unor impozite și taxe.</w:t>
      </w:r>
    </w:p>
    <w:p w:rsidR="00F62A04" w:rsidRDefault="00F62A04" w:rsidP="00AD4042">
      <w:pPr>
        <w:tabs>
          <w:tab w:val="left" w:pos="630"/>
          <w:tab w:val="left" w:pos="993"/>
        </w:tabs>
        <w:spacing w:after="0" w:line="276" w:lineRule="auto"/>
        <w:jc w:val="both"/>
        <w:rPr>
          <w:rFonts w:ascii="Times New Roman" w:hAnsi="Times New Roman" w:cs="Times New Roman"/>
          <w:i/>
          <w:sz w:val="28"/>
          <w:szCs w:val="28"/>
        </w:rPr>
      </w:pPr>
    </w:p>
    <w:p w:rsidR="00420AB8" w:rsidRPr="001D0846" w:rsidRDefault="002A63A1" w:rsidP="00AD4042">
      <w:pPr>
        <w:pStyle w:val="Heading1"/>
        <w:spacing w:before="0" w:line="276" w:lineRule="auto"/>
        <w:jc w:val="center"/>
        <w:rPr>
          <w:rFonts w:ascii="Times New Roman" w:hAnsi="Times New Roman" w:cs="Times New Roman"/>
          <w:b/>
          <w:color w:val="auto"/>
        </w:rPr>
      </w:pPr>
      <w:bookmarkStart w:id="21" w:name="_Toc515894896"/>
      <w:r w:rsidRPr="001D0846">
        <w:rPr>
          <w:rFonts w:ascii="Times New Roman" w:hAnsi="Times New Roman" w:cs="Times New Roman"/>
          <w:b/>
          <w:color w:val="auto"/>
        </w:rPr>
        <w:t>I</w:t>
      </w:r>
      <w:r w:rsidR="00871FE1" w:rsidRPr="001D0846">
        <w:rPr>
          <w:rFonts w:ascii="Times New Roman" w:hAnsi="Times New Roman" w:cs="Times New Roman"/>
          <w:b/>
          <w:color w:val="auto"/>
        </w:rPr>
        <w:t>V</w:t>
      </w:r>
      <w:r w:rsidR="00BB3186" w:rsidRPr="001D0846">
        <w:rPr>
          <w:rFonts w:ascii="Times New Roman" w:hAnsi="Times New Roman" w:cs="Times New Roman"/>
          <w:b/>
          <w:color w:val="auto"/>
        </w:rPr>
        <w:t xml:space="preserve">. </w:t>
      </w:r>
      <w:r w:rsidR="00420AB8" w:rsidRPr="001D0846">
        <w:rPr>
          <w:rFonts w:ascii="Times New Roman" w:hAnsi="Times New Roman" w:cs="Times New Roman"/>
          <w:b/>
          <w:color w:val="auto"/>
        </w:rPr>
        <w:t>RECOMANDĂRI</w:t>
      </w:r>
      <w:r w:rsidR="00871FE1" w:rsidRPr="001D0846">
        <w:rPr>
          <w:rFonts w:ascii="Times New Roman" w:hAnsi="Times New Roman" w:cs="Times New Roman"/>
          <w:b/>
          <w:color w:val="auto"/>
        </w:rPr>
        <w:t>LE AUDITULUI</w:t>
      </w:r>
      <w:bookmarkEnd w:id="21"/>
    </w:p>
    <w:p w:rsidR="008411DF" w:rsidRPr="001D0846" w:rsidRDefault="008411DF" w:rsidP="00AD4042">
      <w:pPr>
        <w:spacing w:after="0" w:line="276" w:lineRule="auto"/>
        <w:jc w:val="both"/>
        <w:rPr>
          <w:rFonts w:ascii="Times New Roman" w:eastAsiaTheme="minorEastAsia" w:hAnsi="Times New Roman" w:cs="Times New Roman"/>
          <w:b/>
          <w:sz w:val="28"/>
          <w:szCs w:val="28"/>
        </w:rPr>
      </w:pPr>
      <w:r w:rsidRPr="001D0846">
        <w:rPr>
          <w:rFonts w:ascii="Times New Roman" w:eastAsiaTheme="minorEastAsia" w:hAnsi="Times New Roman" w:cs="Times New Roman"/>
          <w:b/>
          <w:sz w:val="28"/>
          <w:szCs w:val="28"/>
        </w:rPr>
        <w:t>Recomandări conducerii SFS:</w:t>
      </w:r>
    </w:p>
    <w:p w:rsidR="007C5F27" w:rsidRPr="007C5F27" w:rsidRDefault="007C5F27" w:rsidP="007C5F27">
      <w:pPr>
        <w:pStyle w:val="ListParagraph"/>
        <w:numPr>
          <w:ilvl w:val="0"/>
          <w:numId w:val="24"/>
        </w:numPr>
        <w:tabs>
          <w:tab w:val="left" w:pos="540"/>
        </w:tabs>
        <w:spacing w:after="0" w:line="276" w:lineRule="auto"/>
        <w:ind w:left="-90" w:firstLine="270"/>
        <w:jc w:val="both"/>
        <w:rPr>
          <w:rFonts w:ascii="Times New Roman" w:eastAsiaTheme="minorEastAsia" w:hAnsi="Times New Roman" w:cs="Times New Roman"/>
          <w:b/>
          <w:sz w:val="28"/>
          <w:szCs w:val="28"/>
        </w:rPr>
      </w:pPr>
      <w:r w:rsidRPr="007C5F27">
        <w:rPr>
          <w:rFonts w:ascii="Times New Roman" w:hAnsi="Times New Roman" w:cs="Times New Roman"/>
          <w:sz w:val="28"/>
          <w:szCs w:val="28"/>
        </w:rPr>
        <w:t>Să asigure promovarea continuă a conform</w:t>
      </w:r>
      <w:r>
        <w:rPr>
          <w:rFonts w:ascii="Times New Roman" w:hAnsi="Times New Roman" w:cs="Times New Roman"/>
          <w:sz w:val="28"/>
          <w:szCs w:val="28"/>
        </w:rPr>
        <w:t>ării voluntare</w:t>
      </w:r>
      <w:r w:rsidRPr="007C5F27">
        <w:rPr>
          <w:rFonts w:ascii="Times New Roman" w:hAnsi="Times New Roman" w:cs="Times New Roman"/>
          <w:sz w:val="28"/>
          <w:szCs w:val="28"/>
        </w:rPr>
        <w:t xml:space="preserve"> a contribuabililor prin întreprinderea acțiunilor prevăzute în Programul de conformare</w:t>
      </w:r>
      <w:r w:rsidR="00085BD9">
        <w:rPr>
          <w:rFonts w:ascii="Times New Roman" w:hAnsi="Times New Roman" w:cs="Times New Roman"/>
          <w:sz w:val="28"/>
          <w:szCs w:val="28"/>
        </w:rPr>
        <w:t>voluntară</w:t>
      </w:r>
      <w:r w:rsidR="002226AC">
        <w:rPr>
          <w:rFonts w:ascii="Times New Roman" w:hAnsi="Times New Roman" w:cs="Times New Roman"/>
          <w:sz w:val="28"/>
          <w:szCs w:val="28"/>
        </w:rPr>
        <w:t>,</w:t>
      </w:r>
      <w:r>
        <w:rPr>
          <w:rFonts w:ascii="Times New Roman" w:hAnsi="Times New Roman" w:cs="Times New Roman"/>
          <w:sz w:val="28"/>
          <w:szCs w:val="28"/>
        </w:rPr>
        <w:t>cu</w:t>
      </w:r>
      <w:r w:rsidRPr="001D0846">
        <w:rPr>
          <w:rFonts w:ascii="Times New Roman" w:hAnsi="Times New Roman" w:cs="Times New Roman"/>
          <w:sz w:val="28"/>
          <w:szCs w:val="28"/>
        </w:rPr>
        <w:t xml:space="preserve"> </w:t>
      </w:r>
      <w:r w:rsidRPr="001D0846">
        <w:rPr>
          <w:rFonts w:ascii="Times New Roman" w:hAnsi="Times New Roman" w:cs="Times New Roman"/>
          <w:sz w:val="28"/>
          <w:szCs w:val="28"/>
        </w:rPr>
        <w:lastRenderedPageBreak/>
        <w:t>institui</w:t>
      </w:r>
      <w:r w:rsidR="00085BD9">
        <w:rPr>
          <w:rFonts w:ascii="Times New Roman" w:hAnsi="Times New Roman" w:cs="Times New Roman"/>
          <w:sz w:val="28"/>
          <w:szCs w:val="28"/>
        </w:rPr>
        <w:t>rea unei proceduri de evaluare/</w:t>
      </w:r>
      <w:r w:rsidRPr="001D0846">
        <w:rPr>
          <w:rFonts w:ascii="Times New Roman" w:hAnsi="Times New Roman" w:cs="Times New Roman"/>
          <w:sz w:val="28"/>
          <w:szCs w:val="28"/>
        </w:rPr>
        <w:t>raportare per sistem a rezultatelor implementării obiectivelor programului</w:t>
      </w:r>
      <w:r w:rsidR="002733C9">
        <w:rPr>
          <w:rFonts w:ascii="Times New Roman" w:hAnsi="Times New Roman" w:cs="Times New Roman"/>
          <w:sz w:val="28"/>
          <w:szCs w:val="28"/>
        </w:rPr>
        <w:t>.</w:t>
      </w:r>
      <w:r w:rsidRPr="001D0846">
        <w:rPr>
          <w:rFonts w:ascii="Times New Roman" w:hAnsi="Times New Roman" w:cs="Times New Roman"/>
          <w:sz w:val="28"/>
          <w:szCs w:val="28"/>
        </w:rPr>
        <w:t xml:space="preserve"> (</w:t>
      </w:r>
      <w:r w:rsidR="002226AC">
        <w:rPr>
          <w:rFonts w:ascii="Times New Roman" w:hAnsi="Times New Roman" w:cs="Times New Roman"/>
          <w:sz w:val="28"/>
          <w:szCs w:val="28"/>
        </w:rPr>
        <w:t>S</w:t>
      </w:r>
      <w:r w:rsidRPr="001D0846">
        <w:rPr>
          <w:rFonts w:ascii="Times New Roman" w:hAnsi="Times New Roman" w:cs="Times New Roman"/>
          <w:sz w:val="28"/>
          <w:szCs w:val="28"/>
        </w:rPr>
        <w:t>ubcapitolul 3.6.)</w:t>
      </w:r>
    </w:p>
    <w:p w:rsidR="007C5F27" w:rsidRPr="007C5F27" w:rsidRDefault="007C5F27" w:rsidP="007C5F27">
      <w:pPr>
        <w:spacing w:after="0" w:line="276" w:lineRule="auto"/>
        <w:jc w:val="both"/>
        <w:rPr>
          <w:rFonts w:ascii="Times New Roman" w:eastAsiaTheme="minorEastAsia" w:hAnsi="Times New Roman" w:cs="Times New Roman"/>
          <w:b/>
          <w:sz w:val="28"/>
          <w:szCs w:val="28"/>
        </w:rPr>
      </w:pPr>
    </w:p>
    <w:p w:rsidR="008411DF" w:rsidRPr="001D0846" w:rsidRDefault="008411DF" w:rsidP="00AD4042">
      <w:pPr>
        <w:spacing w:after="0" w:line="276" w:lineRule="auto"/>
        <w:jc w:val="both"/>
        <w:rPr>
          <w:rFonts w:ascii="Times New Roman" w:eastAsiaTheme="minorEastAsia" w:hAnsi="Times New Roman" w:cs="Times New Roman"/>
          <w:b/>
          <w:sz w:val="28"/>
          <w:szCs w:val="28"/>
        </w:rPr>
      </w:pPr>
      <w:r w:rsidRPr="001D0846">
        <w:rPr>
          <w:rFonts w:ascii="Times New Roman" w:eastAsiaTheme="minorEastAsia" w:hAnsi="Times New Roman" w:cs="Times New Roman"/>
          <w:b/>
          <w:sz w:val="28"/>
          <w:szCs w:val="28"/>
        </w:rPr>
        <w:t>Recomandări conducerii SV:</w:t>
      </w:r>
    </w:p>
    <w:p w:rsidR="006C5636" w:rsidRDefault="006C5636" w:rsidP="006C5636">
      <w:pPr>
        <w:tabs>
          <w:tab w:val="left" w:pos="540"/>
          <w:tab w:val="left" w:pos="630"/>
          <w:tab w:val="left" w:pos="851"/>
        </w:tabs>
        <w:spacing w:after="0" w:line="276" w:lineRule="auto"/>
        <w:ind w:firstLine="720"/>
        <w:jc w:val="both"/>
        <w:rPr>
          <w:rFonts w:ascii="Times New Roman" w:eastAsia="Times New Roman" w:hAnsi="Times New Roman" w:cs="Times New Roman"/>
          <w:sz w:val="28"/>
          <w:szCs w:val="28"/>
          <w:lang w:eastAsia="ru-RU"/>
        </w:rPr>
      </w:pPr>
      <w:r w:rsidRPr="006C5636">
        <w:rPr>
          <w:rFonts w:ascii="Times New Roman" w:hAnsi="Times New Roman" w:cs="Times New Roman"/>
          <w:b/>
          <w:sz w:val="28"/>
          <w:szCs w:val="28"/>
        </w:rPr>
        <w:t>1.</w:t>
      </w:r>
      <w:r w:rsidR="002B3FB3" w:rsidRPr="006C5636">
        <w:rPr>
          <w:rFonts w:ascii="Times New Roman" w:hAnsi="Times New Roman" w:cs="Times New Roman"/>
          <w:sz w:val="28"/>
          <w:szCs w:val="28"/>
        </w:rPr>
        <w:t xml:space="preserve">Să asigure </w:t>
      </w:r>
      <w:r w:rsidRPr="006C5636">
        <w:rPr>
          <w:rFonts w:ascii="Times New Roman" w:eastAsia="Times New Roman" w:hAnsi="Times New Roman" w:cs="Times New Roman"/>
          <w:sz w:val="28"/>
          <w:szCs w:val="28"/>
          <w:lang w:eastAsia="ru-RU"/>
        </w:rPr>
        <w:t xml:space="preserve">implementarea modulului informațional, pentru calcularea deplină a penalităților aferente obligațiilor vamale, în vederea înregistrării, evidenței și raportării veridice a situației privind restanțele plătitorilor vamali la bugetul de stat. </w:t>
      </w:r>
      <w:r w:rsidR="004A20CA">
        <w:rPr>
          <w:rFonts w:ascii="Times New Roman" w:hAnsi="Times New Roman" w:cs="Times New Roman"/>
          <w:sz w:val="28"/>
          <w:szCs w:val="28"/>
        </w:rPr>
        <w:t>(</w:t>
      </w:r>
      <w:r w:rsidR="002226AC">
        <w:rPr>
          <w:rFonts w:ascii="Times New Roman" w:hAnsi="Times New Roman" w:cs="Times New Roman"/>
          <w:sz w:val="28"/>
          <w:szCs w:val="28"/>
        </w:rPr>
        <w:t>S</w:t>
      </w:r>
      <w:r w:rsidR="004A20CA">
        <w:rPr>
          <w:rFonts w:ascii="Times New Roman" w:hAnsi="Times New Roman" w:cs="Times New Roman"/>
          <w:sz w:val="28"/>
          <w:szCs w:val="28"/>
        </w:rPr>
        <w:t>ubcapitolul 3.5</w:t>
      </w:r>
      <w:r w:rsidR="002B3FB3" w:rsidRPr="006C5636">
        <w:rPr>
          <w:rFonts w:ascii="Times New Roman" w:hAnsi="Times New Roman" w:cs="Times New Roman"/>
          <w:sz w:val="28"/>
          <w:szCs w:val="28"/>
        </w:rPr>
        <w:t>.)</w:t>
      </w:r>
    </w:p>
    <w:p w:rsidR="002B3FB3" w:rsidRPr="006C5636" w:rsidRDefault="006C5636" w:rsidP="006C5636">
      <w:pPr>
        <w:tabs>
          <w:tab w:val="left" w:pos="540"/>
          <w:tab w:val="left" w:pos="630"/>
          <w:tab w:val="left" w:pos="851"/>
        </w:tabs>
        <w:spacing w:after="0" w:line="276" w:lineRule="auto"/>
        <w:ind w:firstLine="720"/>
        <w:jc w:val="both"/>
        <w:rPr>
          <w:rFonts w:ascii="Times New Roman" w:eastAsia="Times New Roman" w:hAnsi="Times New Roman" w:cs="Times New Roman"/>
          <w:sz w:val="28"/>
          <w:szCs w:val="28"/>
          <w:lang w:eastAsia="ru-RU"/>
        </w:rPr>
      </w:pPr>
      <w:r w:rsidRPr="006C5636">
        <w:rPr>
          <w:rFonts w:ascii="Times New Roman" w:hAnsi="Times New Roman" w:cs="Times New Roman"/>
          <w:b/>
          <w:sz w:val="28"/>
          <w:szCs w:val="28"/>
        </w:rPr>
        <w:t>2.</w:t>
      </w:r>
      <w:r w:rsidR="00240B0C" w:rsidRPr="006C5636">
        <w:rPr>
          <w:rFonts w:ascii="Times New Roman" w:hAnsi="Times New Roman" w:cs="Times New Roman"/>
          <w:sz w:val="28"/>
          <w:szCs w:val="28"/>
        </w:rPr>
        <w:t xml:space="preserve">Să asigure elaborarea unui program de conformare voluntară, cu definirea obiectivelor și indicatorilor de performanță, evaluarea domeniilor de activitate cu risc sporit de neconformare și realizarea măsurilor necesare în vederea </w:t>
      </w:r>
      <w:r w:rsidRPr="006C5636">
        <w:rPr>
          <w:rFonts w:ascii="Times New Roman" w:hAnsi="Times New Roman" w:cs="Times New Roman"/>
          <w:sz w:val="28"/>
          <w:szCs w:val="28"/>
        </w:rPr>
        <w:t>implementării</w:t>
      </w:r>
      <w:r w:rsidR="00DA414B" w:rsidRPr="006C5636">
        <w:rPr>
          <w:rFonts w:ascii="Times New Roman" w:hAnsi="Times New Roman" w:cs="Times New Roman"/>
          <w:sz w:val="28"/>
          <w:szCs w:val="28"/>
        </w:rPr>
        <w:t>programului.</w:t>
      </w:r>
      <w:r w:rsidRPr="006C5636">
        <w:rPr>
          <w:rFonts w:ascii="Times New Roman" w:hAnsi="Times New Roman" w:cs="Times New Roman"/>
          <w:sz w:val="28"/>
          <w:szCs w:val="28"/>
        </w:rPr>
        <w:t xml:space="preserve"> (</w:t>
      </w:r>
      <w:r w:rsidR="002226AC">
        <w:rPr>
          <w:rFonts w:ascii="Times New Roman" w:hAnsi="Times New Roman" w:cs="Times New Roman"/>
          <w:sz w:val="28"/>
          <w:szCs w:val="28"/>
        </w:rPr>
        <w:t>S</w:t>
      </w:r>
      <w:r w:rsidRPr="006C5636">
        <w:rPr>
          <w:rFonts w:ascii="Times New Roman" w:hAnsi="Times New Roman" w:cs="Times New Roman"/>
          <w:sz w:val="28"/>
          <w:szCs w:val="28"/>
        </w:rPr>
        <w:t>ubcapitolul 3.6</w:t>
      </w:r>
      <w:r w:rsidR="00240B0C" w:rsidRPr="006C5636">
        <w:rPr>
          <w:rFonts w:ascii="Times New Roman" w:hAnsi="Times New Roman" w:cs="Times New Roman"/>
          <w:sz w:val="28"/>
          <w:szCs w:val="28"/>
        </w:rPr>
        <w:t>.)</w:t>
      </w:r>
    </w:p>
    <w:p w:rsidR="00240B0C" w:rsidRPr="001D0846" w:rsidRDefault="00240B0C" w:rsidP="00AD4042">
      <w:pPr>
        <w:spacing w:after="0" w:line="276" w:lineRule="auto"/>
        <w:jc w:val="both"/>
        <w:rPr>
          <w:rFonts w:ascii="Times New Roman" w:eastAsiaTheme="minorEastAsia" w:hAnsi="Times New Roman" w:cs="Times New Roman"/>
          <w:b/>
          <w:sz w:val="28"/>
          <w:szCs w:val="28"/>
        </w:rPr>
      </w:pPr>
    </w:p>
    <w:p w:rsidR="002B3FB3" w:rsidRPr="001D0846" w:rsidRDefault="00240B0C" w:rsidP="00AD4042">
      <w:pPr>
        <w:spacing w:after="0" w:line="276" w:lineRule="auto"/>
        <w:jc w:val="both"/>
        <w:rPr>
          <w:rFonts w:ascii="Times New Roman" w:eastAsiaTheme="minorEastAsia" w:hAnsi="Times New Roman" w:cs="Times New Roman"/>
          <w:b/>
          <w:sz w:val="28"/>
          <w:szCs w:val="28"/>
        </w:rPr>
      </w:pPr>
      <w:r w:rsidRPr="001D0846">
        <w:rPr>
          <w:rFonts w:ascii="Times New Roman" w:eastAsiaTheme="minorEastAsia" w:hAnsi="Times New Roman" w:cs="Times New Roman"/>
          <w:b/>
          <w:sz w:val="28"/>
          <w:szCs w:val="28"/>
        </w:rPr>
        <w:t>Recomandări conducerii SFS și conducerii SV:</w:t>
      </w:r>
    </w:p>
    <w:p w:rsidR="00235C5C" w:rsidRDefault="00240B0C" w:rsidP="00235C5C">
      <w:pPr>
        <w:spacing w:after="0" w:line="276" w:lineRule="auto"/>
        <w:ind w:firstLine="709"/>
        <w:jc w:val="both"/>
        <w:rPr>
          <w:rFonts w:ascii="Times New Roman" w:eastAsiaTheme="minorEastAsia" w:hAnsi="Times New Roman" w:cs="Times New Roman"/>
          <w:sz w:val="28"/>
          <w:szCs w:val="28"/>
        </w:rPr>
      </w:pPr>
      <w:r w:rsidRPr="001D0846">
        <w:rPr>
          <w:rFonts w:ascii="Times New Roman" w:eastAsiaTheme="minorEastAsia" w:hAnsi="Times New Roman" w:cs="Times New Roman"/>
          <w:b/>
          <w:sz w:val="28"/>
          <w:szCs w:val="28"/>
        </w:rPr>
        <w:t>1.</w:t>
      </w:r>
      <w:r w:rsidR="00085BD9" w:rsidRPr="00085BD9">
        <w:rPr>
          <w:rFonts w:ascii="Times New Roman" w:hAnsi="Times New Roman" w:cs="Times New Roman"/>
          <w:sz w:val="28"/>
          <w:szCs w:val="28"/>
        </w:rPr>
        <w:t>Să asigure continuitatea acțiunilor în realizarea performanțelor instituționale, asigurând corelarea indicatorilor de performanță în activitatea de administrare a impozitelor și taxelor</w:t>
      </w:r>
      <w:r w:rsidR="00085BD9">
        <w:rPr>
          <w:rFonts w:ascii="Times New Roman" w:hAnsi="Times New Roman" w:cs="Times New Roman"/>
          <w:sz w:val="28"/>
          <w:szCs w:val="28"/>
        </w:rPr>
        <w:t>.</w:t>
      </w:r>
      <w:r w:rsidR="00085BD9" w:rsidRPr="00085BD9">
        <w:rPr>
          <w:rFonts w:ascii="Times New Roman" w:hAnsi="Times New Roman" w:cs="Times New Roman"/>
          <w:sz w:val="28"/>
          <w:szCs w:val="28"/>
        </w:rPr>
        <w:t xml:space="preserve"> (</w:t>
      </w:r>
      <w:r w:rsidR="002226AC">
        <w:rPr>
          <w:rFonts w:ascii="Times New Roman" w:hAnsi="Times New Roman" w:cs="Times New Roman"/>
          <w:sz w:val="28"/>
          <w:szCs w:val="28"/>
        </w:rPr>
        <w:t>S</w:t>
      </w:r>
      <w:r w:rsidR="00085BD9" w:rsidRPr="00085BD9">
        <w:rPr>
          <w:rFonts w:ascii="Times New Roman" w:hAnsi="Times New Roman" w:cs="Times New Roman"/>
          <w:sz w:val="28"/>
          <w:szCs w:val="28"/>
        </w:rPr>
        <w:t>ubcapitolul 3.1.)</w:t>
      </w:r>
    </w:p>
    <w:p w:rsidR="00235C5C" w:rsidRPr="00085BD9" w:rsidRDefault="002733C9" w:rsidP="00235C5C">
      <w:pPr>
        <w:tabs>
          <w:tab w:val="left" w:pos="990"/>
          <w:tab w:val="left" w:pos="1440"/>
        </w:tabs>
        <w:spacing w:after="0" w:line="276"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b/>
          <w:sz w:val="28"/>
          <w:szCs w:val="28"/>
        </w:rPr>
        <w:t>2</w:t>
      </w:r>
      <w:r w:rsidR="00235C5C" w:rsidRPr="00235C5C">
        <w:rPr>
          <w:rFonts w:ascii="Times New Roman" w:eastAsiaTheme="minorEastAsia" w:hAnsi="Times New Roman" w:cs="Times New Roman"/>
          <w:b/>
          <w:sz w:val="28"/>
          <w:szCs w:val="28"/>
        </w:rPr>
        <w:t>.</w:t>
      </w:r>
      <w:r w:rsidR="00235C5C" w:rsidRPr="00235C5C">
        <w:rPr>
          <w:rFonts w:ascii="Times New Roman" w:hAnsi="Times New Roman" w:cs="Times New Roman"/>
          <w:sz w:val="28"/>
          <w:szCs w:val="28"/>
        </w:rPr>
        <w:t xml:space="preserve">Să asigure realizarea sarcinii de colectare a veniturilor la BPN, prin executarea indicilor bugetari pe tipuri de venituri </w:t>
      </w:r>
      <w:r w:rsidR="006C5636" w:rsidRPr="00235C5C">
        <w:rPr>
          <w:rFonts w:ascii="Times New Roman" w:hAnsi="Times New Roman" w:cs="Times New Roman"/>
          <w:sz w:val="28"/>
          <w:szCs w:val="28"/>
        </w:rPr>
        <w:t>administrate</w:t>
      </w:r>
      <w:r w:rsidR="002226AC">
        <w:rPr>
          <w:rFonts w:ascii="Times New Roman" w:hAnsi="Times New Roman" w:cs="Times New Roman"/>
          <w:sz w:val="28"/>
          <w:szCs w:val="28"/>
        </w:rPr>
        <w:t>,</w:t>
      </w:r>
      <w:r w:rsidR="00235C5C" w:rsidRPr="00235C5C">
        <w:rPr>
          <w:rFonts w:ascii="Times New Roman" w:hAnsi="Times New Roman" w:cs="Times New Roman"/>
          <w:sz w:val="28"/>
          <w:szCs w:val="28"/>
        </w:rPr>
        <w:t xml:space="preserve"> cu întreprinderea măsurilor de rigoare în vederea sporirii nivelului de conformare voluntară a contribuabililor</w:t>
      </w:r>
      <w:r w:rsidR="00235C5C">
        <w:rPr>
          <w:rFonts w:ascii="Times New Roman" w:hAnsi="Times New Roman" w:cs="Times New Roman"/>
          <w:sz w:val="28"/>
          <w:szCs w:val="28"/>
        </w:rPr>
        <w:t xml:space="preserve">. </w:t>
      </w:r>
      <w:r w:rsidR="00235C5C" w:rsidRPr="00085BD9">
        <w:rPr>
          <w:rFonts w:ascii="Times New Roman" w:hAnsi="Times New Roman" w:cs="Times New Roman"/>
          <w:sz w:val="28"/>
          <w:szCs w:val="28"/>
        </w:rPr>
        <w:t>(</w:t>
      </w:r>
      <w:r w:rsidR="002226AC">
        <w:rPr>
          <w:rFonts w:ascii="Times New Roman" w:hAnsi="Times New Roman" w:cs="Times New Roman"/>
          <w:sz w:val="28"/>
          <w:szCs w:val="28"/>
        </w:rPr>
        <w:t>S</w:t>
      </w:r>
      <w:r w:rsidR="00235C5C" w:rsidRPr="00085BD9">
        <w:rPr>
          <w:rFonts w:ascii="Times New Roman" w:hAnsi="Times New Roman" w:cs="Times New Roman"/>
          <w:sz w:val="28"/>
          <w:szCs w:val="28"/>
        </w:rPr>
        <w:t>ubcapitolul 3</w:t>
      </w:r>
      <w:r w:rsidR="00235C5C">
        <w:rPr>
          <w:rFonts w:ascii="Times New Roman" w:hAnsi="Times New Roman" w:cs="Times New Roman"/>
          <w:sz w:val="28"/>
          <w:szCs w:val="28"/>
        </w:rPr>
        <w:t>.3</w:t>
      </w:r>
      <w:r w:rsidR="00235C5C" w:rsidRPr="00085BD9">
        <w:rPr>
          <w:rFonts w:ascii="Times New Roman" w:hAnsi="Times New Roman" w:cs="Times New Roman"/>
          <w:sz w:val="28"/>
          <w:szCs w:val="28"/>
        </w:rPr>
        <w:t>.)</w:t>
      </w:r>
    </w:p>
    <w:p w:rsidR="00235C5C" w:rsidRDefault="002733C9" w:rsidP="00235C5C">
      <w:pPr>
        <w:tabs>
          <w:tab w:val="left" w:pos="0"/>
          <w:tab w:val="left" w:pos="851"/>
        </w:tabs>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3</w:t>
      </w:r>
      <w:r w:rsidR="00235C5C" w:rsidRPr="00235C5C">
        <w:rPr>
          <w:rFonts w:ascii="Times New Roman" w:hAnsi="Times New Roman" w:cs="Times New Roman"/>
          <w:b/>
          <w:sz w:val="28"/>
          <w:szCs w:val="28"/>
        </w:rPr>
        <w:t>.</w:t>
      </w:r>
      <w:r w:rsidR="00235C5C" w:rsidRPr="00085BD9">
        <w:rPr>
          <w:rFonts w:ascii="Times New Roman" w:hAnsi="Times New Roman" w:cs="Times New Roman"/>
          <w:sz w:val="28"/>
          <w:szCs w:val="28"/>
        </w:rPr>
        <w:t>Să asigure continuitatea procesului de monitorizare</w:t>
      </w:r>
      <w:r w:rsidR="002226AC">
        <w:rPr>
          <w:rFonts w:ascii="Times New Roman" w:hAnsi="Times New Roman" w:cs="Times New Roman"/>
          <w:sz w:val="28"/>
          <w:szCs w:val="28"/>
        </w:rPr>
        <w:t>,</w:t>
      </w:r>
      <w:r w:rsidR="00235C5C" w:rsidRPr="00085BD9">
        <w:rPr>
          <w:rFonts w:ascii="Times New Roman" w:hAnsi="Times New Roman" w:cs="Times New Roman"/>
          <w:sz w:val="28"/>
          <w:szCs w:val="28"/>
        </w:rPr>
        <w:t xml:space="preserve"> prin intensificarea acțiunilor întreprinse de către subdiviziunile cu atribuții de executare silită</w:t>
      </w:r>
      <w:r w:rsidR="002226AC">
        <w:rPr>
          <w:rFonts w:ascii="Times New Roman" w:hAnsi="Times New Roman" w:cs="Times New Roman"/>
          <w:sz w:val="28"/>
          <w:szCs w:val="28"/>
        </w:rPr>
        <w:t>,</w:t>
      </w:r>
      <w:r w:rsidR="00235C5C" w:rsidRPr="00085BD9">
        <w:rPr>
          <w:rFonts w:ascii="Times New Roman" w:hAnsi="Times New Roman" w:cs="Times New Roman"/>
          <w:sz w:val="28"/>
          <w:szCs w:val="28"/>
        </w:rPr>
        <w:t xml:space="preserve"> în vederea diminuării restanțelor la BPN. </w:t>
      </w:r>
      <w:r w:rsidR="00235C5C" w:rsidRPr="001D0846">
        <w:rPr>
          <w:rFonts w:ascii="Times New Roman" w:hAnsi="Times New Roman" w:cs="Times New Roman"/>
          <w:sz w:val="28"/>
          <w:szCs w:val="28"/>
        </w:rPr>
        <w:t>(</w:t>
      </w:r>
      <w:r w:rsidR="002226AC">
        <w:rPr>
          <w:rFonts w:ascii="Times New Roman" w:hAnsi="Times New Roman" w:cs="Times New Roman"/>
          <w:sz w:val="28"/>
          <w:szCs w:val="28"/>
        </w:rPr>
        <w:t>S</w:t>
      </w:r>
      <w:r w:rsidR="00235C5C" w:rsidRPr="001D0846">
        <w:rPr>
          <w:rFonts w:ascii="Times New Roman" w:hAnsi="Times New Roman" w:cs="Times New Roman"/>
          <w:sz w:val="28"/>
          <w:szCs w:val="28"/>
        </w:rPr>
        <w:t>ubcapitolul 3</w:t>
      </w:r>
      <w:r w:rsidR="00235C5C">
        <w:rPr>
          <w:rFonts w:ascii="Times New Roman" w:hAnsi="Times New Roman" w:cs="Times New Roman"/>
          <w:sz w:val="28"/>
          <w:szCs w:val="28"/>
        </w:rPr>
        <w:t>.5</w:t>
      </w:r>
      <w:r w:rsidR="00235C5C" w:rsidRPr="001D0846">
        <w:rPr>
          <w:rFonts w:ascii="Times New Roman" w:hAnsi="Times New Roman" w:cs="Times New Roman"/>
          <w:sz w:val="28"/>
          <w:szCs w:val="28"/>
        </w:rPr>
        <w:t>.)</w:t>
      </w:r>
    </w:p>
    <w:p w:rsidR="00235C5C" w:rsidRDefault="002733C9" w:rsidP="00235C5C">
      <w:pPr>
        <w:tabs>
          <w:tab w:val="left" w:pos="0"/>
          <w:tab w:val="left" w:pos="851"/>
        </w:tabs>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4</w:t>
      </w:r>
      <w:r w:rsidR="00235C5C" w:rsidRPr="00235C5C">
        <w:rPr>
          <w:rFonts w:ascii="Times New Roman" w:hAnsi="Times New Roman" w:cs="Times New Roman"/>
          <w:b/>
          <w:sz w:val="28"/>
          <w:szCs w:val="28"/>
        </w:rPr>
        <w:t>.</w:t>
      </w:r>
      <w:r w:rsidR="00235C5C" w:rsidRPr="000A59C4">
        <w:rPr>
          <w:rFonts w:ascii="Times New Roman" w:hAnsi="Times New Roman" w:cs="Times New Roman"/>
          <w:sz w:val="28"/>
          <w:szCs w:val="28"/>
        </w:rPr>
        <w:t>Să asigure aplicarea promptă și eficientă a modalităților de executare silită a obligației fiscale</w:t>
      </w:r>
      <w:r w:rsidR="002226AC" w:rsidRPr="000A59C4">
        <w:rPr>
          <w:rFonts w:ascii="Times New Roman" w:hAnsi="Times New Roman" w:cs="Times New Roman"/>
          <w:sz w:val="28"/>
          <w:szCs w:val="28"/>
        </w:rPr>
        <w:t>,</w:t>
      </w:r>
      <w:r w:rsidR="00235C5C" w:rsidRPr="000A59C4">
        <w:rPr>
          <w:rFonts w:ascii="Times New Roman" w:hAnsi="Times New Roman" w:cs="Times New Roman"/>
          <w:sz w:val="28"/>
          <w:szCs w:val="28"/>
        </w:rPr>
        <w:t xml:space="preserve"> în</w:t>
      </w:r>
      <w:r w:rsidR="00235C5C" w:rsidRPr="00235C5C">
        <w:rPr>
          <w:rFonts w:ascii="Times New Roman" w:hAnsi="Times New Roman" w:cs="Times New Roman"/>
          <w:sz w:val="28"/>
          <w:szCs w:val="28"/>
        </w:rPr>
        <w:t xml:space="preserve"> vederea recuperării restanțelor la BPN. </w:t>
      </w:r>
      <w:r w:rsidR="00235C5C" w:rsidRPr="001D0846">
        <w:rPr>
          <w:rFonts w:ascii="Times New Roman" w:hAnsi="Times New Roman" w:cs="Times New Roman"/>
          <w:sz w:val="28"/>
          <w:szCs w:val="28"/>
        </w:rPr>
        <w:t>(</w:t>
      </w:r>
      <w:r w:rsidR="002226AC">
        <w:rPr>
          <w:rFonts w:ascii="Times New Roman" w:hAnsi="Times New Roman" w:cs="Times New Roman"/>
          <w:sz w:val="28"/>
          <w:szCs w:val="28"/>
        </w:rPr>
        <w:t>S</w:t>
      </w:r>
      <w:r w:rsidR="00235C5C" w:rsidRPr="001D0846">
        <w:rPr>
          <w:rFonts w:ascii="Times New Roman" w:hAnsi="Times New Roman" w:cs="Times New Roman"/>
          <w:sz w:val="28"/>
          <w:szCs w:val="28"/>
        </w:rPr>
        <w:t>ubcapitolul 3</w:t>
      </w:r>
      <w:r w:rsidR="00235C5C">
        <w:rPr>
          <w:rFonts w:ascii="Times New Roman" w:hAnsi="Times New Roman" w:cs="Times New Roman"/>
          <w:sz w:val="28"/>
          <w:szCs w:val="28"/>
        </w:rPr>
        <w:t>.5</w:t>
      </w:r>
      <w:r w:rsidR="00235C5C" w:rsidRPr="001D0846">
        <w:rPr>
          <w:rFonts w:ascii="Times New Roman" w:hAnsi="Times New Roman" w:cs="Times New Roman"/>
          <w:sz w:val="28"/>
          <w:szCs w:val="28"/>
        </w:rPr>
        <w:t>.)</w:t>
      </w:r>
    </w:p>
    <w:p w:rsidR="00235C5C" w:rsidRPr="00235C5C" w:rsidRDefault="002733C9" w:rsidP="00235C5C">
      <w:pPr>
        <w:tabs>
          <w:tab w:val="left" w:pos="0"/>
          <w:tab w:val="left" w:pos="851"/>
        </w:tabs>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5</w:t>
      </w:r>
      <w:r w:rsidR="00235C5C" w:rsidRPr="00235C5C">
        <w:rPr>
          <w:rFonts w:ascii="Times New Roman" w:hAnsi="Times New Roman" w:cs="Times New Roman"/>
          <w:b/>
          <w:sz w:val="28"/>
          <w:szCs w:val="28"/>
        </w:rPr>
        <w:t>.</w:t>
      </w:r>
      <w:r w:rsidR="00235C5C" w:rsidRPr="00235C5C">
        <w:rPr>
          <w:rFonts w:ascii="Times New Roman" w:hAnsi="Times New Roman" w:cs="Times New Roman"/>
          <w:sz w:val="28"/>
          <w:szCs w:val="28"/>
        </w:rPr>
        <w:t xml:space="preserve">Să asigure continuitatea procesului de monitorizare a activității subdiviziunilor cu atribuții de control, în vederea realizării performanțelor stabilite în activitatea de administrare </w:t>
      </w:r>
      <w:r w:rsidR="006C5636">
        <w:rPr>
          <w:rFonts w:ascii="Times New Roman" w:hAnsi="Times New Roman" w:cs="Times New Roman"/>
          <w:sz w:val="28"/>
          <w:szCs w:val="28"/>
        </w:rPr>
        <w:t>fiscală și vamală</w:t>
      </w:r>
      <w:r w:rsidR="00235C5C" w:rsidRPr="00235C5C">
        <w:rPr>
          <w:rFonts w:ascii="Times New Roman" w:hAnsi="Times New Roman" w:cs="Times New Roman"/>
          <w:sz w:val="28"/>
          <w:szCs w:val="28"/>
        </w:rPr>
        <w:t>.</w:t>
      </w:r>
      <w:r w:rsidR="006C5636" w:rsidRPr="001D0846">
        <w:rPr>
          <w:rFonts w:ascii="Times New Roman" w:hAnsi="Times New Roman" w:cs="Times New Roman"/>
          <w:sz w:val="28"/>
          <w:szCs w:val="28"/>
        </w:rPr>
        <w:t>(</w:t>
      </w:r>
      <w:r w:rsidR="002226AC">
        <w:rPr>
          <w:rFonts w:ascii="Times New Roman" w:hAnsi="Times New Roman" w:cs="Times New Roman"/>
          <w:sz w:val="28"/>
          <w:szCs w:val="28"/>
        </w:rPr>
        <w:t>S</w:t>
      </w:r>
      <w:r w:rsidR="006C5636" w:rsidRPr="001D0846">
        <w:rPr>
          <w:rFonts w:ascii="Times New Roman" w:hAnsi="Times New Roman" w:cs="Times New Roman"/>
          <w:sz w:val="28"/>
          <w:szCs w:val="28"/>
        </w:rPr>
        <w:t>ubcapitolul 3</w:t>
      </w:r>
      <w:r w:rsidR="006C5636">
        <w:rPr>
          <w:rFonts w:ascii="Times New Roman" w:hAnsi="Times New Roman" w:cs="Times New Roman"/>
          <w:sz w:val="28"/>
          <w:szCs w:val="28"/>
        </w:rPr>
        <w:t>.7</w:t>
      </w:r>
      <w:r w:rsidR="006C5636" w:rsidRPr="001D0846">
        <w:rPr>
          <w:rFonts w:ascii="Times New Roman" w:hAnsi="Times New Roman" w:cs="Times New Roman"/>
          <w:sz w:val="28"/>
          <w:szCs w:val="28"/>
        </w:rPr>
        <w:t>.)</w:t>
      </w:r>
    </w:p>
    <w:p w:rsidR="002733C9" w:rsidRDefault="002733C9" w:rsidP="002733C9">
      <w:pPr>
        <w:spacing w:after="0" w:line="276" w:lineRule="auto"/>
        <w:ind w:firstLine="709"/>
        <w:jc w:val="both"/>
        <w:rPr>
          <w:rFonts w:ascii="Times New Roman" w:hAnsi="Times New Roman" w:cs="Times New Roman"/>
          <w:sz w:val="28"/>
          <w:szCs w:val="28"/>
        </w:rPr>
      </w:pPr>
      <w:r w:rsidRPr="002733C9">
        <w:rPr>
          <w:rFonts w:ascii="Times New Roman" w:hAnsi="Times New Roman" w:cs="Times New Roman"/>
          <w:b/>
          <w:sz w:val="28"/>
          <w:szCs w:val="28"/>
        </w:rPr>
        <w:t>6.</w:t>
      </w:r>
      <w:r w:rsidRPr="007C5F27">
        <w:rPr>
          <w:rFonts w:ascii="Times New Roman" w:hAnsi="Times New Roman" w:cs="Times New Roman"/>
          <w:sz w:val="28"/>
          <w:szCs w:val="28"/>
        </w:rPr>
        <w:t xml:space="preserve">Să asigure evaluarea per ansamblu a sistemului </w:t>
      </w:r>
      <w:r w:rsidR="002226AC">
        <w:rPr>
          <w:rFonts w:ascii="Times New Roman" w:hAnsi="Times New Roman" w:cs="Times New Roman"/>
          <w:sz w:val="28"/>
          <w:szCs w:val="28"/>
        </w:rPr>
        <w:t xml:space="preserve">de management financiar și control, </w:t>
      </w:r>
      <w:r w:rsidRPr="007C5F27">
        <w:rPr>
          <w:rFonts w:ascii="Times New Roman" w:hAnsi="Times New Roman" w:cs="Times New Roman"/>
          <w:sz w:val="28"/>
          <w:szCs w:val="28"/>
        </w:rPr>
        <w:t>prin intermediul funcției de audit intern, în vederea identi</w:t>
      </w:r>
      <w:r>
        <w:rPr>
          <w:rFonts w:ascii="Times New Roman" w:hAnsi="Times New Roman" w:cs="Times New Roman"/>
          <w:sz w:val="28"/>
          <w:szCs w:val="28"/>
        </w:rPr>
        <w:t>ficării vulnerabilităților generat</w:t>
      </w:r>
      <w:r w:rsidRPr="007C5F27">
        <w:rPr>
          <w:rFonts w:ascii="Times New Roman" w:hAnsi="Times New Roman" w:cs="Times New Roman"/>
          <w:sz w:val="28"/>
          <w:szCs w:val="28"/>
        </w:rPr>
        <w:t>e de</w:t>
      </w:r>
      <w:r>
        <w:rPr>
          <w:rFonts w:ascii="Times New Roman" w:hAnsi="Times New Roman" w:cs="Times New Roman"/>
          <w:sz w:val="28"/>
          <w:szCs w:val="28"/>
        </w:rPr>
        <w:t xml:space="preserve"> procesul de </w:t>
      </w:r>
      <w:r w:rsidRPr="007C5F27">
        <w:rPr>
          <w:rFonts w:ascii="Times New Roman" w:hAnsi="Times New Roman" w:cs="Times New Roman"/>
          <w:sz w:val="28"/>
          <w:szCs w:val="28"/>
        </w:rPr>
        <w:t>reorganizare</w:t>
      </w:r>
      <w:r>
        <w:rPr>
          <w:rFonts w:ascii="Times New Roman" w:hAnsi="Times New Roman" w:cs="Times New Roman"/>
          <w:sz w:val="28"/>
          <w:szCs w:val="28"/>
        </w:rPr>
        <w:t xml:space="preserve"> instituțională.</w:t>
      </w:r>
      <w:r w:rsidRPr="007C5F27">
        <w:rPr>
          <w:rFonts w:ascii="Times New Roman" w:hAnsi="Times New Roman" w:cs="Times New Roman"/>
          <w:sz w:val="28"/>
          <w:szCs w:val="28"/>
        </w:rPr>
        <w:t>(</w:t>
      </w:r>
      <w:r w:rsidR="002226AC">
        <w:rPr>
          <w:rFonts w:ascii="Times New Roman" w:hAnsi="Times New Roman" w:cs="Times New Roman"/>
          <w:sz w:val="28"/>
          <w:szCs w:val="28"/>
        </w:rPr>
        <w:t>S</w:t>
      </w:r>
      <w:r w:rsidRPr="007C5F27">
        <w:rPr>
          <w:rFonts w:ascii="Times New Roman" w:hAnsi="Times New Roman" w:cs="Times New Roman"/>
          <w:sz w:val="28"/>
          <w:szCs w:val="28"/>
        </w:rPr>
        <w:t>ubcapitolul 3.9.)</w:t>
      </w:r>
    </w:p>
    <w:p w:rsidR="00B0163D" w:rsidRDefault="00B0163D" w:rsidP="002733C9">
      <w:pPr>
        <w:spacing w:after="0" w:line="276" w:lineRule="auto"/>
        <w:ind w:firstLine="709"/>
        <w:jc w:val="both"/>
        <w:rPr>
          <w:rFonts w:ascii="Times New Roman" w:hAnsi="Times New Roman" w:cs="Times New Roman"/>
          <w:sz w:val="28"/>
          <w:szCs w:val="28"/>
        </w:rPr>
      </w:pPr>
    </w:p>
    <w:p w:rsidR="00B0163D" w:rsidRDefault="00B0163D" w:rsidP="002733C9">
      <w:pPr>
        <w:spacing w:after="0" w:line="276" w:lineRule="auto"/>
        <w:ind w:firstLine="709"/>
        <w:jc w:val="both"/>
        <w:rPr>
          <w:rFonts w:ascii="Times New Roman" w:eastAsiaTheme="minorEastAsia" w:hAnsi="Times New Roman" w:cs="Times New Roman"/>
          <w:sz w:val="28"/>
          <w:szCs w:val="28"/>
        </w:rPr>
      </w:pPr>
    </w:p>
    <w:p w:rsidR="002A63A1" w:rsidRPr="001D0846" w:rsidRDefault="0097570A" w:rsidP="002A63A1">
      <w:pPr>
        <w:pStyle w:val="Heading1"/>
        <w:spacing w:line="276" w:lineRule="auto"/>
        <w:jc w:val="center"/>
        <w:rPr>
          <w:rFonts w:ascii="Times New Roman" w:hAnsi="Times New Roman" w:cs="Times New Roman"/>
        </w:rPr>
      </w:pPr>
      <w:bookmarkStart w:id="22" w:name="_Toc515894897"/>
      <w:r>
        <w:rPr>
          <w:rFonts w:ascii="Times New Roman" w:hAnsi="Times New Roman" w:cs="Times New Roman"/>
          <w:b/>
          <w:color w:val="auto"/>
        </w:rPr>
        <w:lastRenderedPageBreak/>
        <w:t>V. CONCLUZIA</w:t>
      </w:r>
      <w:r w:rsidR="002A63A1" w:rsidRPr="001D0846">
        <w:rPr>
          <w:rFonts w:ascii="Times New Roman" w:hAnsi="Times New Roman" w:cs="Times New Roman"/>
          <w:b/>
          <w:color w:val="auto"/>
        </w:rPr>
        <w:t xml:space="preserve"> GENERALĂ</w:t>
      </w:r>
      <w:bookmarkEnd w:id="22"/>
    </w:p>
    <w:p w:rsidR="002A63A1" w:rsidRPr="001D0846" w:rsidRDefault="00AA2FE2" w:rsidP="002A63A1">
      <w:pPr>
        <w:shd w:val="clear" w:color="auto" w:fill="FFFFFF"/>
        <w:spacing w:after="0" w:line="276" w:lineRule="auto"/>
        <w:ind w:firstLine="720"/>
        <w:jc w:val="both"/>
        <w:rPr>
          <w:rFonts w:ascii="Times New Roman" w:hAnsi="Times New Roman" w:cs="Times New Roman"/>
          <w:b/>
          <w:i/>
          <w:sz w:val="28"/>
          <w:szCs w:val="28"/>
        </w:rPr>
      </w:pPr>
      <w:r w:rsidRPr="001D0846">
        <w:rPr>
          <w:rFonts w:ascii="Times New Roman" w:eastAsia="Times New Roman" w:hAnsi="Times New Roman" w:cs="Times New Roman"/>
          <w:snapToGrid w:val="0"/>
          <w:sz w:val="28"/>
          <w:szCs w:val="28"/>
          <w:lang w:eastAsia="ru-RU"/>
        </w:rPr>
        <w:t>A</w:t>
      </w:r>
      <w:r w:rsidR="002A63A1" w:rsidRPr="001D0846">
        <w:rPr>
          <w:rFonts w:ascii="Times New Roman" w:eastAsia="Times New Roman" w:hAnsi="Times New Roman" w:cs="Times New Roman"/>
          <w:snapToGrid w:val="0"/>
          <w:sz w:val="28"/>
          <w:szCs w:val="28"/>
          <w:lang w:eastAsia="ru-RU"/>
        </w:rPr>
        <w:t xml:space="preserve">ctivitățile desfășurate de auditul public extern, care au fost </w:t>
      </w:r>
      <w:r w:rsidR="002A63A1" w:rsidRPr="001D0846">
        <w:rPr>
          <w:rFonts w:ascii="Times New Roman" w:hAnsi="Times New Roman" w:cs="Times New Roman"/>
          <w:sz w:val="28"/>
          <w:szCs w:val="28"/>
        </w:rPr>
        <w:t>orientate spre evaluarea managementului</w:t>
      </w:r>
      <w:r w:rsidR="002226AC">
        <w:rPr>
          <w:rFonts w:ascii="Times New Roman" w:hAnsi="Times New Roman" w:cs="Times New Roman"/>
          <w:sz w:val="28"/>
          <w:szCs w:val="28"/>
        </w:rPr>
        <w:t>,</w:t>
      </w:r>
      <w:r w:rsidR="002A63A1" w:rsidRPr="001D0846">
        <w:rPr>
          <w:rFonts w:ascii="Times New Roman" w:hAnsi="Times New Roman" w:cs="Times New Roman"/>
          <w:sz w:val="28"/>
          <w:szCs w:val="28"/>
        </w:rPr>
        <w:t xml:space="preserve"> precum și a rezultatelor activității de administrare a impozitelor și taxelor, pentru a </w:t>
      </w:r>
      <w:r w:rsidRPr="001D0846">
        <w:rPr>
          <w:rFonts w:ascii="Times New Roman" w:hAnsi="Times New Roman" w:cs="Times New Roman"/>
          <w:sz w:val="28"/>
          <w:szCs w:val="28"/>
        </w:rPr>
        <w:t>stabili</w:t>
      </w:r>
      <w:r w:rsidR="002A63A1" w:rsidRPr="001D0846">
        <w:rPr>
          <w:rFonts w:ascii="Times New Roman" w:hAnsi="Times New Roman" w:cs="Times New Roman"/>
          <w:sz w:val="28"/>
          <w:szCs w:val="28"/>
        </w:rPr>
        <w:t xml:space="preserve"> măsura în care entitățile auditate au atins performanțele instituționale</w:t>
      </w:r>
      <w:r w:rsidR="003313E0">
        <w:rPr>
          <w:rFonts w:ascii="Times New Roman" w:hAnsi="Times New Roman" w:cs="Times New Roman"/>
          <w:sz w:val="28"/>
          <w:szCs w:val="28"/>
        </w:rPr>
        <w:t>,</w:t>
      </w:r>
      <w:r w:rsidR="002A63A1" w:rsidRPr="001D0846">
        <w:rPr>
          <w:rFonts w:ascii="Times New Roman" w:hAnsi="Times New Roman" w:cs="Times New Roman"/>
          <w:sz w:val="28"/>
          <w:szCs w:val="28"/>
        </w:rPr>
        <w:t xml:space="preserve"> cu respectarea principiilor eficienței, eficacității și economiciății</w:t>
      </w:r>
      <w:r w:rsidR="003313E0">
        <w:rPr>
          <w:rFonts w:ascii="Times New Roman" w:hAnsi="Times New Roman" w:cs="Times New Roman"/>
          <w:sz w:val="28"/>
          <w:szCs w:val="28"/>
        </w:rPr>
        <w:t>,</w:t>
      </w:r>
      <w:r w:rsidR="002A63A1" w:rsidRPr="001D0846">
        <w:rPr>
          <w:rFonts w:ascii="Times New Roman" w:eastAsia="Times New Roman" w:hAnsi="Times New Roman" w:cs="Times New Roman"/>
          <w:snapToGrid w:val="0"/>
          <w:sz w:val="28"/>
          <w:szCs w:val="28"/>
          <w:lang w:eastAsia="ru-RU"/>
        </w:rPr>
        <w:t xml:space="preserve"> relevă că</w:t>
      </w:r>
      <w:r w:rsidR="002A63A1" w:rsidRPr="001D0846">
        <w:rPr>
          <w:rFonts w:ascii="Times New Roman" w:hAnsi="Times New Roman" w:cs="Times New Roman"/>
          <w:sz w:val="28"/>
          <w:szCs w:val="28"/>
        </w:rPr>
        <w:t xml:space="preserve"> funcționalitatea și rezultativitatea operațională aferent</w:t>
      </w:r>
      <w:r w:rsidR="003313E0">
        <w:rPr>
          <w:rFonts w:ascii="Times New Roman" w:hAnsi="Times New Roman" w:cs="Times New Roman"/>
          <w:sz w:val="28"/>
          <w:szCs w:val="28"/>
        </w:rPr>
        <w:t xml:space="preserve">e </w:t>
      </w:r>
      <w:r w:rsidR="002A63A1" w:rsidRPr="001D0846">
        <w:rPr>
          <w:rFonts w:ascii="Times New Roman" w:hAnsi="Times New Roman" w:cs="Times New Roman"/>
          <w:sz w:val="28"/>
          <w:szCs w:val="28"/>
        </w:rPr>
        <w:t xml:space="preserve"> administrării impozitelor și taxelor</w:t>
      </w:r>
      <w:r w:rsidR="002A63A1" w:rsidRPr="001D0846">
        <w:rPr>
          <w:rFonts w:ascii="Times New Roman" w:eastAsia="Times New Roman" w:hAnsi="Times New Roman" w:cs="Times New Roman"/>
          <w:snapToGrid w:val="0"/>
          <w:sz w:val="28"/>
          <w:szCs w:val="28"/>
          <w:lang w:eastAsia="ru-RU"/>
        </w:rPr>
        <w:t xml:space="preserve"> a</w:t>
      </w:r>
      <w:r w:rsidR="003313E0">
        <w:rPr>
          <w:rFonts w:ascii="Times New Roman" w:eastAsia="Times New Roman" w:hAnsi="Times New Roman" w:cs="Times New Roman"/>
          <w:snapToGrid w:val="0"/>
          <w:sz w:val="28"/>
          <w:szCs w:val="28"/>
          <w:lang w:eastAsia="ru-RU"/>
        </w:rPr>
        <w:t>u</w:t>
      </w:r>
      <w:r w:rsidR="002A63A1" w:rsidRPr="001D0846">
        <w:rPr>
          <w:rFonts w:ascii="Times New Roman" w:eastAsia="Times New Roman" w:hAnsi="Times New Roman" w:cs="Times New Roman"/>
          <w:snapToGrid w:val="0"/>
          <w:sz w:val="28"/>
          <w:szCs w:val="28"/>
          <w:lang w:eastAsia="ru-RU"/>
        </w:rPr>
        <w:t xml:space="preserve"> fost influențat</w:t>
      </w:r>
      <w:r w:rsidR="003313E0">
        <w:rPr>
          <w:rFonts w:ascii="Times New Roman" w:eastAsia="Times New Roman" w:hAnsi="Times New Roman" w:cs="Times New Roman"/>
          <w:snapToGrid w:val="0"/>
          <w:sz w:val="28"/>
          <w:szCs w:val="28"/>
          <w:lang w:eastAsia="ru-RU"/>
        </w:rPr>
        <w:t>e</w:t>
      </w:r>
      <w:r w:rsidR="002A63A1" w:rsidRPr="001D0846">
        <w:rPr>
          <w:rFonts w:ascii="Times New Roman" w:eastAsia="Times New Roman" w:hAnsi="Times New Roman" w:cs="Times New Roman"/>
          <w:snapToGrid w:val="0"/>
          <w:sz w:val="28"/>
          <w:szCs w:val="28"/>
          <w:lang w:eastAsia="ru-RU"/>
        </w:rPr>
        <w:t xml:space="preserve"> de nivelul de organizare și implementare a </w:t>
      </w:r>
      <w:r w:rsidR="002A63A1" w:rsidRPr="001D0846">
        <w:rPr>
          <w:rFonts w:ascii="Times New Roman" w:eastAsia="Times New Roman" w:hAnsi="Times New Roman" w:cs="Times New Roman"/>
          <w:snapToGrid w:val="0"/>
          <w:color w:val="000000"/>
          <w:sz w:val="28"/>
          <w:szCs w:val="28"/>
          <w:lang w:eastAsia="ru-RU"/>
        </w:rPr>
        <w:t xml:space="preserve">sistemului de control intern al </w:t>
      </w:r>
      <w:r w:rsidR="002A63A1" w:rsidRPr="001D0846">
        <w:rPr>
          <w:rFonts w:ascii="Times New Roman" w:eastAsia="Times New Roman" w:hAnsi="Times New Roman" w:cs="Times New Roman"/>
          <w:snapToGrid w:val="0"/>
          <w:sz w:val="28"/>
          <w:szCs w:val="28"/>
          <w:lang w:eastAsia="ru-RU"/>
        </w:rPr>
        <w:t>organelor cu atribuții de administrare fiscală și vamală, care a determinat eficiența măsurilor administrative orientate spre realizarea rezultatelor în raport cu resursele bugetare alocate.</w:t>
      </w:r>
    </w:p>
    <w:p w:rsidR="002A63A1" w:rsidRPr="001D0846" w:rsidRDefault="002A63A1" w:rsidP="002A63A1">
      <w:pPr>
        <w:spacing w:after="0" w:line="276" w:lineRule="auto"/>
        <w:ind w:firstLine="720"/>
        <w:jc w:val="both"/>
        <w:rPr>
          <w:rFonts w:ascii="Times New Roman" w:eastAsia="Times New Roman" w:hAnsi="Times New Roman" w:cs="Times New Roman"/>
          <w:bCs/>
          <w:sz w:val="28"/>
          <w:szCs w:val="28"/>
        </w:rPr>
      </w:pPr>
      <w:r w:rsidRPr="001D0846">
        <w:rPr>
          <w:rFonts w:ascii="Times New Roman" w:hAnsi="Times New Roman" w:cs="Times New Roman"/>
          <w:sz w:val="28"/>
          <w:szCs w:val="28"/>
        </w:rPr>
        <w:t>Reieșind din constatările auditului</w:t>
      </w:r>
      <w:r w:rsidR="00AA2FE2" w:rsidRPr="001D0846">
        <w:rPr>
          <w:rFonts w:ascii="Times New Roman" w:hAnsi="Times New Roman" w:cs="Times New Roman"/>
          <w:sz w:val="28"/>
          <w:szCs w:val="28"/>
        </w:rPr>
        <w:t>pubic extern</w:t>
      </w:r>
      <w:r w:rsidRPr="001D0846">
        <w:rPr>
          <w:rFonts w:ascii="Times New Roman" w:hAnsi="Times New Roman" w:cs="Times New Roman"/>
          <w:sz w:val="28"/>
          <w:szCs w:val="28"/>
        </w:rPr>
        <w:t>, se conchide că managementul instituțional al organelor fiscale și vamale a asigurat</w:t>
      </w:r>
      <w:r w:rsidR="003313E0">
        <w:rPr>
          <w:rFonts w:ascii="Times New Roman" w:hAnsi="Times New Roman" w:cs="Times New Roman"/>
          <w:sz w:val="28"/>
          <w:szCs w:val="28"/>
        </w:rPr>
        <w:t>,</w:t>
      </w:r>
      <w:r w:rsidRPr="001D0846">
        <w:rPr>
          <w:rFonts w:ascii="Times New Roman" w:hAnsi="Times New Roman" w:cs="Times New Roman"/>
          <w:sz w:val="28"/>
          <w:szCs w:val="28"/>
        </w:rPr>
        <w:t xml:space="preserve"> în mare parte</w:t>
      </w:r>
      <w:r w:rsidR="003313E0">
        <w:rPr>
          <w:rFonts w:ascii="Times New Roman" w:hAnsi="Times New Roman" w:cs="Times New Roman"/>
          <w:sz w:val="28"/>
          <w:szCs w:val="28"/>
        </w:rPr>
        <w:t>,</w:t>
      </w:r>
      <w:r w:rsidRPr="001D0846">
        <w:rPr>
          <w:rFonts w:ascii="Times New Roman" w:eastAsia="Times New Roman" w:hAnsi="Times New Roman" w:cs="Times New Roman"/>
          <w:sz w:val="28"/>
          <w:szCs w:val="28"/>
          <w:lang w:eastAsia="ru-RU"/>
        </w:rPr>
        <w:t xml:space="preserve">realizarea </w:t>
      </w:r>
      <w:r w:rsidRPr="001D0846">
        <w:rPr>
          <w:rFonts w:ascii="Times New Roman" w:hAnsi="Times New Roman" w:cs="Times New Roman"/>
          <w:sz w:val="28"/>
          <w:szCs w:val="28"/>
        </w:rPr>
        <w:t>obiectivelor și atingerea unor performanțe în administrarea impozitelor și taxelor în condiții de eficiență, eficacitate și economicitate.</w:t>
      </w:r>
      <w:r w:rsidRPr="001D0846">
        <w:rPr>
          <w:rFonts w:ascii="Times New Roman" w:eastAsia="Times New Roman" w:hAnsi="Times New Roman" w:cs="Times New Roman"/>
          <w:snapToGrid w:val="0"/>
          <w:sz w:val="28"/>
          <w:szCs w:val="28"/>
          <w:lang w:eastAsia="ru-RU"/>
        </w:rPr>
        <w:t>Totodată, organizarea</w:t>
      </w:r>
      <w:r w:rsidR="003313E0">
        <w:rPr>
          <w:rFonts w:ascii="Times New Roman" w:eastAsia="Times New Roman" w:hAnsi="Times New Roman" w:cs="Times New Roman"/>
          <w:snapToGrid w:val="0"/>
          <w:sz w:val="28"/>
          <w:szCs w:val="28"/>
          <w:lang w:eastAsia="ru-RU"/>
        </w:rPr>
        <w:t>, dar</w:t>
      </w:r>
      <w:r w:rsidRPr="001D0846">
        <w:rPr>
          <w:rFonts w:ascii="Times New Roman" w:eastAsia="Times New Roman" w:hAnsi="Times New Roman" w:cs="Times New Roman"/>
          <w:snapToGrid w:val="0"/>
          <w:sz w:val="28"/>
          <w:szCs w:val="28"/>
          <w:lang w:eastAsia="ru-RU"/>
        </w:rPr>
        <w:t xml:space="preserve"> și implementarea insuficientă a</w:t>
      </w:r>
      <w:r w:rsidRPr="001D0846">
        <w:rPr>
          <w:rFonts w:ascii="Times New Roman" w:eastAsia="Times New Roman" w:hAnsi="Times New Roman" w:cs="Times New Roman"/>
          <w:bCs/>
          <w:sz w:val="28"/>
          <w:szCs w:val="28"/>
        </w:rPr>
        <w:t xml:space="preserve"> sistemului de control intern a</w:t>
      </w:r>
      <w:r w:rsidR="003313E0">
        <w:rPr>
          <w:rFonts w:ascii="Times New Roman" w:eastAsia="Times New Roman" w:hAnsi="Times New Roman" w:cs="Times New Roman"/>
          <w:bCs/>
          <w:sz w:val="28"/>
          <w:szCs w:val="28"/>
        </w:rPr>
        <w:t>u</w:t>
      </w:r>
      <w:r w:rsidRPr="001D0846">
        <w:rPr>
          <w:rFonts w:ascii="Times New Roman" w:eastAsia="Times New Roman" w:hAnsi="Times New Roman" w:cs="Times New Roman"/>
          <w:bCs/>
          <w:sz w:val="28"/>
          <w:szCs w:val="28"/>
        </w:rPr>
        <w:t xml:space="preserve"> determinat </w:t>
      </w:r>
      <w:r w:rsidRPr="001D0846">
        <w:rPr>
          <w:rFonts w:ascii="Times New Roman" w:hAnsi="Times New Roman" w:cs="Times New Roman"/>
          <w:sz w:val="28"/>
          <w:szCs w:val="28"/>
        </w:rPr>
        <w:t>vulnerabilități și situații problematice</w:t>
      </w:r>
      <w:r w:rsidRPr="001D0846">
        <w:rPr>
          <w:rFonts w:ascii="Times New Roman" w:eastAsia="Times New Roman" w:hAnsi="Times New Roman" w:cs="Times New Roman"/>
          <w:bCs/>
          <w:sz w:val="28"/>
          <w:szCs w:val="28"/>
        </w:rPr>
        <w:t xml:space="preserve"> în sistemul de administrare fiscală și vamală, influențând direct atingerea unor rezultate planificate, contribuind la extinderea posibilităţilor de eschivare de la plata impozitelor și taxelor și </w:t>
      </w:r>
      <w:r w:rsidR="003313E0">
        <w:rPr>
          <w:rFonts w:ascii="Times New Roman" w:eastAsia="Times New Roman" w:hAnsi="Times New Roman" w:cs="Times New Roman"/>
          <w:bCs/>
          <w:sz w:val="28"/>
          <w:szCs w:val="28"/>
        </w:rPr>
        <w:t xml:space="preserve">la </w:t>
      </w:r>
      <w:r w:rsidRPr="001D0846">
        <w:rPr>
          <w:rFonts w:ascii="Times New Roman" w:eastAsia="Times New Roman" w:hAnsi="Times New Roman" w:cs="Times New Roman"/>
          <w:bCs/>
          <w:sz w:val="28"/>
          <w:szCs w:val="28"/>
        </w:rPr>
        <w:t xml:space="preserve">formarea restanțelor la BPN. Aceste situații reduc semnificativ </w:t>
      </w:r>
      <w:r w:rsidRPr="001D0846">
        <w:rPr>
          <w:rFonts w:ascii="Times New Roman" w:hAnsi="Times New Roman" w:cs="Times New Roman"/>
          <w:sz w:val="28"/>
          <w:szCs w:val="28"/>
        </w:rPr>
        <w:t>gradul de performanță al administrării fiscale și vamale, având impact direct asupra capacității de funcționare și dezvoltare a statului în scopul</w:t>
      </w:r>
      <w:r w:rsidRPr="001D0846">
        <w:rPr>
          <w:rFonts w:ascii="Times New Roman" w:hAnsi="Times New Roman" w:cs="Times New Roman"/>
          <w:color w:val="000000"/>
          <w:sz w:val="28"/>
          <w:szCs w:val="28"/>
        </w:rPr>
        <w:t xml:space="preserve"> acoperirii necesităților social-economice. </w:t>
      </w:r>
    </w:p>
    <w:p w:rsidR="002A63A1" w:rsidRPr="001D0846" w:rsidRDefault="002A63A1" w:rsidP="002A63A1">
      <w:pPr>
        <w:spacing w:after="0" w:line="276" w:lineRule="auto"/>
        <w:ind w:firstLine="720"/>
        <w:jc w:val="both"/>
        <w:rPr>
          <w:rFonts w:ascii="Times New Roman" w:hAnsi="Times New Roman"/>
          <w:sz w:val="28"/>
          <w:szCs w:val="28"/>
        </w:rPr>
      </w:pPr>
      <w:r w:rsidRPr="001D0846">
        <w:rPr>
          <w:rFonts w:ascii="Times New Roman" w:eastAsia="Times New Roman" w:hAnsi="Times New Roman" w:cs="Times New Roman"/>
          <w:bCs/>
          <w:sz w:val="28"/>
          <w:szCs w:val="28"/>
        </w:rPr>
        <w:t>Cele menționate de audit determină necesitatea adoptării unor măsuri orientate spre sporirea eficienței şieficacităţii sistemului de control intern din cadrul SFS și SV în activitatea de administrare a impozitelor și taxelor</w:t>
      </w:r>
      <w:r w:rsidR="003313E0">
        <w:rPr>
          <w:rFonts w:ascii="Times New Roman" w:eastAsia="Times New Roman" w:hAnsi="Times New Roman" w:cs="Times New Roman"/>
          <w:bCs/>
          <w:sz w:val="28"/>
          <w:szCs w:val="28"/>
        </w:rPr>
        <w:t>,</w:t>
      </w:r>
      <w:r w:rsidRPr="001D0846">
        <w:rPr>
          <w:rFonts w:ascii="Times New Roman" w:eastAsia="Times New Roman" w:hAnsi="Times New Roman" w:cs="Times New Roman"/>
          <w:bCs/>
          <w:sz w:val="28"/>
          <w:szCs w:val="28"/>
        </w:rPr>
        <w:t xml:space="preserve"> în scopul realizării obiectivelor și performanțelor stabilite, prin îmbunătățirea </w:t>
      </w:r>
      <w:r w:rsidRPr="001D0846">
        <w:rPr>
          <w:rFonts w:ascii="Times New Roman" w:hAnsi="Times New Roman"/>
          <w:sz w:val="28"/>
          <w:szCs w:val="28"/>
        </w:rPr>
        <w:t>politicilor, procedurilor și instrumentelor de administrare fiscală și vamală, remedierea unor deficiențe și situații problematice, în scopul consolidării acestui sistem.</w:t>
      </w:r>
    </w:p>
    <w:p w:rsidR="00853E77" w:rsidRDefault="00853E77" w:rsidP="006358AD">
      <w:pPr>
        <w:pStyle w:val="ListParagraph"/>
        <w:tabs>
          <w:tab w:val="left" w:pos="0"/>
        </w:tabs>
        <w:spacing w:after="0" w:line="276" w:lineRule="auto"/>
        <w:ind w:left="0" w:firstLine="709"/>
        <w:rPr>
          <w:rFonts w:ascii="Times New Roman" w:hAnsi="Times New Roman" w:cs="Times New Roman"/>
          <w:sz w:val="32"/>
          <w:szCs w:val="32"/>
        </w:rPr>
      </w:pPr>
    </w:p>
    <w:p w:rsidR="00B0163D" w:rsidRDefault="00B0163D" w:rsidP="004A20CA">
      <w:pPr>
        <w:pStyle w:val="ListParagraph"/>
        <w:tabs>
          <w:tab w:val="left" w:pos="0"/>
        </w:tabs>
        <w:spacing w:after="0" w:line="276" w:lineRule="auto"/>
        <w:ind w:left="0"/>
        <w:jc w:val="both"/>
        <w:rPr>
          <w:rFonts w:ascii="Times New Roman" w:hAnsi="Times New Roman" w:cs="Times New Roman"/>
          <w:b/>
          <w:sz w:val="32"/>
          <w:szCs w:val="32"/>
        </w:rPr>
      </w:pPr>
    </w:p>
    <w:p w:rsidR="00B0163D" w:rsidRDefault="00B0163D" w:rsidP="004A20CA">
      <w:pPr>
        <w:pStyle w:val="ListParagraph"/>
        <w:tabs>
          <w:tab w:val="left" w:pos="0"/>
        </w:tabs>
        <w:spacing w:after="0" w:line="276" w:lineRule="auto"/>
        <w:ind w:left="0"/>
        <w:jc w:val="both"/>
        <w:rPr>
          <w:rFonts w:ascii="Times New Roman" w:hAnsi="Times New Roman" w:cs="Times New Roman"/>
          <w:b/>
          <w:sz w:val="32"/>
          <w:szCs w:val="32"/>
        </w:rPr>
      </w:pPr>
    </w:p>
    <w:p w:rsidR="00B0163D" w:rsidRDefault="00B0163D" w:rsidP="004A20CA">
      <w:pPr>
        <w:pStyle w:val="ListParagraph"/>
        <w:tabs>
          <w:tab w:val="left" w:pos="0"/>
        </w:tabs>
        <w:spacing w:after="0" w:line="276" w:lineRule="auto"/>
        <w:ind w:left="0"/>
        <w:jc w:val="both"/>
        <w:rPr>
          <w:rFonts w:ascii="Times New Roman" w:hAnsi="Times New Roman" w:cs="Times New Roman"/>
          <w:b/>
          <w:sz w:val="32"/>
          <w:szCs w:val="32"/>
        </w:rPr>
      </w:pPr>
    </w:p>
    <w:p w:rsidR="00B0163D" w:rsidRDefault="00B0163D" w:rsidP="004A20CA">
      <w:pPr>
        <w:pStyle w:val="ListParagraph"/>
        <w:tabs>
          <w:tab w:val="left" w:pos="0"/>
        </w:tabs>
        <w:spacing w:after="0" w:line="276" w:lineRule="auto"/>
        <w:ind w:left="0"/>
        <w:jc w:val="both"/>
        <w:rPr>
          <w:rFonts w:ascii="Times New Roman" w:hAnsi="Times New Roman" w:cs="Times New Roman"/>
          <w:b/>
          <w:sz w:val="32"/>
          <w:szCs w:val="32"/>
        </w:rPr>
      </w:pPr>
    </w:p>
    <w:p w:rsidR="00444DCB" w:rsidRPr="001D0846" w:rsidRDefault="00853E77" w:rsidP="004A20CA">
      <w:pPr>
        <w:pStyle w:val="ListParagraph"/>
        <w:tabs>
          <w:tab w:val="left" w:pos="0"/>
        </w:tabs>
        <w:spacing w:after="0" w:line="276" w:lineRule="auto"/>
        <w:ind w:left="0"/>
        <w:jc w:val="both"/>
        <w:rPr>
          <w:rFonts w:ascii="Times New Roman" w:hAnsi="Times New Roman" w:cs="Times New Roman"/>
          <w:b/>
          <w:sz w:val="32"/>
          <w:szCs w:val="32"/>
        </w:rPr>
      </w:pPr>
      <w:r w:rsidRPr="001D0846">
        <w:rPr>
          <w:rFonts w:ascii="Times New Roman" w:hAnsi="Times New Roman" w:cs="Times New Roman"/>
          <w:b/>
          <w:sz w:val="32"/>
          <w:szCs w:val="32"/>
        </w:rPr>
        <w:t>Semnăturile echipei de audit</w:t>
      </w:r>
    </w:p>
    <w:p w:rsidR="00853E77" w:rsidRPr="001D0846" w:rsidRDefault="00853E77" w:rsidP="006358AD">
      <w:pPr>
        <w:pStyle w:val="ListParagraph"/>
        <w:tabs>
          <w:tab w:val="left" w:pos="0"/>
        </w:tabs>
        <w:spacing w:after="0" w:line="276" w:lineRule="auto"/>
        <w:ind w:left="0" w:firstLine="709"/>
        <w:rPr>
          <w:rFonts w:ascii="Times New Roman" w:hAnsi="Times New Roman" w:cs="Times New Roman"/>
          <w:b/>
          <w:sz w:val="32"/>
          <w:szCs w:val="32"/>
        </w:rPr>
      </w:pPr>
    </w:p>
    <w:p w:rsidR="002A63A1" w:rsidRPr="001D0846" w:rsidRDefault="002A63A1" w:rsidP="002A63A1">
      <w:pPr>
        <w:tabs>
          <w:tab w:val="left" w:pos="450"/>
          <w:tab w:val="left" w:pos="990"/>
        </w:tabs>
        <w:spacing w:after="0" w:line="276" w:lineRule="auto"/>
        <w:ind w:right="9"/>
        <w:contextualSpacing/>
        <w:jc w:val="both"/>
        <w:rPr>
          <w:rFonts w:ascii="Times New Roman" w:eastAsia="Times New Roman" w:hAnsi="Times New Roman" w:cs="Times New Roman"/>
          <w:b/>
          <w:sz w:val="28"/>
          <w:szCs w:val="28"/>
        </w:rPr>
      </w:pPr>
      <w:r w:rsidRPr="001D0846">
        <w:rPr>
          <w:rFonts w:ascii="Times New Roman" w:eastAsia="Times New Roman" w:hAnsi="Times New Roman" w:cs="Times New Roman"/>
          <w:b/>
          <w:sz w:val="28"/>
          <w:szCs w:val="28"/>
        </w:rPr>
        <w:t xml:space="preserve">Responsabil de audit:                                                           </w:t>
      </w:r>
    </w:p>
    <w:p w:rsidR="002A63A1" w:rsidRPr="001D0846" w:rsidRDefault="002A63A1" w:rsidP="002A63A1">
      <w:pPr>
        <w:tabs>
          <w:tab w:val="left" w:pos="450"/>
          <w:tab w:val="left" w:pos="990"/>
        </w:tabs>
        <w:spacing w:after="0" w:line="276" w:lineRule="auto"/>
        <w:ind w:right="9"/>
        <w:contextualSpacing/>
        <w:jc w:val="both"/>
        <w:rPr>
          <w:rFonts w:ascii="Times New Roman" w:eastAsia="Times New Roman" w:hAnsi="Times New Roman" w:cs="Times New Roman"/>
          <w:i/>
          <w:sz w:val="28"/>
          <w:szCs w:val="28"/>
        </w:rPr>
      </w:pPr>
      <w:r w:rsidRPr="001D0846">
        <w:rPr>
          <w:rFonts w:ascii="Times New Roman" w:eastAsia="Times New Roman" w:hAnsi="Times New Roman" w:cs="Times New Roman"/>
          <w:i/>
          <w:sz w:val="28"/>
          <w:szCs w:val="28"/>
        </w:rPr>
        <w:t xml:space="preserve">șeful Direcției generale auditul </w:t>
      </w:r>
    </w:p>
    <w:p w:rsidR="002A63A1" w:rsidRPr="001D0846" w:rsidRDefault="002A63A1" w:rsidP="002A63A1">
      <w:pPr>
        <w:tabs>
          <w:tab w:val="left" w:pos="450"/>
          <w:tab w:val="left" w:pos="990"/>
        </w:tabs>
        <w:spacing w:after="0" w:line="276" w:lineRule="auto"/>
        <w:ind w:right="9"/>
        <w:contextualSpacing/>
        <w:jc w:val="both"/>
        <w:rPr>
          <w:rFonts w:ascii="Times New Roman" w:hAnsi="Times New Roman" w:cs="Times New Roman"/>
          <w:i/>
        </w:rPr>
      </w:pPr>
      <w:r w:rsidRPr="001D0846">
        <w:rPr>
          <w:rFonts w:ascii="Times New Roman" w:eastAsia="Times New Roman" w:hAnsi="Times New Roman" w:cs="Times New Roman"/>
          <w:i/>
          <w:sz w:val="28"/>
          <w:szCs w:val="28"/>
        </w:rPr>
        <w:lastRenderedPageBreak/>
        <w:t xml:space="preserve">finanțelor publice, </w:t>
      </w:r>
      <w:r w:rsidRPr="001D0846">
        <w:rPr>
          <w:rFonts w:ascii="Times New Roman" w:hAnsi="Times New Roman" w:cs="Times New Roman"/>
          <w:bCs/>
          <w:i/>
          <w:iCs/>
          <w:sz w:val="28"/>
          <w:szCs w:val="28"/>
        </w:rPr>
        <w:t>auditor public</w:t>
      </w:r>
      <w:r w:rsidRPr="001D0846">
        <w:rPr>
          <w:rFonts w:ascii="Times New Roman" w:eastAsia="Times New Roman" w:hAnsi="Times New Roman" w:cs="Times New Roman"/>
          <w:i/>
          <w:sz w:val="28"/>
          <w:szCs w:val="28"/>
        </w:rPr>
        <w:t xml:space="preserve">                                                          Natalia Trofim               </w:t>
      </w:r>
    </w:p>
    <w:p w:rsidR="002A63A1" w:rsidRPr="001D0846" w:rsidRDefault="002A63A1" w:rsidP="002A63A1">
      <w:pPr>
        <w:pStyle w:val="ListParagraph"/>
        <w:tabs>
          <w:tab w:val="left" w:pos="284"/>
          <w:tab w:val="left" w:pos="450"/>
          <w:tab w:val="left" w:pos="8730"/>
        </w:tabs>
        <w:spacing w:after="0" w:line="276" w:lineRule="auto"/>
        <w:ind w:left="0" w:right="9"/>
        <w:jc w:val="both"/>
        <w:rPr>
          <w:rFonts w:ascii="Times New Roman" w:hAnsi="Times New Roman" w:cs="Times New Roman"/>
          <w:i/>
          <w:sz w:val="28"/>
          <w:szCs w:val="28"/>
        </w:rPr>
      </w:pPr>
    </w:p>
    <w:p w:rsidR="002A63A1" w:rsidRPr="001D0846" w:rsidRDefault="002A63A1" w:rsidP="002A63A1">
      <w:pPr>
        <w:pStyle w:val="ListParagraph"/>
        <w:tabs>
          <w:tab w:val="left" w:pos="284"/>
          <w:tab w:val="left" w:pos="450"/>
          <w:tab w:val="left" w:pos="8730"/>
        </w:tabs>
        <w:spacing w:after="0" w:line="276" w:lineRule="auto"/>
        <w:ind w:left="0" w:right="9"/>
        <w:jc w:val="both"/>
        <w:rPr>
          <w:rFonts w:ascii="Times New Roman" w:eastAsia="Times New Roman" w:hAnsi="Times New Roman" w:cs="Times New Roman"/>
          <w:b/>
          <w:sz w:val="28"/>
          <w:szCs w:val="28"/>
        </w:rPr>
      </w:pPr>
      <w:r w:rsidRPr="001D0846">
        <w:rPr>
          <w:rFonts w:ascii="Times New Roman" w:hAnsi="Times New Roman" w:cs="Times New Roman"/>
          <w:b/>
          <w:sz w:val="28"/>
          <w:szCs w:val="28"/>
        </w:rPr>
        <w:t>Responsabil de monitorizarea misiunii de audit</w:t>
      </w:r>
      <w:r w:rsidRPr="001D0846">
        <w:rPr>
          <w:rFonts w:ascii="Times New Roman" w:eastAsia="Times New Roman" w:hAnsi="Times New Roman" w:cs="Times New Roman"/>
          <w:b/>
          <w:sz w:val="28"/>
          <w:szCs w:val="28"/>
        </w:rPr>
        <w:t>:</w:t>
      </w:r>
    </w:p>
    <w:p w:rsidR="002A63A1" w:rsidRPr="001D0846" w:rsidRDefault="002A63A1" w:rsidP="002A63A1">
      <w:pPr>
        <w:pStyle w:val="ListParagraph"/>
        <w:tabs>
          <w:tab w:val="left" w:pos="284"/>
          <w:tab w:val="left" w:pos="450"/>
          <w:tab w:val="left" w:pos="8730"/>
        </w:tabs>
        <w:spacing w:after="0" w:line="276" w:lineRule="auto"/>
        <w:ind w:left="0" w:right="9"/>
        <w:jc w:val="both"/>
        <w:rPr>
          <w:rFonts w:ascii="Times New Roman" w:hAnsi="Times New Roman" w:cs="Times New Roman"/>
          <w:bCs/>
          <w:i/>
          <w:iCs/>
          <w:sz w:val="28"/>
          <w:szCs w:val="28"/>
        </w:rPr>
      </w:pPr>
      <w:r w:rsidRPr="001D0846">
        <w:rPr>
          <w:rFonts w:ascii="Times New Roman" w:hAnsi="Times New Roman" w:cs="Times New Roman"/>
          <w:bCs/>
          <w:i/>
          <w:iCs/>
          <w:sz w:val="28"/>
          <w:szCs w:val="28"/>
        </w:rPr>
        <w:t>Șef de direcție în cadrul Direcției generale</w:t>
      </w:r>
    </w:p>
    <w:p w:rsidR="002A63A1" w:rsidRPr="001D0846" w:rsidRDefault="002A63A1" w:rsidP="002A63A1">
      <w:pPr>
        <w:pStyle w:val="ListParagraph"/>
        <w:tabs>
          <w:tab w:val="left" w:pos="284"/>
          <w:tab w:val="left" w:pos="450"/>
          <w:tab w:val="left" w:pos="8730"/>
        </w:tabs>
        <w:spacing w:after="0" w:line="276" w:lineRule="auto"/>
        <w:ind w:left="0" w:right="9"/>
        <w:jc w:val="both"/>
        <w:rPr>
          <w:rFonts w:ascii="Times New Roman" w:hAnsi="Times New Roman" w:cs="Times New Roman"/>
          <w:bCs/>
          <w:i/>
          <w:iCs/>
          <w:sz w:val="28"/>
          <w:szCs w:val="28"/>
        </w:rPr>
      </w:pPr>
      <w:r w:rsidRPr="001D0846">
        <w:rPr>
          <w:rFonts w:ascii="Times New Roman" w:hAnsi="Times New Roman" w:cs="Times New Roman"/>
          <w:bCs/>
          <w:i/>
          <w:iCs/>
          <w:sz w:val="28"/>
          <w:szCs w:val="28"/>
        </w:rPr>
        <w:t>auditul finanțelor publice                                                                            Ion Bulmaga</w:t>
      </w:r>
    </w:p>
    <w:p w:rsidR="002A63A1" w:rsidRPr="001D0846" w:rsidRDefault="002A63A1" w:rsidP="002A63A1">
      <w:pPr>
        <w:pStyle w:val="ListParagraph"/>
        <w:tabs>
          <w:tab w:val="left" w:pos="284"/>
          <w:tab w:val="left" w:pos="450"/>
          <w:tab w:val="left" w:pos="8730"/>
        </w:tabs>
        <w:spacing w:after="0" w:line="276" w:lineRule="auto"/>
        <w:ind w:left="0" w:right="9"/>
        <w:jc w:val="both"/>
        <w:rPr>
          <w:rFonts w:ascii="Times New Roman" w:hAnsi="Times New Roman" w:cs="Times New Roman"/>
          <w:bCs/>
          <w:i/>
          <w:iCs/>
          <w:sz w:val="28"/>
          <w:szCs w:val="28"/>
        </w:rPr>
      </w:pPr>
    </w:p>
    <w:p w:rsidR="002A63A1" w:rsidRPr="001D0846" w:rsidRDefault="002A63A1" w:rsidP="002A63A1">
      <w:pPr>
        <w:pStyle w:val="ListParagraph"/>
        <w:tabs>
          <w:tab w:val="left" w:pos="284"/>
          <w:tab w:val="left" w:pos="450"/>
          <w:tab w:val="left" w:pos="8730"/>
        </w:tabs>
        <w:spacing w:after="0" w:line="276" w:lineRule="auto"/>
        <w:ind w:left="0" w:right="9"/>
        <w:jc w:val="both"/>
        <w:rPr>
          <w:rFonts w:ascii="Times New Roman" w:eastAsia="Times New Roman" w:hAnsi="Times New Roman" w:cs="Times New Roman"/>
          <w:b/>
          <w:sz w:val="28"/>
          <w:szCs w:val="28"/>
        </w:rPr>
      </w:pPr>
      <w:r w:rsidRPr="001D0846">
        <w:rPr>
          <w:rFonts w:ascii="Times New Roman" w:hAnsi="Times New Roman" w:cs="Times New Roman"/>
          <w:b/>
          <w:sz w:val="28"/>
          <w:szCs w:val="28"/>
        </w:rPr>
        <w:t>Șeful e</w:t>
      </w:r>
      <w:r w:rsidRPr="001D0846">
        <w:rPr>
          <w:rFonts w:ascii="Times New Roman" w:eastAsia="Times New Roman" w:hAnsi="Times New Roman" w:cs="Times New Roman"/>
          <w:b/>
          <w:sz w:val="28"/>
          <w:szCs w:val="28"/>
        </w:rPr>
        <w:t>chipei de audit:</w:t>
      </w:r>
    </w:p>
    <w:p w:rsidR="002A63A1" w:rsidRPr="001D0846" w:rsidRDefault="002A63A1" w:rsidP="002A63A1">
      <w:pPr>
        <w:pStyle w:val="ListParagraph"/>
        <w:tabs>
          <w:tab w:val="left" w:pos="284"/>
          <w:tab w:val="left" w:pos="450"/>
          <w:tab w:val="left" w:pos="8730"/>
        </w:tabs>
        <w:spacing w:after="0" w:line="276" w:lineRule="auto"/>
        <w:ind w:left="0" w:right="9"/>
        <w:jc w:val="both"/>
        <w:rPr>
          <w:rFonts w:ascii="Times New Roman" w:hAnsi="Times New Roman" w:cs="Times New Roman"/>
          <w:bCs/>
          <w:i/>
          <w:iCs/>
          <w:sz w:val="28"/>
          <w:szCs w:val="28"/>
        </w:rPr>
      </w:pPr>
      <w:r w:rsidRPr="001D0846">
        <w:rPr>
          <w:rFonts w:ascii="Times New Roman" w:hAnsi="Times New Roman" w:cs="Times New Roman"/>
          <w:bCs/>
          <w:i/>
          <w:iCs/>
          <w:sz w:val="28"/>
          <w:szCs w:val="28"/>
        </w:rPr>
        <w:t>controlor de stat principal în cadrul                                                          Tudor Suhan</w:t>
      </w:r>
    </w:p>
    <w:p w:rsidR="002A63A1" w:rsidRPr="001D0846" w:rsidRDefault="002A63A1" w:rsidP="002A63A1">
      <w:pPr>
        <w:pStyle w:val="ListParagraph"/>
        <w:tabs>
          <w:tab w:val="left" w:pos="284"/>
          <w:tab w:val="left" w:pos="450"/>
          <w:tab w:val="left" w:pos="8730"/>
        </w:tabs>
        <w:spacing w:after="0" w:line="276" w:lineRule="auto"/>
        <w:ind w:left="0" w:right="9"/>
        <w:jc w:val="both"/>
        <w:rPr>
          <w:rFonts w:ascii="Times New Roman" w:hAnsi="Times New Roman" w:cs="Times New Roman"/>
          <w:b/>
          <w:bCs/>
          <w:iCs/>
          <w:sz w:val="28"/>
          <w:szCs w:val="28"/>
        </w:rPr>
      </w:pPr>
      <w:r w:rsidRPr="001D0846">
        <w:rPr>
          <w:rFonts w:ascii="Times New Roman" w:hAnsi="Times New Roman" w:cs="Times New Roman"/>
          <w:bCs/>
          <w:i/>
          <w:iCs/>
          <w:sz w:val="28"/>
          <w:szCs w:val="28"/>
        </w:rPr>
        <w:t>Direcției generale auditul finanțelor publice</w:t>
      </w:r>
      <w:r w:rsidR="00FA4C9F">
        <w:rPr>
          <w:rFonts w:ascii="Times New Roman" w:hAnsi="Times New Roman" w:cs="Times New Roman"/>
          <w:bCs/>
          <w:i/>
          <w:iCs/>
          <w:sz w:val="28"/>
          <w:szCs w:val="28"/>
        </w:rPr>
        <w:t>/auditor public</w:t>
      </w:r>
    </w:p>
    <w:p w:rsidR="002A63A1" w:rsidRPr="001D0846" w:rsidRDefault="002A63A1" w:rsidP="002A63A1">
      <w:pPr>
        <w:pStyle w:val="ListParagraph"/>
        <w:tabs>
          <w:tab w:val="left" w:pos="284"/>
          <w:tab w:val="left" w:pos="450"/>
          <w:tab w:val="left" w:pos="8730"/>
        </w:tabs>
        <w:spacing w:after="0" w:line="276" w:lineRule="auto"/>
        <w:ind w:left="0" w:right="9"/>
        <w:jc w:val="both"/>
        <w:rPr>
          <w:rFonts w:ascii="Times New Roman" w:hAnsi="Times New Roman" w:cs="Times New Roman"/>
          <w:b/>
          <w:bCs/>
          <w:iCs/>
          <w:sz w:val="28"/>
          <w:szCs w:val="28"/>
        </w:rPr>
      </w:pPr>
    </w:p>
    <w:p w:rsidR="002A63A1" w:rsidRPr="001D0846" w:rsidRDefault="002A63A1" w:rsidP="002A63A1">
      <w:pPr>
        <w:pStyle w:val="ListParagraph"/>
        <w:tabs>
          <w:tab w:val="left" w:pos="284"/>
          <w:tab w:val="left" w:pos="450"/>
          <w:tab w:val="left" w:pos="8730"/>
        </w:tabs>
        <w:spacing w:after="0" w:line="276" w:lineRule="auto"/>
        <w:ind w:left="0" w:right="9"/>
        <w:jc w:val="both"/>
        <w:rPr>
          <w:rFonts w:ascii="Times New Roman" w:hAnsi="Times New Roman" w:cs="Times New Roman"/>
          <w:b/>
          <w:bCs/>
          <w:iCs/>
          <w:sz w:val="28"/>
          <w:szCs w:val="28"/>
        </w:rPr>
      </w:pPr>
      <w:r w:rsidRPr="001D0846">
        <w:rPr>
          <w:rFonts w:ascii="Times New Roman" w:hAnsi="Times New Roman" w:cs="Times New Roman"/>
          <w:b/>
          <w:bCs/>
          <w:iCs/>
          <w:sz w:val="28"/>
          <w:szCs w:val="28"/>
        </w:rPr>
        <w:t>Membrii echipei de audit:</w:t>
      </w:r>
    </w:p>
    <w:p w:rsidR="002A63A1" w:rsidRPr="001D0846" w:rsidRDefault="002A63A1" w:rsidP="002A63A1">
      <w:pPr>
        <w:pStyle w:val="ListParagraph"/>
        <w:tabs>
          <w:tab w:val="left" w:pos="284"/>
          <w:tab w:val="left" w:pos="450"/>
          <w:tab w:val="left" w:pos="8730"/>
        </w:tabs>
        <w:spacing w:after="0" w:line="276" w:lineRule="auto"/>
        <w:ind w:left="0" w:right="9"/>
        <w:jc w:val="both"/>
        <w:rPr>
          <w:rFonts w:ascii="Times New Roman" w:hAnsi="Times New Roman" w:cs="Times New Roman"/>
          <w:bCs/>
          <w:i/>
          <w:iCs/>
          <w:sz w:val="28"/>
          <w:szCs w:val="28"/>
        </w:rPr>
      </w:pPr>
      <w:r w:rsidRPr="001D0846">
        <w:rPr>
          <w:rFonts w:ascii="Times New Roman" w:hAnsi="Times New Roman" w:cs="Times New Roman"/>
          <w:bCs/>
          <w:i/>
          <w:iCs/>
          <w:sz w:val="28"/>
          <w:szCs w:val="28"/>
        </w:rPr>
        <w:t>Controlor de stat principal în cadrul                                                         Maia Savva Direcției generale auditul finanțelor publice</w:t>
      </w:r>
    </w:p>
    <w:p w:rsidR="002A63A1" w:rsidRPr="001D0846" w:rsidRDefault="002A63A1" w:rsidP="002A63A1">
      <w:pPr>
        <w:pStyle w:val="ListParagraph"/>
        <w:tabs>
          <w:tab w:val="left" w:pos="284"/>
          <w:tab w:val="left" w:pos="450"/>
          <w:tab w:val="left" w:pos="8730"/>
        </w:tabs>
        <w:spacing w:after="0" w:line="276" w:lineRule="auto"/>
        <w:ind w:left="0" w:right="9"/>
        <w:jc w:val="both"/>
        <w:rPr>
          <w:rFonts w:ascii="Times New Roman" w:hAnsi="Times New Roman" w:cs="Times New Roman"/>
          <w:bCs/>
          <w:i/>
          <w:iCs/>
          <w:sz w:val="28"/>
          <w:szCs w:val="28"/>
        </w:rPr>
      </w:pPr>
    </w:p>
    <w:p w:rsidR="002A63A1" w:rsidRPr="001D0846" w:rsidRDefault="002A63A1" w:rsidP="002A63A1">
      <w:pPr>
        <w:pStyle w:val="ListParagraph"/>
        <w:tabs>
          <w:tab w:val="left" w:pos="284"/>
          <w:tab w:val="left" w:pos="450"/>
          <w:tab w:val="left" w:pos="8730"/>
        </w:tabs>
        <w:spacing w:after="0" w:line="276" w:lineRule="auto"/>
        <w:ind w:left="0" w:right="9"/>
        <w:jc w:val="both"/>
        <w:rPr>
          <w:rFonts w:ascii="Times New Roman" w:hAnsi="Times New Roman" w:cs="Times New Roman"/>
          <w:bCs/>
          <w:i/>
          <w:iCs/>
          <w:sz w:val="28"/>
          <w:szCs w:val="28"/>
        </w:rPr>
      </w:pPr>
      <w:r w:rsidRPr="001D0846">
        <w:rPr>
          <w:rFonts w:ascii="Times New Roman" w:hAnsi="Times New Roman" w:cs="Times New Roman"/>
          <w:bCs/>
          <w:i/>
          <w:iCs/>
          <w:sz w:val="28"/>
          <w:szCs w:val="28"/>
        </w:rPr>
        <w:t>Controlor de stat în cadrul                                                                 Marina Solodchi</w:t>
      </w:r>
    </w:p>
    <w:p w:rsidR="002A63A1" w:rsidRPr="001D0846" w:rsidRDefault="002A63A1" w:rsidP="002A63A1">
      <w:pPr>
        <w:pStyle w:val="ListParagraph"/>
        <w:tabs>
          <w:tab w:val="left" w:pos="284"/>
          <w:tab w:val="left" w:pos="450"/>
          <w:tab w:val="left" w:pos="8730"/>
        </w:tabs>
        <w:spacing w:after="0" w:line="276" w:lineRule="auto"/>
        <w:ind w:left="0" w:right="9"/>
        <w:jc w:val="both"/>
        <w:rPr>
          <w:rFonts w:ascii="Times New Roman" w:hAnsi="Times New Roman" w:cs="Times New Roman"/>
          <w:bCs/>
          <w:i/>
          <w:iCs/>
          <w:sz w:val="28"/>
          <w:szCs w:val="28"/>
        </w:rPr>
      </w:pPr>
      <w:r w:rsidRPr="001D0846">
        <w:rPr>
          <w:rFonts w:ascii="Times New Roman" w:hAnsi="Times New Roman" w:cs="Times New Roman"/>
          <w:bCs/>
          <w:i/>
          <w:iCs/>
          <w:sz w:val="28"/>
          <w:szCs w:val="28"/>
        </w:rPr>
        <w:t>Direcției generale auditul finanțelor publice</w:t>
      </w:r>
    </w:p>
    <w:p w:rsidR="002A63A1" w:rsidRPr="001D0846" w:rsidRDefault="002A63A1" w:rsidP="006358AD">
      <w:pPr>
        <w:pStyle w:val="ListParagraph"/>
        <w:tabs>
          <w:tab w:val="left" w:pos="0"/>
        </w:tabs>
        <w:spacing w:after="0" w:line="276" w:lineRule="auto"/>
        <w:ind w:left="0" w:firstLine="709"/>
        <w:sectPr w:rsidR="002A63A1" w:rsidRPr="001D0846" w:rsidSect="00F830C3">
          <w:footerReference w:type="default" r:id="rId16"/>
          <w:pgSz w:w="11906" w:h="16838" w:code="9"/>
          <w:pgMar w:top="1440" w:right="851" w:bottom="851" w:left="1701" w:header="720" w:footer="720" w:gutter="0"/>
          <w:cols w:space="720"/>
          <w:docGrid w:linePitch="360"/>
        </w:sectPr>
      </w:pPr>
    </w:p>
    <w:p w:rsidR="00714F5D" w:rsidRPr="001D0846" w:rsidRDefault="00714F5D" w:rsidP="00714F5D">
      <w:pPr>
        <w:pStyle w:val="Heading1"/>
        <w:spacing w:line="276" w:lineRule="auto"/>
        <w:jc w:val="center"/>
        <w:rPr>
          <w:rFonts w:ascii="Times New Roman" w:hAnsi="Times New Roman" w:cs="Times New Roman"/>
          <w:b/>
          <w:color w:val="auto"/>
          <w:sz w:val="28"/>
          <w:szCs w:val="28"/>
        </w:rPr>
      </w:pPr>
      <w:bookmarkStart w:id="23" w:name="_Toc515344960"/>
      <w:bookmarkStart w:id="24" w:name="_Toc515894898"/>
      <w:r w:rsidRPr="00E330C1">
        <w:rPr>
          <w:rFonts w:ascii="Times New Roman" w:hAnsi="Times New Roman" w:cs="Times New Roman"/>
          <w:b/>
          <w:color w:val="000000" w:themeColor="text1"/>
        </w:rPr>
        <w:lastRenderedPageBreak/>
        <w:t>VI. ANEXE</w:t>
      </w:r>
      <w:bookmarkStart w:id="25" w:name="_Toc505603965"/>
      <w:bookmarkStart w:id="26" w:name="_Toc467507450"/>
      <w:bookmarkStart w:id="27" w:name="_Toc467845697"/>
      <w:bookmarkStart w:id="28" w:name="_Toc505603968"/>
      <w:bookmarkEnd w:id="23"/>
      <w:bookmarkEnd w:id="24"/>
      <w:bookmarkEnd w:id="25"/>
      <w:bookmarkEnd w:id="26"/>
      <w:bookmarkEnd w:id="27"/>
    </w:p>
    <w:p w:rsidR="00714F5D" w:rsidRPr="00714F5D" w:rsidRDefault="00714F5D" w:rsidP="00714F5D">
      <w:pPr>
        <w:pStyle w:val="Heading1"/>
        <w:spacing w:line="276" w:lineRule="auto"/>
        <w:jc w:val="both"/>
        <w:rPr>
          <w:rFonts w:ascii="Times New Roman" w:hAnsi="Times New Roman" w:cs="Times New Roman"/>
          <w:i/>
          <w:color w:val="000000" w:themeColor="text1"/>
          <w:sz w:val="28"/>
          <w:szCs w:val="28"/>
        </w:rPr>
      </w:pPr>
      <w:bookmarkStart w:id="29" w:name="_Toc515344961"/>
      <w:bookmarkStart w:id="30" w:name="_Toc515894899"/>
      <w:r w:rsidRPr="00714F5D">
        <w:rPr>
          <w:rFonts w:ascii="Times New Roman" w:hAnsi="Times New Roman" w:cs="Times New Roman"/>
          <w:b/>
          <w:i/>
          <w:color w:val="000000" w:themeColor="text1"/>
          <w:sz w:val="28"/>
          <w:szCs w:val="28"/>
        </w:rPr>
        <w:t>A</w:t>
      </w:r>
      <w:bookmarkEnd w:id="28"/>
      <w:r w:rsidRPr="00714F5D">
        <w:rPr>
          <w:rFonts w:ascii="Times New Roman" w:hAnsi="Times New Roman" w:cs="Times New Roman"/>
          <w:b/>
          <w:i/>
          <w:color w:val="000000" w:themeColor="text1"/>
          <w:sz w:val="28"/>
          <w:szCs w:val="28"/>
        </w:rPr>
        <w:t>nexa nr.1</w:t>
      </w:r>
      <w:r>
        <w:rPr>
          <w:rFonts w:ascii="Times New Roman" w:hAnsi="Times New Roman" w:cs="Times New Roman"/>
          <w:b/>
          <w:i/>
          <w:color w:val="000000" w:themeColor="text1"/>
          <w:sz w:val="28"/>
          <w:szCs w:val="28"/>
        </w:rPr>
        <w:t xml:space="preserve">. </w:t>
      </w:r>
      <w:r w:rsidRPr="00714F5D">
        <w:rPr>
          <w:rFonts w:ascii="Times New Roman" w:hAnsi="Times New Roman" w:cs="Times New Roman"/>
          <w:i/>
          <w:color w:val="000000" w:themeColor="text1"/>
          <w:sz w:val="28"/>
          <w:szCs w:val="28"/>
        </w:rPr>
        <w:t>Funcțiile și atribuțiile SFS și SV în domeniul administrării fiscale și vamale.</w:t>
      </w:r>
      <w:bookmarkEnd w:id="29"/>
      <w:bookmarkEnd w:id="30"/>
    </w:p>
    <w:p w:rsidR="00714F5D" w:rsidRPr="001D0846" w:rsidRDefault="00714F5D" w:rsidP="00714F5D">
      <w:pPr>
        <w:widowControl w:val="0"/>
        <w:tabs>
          <w:tab w:val="left" w:pos="720"/>
        </w:tabs>
        <w:autoSpaceDE w:val="0"/>
        <w:autoSpaceDN w:val="0"/>
        <w:adjustRightInd w:val="0"/>
        <w:spacing w:after="0" w:line="276" w:lineRule="auto"/>
        <w:jc w:val="both"/>
        <w:rPr>
          <w:rFonts w:ascii="Times New Roman" w:hAnsi="Times New Roman" w:cs="Times New Roman"/>
          <w:color w:val="000000"/>
          <w:sz w:val="28"/>
          <w:szCs w:val="28"/>
        </w:rPr>
      </w:pPr>
      <w:r w:rsidRPr="001D0846">
        <w:rPr>
          <w:rFonts w:ascii="Times New Roman" w:hAnsi="Times New Roman" w:cs="Times New Roman"/>
          <w:color w:val="000000"/>
          <w:sz w:val="28"/>
          <w:szCs w:val="28"/>
        </w:rPr>
        <w:tab/>
        <w:t xml:space="preserve">Funcțiile de bază ale SFS sunt: </w:t>
      </w:r>
      <w:r w:rsidRPr="001D0846">
        <w:rPr>
          <w:rFonts w:ascii="Times New Roman" w:hAnsi="Times New Roman" w:cs="Times New Roman"/>
          <w:i/>
          <w:color w:val="000000"/>
          <w:sz w:val="28"/>
          <w:szCs w:val="28"/>
        </w:rPr>
        <w:t>(i)</w:t>
      </w:r>
      <w:r w:rsidRPr="001D0846">
        <w:rPr>
          <w:rFonts w:ascii="Times New Roman" w:hAnsi="Times New Roman" w:cs="Times New Roman"/>
          <w:color w:val="000000"/>
          <w:sz w:val="28"/>
          <w:szCs w:val="28"/>
        </w:rPr>
        <w:t xml:space="preserve"> elaborarea strategiilor şi organizarea sistemului de management în domeniul administrării fiscale; </w:t>
      </w:r>
      <w:r w:rsidRPr="001D0846">
        <w:rPr>
          <w:rFonts w:ascii="Times New Roman" w:hAnsi="Times New Roman" w:cs="Times New Roman"/>
          <w:i/>
          <w:color w:val="000000"/>
          <w:sz w:val="28"/>
          <w:szCs w:val="28"/>
        </w:rPr>
        <w:t>(ii)</w:t>
      </w:r>
      <w:r w:rsidRPr="001D0846">
        <w:rPr>
          <w:rFonts w:ascii="Times New Roman" w:hAnsi="Times New Roman" w:cs="Times New Roman"/>
          <w:color w:val="000000"/>
          <w:sz w:val="28"/>
          <w:szCs w:val="28"/>
        </w:rPr>
        <w:t xml:space="preserve"> administrarea, conform legii, a impozitelor, taxelor şi altor venituri la bugetul public naţional date în competenţa sa, inclusiv expunerea poziţiei oficiale a SFS referitoare la aplicarea legislaţiei fiscale; </w:t>
      </w:r>
      <w:r w:rsidRPr="001D0846">
        <w:rPr>
          <w:rFonts w:ascii="Times New Roman" w:hAnsi="Times New Roman" w:cs="Times New Roman"/>
          <w:i/>
          <w:color w:val="000000"/>
          <w:sz w:val="28"/>
          <w:szCs w:val="28"/>
        </w:rPr>
        <w:t>(iii)</w:t>
      </w:r>
      <w:r w:rsidRPr="001D0846">
        <w:rPr>
          <w:rFonts w:ascii="Times New Roman" w:hAnsi="Times New Roman" w:cs="Times New Roman"/>
          <w:color w:val="000000"/>
          <w:sz w:val="28"/>
          <w:szCs w:val="28"/>
        </w:rPr>
        <w:t xml:space="preserve"> acordarea de servicii pentru contribuabili;  </w:t>
      </w:r>
      <w:r w:rsidRPr="001D0846">
        <w:rPr>
          <w:rFonts w:ascii="Times New Roman" w:hAnsi="Times New Roman" w:cs="Times New Roman"/>
          <w:i/>
          <w:color w:val="000000"/>
          <w:sz w:val="28"/>
          <w:szCs w:val="28"/>
        </w:rPr>
        <w:t>(iv)</w:t>
      </w:r>
      <w:r w:rsidRPr="001D0846">
        <w:rPr>
          <w:rFonts w:ascii="Times New Roman" w:hAnsi="Times New Roman" w:cs="Times New Roman"/>
          <w:color w:val="000000"/>
          <w:sz w:val="28"/>
          <w:szCs w:val="28"/>
        </w:rPr>
        <w:t xml:space="preserve"> prevenirea şi combaterea încălcărilor fiscale, inclusiv a evaziunii fiscale; </w:t>
      </w:r>
      <w:r w:rsidRPr="001D0846">
        <w:rPr>
          <w:rFonts w:ascii="Times New Roman" w:hAnsi="Times New Roman" w:cs="Times New Roman"/>
          <w:i/>
          <w:color w:val="000000"/>
          <w:sz w:val="28"/>
          <w:szCs w:val="28"/>
        </w:rPr>
        <w:t>(v)</w:t>
      </w:r>
      <w:r w:rsidRPr="001D0846">
        <w:rPr>
          <w:rFonts w:ascii="Times New Roman" w:hAnsi="Times New Roman" w:cs="Times New Roman"/>
          <w:color w:val="000000"/>
          <w:sz w:val="28"/>
          <w:szCs w:val="28"/>
        </w:rPr>
        <w:t xml:space="preserve"> controlul fiscal; </w:t>
      </w:r>
      <w:r w:rsidRPr="001D0846">
        <w:rPr>
          <w:rFonts w:ascii="Times New Roman" w:hAnsi="Times New Roman" w:cs="Times New Roman"/>
          <w:i/>
          <w:color w:val="000000"/>
          <w:sz w:val="28"/>
          <w:szCs w:val="28"/>
        </w:rPr>
        <w:t>(vi)</w:t>
      </w:r>
      <w:r w:rsidRPr="001D0846">
        <w:rPr>
          <w:rFonts w:ascii="Times New Roman" w:hAnsi="Times New Roman" w:cs="Times New Roman"/>
          <w:color w:val="000000"/>
          <w:sz w:val="28"/>
          <w:szCs w:val="28"/>
        </w:rPr>
        <w:t xml:space="preserve"> constatarea contravenţiilor; </w:t>
      </w:r>
      <w:r w:rsidRPr="001D0846">
        <w:rPr>
          <w:rFonts w:ascii="Times New Roman" w:hAnsi="Times New Roman" w:cs="Times New Roman"/>
          <w:i/>
          <w:color w:val="000000"/>
          <w:sz w:val="28"/>
          <w:szCs w:val="28"/>
        </w:rPr>
        <w:t>(vii)</w:t>
      </w:r>
      <w:r w:rsidRPr="001D0846">
        <w:rPr>
          <w:rFonts w:ascii="Times New Roman" w:hAnsi="Times New Roman" w:cs="Times New Roman"/>
          <w:color w:val="000000"/>
          <w:sz w:val="28"/>
          <w:szCs w:val="28"/>
        </w:rPr>
        <w:t xml:space="preserve"> executarea silită a restanţelorşi a altor plăţi neachitate în termen la bugetul public naţional; </w:t>
      </w:r>
      <w:r w:rsidRPr="001D0846">
        <w:rPr>
          <w:rFonts w:ascii="Times New Roman" w:hAnsi="Times New Roman" w:cs="Times New Roman"/>
          <w:i/>
          <w:color w:val="000000"/>
          <w:sz w:val="28"/>
          <w:szCs w:val="28"/>
        </w:rPr>
        <w:t>(viii)</w:t>
      </w:r>
      <w:r w:rsidRPr="001D0846">
        <w:rPr>
          <w:rFonts w:ascii="Times New Roman" w:hAnsi="Times New Roman" w:cs="Times New Roman"/>
          <w:color w:val="000000"/>
          <w:sz w:val="28"/>
          <w:szCs w:val="28"/>
        </w:rPr>
        <w:t xml:space="preserve"> examinarea contestaţiilor; </w:t>
      </w:r>
      <w:r w:rsidRPr="001D0846">
        <w:rPr>
          <w:rFonts w:ascii="Times New Roman" w:hAnsi="Times New Roman" w:cs="Times New Roman"/>
          <w:i/>
          <w:color w:val="000000"/>
          <w:sz w:val="28"/>
          <w:szCs w:val="28"/>
        </w:rPr>
        <w:t>(ix)</w:t>
      </w:r>
      <w:r w:rsidRPr="001D0846">
        <w:rPr>
          <w:rFonts w:ascii="Times New Roman" w:hAnsi="Times New Roman" w:cs="Times New Roman"/>
          <w:color w:val="000000"/>
          <w:sz w:val="28"/>
          <w:szCs w:val="28"/>
        </w:rPr>
        <w:t xml:space="preserve"> emiterea actelor normative care reglementează aplicarea legislaţiei fiscale în limitele competenţei acordate prin actele legislative; </w:t>
      </w:r>
      <w:r w:rsidRPr="001D0846">
        <w:rPr>
          <w:rFonts w:ascii="Times New Roman" w:hAnsi="Times New Roman" w:cs="Times New Roman"/>
          <w:i/>
          <w:color w:val="000000"/>
          <w:sz w:val="28"/>
          <w:szCs w:val="28"/>
        </w:rPr>
        <w:t>(x)</w:t>
      </w:r>
      <w:r w:rsidRPr="001D0846">
        <w:rPr>
          <w:rFonts w:ascii="Times New Roman" w:hAnsi="Times New Roman" w:cs="Times New Roman"/>
          <w:color w:val="000000"/>
          <w:sz w:val="28"/>
          <w:szCs w:val="28"/>
        </w:rPr>
        <w:t xml:space="preserve"> coordonarea, îndrumarea şi controlul aplicării reglementărilor legale în domeniul de activitate, precum şifuncţionarea subdiviziunilor sale; </w:t>
      </w:r>
      <w:r w:rsidRPr="001D0846">
        <w:rPr>
          <w:rFonts w:ascii="Times New Roman" w:hAnsi="Times New Roman" w:cs="Times New Roman"/>
          <w:i/>
          <w:color w:val="000000"/>
          <w:sz w:val="28"/>
          <w:szCs w:val="28"/>
        </w:rPr>
        <w:t>(xi)</w:t>
      </w:r>
      <w:r w:rsidRPr="001D0846">
        <w:rPr>
          <w:rFonts w:ascii="Times New Roman" w:hAnsi="Times New Roman" w:cs="Times New Roman"/>
          <w:color w:val="000000"/>
          <w:sz w:val="28"/>
          <w:szCs w:val="28"/>
        </w:rPr>
        <w:t xml:space="preserve"> managementul resurselor umane, financiare şi materiale, susţinereaactivităţilor specifice prin intermediul tehnologiei informaţieişicomunicaţiilor, reprezentarea juridică, auditul intern, precum şi comunicarea internă şi externă; </w:t>
      </w:r>
      <w:r w:rsidRPr="001D0846">
        <w:rPr>
          <w:rFonts w:ascii="Times New Roman" w:hAnsi="Times New Roman" w:cs="Times New Roman"/>
          <w:i/>
          <w:color w:val="000000"/>
          <w:sz w:val="28"/>
          <w:szCs w:val="28"/>
        </w:rPr>
        <w:t>(xii)</w:t>
      </w:r>
      <w:r w:rsidRPr="001D0846">
        <w:rPr>
          <w:rFonts w:ascii="Times New Roman" w:hAnsi="Times New Roman" w:cs="Times New Roman"/>
          <w:color w:val="000000"/>
          <w:sz w:val="28"/>
          <w:szCs w:val="28"/>
        </w:rPr>
        <w:t xml:space="preserve"> cooperarea internaţională în domeniul administrării fiscale.</w:t>
      </w:r>
    </w:p>
    <w:p w:rsidR="00714F5D" w:rsidRPr="001D0846" w:rsidRDefault="00714F5D" w:rsidP="00714F5D">
      <w:pPr>
        <w:widowControl w:val="0"/>
        <w:tabs>
          <w:tab w:val="left" w:pos="720"/>
        </w:tabs>
        <w:autoSpaceDE w:val="0"/>
        <w:autoSpaceDN w:val="0"/>
        <w:adjustRightInd w:val="0"/>
        <w:spacing w:after="0" w:line="276" w:lineRule="auto"/>
        <w:jc w:val="both"/>
        <w:rPr>
          <w:rFonts w:ascii="Times New Roman" w:hAnsi="Times New Roman" w:cs="Times New Roman"/>
          <w:color w:val="000000"/>
          <w:sz w:val="28"/>
          <w:szCs w:val="28"/>
        </w:rPr>
      </w:pPr>
      <w:r w:rsidRPr="001D0846">
        <w:rPr>
          <w:rFonts w:ascii="Times New Roman" w:hAnsi="Times New Roman" w:cs="Times New Roman"/>
          <w:color w:val="000000"/>
          <w:sz w:val="28"/>
          <w:szCs w:val="28"/>
        </w:rPr>
        <w:tab/>
        <w:t xml:space="preserve">SFS are următoarele atribuții în domeniul aministrării fiscale:                               </w:t>
      </w:r>
      <w:r w:rsidRPr="001D0846">
        <w:rPr>
          <w:rFonts w:ascii="Times New Roman" w:hAnsi="Times New Roman" w:cs="Times New Roman"/>
          <w:i/>
          <w:color w:val="000000"/>
          <w:sz w:val="28"/>
          <w:szCs w:val="28"/>
        </w:rPr>
        <w:t>(a)</w:t>
      </w:r>
      <w:r w:rsidRPr="001D0846">
        <w:rPr>
          <w:rFonts w:ascii="Times New Roman" w:hAnsi="Times New Roman" w:cs="Times New Roman"/>
          <w:color w:val="000000"/>
          <w:sz w:val="28"/>
          <w:szCs w:val="28"/>
        </w:rPr>
        <w:t xml:space="preserve"> gestionează Registrul fiscal de stat şi dosarul contribuabilului, de asemenea, efectuează înregistrarea unor categorii de contribuabili; </w:t>
      </w:r>
      <w:r w:rsidRPr="001D0846">
        <w:rPr>
          <w:rFonts w:ascii="Times New Roman" w:hAnsi="Times New Roman" w:cs="Times New Roman"/>
          <w:i/>
          <w:color w:val="000000"/>
          <w:sz w:val="28"/>
          <w:szCs w:val="28"/>
        </w:rPr>
        <w:t>(b)</w:t>
      </w:r>
      <w:r w:rsidRPr="001D0846">
        <w:rPr>
          <w:rFonts w:ascii="Times New Roman" w:hAnsi="Times New Roman" w:cs="Times New Roman"/>
          <w:color w:val="000000"/>
          <w:sz w:val="28"/>
          <w:szCs w:val="28"/>
        </w:rPr>
        <w:t xml:space="preserve"> organizează şi administrează evidenţa impozitelor, taxelor şi a altor venituri la bugetul public naţional date în competenţa sa; </w:t>
      </w:r>
      <w:r w:rsidRPr="001D0846">
        <w:rPr>
          <w:rFonts w:ascii="Times New Roman" w:hAnsi="Times New Roman" w:cs="Times New Roman"/>
          <w:i/>
          <w:color w:val="000000"/>
          <w:sz w:val="28"/>
          <w:szCs w:val="28"/>
        </w:rPr>
        <w:t>(c)</w:t>
      </w:r>
      <w:r w:rsidRPr="001D0846">
        <w:rPr>
          <w:rFonts w:ascii="Times New Roman" w:hAnsi="Times New Roman" w:cs="Times New Roman"/>
          <w:color w:val="000000"/>
          <w:sz w:val="28"/>
          <w:szCs w:val="28"/>
        </w:rPr>
        <w:t xml:space="preserve"> elaborează şi aplică procedurile privind evidenţa analitică pe contribuabili şi stingerea obligaţiilor fiscale prin conformare voluntară; </w:t>
      </w:r>
      <w:r w:rsidRPr="001D0846">
        <w:rPr>
          <w:rFonts w:ascii="Times New Roman" w:hAnsi="Times New Roman" w:cs="Times New Roman"/>
          <w:i/>
          <w:color w:val="000000"/>
          <w:sz w:val="28"/>
          <w:szCs w:val="28"/>
        </w:rPr>
        <w:t>(d)</w:t>
      </w:r>
      <w:r w:rsidRPr="001D0846">
        <w:rPr>
          <w:rFonts w:ascii="Times New Roman" w:hAnsi="Times New Roman" w:cs="Times New Roman"/>
          <w:color w:val="000000"/>
          <w:sz w:val="28"/>
          <w:szCs w:val="28"/>
        </w:rPr>
        <w:t xml:space="preserve"> emite acte cu caracter normativ privind aplicarea prevederilor legislaţiei fiscale şi expune poziţia oficială a Serviciului Fiscal de Stat privind aplicarea legislaţiei fiscale; </w:t>
      </w:r>
      <w:r w:rsidRPr="001D0846">
        <w:rPr>
          <w:rFonts w:ascii="Times New Roman" w:hAnsi="Times New Roman" w:cs="Times New Roman"/>
          <w:i/>
          <w:color w:val="000000"/>
          <w:sz w:val="28"/>
          <w:szCs w:val="28"/>
        </w:rPr>
        <w:t>(e)</w:t>
      </w:r>
      <w:r w:rsidRPr="001D0846">
        <w:rPr>
          <w:rFonts w:ascii="Times New Roman" w:hAnsi="Times New Roman" w:cs="Times New Roman"/>
          <w:color w:val="000000"/>
          <w:sz w:val="28"/>
          <w:szCs w:val="28"/>
        </w:rPr>
        <w:t xml:space="preserve"> emite soluţii fiscale individuale anticipate la cererea persoanelor fizice şi juridice care practică activitatea de întreprinzător; </w:t>
      </w:r>
      <w:r w:rsidRPr="001D0846">
        <w:rPr>
          <w:rFonts w:ascii="Times New Roman" w:hAnsi="Times New Roman" w:cs="Times New Roman"/>
          <w:i/>
          <w:color w:val="000000"/>
          <w:sz w:val="28"/>
          <w:szCs w:val="28"/>
        </w:rPr>
        <w:t>(f)</w:t>
      </w:r>
      <w:r w:rsidRPr="001D0846">
        <w:rPr>
          <w:rFonts w:ascii="Times New Roman" w:hAnsi="Times New Roman" w:cs="Times New Roman"/>
          <w:color w:val="000000"/>
          <w:sz w:val="28"/>
          <w:szCs w:val="28"/>
        </w:rPr>
        <w:t xml:space="preserve"> asigură aplicarea unitară, corectă şi nediscriminatorie a reglementărilor privind impozitele, taxele şi alte venituri la bugetul public naţional date în competenţa sa; </w:t>
      </w:r>
      <w:r w:rsidRPr="001D0846">
        <w:rPr>
          <w:rFonts w:ascii="Times New Roman" w:hAnsi="Times New Roman" w:cs="Times New Roman"/>
          <w:i/>
          <w:color w:val="000000"/>
          <w:sz w:val="28"/>
          <w:szCs w:val="28"/>
        </w:rPr>
        <w:t>(g)</w:t>
      </w:r>
      <w:r w:rsidRPr="001D0846">
        <w:rPr>
          <w:rFonts w:ascii="Times New Roman" w:hAnsi="Times New Roman" w:cs="Times New Roman"/>
          <w:color w:val="000000"/>
          <w:sz w:val="28"/>
          <w:szCs w:val="28"/>
        </w:rPr>
        <w:t xml:space="preserve"> aplică, de sine stătător sau prin entităţile abilitate, modalităţile de executare silită şi măsurile de asigurare a stingerii obligaţiei fiscale şi a altor plăţi la bugetul public naţional potrivit legii; </w:t>
      </w:r>
      <w:r w:rsidRPr="001D0846">
        <w:rPr>
          <w:rFonts w:ascii="Times New Roman" w:hAnsi="Times New Roman" w:cs="Times New Roman"/>
          <w:i/>
          <w:color w:val="000000"/>
          <w:sz w:val="28"/>
          <w:szCs w:val="28"/>
        </w:rPr>
        <w:t>(h)</w:t>
      </w:r>
      <w:r w:rsidRPr="001D0846">
        <w:rPr>
          <w:rFonts w:ascii="Times New Roman" w:hAnsi="Times New Roman" w:cs="Times New Roman"/>
          <w:color w:val="000000"/>
          <w:sz w:val="28"/>
          <w:szCs w:val="28"/>
        </w:rPr>
        <w:t xml:space="preserve">defineşte, dezvoltă, implementează, furnizează şi operează servicii specifice </w:t>
      </w:r>
      <w:r w:rsidRPr="001D0846">
        <w:rPr>
          <w:rFonts w:ascii="Times New Roman" w:hAnsi="Times New Roman" w:cs="Times New Roman"/>
          <w:color w:val="000000"/>
          <w:sz w:val="28"/>
          <w:szCs w:val="28"/>
        </w:rPr>
        <w:lastRenderedPageBreak/>
        <w:t xml:space="preserve">pentru contribuabili, de asemenea, eliberează acte permisive persoanelor fizice şijuridice; </w:t>
      </w:r>
      <w:r w:rsidRPr="001D0846">
        <w:rPr>
          <w:rFonts w:ascii="Times New Roman" w:hAnsi="Times New Roman" w:cs="Times New Roman"/>
          <w:i/>
          <w:color w:val="000000"/>
          <w:sz w:val="28"/>
          <w:szCs w:val="28"/>
        </w:rPr>
        <w:t>(i)</w:t>
      </w:r>
      <w:r w:rsidRPr="001D0846">
        <w:rPr>
          <w:rFonts w:ascii="Times New Roman" w:hAnsi="Times New Roman" w:cs="Times New Roman"/>
          <w:color w:val="000000"/>
          <w:sz w:val="28"/>
          <w:szCs w:val="28"/>
        </w:rPr>
        <w:t xml:space="preserve"> promovează conformarea fiscală voluntară, inclusiv prin modernizarea şi furnizarea serviciilor menite să faciliteze îndeplinirea obligaţiilor fiscale de către contribuabili; </w:t>
      </w:r>
      <w:r w:rsidRPr="001D0846">
        <w:rPr>
          <w:rFonts w:ascii="Times New Roman" w:hAnsi="Times New Roman" w:cs="Times New Roman"/>
          <w:i/>
          <w:color w:val="000000"/>
          <w:sz w:val="28"/>
          <w:szCs w:val="28"/>
        </w:rPr>
        <w:t>(j)</w:t>
      </w:r>
      <w:r w:rsidRPr="001D0846">
        <w:rPr>
          <w:rFonts w:ascii="Times New Roman" w:hAnsi="Times New Roman" w:cs="Times New Roman"/>
          <w:color w:val="000000"/>
          <w:sz w:val="28"/>
          <w:szCs w:val="28"/>
        </w:rPr>
        <w:t xml:space="preserve"> emite decizii asupra cazurilor de încălcare fiscală stabilite în urma aplicării metodelor şi surselor indirecte de estimare a obligaţiilor fiscale; </w:t>
      </w:r>
      <w:r w:rsidRPr="001D0846">
        <w:rPr>
          <w:rFonts w:ascii="Times New Roman" w:hAnsi="Times New Roman" w:cs="Times New Roman"/>
          <w:i/>
          <w:color w:val="000000"/>
          <w:sz w:val="28"/>
          <w:szCs w:val="28"/>
        </w:rPr>
        <w:t>(k)</w:t>
      </w:r>
      <w:r w:rsidRPr="001D0846">
        <w:rPr>
          <w:rFonts w:ascii="Times New Roman" w:hAnsi="Times New Roman" w:cs="Times New Roman"/>
          <w:color w:val="000000"/>
          <w:sz w:val="28"/>
          <w:szCs w:val="28"/>
        </w:rPr>
        <w:t xml:space="preserve"> gestionează riscurile de neconformare fiscală şi selectează contribuabilii cu risc sporit de neconformare fiscală; </w:t>
      </w:r>
      <w:r w:rsidRPr="001D0846">
        <w:rPr>
          <w:rFonts w:ascii="Times New Roman" w:hAnsi="Times New Roman" w:cs="Times New Roman"/>
          <w:i/>
          <w:color w:val="000000"/>
          <w:sz w:val="28"/>
          <w:szCs w:val="28"/>
        </w:rPr>
        <w:t>(l)</w:t>
      </w:r>
      <w:r w:rsidRPr="001D0846">
        <w:rPr>
          <w:rFonts w:ascii="Times New Roman" w:hAnsi="Times New Roman" w:cs="Times New Roman"/>
          <w:color w:val="000000"/>
          <w:sz w:val="28"/>
          <w:szCs w:val="28"/>
        </w:rPr>
        <w:t xml:space="preserve"> examinează contestaţiişi emite decizii ca urmare a examinării acestora; </w:t>
      </w:r>
      <w:r w:rsidRPr="001D0846">
        <w:rPr>
          <w:rFonts w:ascii="Times New Roman" w:hAnsi="Times New Roman" w:cs="Times New Roman"/>
          <w:i/>
          <w:color w:val="000000"/>
          <w:sz w:val="28"/>
          <w:szCs w:val="28"/>
        </w:rPr>
        <w:t xml:space="preserve">(m) </w:t>
      </w:r>
      <w:r w:rsidRPr="001D0846">
        <w:rPr>
          <w:rFonts w:ascii="Times New Roman" w:hAnsi="Times New Roman" w:cs="Times New Roman"/>
          <w:color w:val="000000"/>
          <w:sz w:val="28"/>
          <w:szCs w:val="28"/>
        </w:rPr>
        <w:t>efectuează vizite fiscale şi instituie posturi fiscale;</w:t>
      </w:r>
      <w:r w:rsidRPr="001D0846">
        <w:rPr>
          <w:rFonts w:ascii="Times New Roman" w:hAnsi="Times New Roman" w:cs="Times New Roman"/>
          <w:color w:val="000000"/>
          <w:sz w:val="28"/>
          <w:szCs w:val="28"/>
        </w:rPr>
        <w:br/>
      </w:r>
      <w:r w:rsidRPr="001D0846">
        <w:rPr>
          <w:rFonts w:ascii="Times New Roman" w:hAnsi="Times New Roman" w:cs="Times New Roman"/>
          <w:i/>
          <w:color w:val="000000"/>
          <w:sz w:val="28"/>
          <w:szCs w:val="28"/>
        </w:rPr>
        <w:t>(n)</w:t>
      </w:r>
      <w:r w:rsidRPr="001D0846">
        <w:rPr>
          <w:rFonts w:ascii="Times New Roman" w:hAnsi="Times New Roman" w:cs="Times New Roman"/>
          <w:color w:val="000000"/>
          <w:sz w:val="28"/>
          <w:szCs w:val="28"/>
        </w:rPr>
        <w:t xml:space="preserve"> efectuează controlul fiscal, examinează cazurile de încălcare fiscală, aplică sancţiuni fiscale şi emite acte administrative în scopul aplicării Codului fiscal;</w:t>
      </w:r>
      <w:r w:rsidRPr="001D0846">
        <w:rPr>
          <w:rFonts w:ascii="Times New Roman" w:hAnsi="Times New Roman" w:cs="Times New Roman"/>
          <w:color w:val="000000"/>
          <w:sz w:val="28"/>
          <w:szCs w:val="28"/>
        </w:rPr>
        <w:br/>
      </w:r>
      <w:r w:rsidRPr="001D0846">
        <w:rPr>
          <w:rFonts w:ascii="Times New Roman" w:hAnsi="Times New Roman" w:cs="Times New Roman"/>
          <w:i/>
          <w:color w:val="000000"/>
          <w:sz w:val="28"/>
          <w:szCs w:val="28"/>
        </w:rPr>
        <w:t>(o)</w:t>
      </w:r>
      <w:r w:rsidRPr="001D0846">
        <w:rPr>
          <w:rFonts w:ascii="Times New Roman" w:hAnsi="Times New Roman" w:cs="Times New Roman"/>
          <w:color w:val="000000"/>
          <w:sz w:val="28"/>
          <w:szCs w:val="28"/>
        </w:rPr>
        <w:t xml:space="preserve"> organizează activitatea de valorificare a bunurilor sechestrate în cadrul procedurii de executare silită a obligaţiei fiscale potrivit legii; </w:t>
      </w:r>
      <w:r w:rsidRPr="001D0846">
        <w:rPr>
          <w:rFonts w:ascii="Times New Roman" w:hAnsi="Times New Roman" w:cs="Times New Roman"/>
          <w:i/>
          <w:color w:val="000000"/>
          <w:sz w:val="28"/>
          <w:szCs w:val="28"/>
        </w:rPr>
        <w:t>(p)</w:t>
      </w:r>
      <w:r w:rsidRPr="001D0846">
        <w:rPr>
          <w:rFonts w:ascii="Times New Roman" w:hAnsi="Times New Roman" w:cs="Times New Roman"/>
          <w:color w:val="000000"/>
          <w:sz w:val="28"/>
          <w:szCs w:val="28"/>
        </w:rPr>
        <w:t xml:space="preserve"> introduce şi promovează metode de înregistrare fiscală, declarare şi plată a impozitelor, taxelor şi a altor venituri la buget, bazate pe utilizarea tehnologiei informaţiei;  </w:t>
      </w:r>
      <w:r w:rsidRPr="001D0846">
        <w:rPr>
          <w:rFonts w:ascii="Times New Roman" w:hAnsi="Times New Roman" w:cs="Times New Roman"/>
          <w:i/>
          <w:color w:val="000000"/>
          <w:sz w:val="28"/>
          <w:szCs w:val="28"/>
        </w:rPr>
        <w:t>(q)</w:t>
      </w:r>
      <w:r w:rsidRPr="001D0846">
        <w:rPr>
          <w:rFonts w:ascii="Times New Roman" w:hAnsi="Times New Roman" w:cs="Times New Roman"/>
          <w:color w:val="000000"/>
          <w:sz w:val="28"/>
          <w:szCs w:val="28"/>
        </w:rPr>
        <w:t xml:space="preserve"> este în drept să modifice termenul de stingere a obligaţiei fiscale prin încheierea cu contribuabilii restanţieri</w:t>
      </w:r>
      <w:r>
        <w:rPr>
          <w:rFonts w:ascii="Times New Roman" w:hAnsi="Times New Roman" w:cs="Times New Roman"/>
          <w:color w:val="000000"/>
          <w:sz w:val="28"/>
          <w:szCs w:val="28"/>
        </w:rPr>
        <w:t xml:space="preserve"> a contractelor de eşalonare/amâ</w:t>
      </w:r>
      <w:r w:rsidRPr="001D0846">
        <w:rPr>
          <w:rFonts w:ascii="Times New Roman" w:hAnsi="Times New Roman" w:cs="Times New Roman"/>
          <w:color w:val="000000"/>
          <w:sz w:val="28"/>
          <w:szCs w:val="28"/>
        </w:rPr>
        <w:t xml:space="preserve">nare a stingerii obligaţiei fiscale conform legislaţiei; </w:t>
      </w:r>
      <w:r w:rsidRPr="001D0846">
        <w:rPr>
          <w:rFonts w:ascii="Times New Roman" w:hAnsi="Times New Roman" w:cs="Times New Roman"/>
          <w:i/>
          <w:color w:val="000000"/>
          <w:sz w:val="28"/>
          <w:szCs w:val="28"/>
        </w:rPr>
        <w:t>(r)</w:t>
      </w:r>
      <w:r w:rsidRPr="001D0846">
        <w:rPr>
          <w:rFonts w:ascii="Times New Roman" w:hAnsi="Times New Roman" w:cs="Times New Roman"/>
          <w:color w:val="000000"/>
          <w:sz w:val="28"/>
          <w:szCs w:val="28"/>
        </w:rPr>
        <w:t xml:space="preserve">deţine, administrează, analizează şi evaluează informaţii, de asemenea, acţionează, în condiţiile legii, pentru obţinereainformaţiilor relevante pentru Serviciul Fiscal de Stat din diverse surse; </w:t>
      </w:r>
      <w:r w:rsidRPr="001D0846">
        <w:rPr>
          <w:rFonts w:ascii="Times New Roman" w:hAnsi="Times New Roman" w:cs="Times New Roman"/>
          <w:i/>
          <w:color w:val="000000"/>
          <w:sz w:val="28"/>
          <w:szCs w:val="28"/>
        </w:rPr>
        <w:t>(s)</w:t>
      </w:r>
      <w:r w:rsidRPr="001D0846">
        <w:rPr>
          <w:rFonts w:ascii="Times New Roman" w:hAnsi="Times New Roman" w:cs="Times New Roman"/>
          <w:color w:val="000000"/>
          <w:sz w:val="28"/>
          <w:szCs w:val="28"/>
        </w:rPr>
        <w:t xml:space="preserve">stabileşteşi aplică metodologia de distribuire şi stingere a obligaţiei fiscale şi/sau de restituire a sumelor achitate în plus; </w:t>
      </w:r>
      <w:r w:rsidRPr="001D0846">
        <w:rPr>
          <w:rFonts w:ascii="Times New Roman" w:hAnsi="Times New Roman" w:cs="Times New Roman"/>
          <w:i/>
          <w:color w:val="000000"/>
          <w:sz w:val="28"/>
          <w:szCs w:val="28"/>
        </w:rPr>
        <w:t>(t)</w:t>
      </w:r>
      <w:r w:rsidRPr="001D0846">
        <w:rPr>
          <w:rFonts w:ascii="Times New Roman" w:hAnsi="Times New Roman" w:cs="Times New Roman"/>
          <w:color w:val="000000"/>
          <w:sz w:val="28"/>
          <w:szCs w:val="28"/>
        </w:rPr>
        <w:t xml:space="preserve"> aplică mecanismul legal al insolvabilităţiifaţă de contribuabilii care au ajuns în incapacitate de plată;  </w:t>
      </w:r>
      <w:r w:rsidRPr="001D0846">
        <w:rPr>
          <w:rFonts w:ascii="Times New Roman" w:hAnsi="Times New Roman" w:cs="Times New Roman"/>
          <w:i/>
          <w:color w:val="000000"/>
          <w:sz w:val="28"/>
          <w:szCs w:val="28"/>
        </w:rPr>
        <w:t>(u)</w:t>
      </w:r>
      <w:r w:rsidRPr="001D0846">
        <w:rPr>
          <w:rFonts w:ascii="Times New Roman" w:hAnsi="Times New Roman" w:cs="Times New Roman"/>
          <w:color w:val="000000"/>
          <w:sz w:val="28"/>
          <w:szCs w:val="28"/>
        </w:rPr>
        <w:t xml:space="preserve"> administrează procesul de utilizare a dispozitivelor şi sistemelor pentru înregistrarea operaţiunilor cu numerar; </w:t>
      </w:r>
      <w:r w:rsidRPr="001D0846">
        <w:rPr>
          <w:rFonts w:ascii="Times New Roman" w:hAnsi="Times New Roman" w:cs="Times New Roman"/>
          <w:i/>
          <w:color w:val="000000"/>
          <w:sz w:val="28"/>
          <w:szCs w:val="28"/>
        </w:rPr>
        <w:t>(v)</w:t>
      </w:r>
      <w:r w:rsidRPr="001D0846">
        <w:rPr>
          <w:rFonts w:ascii="Times New Roman" w:hAnsi="Times New Roman" w:cs="Times New Roman"/>
          <w:color w:val="000000"/>
          <w:sz w:val="28"/>
          <w:szCs w:val="28"/>
        </w:rPr>
        <w:t xml:space="preserve"> efectuează restituirea sumelor plătite în plus şi a celor a căror restituire este prevăzută de legislaţie; </w:t>
      </w:r>
      <w:r w:rsidRPr="001D0846">
        <w:rPr>
          <w:rFonts w:ascii="Times New Roman" w:hAnsi="Times New Roman" w:cs="Times New Roman"/>
          <w:i/>
          <w:color w:val="000000"/>
          <w:sz w:val="28"/>
          <w:szCs w:val="28"/>
        </w:rPr>
        <w:t>(w)</w:t>
      </w:r>
      <w:r w:rsidRPr="001D0846">
        <w:rPr>
          <w:rFonts w:ascii="Times New Roman" w:hAnsi="Times New Roman" w:cs="Times New Roman"/>
          <w:color w:val="000000"/>
          <w:sz w:val="28"/>
          <w:szCs w:val="28"/>
        </w:rPr>
        <w:t xml:space="preserve"> elaborează modelul şiconţinutul formularelor utilizate pentru administrarea fiscală, precum şiinstrucţiunile de completare a acestora; </w:t>
      </w:r>
      <w:r w:rsidRPr="001D0846">
        <w:rPr>
          <w:rFonts w:ascii="Times New Roman" w:hAnsi="Times New Roman" w:cs="Times New Roman"/>
          <w:i/>
          <w:color w:val="000000"/>
          <w:sz w:val="28"/>
          <w:szCs w:val="28"/>
        </w:rPr>
        <w:t>(x)</w:t>
      </w:r>
      <w:r w:rsidRPr="001D0846">
        <w:rPr>
          <w:rFonts w:ascii="Times New Roman" w:hAnsi="Times New Roman" w:cs="Times New Roman"/>
          <w:color w:val="000000"/>
          <w:sz w:val="28"/>
          <w:szCs w:val="28"/>
        </w:rPr>
        <w:t xml:space="preserve"> asigură, conform legislaţiei, tipărirea formularelor utilizate în domeniul său de activitate, precum şi tipărirea centralizată şi eliberarea seriei şi diapazonului de numere pentru formularele tipizate de documente primare cu regim special; </w:t>
      </w:r>
      <w:r w:rsidRPr="001D0846">
        <w:rPr>
          <w:rFonts w:ascii="Times New Roman" w:hAnsi="Times New Roman" w:cs="Times New Roman"/>
          <w:i/>
          <w:color w:val="000000"/>
          <w:sz w:val="28"/>
          <w:szCs w:val="28"/>
        </w:rPr>
        <w:t>(y)</w:t>
      </w:r>
      <w:r w:rsidRPr="001D0846">
        <w:rPr>
          <w:rFonts w:ascii="Times New Roman" w:hAnsi="Times New Roman" w:cs="Times New Roman"/>
          <w:color w:val="000000"/>
          <w:sz w:val="28"/>
          <w:szCs w:val="28"/>
        </w:rPr>
        <w:t xml:space="preserve"> organizează asigurarea gratuită a contribuabililor cu formulare tipizate de dări de seamă fiscale, iar contra plată – cu formulare tipizate de documente primare </w:t>
      </w:r>
      <w:r>
        <w:rPr>
          <w:rFonts w:ascii="Times New Roman" w:hAnsi="Times New Roman" w:cs="Times New Roman"/>
          <w:color w:val="000000"/>
          <w:sz w:val="28"/>
          <w:szCs w:val="28"/>
        </w:rPr>
        <w:t>cu regim special pe suport de hâ</w:t>
      </w:r>
      <w:r w:rsidRPr="001D0846">
        <w:rPr>
          <w:rFonts w:ascii="Times New Roman" w:hAnsi="Times New Roman" w:cs="Times New Roman"/>
          <w:color w:val="000000"/>
          <w:sz w:val="28"/>
          <w:szCs w:val="28"/>
        </w:rPr>
        <w:t xml:space="preserve">rtie, conform listei stabilite de către Guvern; </w:t>
      </w:r>
      <w:r w:rsidRPr="001D0846">
        <w:rPr>
          <w:rFonts w:ascii="Times New Roman" w:hAnsi="Times New Roman" w:cs="Times New Roman"/>
          <w:i/>
          <w:color w:val="000000"/>
          <w:sz w:val="28"/>
          <w:szCs w:val="28"/>
        </w:rPr>
        <w:t>(z)</w:t>
      </w:r>
      <w:r w:rsidRPr="001D0846">
        <w:rPr>
          <w:rFonts w:ascii="Times New Roman" w:hAnsi="Times New Roman" w:cs="Times New Roman"/>
          <w:color w:val="000000"/>
          <w:sz w:val="28"/>
          <w:szCs w:val="28"/>
        </w:rPr>
        <w:t xml:space="preserve"> popularizează legislaţia fiscală şi prezintă, la solicitarea contribuabililor sau altor persoane, poziţia oficială a </w:t>
      </w:r>
      <w:r w:rsidRPr="001D0846">
        <w:rPr>
          <w:rFonts w:ascii="Times New Roman" w:hAnsi="Times New Roman" w:cs="Times New Roman"/>
          <w:color w:val="000000"/>
          <w:sz w:val="28"/>
          <w:szCs w:val="28"/>
        </w:rPr>
        <w:lastRenderedPageBreak/>
        <w:t xml:space="preserve">Serviciului Fiscal de Stat referitoare la aplicarea normelor fiscale conform legislaţiei; </w:t>
      </w:r>
      <w:r w:rsidRPr="001D0846">
        <w:rPr>
          <w:rFonts w:ascii="Times New Roman" w:hAnsi="Times New Roman" w:cs="Times New Roman"/>
          <w:i/>
          <w:color w:val="000000"/>
          <w:sz w:val="28"/>
          <w:szCs w:val="28"/>
        </w:rPr>
        <w:t>(aa)</w:t>
      </w:r>
      <w:r w:rsidRPr="001D0846">
        <w:rPr>
          <w:rFonts w:ascii="Times New Roman" w:hAnsi="Times New Roman" w:cs="Times New Roman"/>
          <w:color w:val="000000"/>
          <w:sz w:val="28"/>
          <w:szCs w:val="28"/>
        </w:rPr>
        <w:t xml:space="preserve"> asigură aplicarea unitară, corectă şi nediscriminatorie a reglementărilor privind impozitele, taxele şi alte venituri la bugetul public naţional date în competenţa sa, în vederea aplicării unui tratament echitabil tuturor contribuabililor; </w:t>
      </w:r>
      <w:r w:rsidRPr="001D0846">
        <w:rPr>
          <w:rFonts w:ascii="Times New Roman" w:hAnsi="Times New Roman" w:cs="Times New Roman"/>
          <w:i/>
          <w:color w:val="000000"/>
          <w:sz w:val="28"/>
          <w:szCs w:val="28"/>
        </w:rPr>
        <w:t>(bb)</w:t>
      </w:r>
      <w:r w:rsidRPr="001D0846">
        <w:rPr>
          <w:rFonts w:ascii="Times New Roman" w:hAnsi="Times New Roman" w:cs="Times New Roman"/>
          <w:color w:val="000000"/>
          <w:sz w:val="28"/>
          <w:szCs w:val="28"/>
        </w:rPr>
        <w:t xml:space="preserve"> elaborează norme metodologice şi proceduri de efectuare şi suspendare a controalelor fiscale; </w:t>
      </w:r>
      <w:r w:rsidRPr="001D0846">
        <w:rPr>
          <w:rFonts w:ascii="Times New Roman" w:hAnsi="Times New Roman" w:cs="Times New Roman"/>
          <w:i/>
          <w:color w:val="000000"/>
          <w:sz w:val="28"/>
          <w:szCs w:val="28"/>
        </w:rPr>
        <w:t>(cc)</w:t>
      </w:r>
      <w:r w:rsidRPr="001D0846">
        <w:rPr>
          <w:rFonts w:ascii="Times New Roman" w:hAnsi="Times New Roman" w:cs="Times New Roman"/>
          <w:color w:val="000000"/>
          <w:sz w:val="28"/>
          <w:szCs w:val="28"/>
        </w:rPr>
        <w:t xml:space="preserve"> asigură aplicarea legislaţiei fiscale în domeniul impozitelor, taxelor şi altor venituri la bugetul public naţional date în competenţa sa; </w:t>
      </w:r>
      <w:r w:rsidRPr="001D0846">
        <w:rPr>
          <w:rFonts w:ascii="Times New Roman" w:hAnsi="Times New Roman" w:cs="Times New Roman"/>
          <w:i/>
          <w:color w:val="000000"/>
          <w:sz w:val="28"/>
          <w:szCs w:val="28"/>
        </w:rPr>
        <w:t>(dd)</w:t>
      </w:r>
      <w:r w:rsidRPr="001D0846">
        <w:rPr>
          <w:rFonts w:ascii="Times New Roman" w:hAnsi="Times New Roman" w:cs="Times New Roman"/>
          <w:color w:val="000000"/>
          <w:sz w:val="28"/>
          <w:szCs w:val="28"/>
        </w:rPr>
        <w:t xml:space="preserve"> furnizează Ministerului Finanţelorşiautorităţiloradministraţiei publice locale informaţiile necesare fundamentării bugetelor respective; </w:t>
      </w:r>
      <w:r w:rsidRPr="001D0846">
        <w:rPr>
          <w:rFonts w:ascii="Times New Roman" w:hAnsi="Times New Roman" w:cs="Times New Roman"/>
          <w:i/>
          <w:color w:val="000000"/>
          <w:sz w:val="28"/>
          <w:szCs w:val="28"/>
        </w:rPr>
        <w:t>(ee)</w:t>
      </w:r>
      <w:r w:rsidRPr="001D0846">
        <w:rPr>
          <w:rFonts w:ascii="Times New Roman" w:hAnsi="Times New Roman" w:cs="Times New Roman"/>
          <w:color w:val="000000"/>
          <w:sz w:val="28"/>
          <w:szCs w:val="28"/>
        </w:rPr>
        <w:t xml:space="preserve"> sigilează maşinile de casă şi de control ale contribuabililor, ţineevidenţa lor, efectuează controale privind utilizarea maşinilor de casă şi de control şi a terminalelor POS la decontările în numerar şi privind asigurarea păstrării benzilor de control emise de acestea; </w:t>
      </w:r>
      <w:r w:rsidRPr="001D0846">
        <w:rPr>
          <w:rFonts w:ascii="Times New Roman" w:hAnsi="Times New Roman" w:cs="Times New Roman"/>
          <w:i/>
          <w:color w:val="000000"/>
          <w:sz w:val="28"/>
          <w:szCs w:val="28"/>
        </w:rPr>
        <w:t>(ff)</w:t>
      </w:r>
      <w:r w:rsidRPr="001D0846">
        <w:rPr>
          <w:rFonts w:ascii="Times New Roman" w:hAnsi="Times New Roman" w:cs="Times New Roman"/>
          <w:color w:val="000000"/>
          <w:sz w:val="28"/>
          <w:szCs w:val="28"/>
        </w:rPr>
        <w:t xml:space="preserve"> efectuează verificarea softurilor instalate în maşinile de casă şi de control ridicate de la contribuabili, a sistemelor informaţionale de ţinere a evidenţei fiscale şi contabile; </w:t>
      </w:r>
      <w:r w:rsidRPr="001D0846">
        <w:rPr>
          <w:rFonts w:ascii="Times New Roman" w:hAnsi="Times New Roman" w:cs="Times New Roman"/>
          <w:i/>
          <w:color w:val="000000"/>
          <w:sz w:val="28"/>
          <w:szCs w:val="28"/>
        </w:rPr>
        <w:t>(gg)</w:t>
      </w:r>
      <w:r w:rsidRPr="001D0846">
        <w:rPr>
          <w:rFonts w:ascii="Times New Roman" w:hAnsi="Times New Roman" w:cs="Times New Roman"/>
          <w:color w:val="000000"/>
          <w:sz w:val="28"/>
          <w:szCs w:val="28"/>
        </w:rPr>
        <w:t xml:space="preserve"> organizează şi efectuează, după caz, executarea silită a obligaţiilor fiscale, de asemenea, verifică corectitudinea acţiunilorşi procedurii de alăturare şi raportare, prevăzute la art. 197 alin.(31) şi la art. 229 alin.(22) din Codul fiscal, realizate de către executorul judecătoresc; </w:t>
      </w:r>
      <w:r w:rsidRPr="001D0846">
        <w:rPr>
          <w:rFonts w:ascii="Times New Roman" w:hAnsi="Times New Roman" w:cs="Times New Roman"/>
          <w:i/>
          <w:color w:val="000000"/>
          <w:sz w:val="28"/>
          <w:szCs w:val="28"/>
        </w:rPr>
        <w:t>(hh)</w:t>
      </w:r>
      <w:r>
        <w:rPr>
          <w:rFonts w:ascii="Times New Roman" w:hAnsi="Times New Roman" w:cs="Times New Roman"/>
          <w:color w:val="000000"/>
          <w:sz w:val="28"/>
          <w:szCs w:val="28"/>
        </w:rPr>
        <w:t xml:space="preserve"> organizează concursuri, stimulâ</w:t>
      </w:r>
      <w:r w:rsidRPr="001D0846">
        <w:rPr>
          <w:rFonts w:ascii="Times New Roman" w:hAnsi="Times New Roman" w:cs="Times New Roman"/>
          <w:color w:val="000000"/>
          <w:sz w:val="28"/>
          <w:szCs w:val="28"/>
        </w:rPr>
        <w:t xml:space="preserve">nd din surse bugetare contribuabilii care, direct sau indirect, au participat la îmbunătăţirea procesului de administrare fiscală şi/sau la majorarea încasărilor la BPN; </w:t>
      </w:r>
      <w:r w:rsidRPr="001D0846">
        <w:rPr>
          <w:rFonts w:ascii="Times New Roman" w:hAnsi="Times New Roman" w:cs="Times New Roman"/>
          <w:i/>
          <w:color w:val="000000"/>
          <w:sz w:val="28"/>
          <w:szCs w:val="28"/>
        </w:rPr>
        <w:t>(ii)</w:t>
      </w:r>
      <w:r w:rsidRPr="001D0846">
        <w:rPr>
          <w:rFonts w:ascii="Times New Roman" w:hAnsi="Times New Roman" w:cs="Times New Roman"/>
          <w:color w:val="000000"/>
          <w:sz w:val="28"/>
          <w:szCs w:val="28"/>
        </w:rPr>
        <w:t xml:space="preserve">stabileşte criteriile de selectare a contribuabililor mari şi aprobă lista acestora; </w:t>
      </w:r>
      <w:r w:rsidRPr="001D0846">
        <w:rPr>
          <w:rFonts w:ascii="Times New Roman" w:hAnsi="Times New Roman" w:cs="Times New Roman"/>
          <w:i/>
          <w:color w:val="000000"/>
          <w:sz w:val="28"/>
          <w:szCs w:val="28"/>
        </w:rPr>
        <w:t>(jj)</w:t>
      </w:r>
      <w:r w:rsidRPr="001D0846">
        <w:rPr>
          <w:rFonts w:ascii="Times New Roman" w:hAnsi="Times New Roman" w:cs="Times New Roman"/>
          <w:color w:val="000000"/>
          <w:sz w:val="28"/>
          <w:szCs w:val="28"/>
        </w:rPr>
        <w:t xml:space="preserve"> confirmă contribuabililor rezidenţa fiscală în scopul beneficierii de prevederile convenţiilor (acordurilor) pentru evitarea dublei impuneri, încheiate între Republica Moldova şi alte state în modul stabilit de legislaţie.</w:t>
      </w:r>
    </w:p>
    <w:p w:rsidR="00714F5D" w:rsidRPr="001D0846" w:rsidRDefault="00714F5D" w:rsidP="00714F5D">
      <w:pPr>
        <w:widowControl w:val="0"/>
        <w:tabs>
          <w:tab w:val="left" w:pos="720"/>
        </w:tabs>
        <w:autoSpaceDE w:val="0"/>
        <w:autoSpaceDN w:val="0"/>
        <w:adjustRightInd w:val="0"/>
        <w:spacing w:after="0" w:line="276" w:lineRule="auto"/>
        <w:jc w:val="both"/>
        <w:rPr>
          <w:rFonts w:ascii="Times New Roman" w:hAnsi="Times New Roman" w:cs="Times New Roman"/>
          <w:color w:val="000000"/>
          <w:sz w:val="28"/>
          <w:szCs w:val="28"/>
        </w:rPr>
      </w:pPr>
      <w:r w:rsidRPr="001D0846">
        <w:rPr>
          <w:rFonts w:ascii="Times New Roman" w:hAnsi="Times New Roman" w:cs="Times New Roman"/>
          <w:color w:val="000000"/>
          <w:sz w:val="28"/>
          <w:szCs w:val="28"/>
        </w:rPr>
        <w:tab/>
        <w:t xml:space="preserve">Funcțiile de bază ale Serviciului Vamal constau în: </w:t>
      </w:r>
      <w:r w:rsidRPr="001D0846">
        <w:rPr>
          <w:rFonts w:ascii="Times New Roman" w:hAnsi="Times New Roman" w:cs="Times New Roman"/>
          <w:i/>
          <w:color w:val="000000"/>
          <w:sz w:val="28"/>
          <w:szCs w:val="28"/>
        </w:rPr>
        <w:t>(i)</w:t>
      </w:r>
      <w:r w:rsidRPr="001D0846">
        <w:rPr>
          <w:rFonts w:ascii="Times New Roman" w:hAnsi="Times New Roman" w:cs="Times New Roman"/>
          <w:color w:val="000000"/>
          <w:sz w:val="28"/>
          <w:szCs w:val="28"/>
        </w:rPr>
        <w:t xml:space="preserve"> asigurarea eficienţeioperaţiunilor vamale, </w:t>
      </w:r>
      <w:r w:rsidRPr="001D0846">
        <w:rPr>
          <w:rFonts w:ascii="Times New Roman" w:hAnsi="Times New Roman" w:cs="Times New Roman"/>
          <w:i/>
          <w:color w:val="000000"/>
          <w:sz w:val="28"/>
          <w:szCs w:val="28"/>
        </w:rPr>
        <w:t>(ii)</w:t>
      </w:r>
      <w:r w:rsidRPr="001D0846">
        <w:rPr>
          <w:rFonts w:ascii="Times New Roman" w:hAnsi="Times New Roman" w:cs="Times New Roman"/>
          <w:color w:val="000000"/>
          <w:sz w:val="28"/>
          <w:szCs w:val="28"/>
        </w:rPr>
        <w:t xml:space="preserve"> facilitarea comerţuluişi transportului internaţional,                       </w:t>
      </w:r>
      <w:r w:rsidRPr="001D0846">
        <w:rPr>
          <w:rFonts w:ascii="Times New Roman" w:hAnsi="Times New Roman" w:cs="Times New Roman"/>
          <w:i/>
          <w:color w:val="000000"/>
          <w:sz w:val="28"/>
          <w:szCs w:val="28"/>
        </w:rPr>
        <w:t>(iii)</w:t>
      </w:r>
      <w:r w:rsidRPr="001D0846">
        <w:rPr>
          <w:rFonts w:ascii="Times New Roman" w:hAnsi="Times New Roman" w:cs="Times New Roman"/>
          <w:color w:val="000000"/>
          <w:sz w:val="28"/>
          <w:szCs w:val="28"/>
        </w:rPr>
        <w:t xml:space="preserve"> reglementarea schimbului de mărfuri pe teritoriul vamal al Republicii Moldova, </w:t>
      </w:r>
      <w:r w:rsidRPr="001D0846">
        <w:rPr>
          <w:rFonts w:ascii="Times New Roman" w:hAnsi="Times New Roman" w:cs="Times New Roman"/>
          <w:i/>
          <w:color w:val="000000"/>
          <w:sz w:val="28"/>
          <w:szCs w:val="28"/>
        </w:rPr>
        <w:t>(iv)</w:t>
      </w:r>
      <w:r w:rsidRPr="001D0846">
        <w:rPr>
          <w:rFonts w:ascii="Times New Roman" w:hAnsi="Times New Roman" w:cs="Times New Roman"/>
          <w:color w:val="000000"/>
          <w:sz w:val="28"/>
          <w:szCs w:val="28"/>
        </w:rPr>
        <w:t xml:space="preserve"> contribuirea la rezolvarea problemelor politice şi comerciale privind protecţiapieţei interne şi stimularea dezvoltării economiei naţionale, </w:t>
      </w:r>
      <w:r w:rsidRPr="001D0846">
        <w:rPr>
          <w:rFonts w:ascii="Times New Roman" w:hAnsi="Times New Roman" w:cs="Times New Roman"/>
          <w:i/>
          <w:color w:val="000000"/>
          <w:sz w:val="28"/>
          <w:szCs w:val="28"/>
        </w:rPr>
        <w:t>(v)</w:t>
      </w:r>
      <w:r w:rsidRPr="001D0846">
        <w:rPr>
          <w:rFonts w:ascii="Times New Roman" w:hAnsi="Times New Roman" w:cs="Times New Roman"/>
          <w:color w:val="000000"/>
          <w:sz w:val="28"/>
          <w:szCs w:val="28"/>
        </w:rPr>
        <w:t xml:space="preserve"> realizarea altor obiective stabilite de Guvern.</w:t>
      </w:r>
    </w:p>
    <w:p w:rsidR="00714F5D" w:rsidRPr="001D0846" w:rsidRDefault="00714F5D" w:rsidP="00714F5D">
      <w:pPr>
        <w:widowControl w:val="0"/>
        <w:tabs>
          <w:tab w:val="left" w:pos="720"/>
        </w:tabs>
        <w:autoSpaceDE w:val="0"/>
        <w:autoSpaceDN w:val="0"/>
        <w:adjustRightInd w:val="0"/>
        <w:spacing w:after="0" w:line="276" w:lineRule="auto"/>
        <w:jc w:val="both"/>
        <w:rPr>
          <w:rFonts w:ascii="Times New Roman" w:hAnsi="Times New Roman" w:cs="Times New Roman"/>
          <w:color w:val="000000"/>
          <w:sz w:val="28"/>
          <w:szCs w:val="28"/>
        </w:rPr>
      </w:pPr>
      <w:r w:rsidRPr="001D0846">
        <w:rPr>
          <w:rFonts w:ascii="Times New Roman" w:hAnsi="Times New Roman" w:cs="Times New Roman"/>
          <w:color w:val="000000"/>
          <w:sz w:val="28"/>
          <w:szCs w:val="28"/>
        </w:rPr>
        <w:tab/>
        <w:t xml:space="preserve">Serviciul Vamal are următoarele atribuții de bază: </w:t>
      </w:r>
      <w:r w:rsidRPr="001D0846">
        <w:rPr>
          <w:rFonts w:ascii="Times New Roman" w:hAnsi="Times New Roman" w:cs="Times New Roman"/>
          <w:i/>
          <w:color w:val="000000"/>
          <w:sz w:val="28"/>
          <w:szCs w:val="28"/>
        </w:rPr>
        <w:t>(a)</w:t>
      </w:r>
      <w:r w:rsidRPr="001D0846">
        <w:rPr>
          <w:rFonts w:ascii="Times New Roman" w:hAnsi="Times New Roman" w:cs="Times New Roman"/>
          <w:color w:val="000000"/>
          <w:sz w:val="28"/>
          <w:szCs w:val="28"/>
        </w:rPr>
        <w:t xml:space="preserve"> participă la elaborarea politicii vamale a statului şi implementează această politică; </w:t>
      </w:r>
      <w:r w:rsidRPr="001D0846">
        <w:rPr>
          <w:rFonts w:ascii="Times New Roman" w:hAnsi="Times New Roman" w:cs="Times New Roman"/>
          <w:i/>
          <w:color w:val="000000"/>
          <w:sz w:val="28"/>
          <w:szCs w:val="28"/>
        </w:rPr>
        <w:t>(b)</w:t>
      </w:r>
      <w:r w:rsidRPr="001D0846">
        <w:rPr>
          <w:rFonts w:ascii="Times New Roman" w:hAnsi="Times New Roman" w:cs="Times New Roman"/>
          <w:color w:val="000000"/>
          <w:sz w:val="28"/>
          <w:szCs w:val="28"/>
        </w:rPr>
        <w:t xml:space="preserve"> asigură respectarea legislaţiei vamale şi fiscale; apără drepturile şi interesele legitime ale persoanei în cadrul activității vamale; </w:t>
      </w:r>
      <w:r w:rsidRPr="001D0846">
        <w:rPr>
          <w:rFonts w:ascii="Times New Roman" w:hAnsi="Times New Roman" w:cs="Times New Roman"/>
          <w:i/>
          <w:color w:val="000000"/>
          <w:sz w:val="28"/>
          <w:szCs w:val="28"/>
        </w:rPr>
        <w:t>(c)</w:t>
      </w:r>
      <w:r w:rsidRPr="001D0846">
        <w:rPr>
          <w:rFonts w:ascii="Times New Roman" w:hAnsi="Times New Roman" w:cs="Times New Roman"/>
          <w:color w:val="000000"/>
          <w:sz w:val="28"/>
          <w:szCs w:val="28"/>
        </w:rPr>
        <w:t xml:space="preserve"> contribuie, în limitele competenţei, la asigurarea </w:t>
      </w:r>
      <w:r w:rsidRPr="001D0846">
        <w:rPr>
          <w:rFonts w:ascii="Times New Roman" w:hAnsi="Times New Roman" w:cs="Times New Roman"/>
          <w:color w:val="000000"/>
          <w:sz w:val="28"/>
          <w:szCs w:val="28"/>
        </w:rPr>
        <w:lastRenderedPageBreak/>
        <w:t xml:space="preserve">securităţii economice a statului; </w:t>
      </w:r>
      <w:r w:rsidRPr="001D0846">
        <w:rPr>
          <w:rFonts w:ascii="Times New Roman" w:hAnsi="Times New Roman" w:cs="Times New Roman"/>
          <w:i/>
          <w:color w:val="000000"/>
          <w:sz w:val="28"/>
          <w:szCs w:val="28"/>
        </w:rPr>
        <w:t>(d)</w:t>
      </w:r>
      <w:r w:rsidRPr="001D0846">
        <w:rPr>
          <w:rFonts w:ascii="Times New Roman" w:hAnsi="Times New Roman" w:cs="Times New Roman"/>
          <w:color w:val="000000"/>
          <w:sz w:val="28"/>
          <w:szCs w:val="28"/>
        </w:rPr>
        <w:t xml:space="preserve"> apără interesele economice ale statului; </w:t>
      </w:r>
      <w:r w:rsidRPr="001D0846">
        <w:rPr>
          <w:rFonts w:ascii="Times New Roman" w:hAnsi="Times New Roman" w:cs="Times New Roman"/>
          <w:i/>
          <w:color w:val="000000"/>
          <w:sz w:val="28"/>
          <w:szCs w:val="28"/>
        </w:rPr>
        <w:t>(e)</w:t>
      </w:r>
      <w:r w:rsidRPr="001D0846">
        <w:rPr>
          <w:rFonts w:ascii="Times New Roman" w:hAnsi="Times New Roman" w:cs="Times New Roman"/>
          <w:color w:val="000000"/>
          <w:sz w:val="28"/>
          <w:szCs w:val="28"/>
        </w:rPr>
        <w:t xml:space="preserve"> aplică procedeele vamale de reglementare a relaţiilor economice şi comerciale;                                </w:t>
      </w:r>
      <w:r w:rsidRPr="001D0846">
        <w:rPr>
          <w:rFonts w:ascii="Times New Roman" w:hAnsi="Times New Roman" w:cs="Times New Roman"/>
          <w:i/>
          <w:color w:val="000000"/>
          <w:sz w:val="28"/>
          <w:szCs w:val="28"/>
        </w:rPr>
        <w:t>(f)</w:t>
      </w:r>
      <w:r w:rsidRPr="001D0846">
        <w:rPr>
          <w:rFonts w:ascii="Times New Roman" w:hAnsi="Times New Roman" w:cs="Times New Roman"/>
          <w:color w:val="000000"/>
          <w:sz w:val="28"/>
          <w:szCs w:val="28"/>
        </w:rPr>
        <w:t xml:space="preserve"> încasează drepturile de import şi drepturile de export; </w:t>
      </w:r>
      <w:r w:rsidRPr="001D0846">
        <w:rPr>
          <w:rFonts w:ascii="Times New Roman" w:hAnsi="Times New Roman" w:cs="Times New Roman"/>
          <w:i/>
          <w:color w:val="000000"/>
          <w:sz w:val="28"/>
          <w:szCs w:val="28"/>
        </w:rPr>
        <w:t>(f</w:t>
      </w:r>
      <w:r w:rsidRPr="001D0846">
        <w:rPr>
          <w:rFonts w:ascii="Times New Roman" w:hAnsi="Times New Roman" w:cs="Times New Roman"/>
          <w:i/>
          <w:color w:val="000000"/>
          <w:sz w:val="28"/>
          <w:szCs w:val="28"/>
          <w:vertAlign w:val="superscript"/>
        </w:rPr>
        <w:t>1</w:t>
      </w:r>
      <w:r w:rsidRPr="001D0846">
        <w:rPr>
          <w:rFonts w:ascii="Times New Roman" w:hAnsi="Times New Roman" w:cs="Times New Roman"/>
          <w:i/>
          <w:color w:val="000000"/>
          <w:sz w:val="28"/>
          <w:szCs w:val="28"/>
        </w:rPr>
        <w:t>)</w:t>
      </w:r>
      <w:r w:rsidRPr="001D0846">
        <w:rPr>
          <w:rFonts w:ascii="Times New Roman" w:hAnsi="Times New Roman" w:cs="Times New Roman"/>
          <w:color w:val="000000"/>
          <w:sz w:val="28"/>
          <w:szCs w:val="28"/>
        </w:rPr>
        <w:t xml:space="preserve"> coordonează aplicarea Nomenclaturii combinate a mărfurilor; </w:t>
      </w:r>
      <w:r w:rsidRPr="001D0846">
        <w:rPr>
          <w:rFonts w:ascii="Times New Roman" w:hAnsi="Times New Roman" w:cs="Times New Roman"/>
          <w:i/>
          <w:color w:val="000000"/>
          <w:sz w:val="28"/>
          <w:szCs w:val="28"/>
        </w:rPr>
        <w:t>(f</w:t>
      </w:r>
      <w:r w:rsidRPr="001D0846">
        <w:rPr>
          <w:rFonts w:ascii="Times New Roman" w:hAnsi="Times New Roman" w:cs="Times New Roman"/>
          <w:i/>
          <w:color w:val="000000"/>
          <w:sz w:val="28"/>
          <w:szCs w:val="28"/>
          <w:vertAlign w:val="superscript"/>
        </w:rPr>
        <w:t>2</w:t>
      </w:r>
      <w:r w:rsidRPr="001D0846">
        <w:rPr>
          <w:rFonts w:ascii="Times New Roman" w:hAnsi="Times New Roman" w:cs="Times New Roman"/>
          <w:i/>
          <w:color w:val="000000"/>
          <w:sz w:val="28"/>
          <w:szCs w:val="28"/>
        </w:rPr>
        <w:t>)</w:t>
      </w:r>
      <w:r w:rsidRPr="001D0846">
        <w:rPr>
          <w:rFonts w:ascii="Times New Roman" w:hAnsi="Times New Roman" w:cs="Times New Roman"/>
          <w:color w:val="000000"/>
          <w:sz w:val="28"/>
          <w:szCs w:val="28"/>
        </w:rPr>
        <w:t xml:space="preserve"> gestionează Tariful Vamal Integrat al Republicii Moldova (TARIM); </w:t>
      </w:r>
      <w:r w:rsidRPr="001D0846">
        <w:rPr>
          <w:rFonts w:ascii="Times New Roman" w:hAnsi="Times New Roman" w:cs="Times New Roman"/>
          <w:i/>
          <w:color w:val="000000"/>
          <w:sz w:val="28"/>
          <w:szCs w:val="28"/>
        </w:rPr>
        <w:t>(g)</w:t>
      </w:r>
      <w:r w:rsidRPr="001D0846">
        <w:rPr>
          <w:rFonts w:ascii="Times New Roman" w:hAnsi="Times New Roman" w:cs="Times New Roman"/>
          <w:color w:val="000000"/>
          <w:sz w:val="28"/>
          <w:szCs w:val="28"/>
        </w:rPr>
        <w:t xml:space="preserve"> participă la elaborarea măsurilor de politică economică referitor la trecerea mărfurilor peste frontiera vamală şi aplică aceste măsuri; </w:t>
      </w:r>
      <w:r w:rsidRPr="001D0846">
        <w:rPr>
          <w:rFonts w:ascii="Times New Roman" w:hAnsi="Times New Roman" w:cs="Times New Roman"/>
          <w:i/>
          <w:color w:val="000000"/>
          <w:sz w:val="28"/>
          <w:szCs w:val="28"/>
        </w:rPr>
        <w:t>(h)</w:t>
      </w:r>
      <w:r w:rsidRPr="001D0846">
        <w:rPr>
          <w:rFonts w:ascii="Times New Roman" w:hAnsi="Times New Roman" w:cs="Times New Roman"/>
          <w:color w:val="000000"/>
          <w:sz w:val="28"/>
          <w:szCs w:val="28"/>
        </w:rPr>
        <w:t xml:space="preserve"> luptă împotriva contrabandei, a încălcării reglementărilor vamale şilegislaţiei fiscale care se referă la trecerea mărfurilor peste frontiera vamală, curmă trecerea ilegală peste frontiera vamală a substanțelor stupefiante, armamentului, obiectelor de artă, obiectelor de valoare istorică şi arheologică, obiectelor proprietate intelectuală, speciilor de animale şi plante (derivate şipărţi ale lor) pe cale de dispariţie, altor mărfuri; </w:t>
      </w:r>
      <w:r w:rsidRPr="001D0846">
        <w:rPr>
          <w:rFonts w:ascii="Times New Roman" w:hAnsi="Times New Roman" w:cs="Times New Roman"/>
          <w:i/>
          <w:color w:val="000000"/>
          <w:sz w:val="28"/>
          <w:szCs w:val="28"/>
        </w:rPr>
        <w:t>(i)</w:t>
      </w:r>
      <w:r w:rsidRPr="001D0846">
        <w:rPr>
          <w:rFonts w:ascii="Times New Roman" w:hAnsi="Times New Roman" w:cs="Times New Roman"/>
          <w:color w:val="000000"/>
          <w:sz w:val="28"/>
          <w:szCs w:val="28"/>
        </w:rPr>
        <w:t xml:space="preserve"> contribuie la prevenirea şi combaterea spălării banilor, precum şi a terorismului internaţional; </w:t>
      </w:r>
      <w:r w:rsidRPr="001D0846">
        <w:rPr>
          <w:rFonts w:ascii="Times New Roman" w:hAnsi="Times New Roman" w:cs="Times New Roman"/>
          <w:i/>
          <w:color w:val="000000"/>
          <w:sz w:val="28"/>
          <w:szCs w:val="28"/>
        </w:rPr>
        <w:t>(j)</w:t>
      </w:r>
      <w:r w:rsidRPr="001D0846">
        <w:rPr>
          <w:rFonts w:ascii="Times New Roman" w:hAnsi="Times New Roman" w:cs="Times New Roman"/>
          <w:color w:val="000000"/>
          <w:sz w:val="28"/>
          <w:szCs w:val="28"/>
        </w:rPr>
        <w:t xml:space="preserve"> exercită şiperfecţionează controlul vamal, efectuează vămuirea, creează condiţii pentru accelerarea traficului de mărfuri peste frontiera vamală; </w:t>
      </w:r>
      <w:r w:rsidRPr="001D0846">
        <w:rPr>
          <w:rFonts w:ascii="Times New Roman" w:hAnsi="Times New Roman" w:cs="Times New Roman"/>
          <w:i/>
          <w:color w:val="000000"/>
          <w:sz w:val="28"/>
          <w:szCs w:val="28"/>
        </w:rPr>
        <w:t>(k)</w:t>
      </w:r>
      <w:r w:rsidRPr="001D0846">
        <w:rPr>
          <w:rFonts w:ascii="Times New Roman" w:hAnsi="Times New Roman" w:cs="Times New Roman"/>
          <w:color w:val="000000"/>
          <w:sz w:val="28"/>
          <w:szCs w:val="28"/>
        </w:rPr>
        <w:t xml:space="preserve"> contribuie şi participă la elaborarea statisticii vamale a comerţului exterior şi a statisticii vamale speciale; </w:t>
      </w:r>
      <w:r w:rsidRPr="001D0846">
        <w:rPr>
          <w:rFonts w:ascii="Times New Roman" w:hAnsi="Times New Roman" w:cs="Times New Roman"/>
          <w:i/>
          <w:color w:val="000000"/>
          <w:sz w:val="28"/>
          <w:szCs w:val="28"/>
        </w:rPr>
        <w:t>(l)</w:t>
      </w:r>
      <w:r w:rsidRPr="001D0846">
        <w:rPr>
          <w:rFonts w:ascii="Times New Roman" w:hAnsi="Times New Roman" w:cs="Times New Roman"/>
          <w:color w:val="000000"/>
          <w:sz w:val="28"/>
          <w:szCs w:val="28"/>
        </w:rPr>
        <w:t xml:space="preserve"> contribuie la realizarea măsurilor de apărare a securităţii statului, de asigurare a ordinii publice şi morale, de apărare a vieţiişisănătăţii oamenilor, de ocrotire a florei şi faunei, a întregului mediu înconjurător, de protecţie a pieţei interne; </w:t>
      </w:r>
      <w:r w:rsidRPr="001D0846">
        <w:rPr>
          <w:rFonts w:ascii="Times New Roman" w:hAnsi="Times New Roman" w:cs="Times New Roman"/>
          <w:i/>
          <w:color w:val="000000"/>
          <w:sz w:val="28"/>
          <w:szCs w:val="28"/>
        </w:rPr>
        <w:t>(m)</w:t>
      </w:r>
      <w:r w:rsidRPr="001D0846">
        <w:rPr>
          <w:rFonts w:ascii="Times New Roman" w:hAnsi="Times New Roman" w:cs="Times New Roman"/>
          <w:color w:val="000000"/>
          <w:sz w:val="28"/>
          <w:szCs w:val="28"/>
        </w:rPr>
        <w:t xml:space="preserve"> exercită controlul vamal asupra valorilor valutare, în limitele competenţei; </w:t>
      </w:r>
      <w:r w:rsidRPr="001D0846">
        <w:rPr>
          <w:rFonts w:ascii="Times New Roman" w:hAnsi="Times New Roman" w:cs="Times New Roman"/>
          <w:i/>
          <w:color w:val="000000"/>
          <w:sz w:val="28"/>
          <w:szCs w:val="28"/>
        </w:rPr>
        <w:t>(n)</w:t>
      </w:r>
      <w:r w:rsidRPr="001D0846">
        <w:rPr>
          <w:rFonts w:ascii="Times New Roman" w:hAnsi="Times New Roman" w:cs="Times New Roman"/>
          <w:color w:val="000000"/>
          <w:sz w:val="28"/>
          <w:szCs w:val="28"/>
        </w:rPr>
        <w:t xml:space="preserve"> asigură îndeplinirea obligaţiilorinternaţionale ale statului în domeniul vamal; participă la elaborarea acordurilor internaţionale în domeniul vamal, la colaborarea cu organele vamale, cu alte autorităţi publice din străinătate, cu organizaţiileinternaţionale în domeniul vamal; </w:t>
      </w:r>
      <w:r w:rsidRPr="001D0846">
        <w:rPr>
          <w:rFonts w:ascii="Times New Roman" w:hAnsi="Times New Roman" w:cs="Times New Roman"/>
          <w:i/>
          <w:color w:val="000000"/>
          <w:sz w:val="28"/>
          <w:szCs w:val="28"/>
        </w:rPr>
        <w:t>(o)</w:t>
      </w:r>
      <w:r w:rsidRPr="001D0846">
        <w:rPr>
          <w:rFonts w:ascii="Times New Roman" w:hAnsi="Times New Roman" w:cs="Times New Roman"/>
          <w:color w:val="000000"/>
          <w:sz w:val="28"/>
          <w:szCs w:val="28"/>
        </w:rPr>
        <w:t xml:space="preserve"> efectuează cercetări ştiinţifice, oferă consultaţii în domeniu; </w:t>
      </w:r>
      <w:r w:rsidRPr="001D0846">
        <w:rPr>
          <w:rFonts w:ascii="Times New Roman" w:hAnsi="Times New Roman" w:cs="Times New Roman"/>
          <w:i/>
          <w:color w:val="000000"/>
          <w:sz w:val="28"/>
          <w:szCs w:val="28"/>
        </w:rPr>
        <w:t>(p)</w:t>
      </w:r>
      <w:r w:rsidRPr="001D0846">
        <w:rPr>
          <w:rFonts w:ascii="Times New Roman" w:hAnsi="Times New Roman" w:cs="Times New Roman"/>
          <w:color w:val="000000"/>
          <w:sz w:val="28"/>
          <w:szCs w:val="28"/>
        </w:rPr>
        <w:t xml:space="preserve"> dezvoltă baza tehnico-materială şi socială a organelor vamale, creează condiţii pentru activitatea colaboratorilor vamali; </w:t>
      </w:r>
      <w:r w:rsidRPr="001D0846">
        <w:rPr>
          <w:rFonts w:ascii="Times New Roman" w:hAnsi="Times New Roman" w:cs="Times New Roman"/>
          <w:i/>
          <w:color w:val="000000"/>
          <w:sz w:val="28"/>
          <w:szCs w:val="28"/>
        </w:rPr>
        <w:t>(r)</w:t>
      </w:r>
      <w:r w:rsidRPr="001D0846">
        <w:rPr>
          <w:rFonts w:ascii="Times New Roman" w:hAnsi="Times New Roman" w:cs="Times New Roman"/>
          <w:color w:val="000000"/>
          <w:sz w:val="28"/>
          <w:szCs w:val="28"/>
        </w:rPr>
        <w:t xml:space="preserve"> gestionează sistemul de certificare a originii, în cazurile stabilite de Guvern, inclusiv certifică originea mărfurilor şi eliberează contra plată certificate de origine la exportul mărfurilor; </w:t>
      </w:r>
      <w:r w:rsidRPr="001D0846">
        <w:rPr>
          <w:rFonts w:ascii="Times New Roman" w:hAnsi="Times New Roman" w:cs="Times New Roman"/>
          <w:i/>
          <w:color w:val="000000"/>
          <w:sz w:val="28"/>
          <w:szCs w:val="28"/>
        </w:rPr>
        <w:t>(s)</w:t>
      </w:r>
      <w:r w:rsidRPr="001D0846">
        <w:rPr>
          <w:rFonts w:ascii="Times New Roman" w:hAnsi="Times New Roman" w:cs="Times New Roman"/>
          <w:color w:val="000000"/>
          <w:sz w:val="28"/>
          <w:szCs w:val="28"/>
        </w:rPr>
        <w:t>desfăşoarăactivităţile necesare pentru administrarea riscurilor;</w:t>
      </w:r>
      <w:r w:rsidRPr="001D0846">
        <w:rPr>
          <w:rFonts w:ascii="Times New Roman" w:hAnsi="Times New Roman" w:cs="Times New Roman"/>
          <w:i/>
          <w:iCs/>
          <w:color w:val="0000FF"/>
          <w:sz w:val="28"/>
          <w:szCs w:val="28"/>
        </w:rPr>
        <w:t> (</w:t>
      </w:r>
      <w:r w:rsidRPr="001D0846">
        <w:rPr>
          <w:rFonts w:ascii="Times New Roman" w:hAnsi="Times New Roman" w:cs="Times New Roman"/>
          <w:i/>
          <w:color w:val="000000"/>
          <w:sz w:val="28"/>
          <w:szCs w:val="28"/>
        </w:rPr>
        <w:t>t)</w:t>
      </w:r>
      <w:r w:rsidRPr="001D0846">
        <w:rPr>
          <w:rFonts w:ascii="Times New Roman" w:hAnsi="Times New Roman" w:cs="Times New Roman"/>
          <w:color w:val="000000"/>
          <w:sz w:val="28"/>
          <w:szCs w:val="28"/>
        </w:rPr>
        <w:t xml:space="preserve"> asigură diseminarea legislaţiei vamale şi accesul la informaţii de interes public;  </w:t>
      </w:r>
      <w:r w:rsidRPr="001D0846">
        <w:rPr>
          <w:rFonts w:ascii="Times New Roman" w:hAnsi="Times New Roman" w:cs="Times New Roman"/>
          <w:i/>
          <w:color w:val="000000"/>
          <w:sz w:val="28"/>
          <w:szCs w:val="28"/>
        </w:rPr>
        <w:t>(u)</w:t>
      </w:r>
      <w:r w:rsidRPr="001D0846">
        <w:rPr>
          <w:rFonts w:ascii="Times New Roman" w:hAnsi="Times New Roman" w:cs="Times New Roman"/>
          <w:color w:val="000000"/>
          <w:sz w:val="28"/>
          <w:szCs w:val="28"/>
        </w:rPr>
        <w:t xml:space="preserve"> dezvoltă parteneriatul public-privat în domeniul vamal şi colaborează cu mediul de afaceri; </w:t>
      </w:r>
      <w:r w:rsidRPr="001D0846">
        <w:rPr>
          <w:rFonts w:ascii="Times New Roman" w:hAnsi="Times New Roman" w:cs="Times New Roman"/>
          <w:i/>
          <w:color w:val="000000"/>
          <w:sz w:val="28"/>
          <w:szCs w:val="28"/>
        </w:rPr>
        <w:t>(v)</w:t>
      </w:r>
      <w:r w:rsidRPr="001D0846">
        <w:rPr>
          <w:rFonts w:ascii="Times New Roman" w:hAnsi="Times New Roman" w:cs="Times New Roman"/>
          <w:color w:val="000000"/>
          <w:sz w:val="28"/>
          <w:szCs w:val="28"/>
        </w:rPr>
        <w:t xml:space="preserve"> exercită alte atribuţii stabilite de legislaţie.</w:t>
      </w:r>
    </w:p>
    <w:p w:rsidR="00714F5D" w:rsidRDefault="00714F5D" w:rsidP="00714F5D">
      <w:pPr>
        <w:spacing w:after="0" w:line="276" w:lineRule="auto"/>
      </w:pPr>
    </w:p>
    <w:p w:rsidR="00714F5D" w:rsidRDefault="00714F5D" w:rsidP="00714F5D">
      <w:pPr>
        <w:spacing w:after="0" w:line="276" w:lineRule="auto"/>
      </w:pPr>
    </w:p>
    <w:p w:rsidR="00714F5D" w:rsidRDefault="00714F5D" w:rsidP="00714F5D">
      <w:pPr>
        <w:spacing w:after="0" w:line="276" w:lineRule="auto"/>
      </w:pPr>
    </w:p>
    <w:p w:rsidR="00714F5D" w:rsidRDefault="00714F5D" w:rsidP="00714F5D">
      <w:pPr>
        <w:spacing w:after="0" w:line="276" w:lineRule="auto"/>
      </w:pPr>
    </w:p>
    <w:p w:rsidR="00714F5D" w:rsidRDefault="00714F5D" w:rsidP="00714F5D">
      <w:pPr>
        <w:spacing w:after="0" w:line="276" w:lineRule="auto"/>
      </w:pPr>
    </w:p>
    <w:p w:rsidR="00714F5D" w:rsidRDefault="00714F5D" w:rsidP="00714F5D">
      <w:pPr>
        <w:spacing w:after="0" w:line="276" w:lineRule="auto"/>
      </w:pPr>
    </w:p>
    <w:p w:rsidR="00714F5D" w:rsidRPr="001D0846" w:rsidRDefault="00714F5D" w:rsidP="00714F5D">
      <w:pPr>
        <w:spacing w:after="0" w:line="276" w:lineRule="auto"/>
      </w:pPr>
    </w:p>
    <w:p w:rsidR="00714F5D" w:rsidRPr="00714F5D" w:rsidRDefault="00714F5D" w:rsidP="00714F5D">
      <w:pPr>
        <w:pStyle w:val="Heading2"/>
        <w:rPr>
          <w:rFonts w:ascii="Times New Roman" w:hAnsi="Times New Roman" w:cs="Times New Roman"/>
          <w:b/>
          <w:i/>
          <w:color w:val="auto"/>
          <w:sz w:val="28"/>
          <w:szCs w:val="28"/>
        </w:rPr>
      </w:pPr>
      <w:bookmarkStart w:id="31" w:name="_Toc515344962"/>
      <w:bookmarkStart w:id="32" w:name="_Toc515894900"/>
      <w:r w:rsidRPr="00714F5D">
        <w:rPr>
          <w:rFonts w:ascii="Times New Roman" w:hAnsi="Times New Roman" w:cs="Times New Roman"/>
          <w:b/>
          <w:i/>
          <w:color w:val="auto"/>
          <w:sz w:val="28"/>
          <w:szCs w:val="28"/>
        </w:rPr>
        <w:t>Anexa nr.2</w:t>
      </w:r>
      <w:r>
        <w:rPr>
          <w:rFonts w:ascii="Times New Roman" w:hAnsi="Times New Roman" w:cs="Times New Roman"/>
          <w:b/>
          <w:i/>
          <w:color w:val="auto"/>
          <w:sz w:val="28"/>
          <w:szCs w:val="28"/>
        </w:rPr>
        <w:t xml:space="preserve">. </w:t>
      </w:r>
      <w:r w:rsidRPr="00714F5D">
        <w:rPr>
          <w:rFonts w:ascii="Times New Roman" w:hAnsi="Times New Roman" w:cs="Times New Roman"/>
          <w:i/>
          <w:color w:val="000000" w:themeColor="text1"/>
          <w:sz w:val="28"/>
          <w:szCs w:val="28"/>
        </w:rPr>
        <w:t>Domeniul de aplicare și metodologia de audit</w:t>
      </w:r>
      <w:bookmarkEnd w:id="31"/>
      <w:bookmarkEnd w:id="32"/>
    </w:p>
    <w:p w:rsidR="00714F5D" w:rsidRPr="001D0846" w:rsidRDefault="00714F5D" w:rsidP="00714F5D">
      <w:pPr>
        <w:spacing w:after="0" w:line="240" w:lineRule="auto"/>
        <w:jc w:val="center"/>
        <w:rPr>
          <w:rFonts w:ascii="Times New Roman" w:hAnsi="Times New Roman" w:cs="Times New Roman"/>
          <w:b/>
          <w:sz w:val="28"/>
          <w:szCs w:val="28"/>
        </w:rPr>
      </w:pPr>
    </w:p>
    <w:p w:rsidR="00714F5D" w:rsidRPr="001D0846" w:rsidRDefault="00714F5D" w:rsidP="00714F5D">
      <w:pPr>
        <w:spacing w:after="0" w:line="276" w:lineRule="auto"/>
        <w:ind w:firstLine="450"/>
        <w:rPr>
          <w:rFonts w:ascii="Times New Roman" w:hAnsi="Times New Roman" w:cs="Times New Roman"/>
          <w:b/>
          <w:i/>
          <w:sz w:val="28"/>
          <w:szCs w:val="28"/>
        </w:rPr>
      </w:pPr>
      <w:r w:rsidRPr="001D0846">
        <w:rPr>
          <w:rFonts w:ascii="Times New Roman" w:hAnsi="Times New Roman" w:cs="Times New Roman"/>
          <w:b/>
          <w:i/>
          <w:sz w:val="28"/>
          <w:szCs w:val="28"/>
        </w:rPr>
        <w:t>Domeniul de aplicare</w:t>
      </w:r>
    </w:p>
    <w:p w:rsidR="00714F5D" w:rsidRPr="001D0846" w:rsidRDefault="00714F5D" w:rsidP="00714F5D">
      <w:pPr>
        <w:tabs>
          <w:tab w:val="left" w:pos="0"/>
        </w:tabs>
        <w:spacing w:after="0" w:line="276" w:lineRule="auto"/>
        <w:ind w:firstLine="450"/>
        <w:jc w:val="both"/>
        <w:rPr>
          <w:rFonts w:ascii="Times New Roman" w:eastAsia="Calibri" w:hAnsi="Times New Roman" w:cs="Times New Roman"/>
          <w:sz w:val="28"/>
          <w:szCs w:val="28"/>
        </w:rPr>
      </w:pPr>
      <w:r w:rsidRPr="001D0846">
        <w:rPr>
          <w:rFonts w:ascii="Times New Roman" w:hAnsi="Times New Roman" w:cs="Times New Roman"/>
          <w:sz w:val="28"/>
          <w:szCs w:val="28"/>
        </w:rPr>
        <w:t xml:space="preserve">Curtea de Conturi, în conformitate cu </w:t>
      </w:r>
      <w:r w:rsidRPr="001D0846">
        <w:rPr>
          <w:rFonts w:ascii="Times New Roman" w:hAnsi="Times New Roman" w:cs="Times New Roman"/>
          <w:noProof/>
          <w:sz w:val="28"/>
          <w:szCs w:val="28"/>
        </w:rPr>
        <w:t xml:space="preserve">Programul activităţii de audit </w:t>
      </w:r>
      <w:r w:rsidRPr="001D0846">
        <w:rPr>
          <w:rFonts w:ascii="Times New Roman" w:hAnsi="Times New Roman" w:cs="Times New Roman"/>
          <w:sz w:val="28"/>
          <w:szCs w:val="28"/>
        </w:rPr>
        <w:t xml:space="preserve">pe anul 2017, a </w:t>
      </w:r>
      <w:r w:rsidRPr="001D0846">
        <w:rPr>
          <w:rFonts w:ascii="Times New Roman" w:eastAsia="Calibri" w:hAnsi="Times New Roman" w:cs="Times New Roman"/>
          <w:sz w:val="28"/>
          <w:szCs w:val="28"/>
        </w:rPr>
        <w:t xml:space="preserve">inițiat </w:t>
      </w:r>
      <w:r w:rsidRPr="001D0846">
        <w:rPr>
          <w:rFonts w:ascii="Times New Roman" w:hAnsi="Times New Roman" w:cs="Times New Roman"/>
          <w:noProof/>
          <w:color w:val="000000"/>
          <w:sz w:val="28"/>
          <w:szCs w:val="28"/>
        </w:rPr>
        <w:t xml:space="preserve">auditul performanței </w:t>
      </w:r>
      <w:r w:rsidRPr="001D0846">
        <w:rPr>
          <w:rFonts w:ascii="Times New Roman" w:hAnsi="Times New Roman" w:cs="Times New Roman"/>
          <w:color w:val="000000"/>
          <w:sz w:val="28"/>
          <w:szCs w:val="28"/>
          <w:lang w:bidi="en-US"/>
        </w:rPr>
        <w:t>„</w:t>
      </w:r>
      <w:r w:rsidRPr="001D0846">
        <w:rPr>
          <w:rFonts w:ascii="Times New Roman" w:hAnsi="Times New Roman" w:cs="Times New Roman"/>
          <w:sz w:val="28"/>
          <w:szCs w:val="28"/>
        </w:rPr>
        <w:t>Funcționalitatea și rezult</w:t>
      </w:r>
      <w:r>
        <w:rPr>
          <w:rFonts w:ascii="Times New Roman" w:hAnsi="Times New Roman" w:cs="Times New Roman"/>
          <w:sz w:val="28"/>
          <w:szCs w:val="28"/>
        </w:rPr>
        <w:t>ativitatea operațională aferente</w:t>
      </w:r>
      <w:r w:rsidRPr="001D0846">
        <w:rPr>
          <w:rFonts w:ascii="Times New Roman" w:hAnsi="Times New Roman" w:cs="Times New Roman"/>
          <w:sz w:val="28"/>
          <w:szCs w:val="28"/>
        </w:rPr>
        <w:t xml:space="preserve"> administrării impozitelor și taxelor”. În acest context</w:t>
      </w:r>
      <w:r>
        <w:rPr>
          <w:rFonts w:ascii="Times New Roman" w:hAnsi="Times New Roman" w:cs="Times New Roman"/>
          <w:sz w:val="28"/>
          <w:szCs w:val="28"/>
        </w:rPr>
        <w:t>,</w:t>
      </w:r>
      <w:r w:rsidRPr="001D0846">
        <w:rPr>
          <w:rFonts w:ascii="Times New Roman" w:hAnsi="Times New Roman" w:cs="Times New Roman"/>
          <w:sz w:val="28"/>
          <w:szCs w:val="28"/>
        </w:rPr>
        <w:t xml:space="preserve"> auditul și-a propus să evalueze managementul și performanțele administrării impozitelor și taxelor, să identifice riscurile, problemele și vulnerabilitățile care pot avea impact asupra realizării performanțelor sistemului de administrare, precum și să elaboreze recomandări pentru îmbunătățirea managementului și a rezultatelor administrării unor impozite și taxe.</w:t>
      </w:r>
    </w:p>
    <w:p w:rsidR="00714F5D" w:rsidRPr="001D0846" w:rsidRDefault="00714F5D" w:rsidP="00714F5D">
      <w:pPr>
        <w:tabs>
          <w:tab w:val="left" w:pos="0"/>
        </w:tabs>
        <w:spacing w:after="0" w:line="276" w:lineRule="auto"/>
        <w:ind w:firstLine="450"/>
        <w:jc w:val="both"/>
        <w:rPr>
          <w:rFonts w:ascii="Times New Roman" w:eastAsia="Calibri" w:hAnsi="Times New Roman" w:cs="Times New Roman"/>
          <w:sz w:val="28"/>
          <w:szCs w:val="28"/>
        </w:rPr>
      </w:pPr>
      <w:r w:rsidRPr="001D0846">
        <w:rPr>
          <w:rFonts w:ascii="Times New Roman" w:hAnsi="Times New Roman" w:cs="Times New Roman"/>
          <w:sz w:val="28"/>
          <w:szCs w:val="28"/>
        </w:rPr>
        <w:t>În cadrul misiunii de audit,</w:t>
      </w:r>
      <w:r w:rsidRPr="001D0846">
        <w:rPr>
          <w:rFonts w:ascii="Times New Roman" w:eastAsia="Times New Roman" w:hAnsi="Times New Roman" w:cs="Times New Roman"/>
          <w:sz w:val="28"/>
          <w:szCs w:val="28"/>
        </w:rPr>
        <w:t xml:space="preserve"> la efectuarea activităților aferente</w:t>
      </w:r>
      <w:r>
        <w:rPr>
          <w:rFonts w:ascii="Times New Roman" w:eastAsia="Times New Roman" w:hAnsi="Times New Roman" w:cs="Times New Roman"/>
          <w:sz w:val="28"/>
          <w:szCs w:val="28"/>
        </w:rPr>
        <w:t>,</w:t>
      </w:r>
      <w:r w:rsidRPr="001D0846">
        <w:rPr>
          <w:rFonts w:ascii="Times New Roman" w:hAnsi="Times New Roman" w:cs="Times New Roman"/>
          <w:sz w:val="28"/>
          <w:szCs w:val="28"/>
        </w:rPr>
        <w:t xml:space="preserve"> echipa de audit s-a ghidat de:</w:t>
      </w:r>
    </w:p>
    <w:p w:rsidR="00714F5D" w:rsidRPr="001D0846" w:rsidRDefault="00714F5D" w:rsidP="00714F5D">
      <w:pPr>
        <w:numPr>
          <w:ilvl w:val="0"/>
          <w:numId w:val="5"/>
        </w:numPr>
        <w:tabs>
          <w:tab w:val="left" w:pos="0"/>
        </w:tabs>
        <w:spacing w:after="0" w:line="276" w:lineRule="auto"/>
        <w:ind w:firstLine="450"/>
        <w:jc w:val="both"/>
        <w:rPr>
          <w:rFonts w:ascii="Times New Roman" w:hAnsi="Times New Roman" w:cs="Times New Roman"/>
          <w:b/>
          <w:sz w:val="28"/>
          <w:szCs w:val="28"/>
        </w:rPr>
      </w:pPr>
      <w:r w:rsidRPr="001D0846">
        <w:rPr>
          <w:rFonts w:ascii="Times New Roman" w:hAnsi="Times New Roman" w:cs="Times New Roman"/>
          <w:sz w:val="28"/>
          <w:szCs w:val="28"/>
        </w:rPr>
        <w:t>ISSAI 300 „Principii fundamentale ale auditului performanței”;</w:t>
      </w:r>
    </w:p>
    <w:p w:rsidR="00714F5D" w:rsidRPr="001D0846" w:rsidRDefault="00714F5D" w:rsidP="00714F5D">
      <w:pPr>
        <w:numPr>
          <w:ilvl w:val="0"/>
          <w:numId w:val="5"/>
        </w:numPr>
        <w:tabs>
          <w:tab w:val="left" w:pos="0"/>
        </w:tabs>
        <w:spacing w:after="0" w:line="276" w:lineRule="auto"/>
        <w:ind w:firstLine="450"/>
        <w:jc w:val="both"/>
        <w:rPr>
          <w:rFonts w:ascii="Times New Roman" w:hAnsi="Times New Roman" w:cs="Times New Roman"/>
          <w:b/>
          <w:sz w:val="28"/>
          <w:szCs w:val="28"/>
        </w:rPr>
      </w:pPr>
      <w:r w:rsidRPr="001D0846">
        <w:rPr>
          <w:rFonts w:ascii="Times New Roman" w:hAnsi="Times New Roman" w:cs="Times New Roman"/>
          <w:sz w:val="28"/>
          <w:szCs w:val="28"/>
        </w:rPr>
        <w:t>ISSAI 3100 „Ghidul auditului performanței – principii de bază”;</w:t>
      </w:r>
    </w:p>
    <w:p w:rsidR="00714F5D" w:rsidRPr="001D0846" w:rsidRDefault="00714F5D" w:rsidP="00714F5D">
      <w:pPr>
        <w:numPr>
          <w:ilvl w:val="0"/>
          <w:numId w:val="5"/>
        </w:numPr>
        <w:tabs>
          <w:tab w:val="left" w:pos="0"/>
        </w:tabs>
        <w:spacing w:after="0" w:line="276" w:lineRule="auto"/>
        <w:ind w:firstLine="450"/>
        <w:jc w:val="both"/>
        <w:rPr>
          <w:rFonts w:ascii="Times New Roman" w:hAnsi="Times New Roman" w:cs="Times New Roman"/>
          <w:b/>
          <w:sz w:val="28"/>
          <w:szCs w:val="28"/>
        </w:rPr>
      </w:pPr>
      <w:r w:rsidRPr="001D0846">
        <w:rPr>
          <w:rFonts w:ascii="Times New Roman" w:hAnsi="Times New Roman" w:cs="Times New Roman"/>
          <w:sz w:val="28"/>
          <w:szCs w:val="28"/>
        </w:rPr>
        <w:t>Manualul de audit al performanței</w:t>
      </w:r>
      <w:r w:rsidRPr="001D0846">
        <w:rPr>
          <w:rFonts w:ascii="Times New Roman" w:hAnsi="Times New Roman" w:cs="Times New Roman"/>
          <w:sz w:val="28"/>
          <w:szCs w:val="28"/>
          <w:vertAlign w:val="superscript"/>
        </w:rPr>
        <w:footnoteReference w:id="24"/>
      </w:r>
      <w:r w:rsidRPr="001D0846">
        <w:rPr>
          <w:rFonts w:ascii="Times New Roman" w:hAnsi="Times New Roman" w:cs="Times New Roman"/>
          <w:sz w:val="28"/>
          <w:szCs w:val="28"/>
        </w:rPr>
        <w:t>.</w:t>
      </w:r>
    </w:p>
    <w:p w:rsidR="00714F5D" w:rsidRPr="001D0846" w:rsidRDefault="00714F5D" w:rsidP="00714F5D">
      <w:pPr>
        <w:tabs>
          <w:tab w:val="left" w:pos="0"/>
        </w:tabs>
        <w:spacing w:after="0" w:line="276" w:lineRule="auto"/>
        <w:ind w:firstLine="450"/>
        <w:jc w:val="both"/>
        <w:rPr>
          <w:rFonts w:ascii="Times New Roman" w:hAnsi="Times New Roman" w:cs="Times New Roman"/>
          <w:sz w:val="28"/>
          <w:szCs w:val="28"/>
        </w:rPr>
      </w:pPr>
      <w:r w:rsidRPr="001D0846">
        <w:rPr>
          <w:rFonts w:ascii="Times New Roman" w:hAnsi="Times New Roman" w:cs="Times New Roman"/>
          <w:sz w:val="28"/>
          <w:szCs w:val="28"/>
        </w:rPr>
        <w:t>În scopul evaluării performanței în cadrul auditului, au fost stabilite sursele criteriilor de audit pentru auditarea domeniilor-cheie, după cum urmează:</w:t>
      </w:r>
    </w:p>
    <w:p w:rsidR="00714F5D" w:rsidRPr="001D0846" w:rsidRDefault="00714F5D" w:rsidP="00714F5D">
      <w:pPr>
        <w:pStyle w:val="ListParagraph"/>
        <w:numPr>
          <w:ilvl w:val="0"/>
          <w:numId w:val="2"/>
        </w:numPr>
        <w:tabs>
          <w:tab w:val="left" w:pos="0"/>
          <w:tab w:val="left" w:pos="270"/>
          <w:tab w:val="left" w:pos="540"/>
          <w:tab w:val="left" w:pos="630"/>
          <w:tab w:val="left" w:pos="720"/>
        </w:tabs>
        <w:spacing w:after="0" w:line="276" w:lineRule="auto"/>
        <w:ind w:left="-90" w:firstLine="450"/>
        <w:jc w:val="both"/>
        <w:rPr>
          <w:rFonts w:ascii="Times New Roman" w:hAnsi="Times New Roman" w:cs="Times New Roman"/>
          <w:sz w:val="28"/>
          <w:szCs w:val="28"/>
        </w:rPr>
      </w:pPr>
      <w:r w:rsidRPr="001D0846">
        <w:rPr>
          <w:rFonts w:ascii="Times New Roman" w:hAnsi="Times New Roman" w:cs="Times New Roman"/>
          <w:sz w:val="28"/>
          <w:szCs w:val="28"/>
        </w:rPr>
        <w:t>cadrul legislativ-normativ de reglementare a domeniilor administrării impozitelor și taxelor, precum și a sistemului de control intern;</w:t>
      </w:r>
    </w:p>
    <w:p w:rsidR="00714F5D" w:rsidRPr="001D0846" w:rsidRDefault="00714F5D" w:rsidP="00714F5D">
      <w:pPr>
        <w:pStyle w:val="ListParagraph"/>
        <w:numPr>
          <w:ilvl w:val="0"/>
          <w:numId w:val="2"/>
        </w:numPr>
        <w:tabs>
          <w:tab w:val="left" w:pos="0"/>
          <w:tab w:val="left" w:pos="270"/>
          <w:tab w:val="left" w:pos="540"/>
          <w:tab w:val="left" w:pos="630"/>
          <w:tab w:val="left" w:pos="720"/>
        </w:tabs>
        <w:spacing w:after="0" w:line="276" w:lineRule="auto"/>
        <w:ind w:left="-90" w:firstLine="450"/>
        <w:jc w:val="both"/>
        <w:rPr>
          <w:rFonts w:ascii="Times New Roman" w:hAnsi="Times New Roman" w:cs="Times New Roman"/>
          <w:sz w:val="28"/>
          <w:szCs w:val="28"/>
        </w:rPr>
      </w:pPr>
      <w:r w:rsidRPr="001D0846">
        <w:rPr>
          <w:rFonts w:ascii="Times New Roman" w:hAnsi="Times New Roman" w:cs="Times New Roman"/>
          <w:sz w:val="28"/>
          <w:szCs w:val="28"/>
          <w:lang w:eastAsia="ru-RU"/>
        </w:rPr>
        <w:t>programele,</w:t>
      </w:r>
      <w:r>
        <w:rPr>
          <w:rFonts w:ascii="Times New Roman" w:hAnsi="Times New Roman" w:cs="Times New Roman"/>
          <w:sz w:val="28"/>
          <w:szCs w:val="28"/>
          <w:lang w:eastAsia="ru-RU"/>
        </w:rPr>
        <w:t xml:space="preserve"> strategiile și alte documente</w:t>
      </w:r>
      <w:r w:rsidRPr="001D0846">
        <w:rPr>
          <w:rFonts w:ascii="Times New Roman" w:hAnsi="Times New Roman" w:cs="Times New Roman"/>
          <w:sz w:val="28"/>
          <w:szCs w:val="28"/>
          <w:lang w:eastAsia="ru-RU"/>
        </w:rPr>
        <w:t xml:space="preserve"> de planificare strategică privind</w:t>
      </w:r>
      <w:r w:rsidRPr="001D0846">
        <w:rPr>
          <w:rFonts w:ascii="Times New Roman" w:hAnsi="Times New Roman" w:cs="Times New Roman"/>
          <w:sz w:val="28"/>
          <w:szCs w:val="28"/>
        </w:rPr>
        <w:t xml:space="preserve"> administrarea impozitelor și taxelor;</w:t>
      </w:r>
    </w:p>
    <w:p w:rsidR="00714F5D" w:rsidRPr="001D0846" w:rsidRDefault="00714F5D" w:rsidP="00714F5D">
      <w:pPr>
        <w:pStyle w:val="ListParagraph"/>
        <w:numPr>
          <w:ilvl w:val="0"/>
          <w:numId w:val="2"/>
        </w:numPr>
        <w:tabs>
          <w:tab w:val="left" w:pos="0"/>
          <w:tab w:val="left" w:pos="270"/>
          <w:tab w:val="left" w:pos="540"/>
          <w:tab w:val="left" w:pos="630"/>
          <w:tab w:val="left" w:pos="720"/>
        </w:tabs>
        <w:spacing w:after="0" w:line="276" w:lineRule="auto"/>
        <w:ind w:left="-90" w:firstLine="450"/>
        <w:jc w:val="both"/>
        <w:rPr>
          <w:rFonts w:ascii="Times New Roman" w:hAnsi="Times New Roman" w:cs="Times New Roman"/>
          <w:sz w:val="28"/>
          <w:szCs w:val="28"/>
        </w:rPr>
      </w:pPr>
      <w:r w:rsidRPr="001D0846">
        <w:rPr>
          <w:rFonts w:ascii="Times New Roman" w:hAnsi="Times New Roman" w:cs="Times New Roman"/>
          <w:sz w:val="28"/>
          <w:szCs w:val="28"/>
        </w:rPr>
        <w:t xml:space="preserve">planurile de activitate, indicatorii-cheie de performanță/rezultat stabiliți </w:t>
      </w:r>
      <w:r w:rsidRPr="001D0846">
        <w:rPr>
          <w:rFonts w:ascii="Times New Roman" w:hAnsi="Times New Roman" w:cs="Times New Roman"/>
          <w:color w:val="000000"/>
          <w:sz w:val="28"/>
          <w:szCs w:val="28"/>
          <w:lang w:bidi="en-US"/>
        </w:rPr>
        <w:t>în activitatea de administrare a impozitelor și taxelor;</w:t>
      </w:r>
    </w:p>
    <w:p w:rsidR="00714F5D" w:rsidRPr="001D0846" w:rsidRDefault="00714F5D" w:rsidP="00714F5D">
      <w:pPr>
        <w:pStyle w:val="ListParagraph"/>
        <w:numPr>
          <w:ilvl w:val="0"/>
          <w:numId w:val="2"/>
        </w:numPr>
        <w:tabs>
          <w:tab w:val="left" w:pos="0"/>
          <w:tab w:val="left" w:pos="270"/>
          <w:tab w:val="left" w:pos="540"/>
          <w:tab w:val="left" w:pos="630"/>
          <w:tab w:val="left" w:pos="720"/>
        </w:tabs>
        <w:spacing w:after="0" w:line="276" w:lineRule="auto"/>
        <w:ind w:left="-90" w:firstLine="450"/>
        <w:jc w:val="both"/>
        <w:rPr>
          <w:rFonts w:ascii="Times New Roman" w:hAnsi="Times New Roman" w:cs="Times New Roman"/>
          <w:sz w:val="28"/>
          <w:szCs w:val="28"/>
        </w:rPr>
      </w:pPr>
      <w:r w:rsidRPr="001D0846">
        <w:rPr>
          <w:rFonts w:ascii="Times New Roman" w:hAnsi="Times New Roman" w:cs="Times New Roman"/>
          <w:bCs/>
          <w:color w:val="000000" w:themeColor="text1"/>
          <w:sz w:val="28"/>
          <w:szCs w:val="28"/>
        </w:rPr>
        <w:t>manualul de audit al performanței, ghidul auditării veniturilor publice, precum și bunele practici ale Curții de Conturi în auditarea veniturilor publice.</w:t>
      </w:r>
    </w:p>
    <w:p w:rsidR="00714F5D" w:rsidRPr="001D0846" w:rsidRDefault="00714F5D" w:rsidP="00714F5D">
      <w:pPr>
        <w:tabs>
          <w:tab w:val="left" w:pos="0"/>
        </w:tabs>
        <w:spacing w:after="0" w:line="276" w:lineRule="auto"/>
        <w:ind w:firstLine="450"/>
        <w:jc w:val="both"/>
        <w:rPr>
          <w:rFonts w:ascii="Times New Roman" w:hAnsi="Times New Roman" w:cs="Times New Roman"/>
          <w:sz w:val="28"/>
          <w:szCs w:val="28"/>
        </w:rPr>
      </w:pPr>
      <w:r w:rsidRPr="001D0846">
        <w:rPr>
          <w:rFonts w:ascii="Times New Roman" w:hAnsi="Times New Roman" w:cs="Times New Roman"/>
          <w:sz w:val="28"/>
          <w:szCs w:val="28"/>
        </w:rPr>
        <w:t xml:space="preserve">Misiunea de audt s-a desfășurat la Serviciul Fiscal de Stat și </w:t>
      </w:r>
      <w:r>
        <w:rPr>
          <w:rFonts w:ascii="Times New Roman" w:hAnsi="Times New Roman" w:cs="Times New Roman"/>
          <w:sz w:val="28"/>
          <w:szCs w:val="28"/>
        </w:rPr>
        <w:t xml:space="preserve">la </w:t>
      </w:r>
      <w:r w:rsidRPr="001D0846">
        <w:rPr>
          <w:rFonts w:ascii="Times New Roman" w:hAnsi="Times New Roman" w:cs="Times New Roman"/>
          <w:sz w:val="28"/>
          <w:szCs w:val="28"/>
        </w:rPr>
        <w:t>Serviciul Vamal – principalii administratori de impozite și taxe.</w:t>
      </w:r>
    </w:p>
    <w:p w:rsidR="00714F5D" w:rsidRPr="001D0846" w:rsidRDefault="00714F5D" w:rsidP="00714F5D">
      <w:pPr>
        <w:tabs>
          <w:tab w:val="left" w:pos="0"/>
        </w:tabs>
        <w:spacing w:after="0" w:line="276" w:lineRule="auto"/>
        <w:ind w:firstLine="450"/>
        <w:jc w:val="both"/>
        <w:rPr>
          <w:rFonts w:ascii="Times New Roman" w:hAnsi="Times New Roman" w:cs="Times New Roman"/>
          <w:sz w:val="28"/>
          <w:szCs w:val="28"/>
        </w:rPr>
      </w:pPr>
    </w:p>
    <w:p w:rsidR="00714F5D" w:rsidRPr="001D0846" w:rsidRDefault="00714F5D" w:rsidP="00714F5D">
      <w:pPr>
        <w:tabs>
          <w:tab w:val="left" w:pos="0"/>
        </w:tabs>
        <w:spacing w:after="0" w:line="276" w:lineRule="auto"/>
        <w:ind w:firstLine="450"/>
        <w:jc w:val="both"/>
        <w:rPr>
          <w:rFonts w:ascii="Times New Roman" w:hAnsi="Times New Roman" w:cs="Times New Roman"/>
          <w:b/>
          <w:i/>
          <w:sz w:val="28"/>
          <w:szCs w:val="28"/>
        </w:rPr>
      </w:pPr>
      <w:r w:rsidRPr="001D0846">
        <w:rPr>
          <w:rFonts w:ascii="Times New Roman" w:hAnsi="Times New Roman" w:cs="Times New Roman"/>
          <w:b/>
          <w:i/>
          <w:sz w:val="28"/>
          <w:szCs w:val="28"/>
        </w:rPr>
        <w:t>Metodologiaauditului</w:t>
      </w:r>
    </w:p>
    <w:p w:rsidR="00714F5D" w:rsidRPr="001D0846" w:rsidRDefault="00714F5D" w:rsidP="00714F5D">
      <w:pPr>
        <w:tabs>
          <w:tab w:val="left" w:pos="0"/>
        </w:tabs>
        <w:spacing w:after="0" w:line="276" w:lineRule="auto"/>
        <w:ind w:firstLine="450"/>
        <w:jc w:val="both"/>
        <w:rPr>
          <w:rFonts w:ascii="Times New Roman" w:hAnsi="Times New Roman" w:cs="Times New Roman"/>
          <w:sz w:val="28"/>
          <w:szCs w:val="28"/>
        </w:rPr>
      </w:pPr>
      <w:r w:rsidRPr="001D0846">
        <w:rPr>
          <w:rFonts w:ascii="Times New Roman" w:hAnsi="Times New Roman" w:cs="Times New Roman"/>
          <w:sz w:val="28"/>
          <w:szCs w:val="28"/>
        </w:rPr>
        <w:lastRenderedPageBreak/>
        <w:t xml:space="preserve">Pentru obținerea unor probe suficiente și adecvate, care să susțină concluzia și credibilitatea constatărilor expuse în Raportul de audit, echipa de audit a utilizat următoarele proceduri de audit, cum ar fi: </w:t>
      </w:r>
    </w:p>
    <w:p w:rsidR="00714F5D" w:rsidRPr="001D0846" w:rsidRDefault="00714F5D" w:rsidP="00714F5D">
      <w:pPr>
        <w:pStyle w:val="ListParagraph"/>
        <w:numPr>
          <w:ilvl w:val="0"/>
          <w:numId w:val="16"/>
        </w:numPr>
        <w:tabs>
          <w:tab w:val="left" w:pos="630"/>
        </w:tabs>
        <w:spacing w:after="0" w:line="276" w:lineRule="auto"/>
        <w:ind w:left="0" w:firstLine="270"/>
        <w:jc w:val="both"/>
        <w:rPr>
          <w:rFonts w:ascii="Times New Roman" w:hAnsi="Times New Roman" w:cs="Times New Roman"/>
          <w:sz w:val="28"/>
          <w:szCs w:val="28"/>
        </w:rPr>
      </w:pPr>
      <w:r w:rsidRPr="001D0846">
        <w:rPr>
          <w:rFonts w:ascii="Times New Roman" w:hAnsi="Times New Roman" w:cs="Times New Roman"/>
          <w:b/>
          <w:color w:val="000000" w:themeColor="text1"/>
          <w:sz w:val="28"/>
          <w:szCs w:val="28"/>
        </w:rPr>
        <w:t>examinarea</w:t>
      </w:r>
      <w:r w:rsidRPr="001D0846">
        <w:rPr>
          <w:rFonts w:ascii="Times New Roman" w:hAnsi="Times New Roman" w:cs="Times New Roman"/>
          <w:color w:val="000000" w:themeColor="text1"/>
          <w:sz w:val="28"/>
          <w:szCs w:val="28"/>
        </w:rPr>
        <w:t xml:space="preserve"> planurilor și rapoartelor de activitateîn scopul analizei rezultatelor obținute în raport cu sarcinile stabilite;</w:t>
      </w:r>
    </w:p>
    <w:p w:rsidR="00714F5D" w:rsidRPr="001D0846" w:rsidRDefault="00714F5D" w:rsidP="00714F5D">
      <w:pPr>
        <w:pStyle w:val="ListParagraph"/>
        <w:numPr>
          <w:ilvl w:val="0"/>
          <w:numId w:val="15"/>
        </w:numPr>
        <w:tabs>
          <w:tab w:val="left" w:pos="540"/>
          <w:tab w:val="left" w:pos="851"/>
        </w:tabs>
        <w:spacing w:after="0" w:line="276" w:lineRule="auto"/>
        <w:ind w:left="0" w:firstLine="180"/>
        <w:jc w:val="both"/>
        <w:rPr>
          <w:rFonts w:ascii="Times New Roman" w:hAnsi="Times New Roman" w:cs="Times New Roman"/>
          <w:color w:val="000000" w:themeColor="text1"/>
          <w:sz w:val="28"/>
          <w:szCs w:val="28"/>
        </w:rPr>
      </w:pPr>
      <w:r w:rsidRPr="001D0846">
        <w:rPr>
          <w:rFonts w:ascii="Times New Roman" w:hAnsi="Times New Roman" w:cs="Times New Roman"/>
          <w:b/>
          <w:color w:val="000000" w:themeColor="text1"/>
          <w:sz w:val="28"/>
          <w:szCs w:val="28"/>
        </w:rPr>
        <w:t xml:space="preserve">intervievarea </w:t>
      </w:r>
      <w:r w:rsidRPr="001D0846">
        <w:rPr>
          <w:rFonts w:ascii="Times New Roman" w:hAnsi="Times New Roman" w:cs="Times New Roman"/>
          <w:color w:val="000000" w:themeColor="text1"/>
          <w:sz w:val="28"/>
          <w:szCs w:val="28"/>
        </w:rPr>
        <w:t>persoanelor responsabile din cadrul entităților selectate pentru auditare, precum și întocmirea chestionarelor în scopul identificării riscurilor, vulnerabilităților și problemelor din domeniu;</w:t>
      </w:r>
    </w:p>
    <w:p w:rsidR="00714F5D" w:rsidRPr="001D0846" w:rsidRDefault="00714F5D" w:rsidP="00714F5D">
      <w:pPr>
        <w:pStyle w:val="ListParagraph"/>
        <w:numPr>
          <w:ilvl w:val="0"/>
          <w:numId w:val="15"/>
        </w:numPr>
        <w:tabs>
          <w:tab w:val="left" w:pos="540"/>
          <w:tab w:val="left" w:pos="851"/>
        </w:tabs>
        <w:spacing w:after="0" w:line="276" w:lineRule="auto"/>
        <w:ind w:left="0" w:firstLine="180"/>
        <w:jc w:val="both"/>
        <w:rPr>
          <w:rFonts w:ascii="Times New Roman" w:hAnsi="Times New Roman" w:cs="Times New Roman"/>
          <w:color w:val="000000" w:themeColor="text1"/>
          <w:sz w:val="28"/>
          <w:szCs w:val="28"/>
        </w:rPr>
      </w:pPr>
      <w:r w:rsidRPr="001D0846">
        <w:rPr>
          <w:rFonts w:ascii="Times New Roman" w:hAnsi="Times New Roman" w:cs="Times New Roman"/>
          <w:b/>
          <w:color w:val="000000" w:themeColor="text1"/>
          <w:sz w:val="28"/>
          <w:szCs w:val="28"/>
        </w:rPr>
        <w:t xml:space="preserve">analiza </w:t>
      </w:r>
      <w:r w:rsidRPr="001D0846">
        <w:rPr>
          <w:rFonts w:ascii="Times New Roman" w:hAnsi="Times New Roman" w:cs="Times New Roman"/>
          <w:color w:val="000000" w:themeColor="text1"/>
          <w:sz w:val="28"/>
          <w:szCs w:val="28"/>
        </w:rPr>
        <w:t>documentelor, datelor și informațiilor în cadrul entităților;</w:t>
      </w:r>
    </w:p>
    <w:p w:rsidR="00714F5D" w:rsidRPr="001D0846" w:rsidRDefault="00714F5D" w:rsidP="00714F5D">
      <w:pPr>
        <w:pStyle w:val="ListParagraph"/>
        <w:numPr>
          <w:ilvl w:val="0"/>
          <w:numId w:val="15"/>
        </w:numPr>
        <w:tabs>
          <w:tab w:val="left" w:pos="540"/>
          <w:tab w:val="left" w:pos="851"/>
        </w:tabs>
        <w:spacing w:after="0" w:line="276" w:lineRule="auto"/>
        <w:ind w:left="0" w:firstLine="180"/>
        <w:jc w:val="both"/>
        <w:rPr>
          <w:rFonts w:ascii="Times New Roman" w:hAnsi="Times New Roman" w:cs="Times New Roman"/>
          <w:color w:val="000000" w:themeColor="text1"/>
          <w:sz w:val="28"/>
          <w:szCs w:val="28"/>
        </w:rPr>
      </w:pPr>
      <w:r w:rsidRPr="001D0846">
        <w:rPr>
          <w:rFonts w:ascii="Times New Roman" w:hAnsi="Times New Roman" w:cs="Times New Roman"/>
          <w:b/>
          <w:color w:val="000000" w:themeColor="text1"/>
          <w:sz w:val="28"/>
          <w:szCs w:val="28"/>
        </w:rPr>
        <w:t xml:space="preserve">observații directe, </w:t>
      </w:r>
      <w:r w:rsidRPr="001D0846">
        <w:rPr>
          <w:rFonts w:ascii="Times New Roman" w:hAnsi="Times New Roman" w:cs="Times New Roman"/>
          <w:color w:val="000000" w:themeColor="text1"/>
          <w:sz w:val="28"/>
          <w:szCs w:val="28"/>
        </w:rPr>
        <w:t>prinorganizarea vizitelor în teritoriu pentru acumularea unor probe fizice în activitatea de administrare a impozitelor și taxelor;</w:t>
      </w:r>
    </w:p>
    <w:p w:rsidR="00714F5D" w:rsidRPr="001D0846" w:rsidRDefault="00714F5D" w:rsidP="00714F5D">
      <w:pPr>
        <w:pStyle w:val="ListParagraph"/>
        <w:numPr>
          <w:ilvl w:val="0"/>
          <w:numId w:val="15"/>
        </w:numPr>
        <w:tabs>
          <w:tab w:val="left" w:pos="540"/>
          <w:tab w:val="left" w:pos="851"/>
        </w:tabs>
        <w:spacing w:after="0" w:line="276" w:lineRule="auto"/>
        <w:ind w:left="0" w:firstLine="180"/>
        <w:jc w:val="both"/>
        <w:rPr>
          <w:rFonts w:ascii="Times New Roman" w:hAnsi="Times New Roman" w:cs="Times New Roman"/>
          <w:color w:val="000000" w:themeColor="text1"/>
          <w:sz w:val="28"/>
          <w:szCs w:val="28"/>
        </w:rPr>
      </w:pPr>
      <w:r w:rsidRPr="001D0846">
        <w:rPr>
          <w:rFonts w:ascii="Times New Roman" w:hAnsi="Times New Roman" w:cs="Times New Roman"/>
          <w:b/>
          <w:color w:val="000000" w:themeColor="text1"/>
          <w:sz w:val="28"/>
          <w:szCs w:val="28"/>
        </w:rPr>
        <w:t xml:space="preserve">verificarea </w:t>
      </w:r>
      <w:r w:rsidRPr="001D0846">
        <w:rPr>
          <w:rFonts w:ascii="Times New Roman" w:hAnsi="Times New Roman" w:cs="Times New Roman"/>
          <w:color w:val="000000" w:themeColor="text1"/>
          <w:sz w:val="28"/>
          <w:szCs w:val="28"/>
        </w:rPr>
        <w:t xml:space="preserve">rezultativității măsurilor/acțiunilor realizate în activitatea de administrare a impozitelor și taxelor; </w:t>
      </w:r>
    </w:p>
    <w:p w:rsidR="00714F5D" w:rsidRPr="001D0846" w:rsidRDefault="00714F5D" w:rsidP="00714F5D">
      <w:pPr>
        <w:pStyle w:val="ListParagraph"/>
        <w:numPr>
          <w:ilvl w:val="0"/>
          <w:numId w:val="15"/>
        </w:numPr>
        <w:tabs>
          <w:tab w:val="left" w:pos="540"/>
          <w:tab w:val="left" w:pos="851"/>
        </w:tabs>
        <w:spacing w:after="0" w:line="276" w:lineRule="auto"/>
        <w:ind w:left="0" w:firstLine="180"/>
        <w:jc w:val="both"/>
        <w:rPr>
          <w:rFonts w:ascii="Times New Roman" w:hAnsi="Times New Roman" w:cs="Times New Roman"/>
          <w:color w:val="000000" w:themeColor="text1"/>
          <w:sz w:val="28"/>
          <w:szCs w:val="28"/>
        </w:rPr>
      </w:pPr>
      <w:r w:rsidRPr="001D0846">
        <w:rPr>
          <w:rFonts w:ascii="Times New Roman" w:hAnsi="Times New Roman" w:cs="Times New Roman"/>
          <w:b/>
          <w:sz w:val="28"/>
          <w:szCs w:val="28"/>
        </w:rPr>
        <w:t xml:space="preserve">compararea </w:t>
      </w:r>
      <w:r w:rsidRPr="001D0846">
        <w:rPr>
          <w:rFonts w:ascii="Times New Roman" w:hAnsi="Times New Roman" w:cs="Times New Roman"/>
          <w:sz w:val="28"/>
          <w:szCs w:val="28"/>
        </w:rPr>
        <w:t>în dinamică</w:t>
      </w:r>
      <w:r>
        <w:rPr>
          <w:rFonts w:ascii="Times New Roman" w:hAnsi="Times New Roman" w:cs="Times New Roman"/>
          <w:b/>
          <w:sz w:val="28"/>
          <w:szCs w:val="28"/>
        </w:rPr>
        <w:t xml:space="preserve">a </w:t>
      </w:r>
      <w:r w:rsidRPr="001D0846">
        <w:rPr>
          <w:rFonts w:ascii="Times New Roman" w:hAnsi="Times New Roman" w:cs="Times New Roman"/>
          <w:sz w:val="28"/>
          <w:szCs w:val="28"/>
        </w:rPr>
        <w:t>rezultatelor</w:t>
      </w:r>
      <w:r w:rsidRPr="001D0846">
        <w:rPr>
          <w:rFonts w:ascii="Times New Roman" w:hAnsi="Times New Roman" w:cs="Times New Roman"/>
          <w:b/>
          <w:sz w:val="28"/>
          <w:szCs w:val="28"/>
        </w:rPr>
        <w:t>/</w:t>
      </w:r>
      <w:r w:rsidRPr="001D0846">
        <w:rPr>
          <w:rFonts w:ascii="Times New Roman" w:hAnsi="Times New Roman" w:cs="Times New Roman"/>
          <w:sz w:val="28"/>
          <w:szCs w:val="28"/>
        </w:rPr>
        <w:t>performanțelor înregistrate în activitatea de administrare a impozitelor și taxelor.</w:t>
      </w:r>
    </w:p>
    <w:p w:rsidR="00714F5D" w:rsidRPr="001D0846" w:rsidRDefault="00714F5D" w:rsidP="00714F5D">
      <w:pPr>
        <w:tabs>
          <w:tab w:val="left" w:pos="900"/>
        </w:tabs>
        <w:spacing w:after="0" w:line="276" w:lineRule="auto"/>
        <w:ind w:firstLine="720"/>
        <w:jc w:val="both"/>
        <w:rPr>
          <w:rFonts w:ascii="Times New Roman" w:hAnsi="Times New Roman" w:cs="Times New Roman"/>
          <w:b/>
          <w:sz w:val="28"/>
          <w:szCs w:val="28"/>
        </w:rPr>
      </w:pPr>
      <w:r w:rsidRPr="001D0846">
        <w:rPr>
          <w:rFonts w:ascii="Times New Roman" w:hAnsi="Times New Roman" w:cs="Times New Roman"/>
          <w:sz w:val="28"/>
          <w:szCs w:val="28"/>
        </w:rPr>
        <w:t>În cadrul misiunii de audit au fost colectate, sintetizate, analizate și interpretate mai multe tipuri de probe de audit: fizice, verbale, documentare și analitice,</w:t>
      </w:r>
      <w:r w:rsidRPr="001D0846">
        <w:rPr>
          <w:rFonts w:ascii="Times New Roman" w:eastAsia="Times New Roman" w:hAnsi="Times New Roman" w:cs="Times New Roman"/>
          <w:sz w:val="28"/>
          <w:szCs w:val="28"/>
        </w:rPr>
        <w:t xml:space="preserve"> pentru a fi rezonabile în formularea concluziilor relevante</w:t>
      </w:r>
      <w:r w:rsidRPr="001D0846">
        <w:rPr>
          <w:rFonts w:ascii="Times New Roman" w:hAnsi="Times New Roman" w:cs="Times New Roman"/>
          <w:sz w:val="28"/>
          <w:szCs w:val="28"/>
        </w:rPr>
        <w:t>.</w:t>
      </w:r>
    </w:p>
    <w:p w:rsidR="00714F5D" w:rsidRPr="001D0846" w:rsidRDefault="00714F5D" w:rsidP="00714F5D">
      <w:pPr>
        <w:spacing w:after="0" w:line="276" w:lineRule="auto"/>
        <w:ind w:firstLine="567"/>
        <w:rPr>
          <w:rFonts w:cs="Times New Roman"/>
          <w:sz w:val="28"/>
          <w:szCs w:val="28"/>
        </w:rPr>
      </w:pPr>
    </w:p>
    <w:p w:rsidR="00714F5D" w:rsidRPr="001D0846" w:rsidRDefault="00714F5D" w:rsidP="00714F5D">
      <w:pPr>
        <w:spacing w:after="0" w:line="276" w:lineRule="auto"/>
        <w:rPr>
          <w:rFonts w:ascii="Times New Roman" w:hAnsi="Times New Roman" w:cs="Times New Roman"/>
          <w:b/>
          <w:i/>
          <w:sz w:val="28"/>
          <w:szCs w:val="28"/>
        </w:rPr>
      </w:pPr>
      <w:r w:rsidRPr="001D0846">
        <w:rPr>
          <w:rFonts w:ascii="Times New Roman" w:hAnsi="Times New Roman" w:cs="Times New Roman"/>
          <w:b/>
          <w:i/>
          <w:sz w:val="28"/>
          <w:szCs w:val="28"/>
        </w:rPr>
        <w:t>Responsabilități</w:t>
      </w:r>
    </w:p>
    <w:p w:rsidR="00714F5D" w:rsidRPr="001D0846" w:rsidRDefault="00714F5D" w:rsidP="00714F5D">
      <w:pPr>
        <w:tabs>
          <w:tab w:val="left" w:pos="450"/>
          <w:tab w:val="left" w:pos="709"/>
        </w:tabs>
        <w:spacing w:after="0" w:line="276" w:lineRule="auto"/>
        <w:ind w:right="9"/>
        <w:contextualSpacing/>
        <w:jc w:val="both"/>
        <w:rPr>
          <w:rFonts w:ascii="Times New Roman" w:hAnsi="Times New Roman" w:cs="Times New Roman"/>
          <w:sz w:val="28"/>
          <w:szCs w:val="28"/>
        </w:rPr>
      </w:pPr>
      <w:r w:rsidRPr="001D0846">
        <w:rPr>
          <w:rFonts w:ascii="Times New Roman" w:hAnsi="Times New Roman" w:cs="Times New Roman"/>
          <w:sz w:val="28"/>
          <w:szCs w:val="28"/>
        </w:rPr>
        <w:tab/>
      </w:r>
      <w:r w:rsidRPr="001D0846">
        <w:rPr>
          <w:rFonts w:ascii="Times New Roman" w:hAnsi="Times New Roman" w:cs="Times New Roman"/>
          <w:sz w:val="28"/>
          <w:szCs w:val="28"/>
        </w:rPr>
        <w:tab/>
      </w:r>
      <w:r w:rsidRPr="001D0846">
        <w:rPr>
          <w:rFonts w:ascii="Times New Roman" w:hAnsi="Times New Roman" w:cs="Times New Roman"/>
          <w:b/>
          <w:i/>
          <w:sz w:val="28"/>
          <w:szCs w:val="28"/>
        </w:rPr>
        <w:t xml:space="preserve">Conducerea SFS și </w:t>
      </w:r>
      <w:r>
        <w:rPr>
          <w:rFonts w:ascii="Times New Roman" w:hAnsi="Times New Roman" w:cs="Times New Roman"/>
          <w:b/>
          <w:i/>
          <w:sz w:val="28"/>
          <w:szCs w:val="28"/>
        </w:rPr>
        <w:t xml:space="preserve">a </w:t>
      </w:r>
      <w:r w:rsidRPr="001D0846">
        <w:rPr>
          <w:rFonts w:ascii="Times New Roman" w:hAnsi="Times New Roman" w:cs="Times New Roman"/>
          <w:b/>
          <w:i/>
          <w:sz w:val="28"/>
          <w:szCs w:val="28"/>
        </w:rPr>
        <w:t xml:space="preserve">SV </w:t>
      </w:r>
      <w:r>
        <w:rPr>
          <w:rFonts w:ascii="Times New Roman" w:hAnsi="Times New Roman" w:cs="Times New Roman"/>
          <w:sz w:val="28"/>
          <w:szCs w:val="28"/>
        </w:rPr>
        <w:t>sunt responsabile</w:t>
      </w:r>
      <w:r w:rsidRPr="001D0846">
        <w:rPr>
          <w:rFonts w:ascii="Times New Roman" w:hAnsi="Times New Roman" w:cs="Times New Roman"/>
          <w:sz w:val="28"/>
          <w:szCs w:val="28"/>
        </w:rPr>
        <w:t xml:space="preserve"> de </w:t>
      </w:r>
      <w:r w:rsidRPr="001D0846">
        <w:rPr>
          <w:rFonts w:ascii="Times New Roman" w:eastAsia="Times New Roman" w:hAnsi="Times New Roman" w:cs="Times New Roman"/>
          <w:sz w:val="28"/>
          <w:szCs w:val="28"/>
          <w:lang w:eastAsia="ru-RU"/>
        </w:rPr>
        <w:t>asigurarea unui management instituțional eficient</w:t>
      </w:r>
      <w:r>
        <w:rPr>
          <w:rFonts w:ascii="Times New Roman" w:eastAsia="Times New Roman" w:hAnsi="Times New Roman" w:cs="Times New Roman"/>
          <w:sz w:val="28"/>
          <w:szCs w:val="28"/>
          <w:lang w:eastAsia="ru-RU"/>
        </w:rPr>
        <w:t>,</w:t>
      </w:r>
      <w:r w:rsidRPr="001D0846">
        <w:rPr>
          <w:rFonts w:ascii="Times New Roman" w:eastAsia="Times New Roman" w:hAnsi="Times New Roman" w:cs="Times New Roman"/>
          <w:sz w:val="28"/>
          <w:szCs w:val="28"/>
          <w:lang w:eastAsia="ru-RU"/>
        </w:rPr>
        <w:t xml:space="preserve"> menit să asigure realizarea </w:t>
      </w:r>
      <w:r w:rsidRPr="001D0846">
        <w:rPr>
          <w:rFonts w:ascii="Times New Roman" w:hAnsi="Times New Roman" w:cs="Times New Roman"/>
          <w:sz w:val="28"/>
          <w:szCs w:val="28"/>
        </w:rPr>
        <w:t xml:space="preserve">obiectivelor și atingerea performanțelor în administrarea impozitelor și taxelor în condiții de economicitate. </w:t>
      </w:r>
      <w:r w:rsidRPr="001D0846">
        <w:rPr>
          <w:rFonts w:ascii="Times New Roman" w:eastAsia="Times New Roman" w:hAnsi="Times New Roman" w:cs="Times New Roman"/>
          <w:bCs/>
          <w:sz w:val="28"/>
          <w:szCs w:val="28"/>
        </w:rPr>
        <w:t>Totodată</w:t>
      </w:r>
      <w:r>
        <w:rPr>
          <w:rFonts w:ascii="Times New Roman" w:eastAsia="Times New Roman" w:hAnsi="Times New Roman" w:cs="Times New Roman"/>
          <w:bCs/>
          <w:sz w:val="28"/>
          <w:szCs w:val="28"/>
        </w:rPr>
        <w:t>,</w:t>
      </w:r>
      <w:r w:rsidRPr="001D0846">
        <w:rPr>
          <w:rFonts w:ascii="Times New Roman" w:eastAsia="Times New Roman" w:hAnsi="Times New Roman" w:cs="Times New Roman"/>
          <w:bCs/>
          <w:sz w:val="28"/>
          <w:szCs w:val="28"/>
        </w:rPr>
        <w:t xml:space="preserve"> responsabilitatea </w:t>
      </w:r>
      <w:r w:rsidRPr="001D0846">
        <w:rPr>
          <w:rFonts w:ascii="Times New Roman" w:eastAsia="Times New Roman" w:hAnsi="Times New Roman" w:cs="Times New Roman"/>
          <w:sz w:val="28"/>
          <w:szCs w:val="28"/>
        </w:rPr>
        <w:t xml:space="preserve">SFS și </w:t>
      </w:r>
      <w:r>
        <w:rPr>
          <w:rFonts w:ascii="Times New Roman" w:eastAsia="Times New Roman" w:hAnsi="Times New Roman" w:cs="Times New Roman"/>
          <w:sz w:val="28"/>
          <w:szCs w:val="28"/>
        </w:rPr>
        <w:t>a SV constau</w:t>
      </w:r>
      <w:r w:rsidRPr="001D0846">
        <w:rPr>
          <w:rFonts w:ascii="Times New Roman" w:eastAsia="Times New Roman" w:hAnsi="Times New Roman" w:cs="Times New Roman"/>
          <w:sz w:val="28"/>
          <w:szCs w:val="28"/>
        </w:rPr>
        <w:t xml:space="preserve"> în organizarea și efectuarea adm</w:t>
      </w:r>
      <w:r>
        <w:rPr>
          <w:rFonts w:ascii="Times New Roman" w:eastAsia="Times New Roman" w:hAnsi="Times New Roman" w:cs="Times New Roman"/>
          <w:sz w:val="28"/>
          <w:szCs w:val="28"/>
        </w:rPr>
        <w:t>inistrării fiscale și vamale, la</w:t>
      </w:r>
      <w:r w:rsidRPr="001D0846">
        <w:rPr>
          <w:rFonts w:ascii="Times New Roman" w:eastAsia="Times New Roman" w:hAnsi="Times New Roman" w:cs="Times New Roman"/>
          <w:sz w:val="28"/>
          <w:szCs w:val="28"/>
        </w:rPr>
        <w:t xml:space="preserve"> exercitarea competențelor atribuite în acest domeniu prin prisma Codului fiscal și </w:t>
      </w:r>
      <w:r>
        <w:rPr>
          <w:rFonts w:ascii="Times New Roman" w:eastAsia="Times New Roman" w:hAnsi="Times New Roman" w:cs="Times New Roman"/>
          <w:sz w:val="28"/>
          <w:szCs w:val="28"/>
        </w:rPr>
        <w:t xml:space="preserve">Codului </w:t>
      </w:r>
      <w:r w:rsidRPr="001D0846">
        <w:rPr>
          <w:rFonts w:ascii="Times New Roman" w:eastAsia="Times New Roman" w:hAnsi="Times New Roman" w:cs="Times New Roman"/>
          <w:sz w:val="28"/>
          <w:szCs w:val="28"/>
        </w:rPr>
        <w:t>vamal</w:t>
      </w:r>
      <w:r>
        <w:rPr>
          <w:rFonts w:ascii="Times New Roman" w:eastAsia="Times New Roman" w:hAnsi="Times New Roman" w:cs="Times New Roman"/>
          <w:sz w:val="28"/>
          <w:szCs w:val="28"/>
        </w:rPr>
        <w:t>, precum</w:t>
      </w:r>
      <w:r w:rsidRPr="001D0846">
        <w:rPr>
          <w:rFonts w:ascii="Times New Roman" w:eastAsia="Times New Roman" w:hAnsi="Times New Roman" w:cs="Times New Roman"/>
          <w:sz w:val="28"/>
          <w:szCs w:val="28"/>
        </w:rPr>
        <w:t xml:space="preserve"> și altor acte legislative și normative. </w:t>
      </w:r>
    </w:p>
    <w:p w:rsidR="00714F5D" w:rsidRPr="001D0846" w:rsidRDefault="00714F5D" w:rsidP="00714F5D">
      <w:pPr>
        <w:tabs>
          <w:tab w:val="left" w:pos="450"/>
          <w:tab w:val="left" w:pos="720"/>
        </w:tabs>
        <w:spacing w:after="0" w:line="276" w:lineRule="auto"/>
        <w:ind w:right="9"/>
        <w:contextualSpacing/>
        <w:jc w:val="both"/>
        <w:rPr>
          <w:rFonts w:ascii="Times New Roman" w:eastAsia="Times New Roman" w:hAnsi="Times New Roman" w:cs="Times New Roman"/>
          <w:sz w:val="28"/>
          <w:szCs w:val="28"/>
        </w:rPr>
      </w:pPr>
      <w:r w:rsidRPr="001D0846">
        <w:rPr>
          <w:rFonts w:ascii="Times New Roman" w:eastAsiaTheme="majorEastAsia" w:hAnsi="Times New Roman" w:cs="Times New Roman"/>
          <w:b/>
          <w:sz w:val="28"/>
          <w:szCs w:val="28"/>
        </w:rPr>
        <w:tab/>
      </w:r>
      <w:r w:rsidRPr="001D0846">
        <w:rPr>
          <w:rFonts w:ascii="Times New Roman" w:eastAsiaTheme="majorEastAsia" w:hAnsi="Times New Roman" w:cs="Times New Roman"/>
          <w:b/>
          <w:sz w:val="28"/>
          <w:szCs w:val="28"/>
        </w:rPr>
        <w:tab/>
      </w:r>
      <w:r w:rsidRPr="001D0846">
        <w:rPr>
          <w:rFonts w:ascii="Times New Roman" w:hAnsi="Times New Roman" w:cs="Times New Roman"/>
          <w:b/>
          <w:i/>
          <w:sz w:val="28"/>
          <w:szCs w:val="28"/>
        </w:rPr>
        <w:t xml:space="preserve">Responsabilitatea echipei de audit </w:t>
      </w:r>
      <w:r w:rsidRPr="001D0846">
        <w:rPr>
          <w:rFonts w:ascii="Times New Roman" w:eastAsia="Times New Roman" w:hAnsi="Times New Roman" w:cs="Times New Roman"/>
          <w:sz w:val="28"/>
          <w:szCs w:val="28"/>
        </w:rPr>
        <w:t>a constat în obținerea probelor de audit suficiente și adecvate pentru susținerea constatărilor și concluziilor de audit privind evaluarea funcționalității și rezult</w:t>
      </w:r>
      <w:r>
        <w:rPr>
          <w:rFonts w:ascii="Times New Roman" w:eastAsia="Times New Roman" w:hAnsi="Times New Roman" w:cs="Times New Roman"/>
          <w:sz w:val="28"/>
          <w:szCs w:val="28"/>
        </w:rPr>
        <w:t>ativității operaționale aferente</w:t>
      </w:r>
      <w:r w:rsidRPr="001D0846">
        <w:rPr>
          <w:rFonts w:ascii="Times New Roman" w:eastAsia="Times New Roman" w:hAnsi="Times New Roman" w:cs="Times New Roman"/>
          <w:sz w:val="28"/>
          <w:szCs w:val="28"/>
        </w:rPr>
        <w:t xml:space="preserve"> administrării impozitelor și taxelor, cu formularea recomandărilor de audit.</w:t>
      </w:r>
    </w:p>
    <w:p w:rsidR="00714F5D" w:rsidRPr="001D0846" w:rsidRDefault="00714F5D" w:rsidP="00714F5D">
      <w:pPr>
        <w:spacing w:after="0" w:line="276" w:lineRule="auto"/>
        <w:rPr>
          <w:rFonts w:ascii="Times New Roman" w:hAnsi="Times New Roman" w:cs="Times New Roman"/>
          <w:b/>
          <w:sz w:val="28"/>
          <w:szCs w:val="28"/>
        </w:rPr>
      </w:pPr>
    </w:p>
    <w:p w:rsidR="00714F5D" w:rsidRPr="001D0846" w:rsidRDefault="00714F5D" w:rsidP="00714F5D">
      <w:pPr>
        <w:spacing w:after="0" w:line="276" w:lineRule="auto"/>
        <w:rPr>
          <w:rFonts w:ascii="Times New Roman" w:hAnsi="Times New Roman" w:cs="Times New Roman"/>
          <w:b/>
          <w:sz w:val="28"/>
          <w:szCs w:val="28"/>
        </w:rPr>
      </w:pPr>
    </w:p>
    <w:p w:rsidR="00714F5D" w:rsidRPr="001D0846" w:rsidRDefault="00714F5D" w:rsidP="00714F5D">
      <w:pPr>
        <w:spacing w:after="0" w:line="276" w:lineRule="auto"/>
        <w:rPr>
          <w:rFonts w:ascii="Times New Roman" w:hAnsi="Times New Roman" w:cs="Times New Roman"/>
          <w:b/>
          <w:sz w:val="28"/>
          <w:szCs w:val="28"/>
        </w:rPr>
      </w:pPr>
    </w:p>
    <w:p w:rsidR="00714F5D" w:rsidRPr="001D0846" w:rsidRDefault="00714F5D" w:rsidP="00714F5D">
      <w:pPr>
        <w:spacing w:after="0" w:line="276" w:lineRule="auto"/>
        <w:rPr>
          <w:rFonts w:ascii="Times New Roman" w:hAnsi="Times New Roman" w:cs="Times New Roman"/>
          <w:b/>
          <w:sz w:val="28"/>
          <w:szCs w:val="28"/>
        </w:rPr>
      </w:pPr>
    </w:p>
    <w:p w:rsidR="00714F5D" w:rsidRPr="001D0846" w:rsidRDefault="00714F5D" w:rsidP="00714F5D">
      <w:pPr>
        <w:pStyle w:val="Heading1"/>
        <w:jc w:val="both"/>
        <w:rPr>
          <w:rFonts w:ascii="Times New Roman" w:hAnsi="Times New Roman" w:cs="Times New Roman"/>
          <w:b/>
          <w:color w:val="auto"/>
          <w:sz w:val="28"/>
          <w:szCs w:val="28"/>
        </w:rPr>
        <w:sectPr w:rsidR="00714F5D" w:rsidRPr="001D0846" w:rsidSect="001C1589">
          <w:pgSz w:w="12240" w:h="15840"/>
          <w:pgMar w:top="1440" w:right="1166" w:bottom="1138" w:left="1699" w:header="706" w:footer="706" w:gutter="0"/>
          <w:cols w:space="708"/>
          <w:docGrid w:linePitch="360"/>
        </w:sectPr>
      </w:pPr>
    </w:p>
    <w:p w:rsidR="00714F5D" w:rsidRPr="00714F5D" w:rsidRDefault="00714F5D" w:rsidP="00714F5D">
      <w:pPr>
        <w:pStyle w:val="Heading1"/>
        <w:jc w:val="both"/>
        <w:rPr>
          <w:rFonts w:ascii="Times New Roman" w:hAnsi="Times New Roman" w:cs="Times New Roman"/>
          <w:i/>
          <w:color w:val="auto"/>
          <w:sz w:val="28"/>
          <w:szCs w:val="28"/>
        </w:rPr>
      </w:pPr>
      <w:bookmarkStart w:id="33" w:name="_Toc515344963"/>
      <w:bookmarkStart w:id="34" w:name="_Toc515894901"/>
      <w:r w:rsidRPr="00714F5D">
        <w:rPr>
          <w:rFonts w:ascii="Times New Roman" w:hAnsi="Times New Roman" w:cs="Times New Roman"/>
          <w:b/>
          <w:i/>
          <w:color w:val="auto"/>
          <w:sz w:val="28"/>
          <w:szCs w:val="28"/>
        </w:rPr>
        <w:lastRenderedPageBreak/>
        <w:t>Anexa nr.3</w:t>
      </w:r>
      <w:r>
        <w:rPr>
          <w:rFonts w:ascii="Times New Roman" w:hAnsi="Times New Roman" w:cs="Times New Roman"/>
          <w:b/>
          <w:i/>
          <w:color w:val="auto"/>
          <w:sz w:val="28"/>
          <w:szCs w:val="28"/>
        </w:rPr>
        <w:t xml:space="preserve">. </w:t>
      </w:r>
      <w:r w:rsidRPr="00714F5D">
        <w:rPr>
          <w:rFonts w:ascii="Times New Roman" w:hAnsi="Times New Roman" w:cs="Times New Roman"/>
          <w:i/>
          <w:color w:val="auto"/>
          <w:sz w:val="28"/>
          <w:szCs w:val="28"/>
        </w:rPr>
        <w:t>Tabele întocmite de către echipa de audit în baza informațiilor prezentate de către entități.</w:t>
      </w:r>
      <w:bookmarkEnd w:id="33"/>
      <w:bookmarkEnd w:id="34"/>
    </w:p>
    <w:p w:rsidR="00714F5D" w:rsidRPr="00714F5D" w:rsidRDefault="00714F5D" w:rsidP="00714F5D">
      <w:pPr>
        <w:rPr>
          <w:i/>
        </w:rPr>
      </w:pPr>
    </w:p>
    <w:p w:rsidR="00714F5D" w:rsidRPr="001D0846" w:rsidRDefault="00714F5D" w:rsidP="00714F5D">
      <w:pPr>
        <w:tabs>
          <w:tab w:val="left" w:pos="0"/>
        </w:tabs>
        <w:spacing w:after="0" w:line="276" w:lineRule="auto"/>
        <w:jc w:val="right"/>
        <w:rPr>
          <w:rFonts w:ascii="Times New Roman" w:hAnsi="Times New Roman" w:cs="Times New Roman"/>
          <w:b/>
          <w:i/>
          <w:sz w:val="28"/>
          <w:szCs w:val="28"/>
        </w:rPr>
      </w:pPr>
      <w:r w:rsidRPr="001D0846">
        <w:rPr>
          <w:rFonts w:ascii="Times New Roman" w:hAnsi="Times New Roman" w:cs="Times New Roman"/>
          <w:b/>
          <w:i/>
          <w:sz w:val="28"/>
          <w:szCs w:val="28"/>
        </w:rPr>
        <w:t>Tabelul nr.1</w:t>
      </w:r>
    </w:p>
    <w:p w:rsidR="00714F5D" w:rsidRPr="001D0846" w:rsidRDefault="00714F5D" w:rsidP="00714F5D">
      <w:pPr>
        <w:tabs>
          <w:tab w:val="left" w:pos="0"/>
        </w:tabs>
        <w:spacing w:after="0" w:line="276" w:lineRule="auto"/>
        <w:jc w:val="center"/>
        <w:rPr>
          <w:rFonts w:ascii="Times New Roman" w:hAnsi="Times New Roman" w:cs="Times New Roman"/>
          <w:i/>
          <w:sz w:val="28"/>
          <w:szCs w:val="28"/>
        </w:rPr>
      </w:pPr>
      <w:r w:rsidRPr="001D0846">
        <w:rPr>
          <w:rFonts w:ascii="Times New Roman" w:hAnsi="Times New Roman" w:cs="Times New Roman"/>
          <w:i/>
          <w:sz w:val="28"/>
          <w:szCs w:val="28"/>
        </w:rPr>
        <w:t xml:space="preserve">Informația privind realizarea obiectivelor aprobate de către MF și raportarea rezultatelor atinse de către SFS </w:t>
      </w:r>
    </w:p>
    <w:p w:rsidR="00714F5D" w:rsidRPr="001D0846" w:rsidRDefault="00714F5D" w:rsidP="00714F5D">
      <w:pPr>
        <w:tabs>
          <w:tab w:val="left" w:pos="0"/>
        </w:tabs>
        <w:spacing w:after="0" w:line="276" w:lineRule="auto"/>
        <w:jc w:val="center"/>
        <w:rPr>
          <w:rFonts w:ascii="Times New Roman" w:hAnsi="Times New Roman" w:cs="Times New Roman"/>
          <w:i/>
          <w:sz w:val="28"/>
          <w:szCs w:val="28"/>
        </w:rPr>
      </w:pPr>
      <w:r w:rsidRPr="001D0846">
        <w:rPr>
          <w:rFonts w:ascii="Times New Roman" w:hAnsi="Times New Roman" w:cs="Times New Roman"/>
          <w:i/>
          <w:sz w:val="28"/>
          <w:szCs w:val="28"/>
        </w:rPr>
        <w:t>în anul 2017</w:t>
      </w:r>
    </w:p>
    <w:tbl>
      <w:tblPr>
        <w:tblStyle w:val="TableGrid"/>
        <w:tblW w:w="13325" w:type="dxa"/>
        <w:tblInd w:w="-5" w:type="dxa"/>
        <w:tblLayout w:type="fixed"/>
        <w:tblLook w:val="04A0"/>
      </w:tblPr>
      <w:tblGrid>
        <w:gridCol w:w="630"/>
        <w:gridCol w:w="6600"/>
        <w:gridCol w:w="6095"/>
      </w:tblGrid>
      <w:tr w:rsidR="00714F5D" w:rsidRPr="001D0846" w:rsidTr="008C5C6A">
        <w:trPr>
          <w:trHeight w:val="269"/>
        </w:trPr>
        <w:tc>
          <w:tcPr>
            <w:tcW w:w="63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tabs>
                <w:tab w:val="left" w:pos="0"/>
              </w:tabs>
              <w:spacing w:line="276" w:lineRule="auto"/>
              <w:jc w:val="center"/>
              <w:rPr>
                <w:rFonts w:ascii="Times New Roman" w:hAnsi="Times New Roman" w:cs="Times New Roman"/>
                <w:b/>
                <w:sz w:val="20"/>
                <w:szCs w:val="20"/>
              </w:rPr>
            </w:pPr>
            <w:r w:rsidRPr="001D0846">
              <w:rPr>
                <w:rFonts w:ascii="Times New Roman" w:hAnsi="Times New Roman" w:cs="Times New Roman"/>
                <w:b/>
                <w:sz w:val="20"/>
                <w:szCs w:val="20"/>
              </w:rPr>
              <w:t>Nr.</w:t>
            </w:r>
          </w:p>
          <w:p w:rsidR="00714F5D" w:rsidRPr="001D0846" w:rsidRDefault="00714F5D" w:rsidP="008C5C6A">
            <w:pPr>
              <w:tabs>
                <w:tab w:val="left" w:pos="0"/>
              </w:tabs>
              <w:spacing w:line="276" w:lineRule="auto"/>
              <w:jc w:val="center"/>
              <w:rPr>
                <w:rFonts w:ascii="Times New Roman" w:hAnsi="Times New Roman" w:cs="Times New Roman"/>
                <w:b/>
                <w:sz w:val="20"/>
                <w:szCs w:val="20"/>
              </w:rPr>
            </w:pPr>
            <w:r w:rsidRPr="001D0846">
              <w:rPr>
                <w:rFonts w:ascii="Times New Roman" w:hAnsi="Times New Roman" w:cs="Times New Roman"/>
                <w:b/>
                <w:sz w:val="20"/>
                <w:szCs w:val="20"/>
              </w:rPr>
              <w:t>d/o</w:t>
            </w:r>
          </w:p>
        </w:tc>
        <w:tc>
          <w:tcPr>
            <w:tcW w:w="6600" w:type="dxa"/>
            <w:tcBorders>
              <w:top w:val="single" w:sz="4" w:space="0" w:color="auto"/>
              <w:left w:val="single" w:sz="4" w:space="0" w:color="auto"/>
              <w:bottom w:val="single" w:sz="4" w:space="0" w:color="auto"/>
              <w:right w:val="single" w:sz="4" w:space="0" w:color="auto"/>
            </w:tcBorders>
            <w:vAlign w:val="center"/>
            <w:hideMark/>
          </w:tcPr>
          <w:p w:rsidR="00714F5D" w:rsidRPr="00E330C1" w:rsidRDefault="00714F5D" w:rsidP="008C5C6A">
            <w:pPr>
              <w:tabs>
                <w:tab w:val="left" w:pos="0"/>
              </w:tabs>
              <w:spacing w:line="276" w:lineRule="auto"/>
              <w:jc w:val="center"/>
              <w:rPr>
                <w:rFonts w:ascii="Times New Roman" w:hAnsi="Times New Roman" w:cs="Times New Roman"/>
                <w:b/>
                <w:sz w:val="20"/>
                <w:szCs w:val="20"/>
              </w:rPr>
            </w:pPr>
            <w:r w:rsidRPr="00E330C1">
              <w:rPr>
                <w:rFonts w:ascii="Times New Roman" w:hAnsi="Times New Roman" w:cs="Times New Roman"/>
                <w:b/>
                <w:sz w:val="20"/>
                <w:szCs w:val="20"/>
              </w:rPr>
              <w:t>Obiective aprobate de MF</w:t>
            </w:r>
          </w:p>
        </w:tc>
        <w:tc>
          <w:tcPr>
            <w:tcW w:w="6095" w:type="dxa"/>
            <w:tcBorders>
              <w:top w:val="single" w:sz="4" w:space="0" w:color="auto"/>
              <w:left w:val="single" w:sz="4" w:space="0" w:color="auto"/>
              <w:bottom w:val="single" w:sz="4" w:space="0" w:color="auto"/>
              <w:right w:val="single" w:sz="4" w:space="0" w:color="auto"/>
            </w:tcBorders>
            <w:vAlign w:val="center"/>
            <w:hideMark/>
          </w:tcPr>
          <w:p w:rsidR="00714F5D" w:rsidRPr="001D0846" w:rsidRDefault="00714F5D" w:rsidP="008C5C6A">
            <w:pPr>
              <w:tabs>
                <w:tab w:val="left" w:pos="0"/>
              </w:tabs>
              <w:spacing w:line="276" w:lineRule="auto"/>
              <w:jc w:val="center"/>
              <w:rPr>
                <w:rFonts w:ascii="Times New Roman" w:hAnsi="Times New Roman" w:cs="Times New Roman"/>
                <w:b/>
                <w:sz w:val="20"/>
                <w:szCs w:val="20"/>
              </w:rPr>
            </w:pPr>
            <w:r w:rsidRPr="001D0846">
              <w:rPr>
                <w:rFonts w:ascii="Times New Roman" w:hAnsi="Times New Roman" w:cs="Times New Roman"/>
                <w:b/>
                <w:sz w:val="20"/>
                <w:szCs w:val="20"/>
              </w:rPr>
              <w:t>Obiective raportate de SFS</w:t>
            </w:r>
          </w:p>
        </w:tc>
      </w:tr>
      <w:tr w:rsidR="00714F5D" w:rsidRPr="001D0846" w:rsidTr="008C5C6A">
        <w:trPr>
          <w:trHeight w:val="611"/>
        </w:trPr>
        <w:tc>
          <w:tcPr>
            <w:tcW w:w="630" w:type="dxa"/>
            <w:tcBorders>
              <w:top w:val="single" w:sz="4" w:space="0" w:color="auto"/>
              <w:left w:val="single" w:sz="4" w:space="0" w:color="auto"/>
              <w:bottom w:val="single" w:sz="4" w:space="0" w:color="auto"/>
              <w:right w:val="single" w:sz="4" w:space="0" w:color="auto"/>
            </w:tcBorders>
          </w:tcPr>
          <w:p w:rsidR="00714F5D" w:rsidRPr="001D0846" w:rsidRDefault="00714F5D" w:rsidP="008C5C6A">
            <w:pPr>
              <w:tabs>
                <w:tab w:val="left" w:pos="0"/>
              </w:tabs>
              <w:spacing w:line="276" w:lineRule="auto"/>
              <w:jc w:val="center"/>
              <w:rPr>
                <w:rFonts w:ascii="Times New Roman" w:hAnsi="Times New Roman" w:cs="Times New Roman"/>
                <w:b/>
                <w:sz w:val="20"/>
                <w:szCs w:val="20"/>
              </w:rPr>
            </w:pPr>
          </w:p>
          <w:p w:rsidR="00714F5D" w:rsidRPr="001D0846" w:rsidRDefault="00714F5D" w:rsidP="008C5C6A">
            <w:pPr>
              <w:tabs>
                <w:tab w:val="left" w:pos="0"/>
              </w:tabs>
              <w:spacing w:line="276" w:lineRule="auto"/>
              <w:jc w:val="center"/>
              <w:rPr>
                <w:rFonts w:ascii="Times New Roman" w:hAnsi="Times New Roman" w:cs="Times New Roman"/>
                <w:b/>
                <w:sz w:val="20"/>
                <w:szCs w:val="20"/>
              </w:rPr>
            </w:pPr>
            <w:r w:rsidRPr="001D0846">
              <w:rPr>
                <w:rFonts w:ascii="Times New Roman" w:hAnsi="Times New Roman" w:cs="Times New Roman"/>
                <w:b/>
                <w:sz w:val="20"/>
                <w:szCs w:val="20"/>
              </w:rPr>
              <w:t>1.</w:t>
            </w:r>
          </w:p>
        </w:tc>
        <w:tc>
          <w:tcPr>
            <w:tcW w:w="660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0"/>
              </w:tabs>
              <w:spacing w:line="276" w:lineRule="auto"/>
              <w:ind w:left="0"/>
              <w:jc w:val="both"/>
              <w:rPr>
                <w:rFonts w:ascii="Times New Roman" w:hAnsi="Times New Roman" w:cs="Times New Roman"/>
                <w:sz w:val="20"/>
                <w:szCs w:val="20"/>
              </w:rPr>
            </w:pPr>
            <w:r w:rsidRPr="001D0846">
              <w:rPr>
                <w:rFonts w:ascii="Times New Roman" w:hAnsi="Times New Roman" w:cs="Times New Roman"/>
                <w:sz w:val="20"/>
                <w:szCs w:val="20"/>
              </w:rPr>
              <w:t>Executarea planului de venituri pentru toate bugetele componente ale BPN la nivel de 100%</w:t>
            </w:r>
          </w:p>
        </w:tc>
        <w:tc>
          <w:tcPr>
            <w:tcW w:w="6095"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0"/>
              </w:tabs>
              <w:spacing w:line="276" w:lineRule="auto"/>
              <w:ind w:left="0"/>
              <w:jc w:val="both"/>
              <w:rPr>
                <w:rFonts w:ascii="Times New Roman" w:hAnsi="Times New Roman" w:cs="Times New Roman"/>
                <w:sz w:val="20"/>
                <w:szCs w:val="20"/>
              </w:rPr>
            </w:pPr>
            <w:r w:rsidRPr="001D0846">
              <w:rPr>
                <w:rFonts w:ascii="Times New Roman" w:hAnsi="Times New Roman" w:cs="Times New Roman"/>
                <w:sz w:val="20"/>
                <w:szCs w:val="20"/>
              </w:rPr>
              <w:t>Executarea planului de venituri pentru toate bugetele componente ale BPN la nivel de 100%</w:t>
            </w:r>
            <w:r w:rsidRPr="001D0846">
              <w:rPr>
                <w:rFonts w:ascii="Times New Roman" w:hAnsi="Times New Roman" w:cs="Times New Roman"/>
                <w:color w:val="FFFFFF" w:themeColor="background1"/>
                <w:sz w:val="20"/>
                <w:szCs w:val="20"/>
              </w:rPr>
              <w:t>%;</w:t>
            </w:r>
          </w:p>
        </w:tc>
      </w:tr>
      <w:tr w:rsidR="00714F5D" w:rsidRPr="001D0846" w:rsidTr="008C5C6A">
        <w:tc>
          <w:tcPr>
            <w:tcW w:w="630" w:type="dxa"/>
            <w:tcBorders>
              <w:top w:val="single" w:sz="4" w:space="0" w:color="auto"/>
              <w:left w:val="single" w:sz="4" w:space="0" w:color="auto"/>
              <w:bottom w:val="single" w:sz="4" w:space="0" w:color="auto"/>
              <w:right w:val="single" w:sz="4" w:space="0" w:color="auto"/>
            </w:tcBorders>
          </w:tcPr>
          <w:p w:rsidR="00714F5D" w:rsidRPr="001D0846" w:rsidRDefault="00714F5D" w:rsidP="008C5C6A">
            <w:pPr>
              <w:tabs>
                <w:tab w:val="left" w:pos="0"/>
              </w:tabs>
              <w:spacing w:line="276" w:lineRule="auto"/>
              <w:jc w:val="center"/>
              <w:rPr>
                <w:rFonts w:ascii="Times New Roman" w:hAnsi="Times New Roman" w:cs="Times New Roman"/>
                <w:b/>
                <w:sz w:val="20"/>
                <w:szCs w:val="20"/>
              </w:rPr>
            </w:pPr>
          </w:p>
          <w:p w:rsidR="00714F5D" w:rsidRPr="001D0846" w:rsidRDefault="00714F5D" w:rsidP="008C5C6A">
            <w:pPr>
              <w:tabs>
                <w:tab w:val="left" w:pos="0"/>
              </w:tabs>
              <w:spacing w:line="276" w:lineRule="auto"/>
              <w:jc w:val="center"/>
              <w:rPr>
                <w:rFonts w:ascii="Times New Roman" w:hAnsi="Times New Roman" w:cs="Times New Roman"/>
                <w:b/>
                <w:sz w:val="20"/>
                <w:szCs w:val="20"/>
              </w:rPr>
            </w:pPr>
            <w:r w:rsidRPr="001D0846">
              <w:rPr>
                <w:rFonts w:ascii="Times New Roman" w:hAnsi="Times New Roman" w:cs="Times New Roman"/>
                <w:b/>
                <w:sz w:val="20"/>
                <w:szCs w:val="20"/>
              </w:rPr>
              <w:t>2.</w:t>
            </w:r>
          </w:p>
        </w:tc>
        <w:tc>
          <w:tcPr>
            <w:tcW w:w="660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tabs>
                <w:tab w:val="left" w:pos="0"/>
              </w:tabs>
              <w:spacing w:line="276" w:lineRule="auto"/>
              <w:jc w:val="both"/>
              <w:rPr>
                <w:rFonts w:ascii="Times New Roman" w:hAnsi="Times New Roman" w:cs="Times New Roman"/>
                <w:sz w:val="20"/>
                <w:szCs w:val="20"/>
              </w:rPr>
            </w:pPr>
            <w:r w:rsidRPr="001D0846">
              <w:rPr>
                <w:rFonts w:ascii="Times New Roman" w:hAnsi="Times New Roman" w:cs="Times New Roman"/>
                <w:sz w:val="20"/>
                <w:szCs w:val="20"/>
              </w:rPr>
              <w:t>Creșterea calității serviciilor fiscale pentru asigurarea eficientizării administrării fiscale</w:t>
            </w:r>
          </w:p>
        </w:tc>
        <w:tc>
          <w:tcPr>
            <w:tcW w:w="6095" w:type="dxa"/>
            <w:tcBorders>
              <w:top w:val="single" w:sz="4" w:space="0" w:color="auto"/>
              <w:left w:val="single" w:sz="4" w:space="0" w:color="auto"/>
              <w:bottom w:val="single" w:sz="4" w:space="0" w:color="auto"/>
              <w:right w:val="single" w:sz="4" w:space="0" w:color="auto"/>
            </w:tcBorders>
          </w:tcPr>
          <w:p w:rsidR="00714F5D" w:rsidRPr="001D0846" w:rsidRDefault="00714F5D" w:rsidP="008C5C6A">
            <w:pPr>
              <w:tabs>
                <w:tab w:val="left" w:pos="0"/>
              </w:tabs>
              <w:spacing w:line="276" w:lineRule="auto"/>
              <w:jc w:val="center"/>
              <w:rPr>
                <w:rFonts w:ascii="Times New Roman" w:hAnsi="Times New Roman" w:cs="Times New Roman"/>
                <w:sz w:val="20"/>
                <w:szCs w:val="20"/>
              </w:rPr>
            </w:pPr>
          </w:p>
          <w:p w:rsidR="00714F5D" w:rsidRPr="001D0846" w:rsidRDefault="00714F5D" w:rsidP="008C5C6A">
            <w:pPr>
              <w:tabs>
                <w:tab w:val="left" w:pos="0"/>
              </w:tabs>
              <w:spacing w:line="276" w:lineRule="auto"/>
              <w:jc w:val="center"/>
              <w:rPr>
                <w:rFonts w:ascii="Times New Roman" w:hAnsi="Times New Roman" w:cs="Times New Roman"/>
                <w:sz w:val="20"/>
                <w:szCs w:val="20"/>
              </w:rPr>
            </w:pPr>
            <w:r w:rsidRPr="001D0846">
              <w:rPr>
                <w:rFonts w:ascii="Times New Roman" w:hAnsi="Times New Roman" w:cs="Times New Roman"/>
                <w:sz w:val="20"/>
                <w:szCs w:val="20"/>
              </w:rPr>
              <w:t>-</w:t>
            </w:r>
          </w:p>
        </w:tc>
      </w:tr>
      <w:tr w:rsidR="00714F5D" w:rsidRPr="001D0846" w:rsidTr="008C5C6A">
        <w:tc>
          <w:tcPr>
            <w:tcW w:w="630" w:type="dxa"/>
            <w:tcBorders>
              <w:top w:val="single" w:sz="4" w:space="0" w:color="auto"/>
              <w:left w:val="single" w:sz="4" w:space="0" w:color="auto"/>
              <w:bottom w:val="single" w:sz="4" w:space="0" w:color="auto"/>
              <w:right w:val="single" w:sz="4" w:space="0" w:color="auto"/>
            </w:tcBorders>
          </w:tcPr>
          <w:p w:rsidR="00714F5D" w:rsidRPr="001D0846" w:rsidRDefault="00714F5D" w:rsidP="008C5C6A">
            <w:pPr>
              <w:tabs>
                <w:tab w:val="left" w:pos="0"/>
              </w:tabs>
              <w:spacing w:line="276" w:lineRule="auto"/>
              <w:jc w:val="center"/>
              <w:rPr>
                <w:rFonts w:ascii="Times New Roman" w:hAnsi="Times New Roman" w:cs="Times New Roman"/>
                <w:b/>
                <w:sz w:val="20"/>
                <w:szCs w:val="20"/>
              </w:rPr>
            </w:pPr>
          </w:p>
          <w:p w:rsidR="00714F5D" w:rsidRPr="001D0846" w:rsidRDefault="00714F5D" w:rsidP="008C5C6A">
            <w:pPr>
              <w:tabs>
                <w:tab w:val="left" w:pos="0"/>
              </w:tabs>
              <w:spacing w:line="276" w:lineRule="auto"/>
              <w:jc w:val="center"/>
              <w:rPr>
                <w:rFonts w:ascii="Times New Roman" w:hAnsi="Times New Roman" w:cs="Times New Roman"/>
                <w:b/>
                <w:sz w:val="20"/>
                <w:szCs w:val="20"/>
              </w:rPr>
            </w:pPr>
            <w:r w:rsidRPr="001D0846">
              <w:rPr>
                <w:rFonts w:ascii="Times New Roman" w:hAnsi="Times New Roman" w:cs="Times New Roman"/>
                <w:b/>
                <w:sz w:val="20"/>
                <w:szCs w:val="20"/>
              </w:rPr>
              <w:t>3.</w:t>
            </w:r>
          </w:p>
        </w:tc>
        <w:tc>
          <w:tcPr>
            <w:tcW w:w="660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tabs>
                <w:tab w:val="left" w:pos="0"/>
              </w:tabs>
              <w:spacing w:line="276" w:lineRule="auto"/>
              <w:jc w:val="both"/>
              <w:rPr>
                <w:rFonts w:ascii="Times New Roman" w:hAnsi="Times New Roman" w:cs="Times New Roman"/>
                <w:sz w:val="20"/>
                <w:szCs w:val="20"/>
              </w:rPr>
            </w:pPr>
            <w:r w:rsidRPr="001D0846">
              <w:rPr>
                <w:rFonts w:ascii="Times New Roman" w:hAnsi="Times New Roman" w:cs="Times New Roman"/>
                <w:sz w:val="20"/>
                <w:szCs w:val="20"/>
              </w:rPr>
              <w:t>Consolidarea managementului de conformare fiscală prin elaborarea și implementarea documentației specifice (meto</w:t>
            </w:r>
            <w:r>
              <w:rPr>
                <w:rFonts w:ascii="Times New Roman" w:hAnsi="Times New Roman" w:cs="Times New Roman"/>
                <w:sz w:val="20"/>
                <w:szCs w:val="20"/>
              </w:rPr>
              <w:t>do</w:t>
            </w:r>
            <w:r w:rsidRPr="001D0846">
              <w:rPr>
                <w:rFonts w:ascii="Times New Roman" w:hAnsi="Times New Roman" w:cs="Times New Roman"/>
                <w:sz w:val="20"/>
                <w:szCs w:val="20"/>
              </w:rPr>
              <w:t>logii, strategii, programe, studii)</w:t>
            </w:r>
          </w:p>
        </w:tc>
        <w:tc>
          <w:tcPr>
            <w:tcW w:w="6095" w:type="dxa"/>
            <w:tcBorders>
              <w:top w:val="single" w:sz="4" w:space="0" w:color="auto"/>
              <w:left w:val="single" w:sz="4" w:space="0" w:color="auto"/>
              <w:bottom w:val="single" w:sz="4" w:space="0" w:color="auto"/>
              <w:right w:val="single" w:sz="4" w:space="0" w:color="auto"/>
            </w:tcBorders>
          </w:tcPr>
          <w:p w:rsidR="00714F5D" w:rsidRPr="001D0846" w:rsidRDefault="00714F5D" w:rsidP="008C5C6A">
            <w:pPr>
              <w:tabs>
                <w:tab w:val="left" w:pos="0"/>
              </w:tabs>
              <w:spacing w:line="276" w:lineRule="auto"/>
              <w:jc w:val="center"/>
              <w:rPr>
                <w:rFonts w:ascii="Times New Roman" w:hAnsi="Times New Roman" w:cs="Times New Roman"/>
                <w:sz w:val="20"/>
                <w:szCs w:val="20"/>
              </w:rPr>
            </w:pPr>
          </w:p>
          <w:p w:rsidR="00714F5D" w:rsidRPr="001D0846" w:rsidRDefault="00714F5D" w:rsidP="008C5C6A">
            <w:pPr>
              <w:tabs>
                <w:tab w:val="left" w:pos="0"/>
              </w:tabs>
              <w:spacing w:line="276" w:lineRule="auto"/>
              <w:jc w:val="center"/>
              <w:rPr>
                <w:rFonts w:ascii="Times New Roman" w:hAnsi="Times New Roman" w:cs="Times New Roman"/>
                <w:sz w:val="20"/>
                <w:szCs w:val="20"/>
              </w:rPr>
            </w:pPr>
            <w:r w:rsidRPr="001D0846">
              <w:rPr>
                <w:rFonts w:ascii="Times New Roman" w:hAnsi="Times New Roman" w:cs="Times New Roman"/>
                <w:sz w:val="20"/>
                <w:szCs w:val="20"/>
              </w:rPr>
              <w:t>-</w:t>
            </w:r>
          </w:p>
        </w:tc>
      </w:tr>
      <w:tr w:rsidR="00714F5D" w:rsidRPr="001D0846" w:rsidTr="008C5C6A">
        <w:tc>
          <w:tcPr>
            <w:tcW w:w="63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tabs>
                <w:tab w:val="left" w:pos="0"/>
              </w:tabs>
              <w:spacing w:line="276" w:lineRule="auto"/>
              <w:jc w:val="center"/>
              <w:rPr>
                <w:rFonts w:ascii="Times New Roman" w:hAnsi="Times New Roman" w:cs="Times New Roman"/>
                <w:b/>
                <w:sz w:val="20"/>
                <w:szCs w:val="20"/>
              </w:rPr>
            </w:pPr>
            <w:r w:rsidRPr="001D0846">
              <w:rPr>
                <w:rFonts w:ascii="Times New Roman" w:hAnsi="Times New Roman" w:cs="Times New Roman"/>
                <w:b/>
                <w:sz w:val="20"/>
                <w:szCs w:val="20"/>
              </w:rPr>
              <w:t>4.</w:t>
            </w:r>
          </w:p>
        </w:tc>
        <w:tc>
          <w:tcPr>
            <w:tcW w:w="660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tabs>
                <w:tab w:val="left" w:pos="0"/>
              </w:tabs>
              <w:spacing w:line="276" w:lineRule="auto"/>
              <w:jc w:val="both"/>
              <w:rPr>
                <w:rFonts w:ascii="Times New Roman" w:hAnsi="Times New Roman" w:cs="Times New Roman"/>
                <w:sz w:val="20"/>
                <w:szCs w:val="20"/>
              </w:rPr>
            </w:pPr>
            <w:r w:rsidRPr="001D0846">
              <w:rPr>
                <w:rFonts w:ascii="Times New Roman" w:hAnsi="Times New Roman" w:cs="Times New Roman"/>
                <w:sz w:val="20"/>
                <w:szCs w:val="20"/>
              </w:rPr>
              <w:t>Modernizarea controlului fiscal</w:t>
            </w:r>
          </w:p>
        </w:tc>
        <w:tc>
          <w:tcPr>
            <w:tcW w:w="6095"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tabs>
                <w:tab w:val="left" w:pos="0"/>
              </w:tabs>
              <w:spacing w:line="276" w:lineRule="auto"/>
              <w:jc w:val="both"/>
              <w:rPr>
                <w:rFonts w:ascii="Times New Roman" w:hAnsi="Times New Roman" w:cs="Times New Roman"/>
                <w:sz w:val="20"/>
                <w:szCs w:val="20"/>
              </w:rPr>
            </w:pPr>
            <w:r w:rsidRPr="001D0846">
              <w:rPr>
                <w:rFonts w:ascii="Times New Roman" w:hAnsi="Times New Roman" w:cs="Times New Roman"/>
                <w:sz w:val="20"/>
                <w:szCs w:val="20"/>
              </w:rPr>
              <w:t>* Majorarea eficienței controalelor fiscale bazate pe riscuri</w:t>
            </w:r>
          </w:p>
        </w:tc>
      </w:tr>
      <w:tr w:rsidR="00714F5D" w:rsidRPr="001D0846" w:rsidTr="008C5C6A">
        <w:trPr>
          <w:trHeight w:val="566"/>
        </w:trPr>
        <w:tc>
          <w:tcPr>
            <w:tcW w:w="63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tabs>
                <w:tab w:val="left" w:pos="0"/>
              </w:tabs>
              <w:spacing w:line="276" w:lineRule="auto"/>
              <w:jc w:val="center"/>
              <w:rPr>
                <w:rFonts w:ascii="Times New Roman" w:hAnsi="Times New Roman" w:cs="Times New Roman"/>
                <w:b/>
                <w:sz w:val="20"/>
                <w:szCs w:val="20"/>
              </w:rPr>
            </w:pPr>
            <w:r w:rsidRPr="001D0846">
              <w:rPr>
                <w:rFonts w:ascii="Times New Roman" w:hAnsi="Times New Roman" w:cs="Times New Roman"/>
                <w:b/>
                <w:sz w:val="20"/>
                <w:szCs w:val="20"/>
              </w:rPr>
              <w:t>5.</w:t>
            </w:r>
          </w:p>
        </w:tc>
        <w:tc>
          <w:tcPr>
            <w:tcW w:w="660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0"/>
              </w:tabs>
              <w:spacing w:line="276" w:lineRule="auto"/>
              <w:ind w:left="0"/>
              <w:jc w:val="both"/>
              <w:rPr>
                <w:rFonts w:ascii="Times New Roman" w:hAnsi="Times New Roman" w:cs="Times New Roman"/>
                <w:sz w:val="20"/>
                <w:szCs w:val="20"/>
              </w:rPr>
            </w:pPr>
            <w:r w:rsidRPr="001D0846">
              <w:rPr>
                <w:rFonts w:ascii="Times New Roman" w:hAnsi="Times New Roman" w:cs="Times New Roman"/>
                <w:sz w:val="20"/>
                <w:szCs w:val="20"/>
              </w:rPr>
              <w:t>Dezvoltarea unui sistem eficient de gestionare a restanțelor</w:t>
            </w:r>
          </w:p>
        </w:tc>
        <w:tc>
          <w:tcPr>
            <w:tcW w:w="6095"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tabs>
                <w:tab w:val="left" w:pos="0"/>
              </w:tabs>
              <w:spacing w:line="276" w:lineRule="auto"/>
              <w:jc w:val="both"/>
              <w:rPr>
                <w:rFonts w:ascii="Times New Roman" w:hAnsi="Times New Roman" w:cs="Times New Roman"/>
                <w:sz w:val="20"/>
                <w:szCs w:val="20"/>
              </w:rPr>
            </w:pPr>
            <w:r w:rsidRPr="001D0846">
              <w:rPr>
                <w:rFonts w:ascii="Times New Roman" w:hAnsi="Times New Roman" w:cs="Times New Roman"/>
                <w:sz w:val="20"/>
                <w:szCs w:val="20"/>
              </w:rPr>
              <w:t>* Diminuarea arieratelor la BPN (cu cel puțin 10% față de perioada precedentă)</w:t>
            </w:r>
          </w:p>
        </w:tc>
      </w:tr>
      <w:tr w:rsidR="00714F5D" w:rsidRPr="001D0846" w:rsidTr="008C5C6A">
        <w:trPr>
          <w:trHeight w:val="800"/>
        </w:trPr>
        <w:tc>
          <w:tcPr>
            <w:tcW w:w="630" w:type="dxa"/>
            <w:tcBorders>
              <w:top w:val="single" w:sz="4" w:space="0" w:color="auto"/>
              <w:left w:val="single" w:sz="4" w:space="0" w:color="auto"/>
              <w:bottom w:val="single" w:sz="4" w:space="0" w:color="auto"/>
              <w:right w:val="single" w:sz="4" w:space="0" w:color="auto"/>
            </w:tcBorders>
          </w:tcPr>
          <w:p w:rsidR="00714F5D" w:rsidRPr="001D0846" w:rsidRDefault="00714F5D" w:rsidP="008C5C6A">
            <w:pPr>
              <w:tabs>
                <w:tab w:val="left" w:pos="0"/>
              </w:tabs>
              <w:spacing w:line="276" w:lineRule="auto"/>
              <w:jc w:val="center"/>
              <w:rPr>
                <w:rFonts w:ascii="Times New Roman" w:hAnsi="Times New Roman" w:cs="Times New Roman"/>
                <w:b/>
                <w:sz w:val="20"/>
                <w:szCs w:val="20"/>
              </w:rPr>
            </w:pPr>
          </w:p>
          <w:p w:rsidR="00714F5D" w:rsidRPr="001D0846" w:rsidRDefault="00714F5D" w:rsidP="008C5C6A">
            <w:pPr>
              <w:tabs>
                <w:tab w:val="left" w:pos="0"/>
              </w:tabs>
              <w:spacing w:line="276" w:lineRule="auto"/>
              <w:jc w:val="center"/>
              <w:rPr>
                <w:rFonts w:ascii="Times New Roman" w:hAnsi="Times New Roman" w:cs="Times New Roman"/>
                <w:b/>
                <w:sz w:val="20"/>
                <w:szCs w:val="20"/>
              </w:rPr>
            </w:pPr>
            <w:r w:rsidRPr="001D0846">
              <w:rPr>
                <w:rFonts w:ascii="Times New Roman" w:hAnsi="Times New Roman" w:cs="Times New Roman"/>
                <w:b/>
                <w:sz w:val="20"/>
                <w:szCs w:val="20"/>
              </w:rPr>
              <w:t>6.</w:t>
            </w:r>
          </w:p>
        </w:tc>
        <w:tc>
          <w:tcPr>
            <w:tcW w:w="660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0"/>
              </w:tabs>
              <w:spacing w:line="276" w:lineRule="auto"/>
              <w:ind w:left="0"/>
              <w:jc w:val="both"/>
              <w:rPr>
                <w:rFonts w:ascii="Times New Roman" w:hAnsi="Times New Roman" w:cs="Times New Roman"/>
                <w:sz w:val="20"/>
                <w:szCs w:val="20"/>
              </w:rPr>
            </w:pPr>
            <w:r w:rsidRPr="001D0846">
              <w:rPr>
                <w:rFonts w:ascii="Times New Roman" w:hAnsi="Times New Roman" w:cs="Times New Roman"/>
                <w:sz w:val="20"/>
                <w:szCs w:val="20"/>
              </w:rPr>
              <w:t>Modernizarea infrastructurii tehnice și adaptarea acesteia la noua structură organizatorică</w:t>
            </w:r>
          </w:p>
        </w:tc>
        <w:tc>
          <w:tcPr>
            <w:tcW w:w="6095" w:type="dxa"/>
            <w:tcBorders>
              <w:top w:val="single" w:sz="4" w:space="0" w:color="auto"/>
              <w:left w:val="single" w:sz="4" w:space="0" w:color="auto"/>
              <w:bottom w:val="single" w:sz="4" w:space="0" w:color="auto"/>
              <w:right w:val="single" w:sz="4" w:space="0" w:color="auto"/>
            </w:tcBorders>
          </w:tcPr>
          <w:p w:rsidR="00714F5D" w:rsidRPr="001D0846" w:rsidRDefault="00714F5D" w:rsidP="008C5C6A">
            <w:pPr>
              <w:tabs>
                <w:tab w:val="left" w:pos="0"/>
              </w:tabs>
              <w:spacing w:line="276" w:lineRule="auto"/>
              <w:jc w:val="both"/>
              <w:rPr>
                <w:rFonts w:ascii="Times New Roman" w:hAnsi="Times New Roman" w:cs="Times New Roman"/>
                <w:sz w:val="20"/>
                <w:szCs w:val="20"/>
              </w:rPr>
            </w:pPr>
          </w:p>
          <w:p w:rsidR="00714F5D" w:rsidRPr="001D0846" w:rsidRDefault="00714F5D" w:rsidP="008C5C6A">
            <w:pPr>
              <w:tabs>
                <w:tab w:val="left" w:pos="0"/>
              </w:tabs>
              <w:spacing w:line="276" w:lineRule="auto"/>
              <w:jc w:val="center"/>
              <w:rPr>
                <w:rFonts w:ascii="Times New Roman" w:hAnsi="Times New Roman" w:cs="Times New Roman"/>
                <w:sz w:val="20"/>
                <w:szCs w:val="20"/>
              </w:rPr>
            </w:pPr>
            <w:r w:rsidRPr="001D0846">
              <w:rPr>
                <w:rFonts w:ascii="Times New Roman" w:hAnsi="Times New Roman" w:cs="Times New Roman"/>
                <w:sz w:val="20"/>
                <w:szCs w:val="20"/>
              </w:rPr>
              <w:t>-</w:t>
            </w:r>
          </w:p>
        </w:tc>
      </w:tr>
      <w:tr w:rsidR="00714F5D" w:rsidRPr="001D0846" w:rsidTr="008C5C6A">
        <w:tc>
          <w:tcPr>
            <w:tcW w:w="63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tabs>
                <w:tab w:val="left" w:pos="0"/>
              </w:tabs>
              <w:spacing w:line="276" w:lineRule="auto"/>
              <w:jc w:val="center"/>
              <w:rPr>
                <w:rFonts w:ascii="Times New Roman" w:hAnsi="Times New Roman" w:cs="Times New Roman"/>
                <w:b/>
                <w:sz w:val="20"/>
                <w:szCs w:val="20"/>
              </w:rPr>
            </w:pPr>
            <w:r w:rsidRPr="001D0846">
              <w:rPr>
                <w:rFonts w:ascii="Times New Roman" w:hAnsi="Times New Roman" w:cs="Times New Roman"/>
                <w:b/>
                <w:sz w:val="20"/>
                <w:szCs w:val="20"/>
              </w:rPr>
              <w:t>7.</w:t>
            </w:r>
          </w:p>
        </w:tc>
        <w:tc>
          <w:tcPr>
            <w:tcW w:w="660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tabs>
                <w:tab w:val="left" w:pos="0"/>
              </w:tabs>
              <w:spacing w:line="276" w:lineRule="auto"/>
              <w:jc w:val="both"/>
              <w:rPr>
                <w:rFonts w:ascii="Times New Roman" w:hAnsi="Times New Roman" w:cs="Times New Roman"/>
                <w:sz w:val="20"/>
                <w:szCs w:val="20"/>
              </w:rPr>
            </w:pPr>
            <w:r w:rsidRPr="001D0846">
              <w:rPr>
                <w:rFonts w:ascii="Times New Roman" w:hAnsi="Times New Roman" w:cs="Times New Roman"/>
                <w:sz w:val="20"/>
                <w:szCs w:val="20"/>
              </w:rPr>
              <w:t>Implementarea sistemului informational integrat</w:t>
            </w:r>
          </w:p>
        </w:tc>
        <w:tc>
          <w:tcPr>
            <w:tcW w:w="6095"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tabs>
                <w:tab w:val="left" w:pos="0"/>
              </w:tabs>
              <w:spacing w:line="276" w:lineRule="auto"/>
              <w:jc w:val="both"/>
              <w:rPr>
                <w:rFonts w:ascii="Times New Roman" w:hAnsi="Times New Roman" w:cs="Times New Roman"/>
                <w:sz w:val="20"/>
                <w:szCs w:val="20"/>
              </w:rPr>
            </w:pPr>
            <w:r w:rsidRPr="001D0846">
              <w:rPr>
                <w:rFonts w:ascii="Times New Roman" w:hAnsi="Times New Roman" w:cs="Times New Roman"/>
                <w:sz w:val="20"/>
                <w:szCs w:val="20"/>
              </w:rPr>
              <w:t xml:space="preserve">* Dezvoltarea sistemului de declarare fiscală prin utilizarea tehnologiilor informaționale  </w:t>
            </w:r>
          </w:p>
        </w:tc>
      </w:tr>
      <w:tr w:rsidR="00714F5D" w:rsidRPr="001D0846" w:rsidTr="008C5C6A">
        <w:tc>
          <w:tcPr>
            <w:tcW w:w="630" w:type="dxa"/>
            <w:tcBorders>
              <w:top w:val="single" w:sz="4" w:space="0" w:color="auto"/>
              <w:left w:val="single" w:sz="4" w:space="0" w:color="auto"/>
              <w:bottom w:val="single" w:sz="4" w:space="0" w:color="auto"/>
              <w:right w:val="single" w:sz="4" w:space="0" w:color="auto"/>
            </w:tcBorders>
          </w:tcPr>
          <w:p w:rsidR="00714F5D" w:rsidRPr="001D0846" w:rsidRDefault="00714F5D" w:rsidP="008C5C6A">
            <w:pPr>
              <w:tabs>
                <w:tab w:val="left" w:pos="0"/>
              </w:tabs>
              <w:spacing w:line="276" w:lineRule="auto"/>
              <w:jc w:val="center"/>
              <w:rPr>
                <w:rFonts w:ascii="Times New Roman" w:hAnsi="Times New Roman" w:cs="Times New Roman"/>
                <w:b/>
                <w:sz w:val="20"/>
                <w:szCs w:val="20"/>
              </w:rPr>
            </w:pPr>
          </w:p>
          <w:p w:rsidR="00714F5D" w:rsidRPr="001D0846" w:rsidRDefault="00714F5D" w:rsidP="008C5C6A">
            <w:pPr>
              <w:tabs>
                <w:tab w:val="left" w:pos="0"/>
              </w:tabs>
              <w:spacing w:line="276" w:lineRule="auto"/>
              <w:jc w:val="center"/>
              <w:rPr>
                <w:rFonts w:ascii="Times New Roman" w:hAnsi="Times New Roman" w:cs="Times New Roman"/>
                <w:b/>
                <w:sz w:val="20"/>
                <w:szCs w:val="20"/>
              </w:rPr>
            </w:pPr>
            <w:r w:rsidRPr="001D0846">
              <w:rPr>
                <w:rFonts w:ascii="Times New Roman" w:hAnsi="Times New Roman" w:cs="Times New Roman"/>
                <w:b/>
                <w:sz w:val="20"/>
                <w:szCs w:val="20"/>
              </w:rPr>
              <w:t>8.</w:t>
            </w:r>
          </w:p>
        </w:tc>
        <w:tc>
          <w:tcPr>
            <w:tcW w:w="660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0"/>
              </w:tabs>
              <w:spacing w:line="276" w:lineRule="auto"/>
              <w:ind w:left="0"/>
              <w:jc w:val="both"/>
              <w:rPr>
                <w:rFonts w:ascii="Times New Roman" w:hAnsi="Times New Roman" w:cs="Times New Roman"/>
                <w:sz w:val="20"/>
                <w:szCs w:val="20"/>
              </w:rPr>
            </w:pPr>
            <w:r w:rsidRPr="001D0846">
              <w:rPr>
                <w:rFonts w:ascii="Times New Roman" w:hAnsi="Times New Roman" w:cs="Times New Roman"/>
                <w:sz w:val="20"/>
                <w:szCs w:val="20"/>
              </w:rPr>
              <w:t>Optimizarea procedurilor de administrare fiscală a contribuabililor mari</w:t>
            </w:r>
          </w:p>
        </w:tc>
        <w:tc>
          <w:tcPr>
            <w:tcW w:w="6095"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tabs>
                <w:tab w:val="left" w:pos="0"/>
              </w:tabs>
              <w:spacing w:line="276" w:lineRule="auto"/>
              <w:jc w:val="both"/>
              <w:rPr>
                <w:rFonts w:ascii="Times New Roman" w:hAnsi="Times New Roman" w:cs="Times New Roman"/>
                <w:sz w:val="20"/>
                <w:szCs w:val="20"/>
              </w:rPr>
            </w:pPr>
            <w:r w:rsidRPr="001D0846">
              <w:rPr>
                <w:rFonts w:ascii="Times New Roman" w:hAnsi="Times New Roman" w:cs="Times New Roman"/>
                <w:sz w:val="20"/>
                <w:szCs w:val="20"/>
              </w:rPr>
              <w:t>Optimizarea procedurilor de administrare fiscală a contribuabililor mari</w:t>
            </w:r>
          </w:p>
        </w:tc>
      </w:tr>
    </w:tbl>
    <w:p w:rsidR="00714F5D" w:rsidRPr="001D0846" w:rsidRDefault="00714F5D" w:rsidP="00714F5D">
      <w:pPr>
        <w:tabs>
          <w:tab w:val="left" w:pos="0"/>
        </w:tabs>
        <w:spacing w:after="0" w:line="276" w:lineRule="auto"/>
        <w:jc w:val="both"/>
        <w:rPr>
          <w:rFonts w:ascii="Times New Roman" w:hAnsi="Times New Roman" w:cs="Times New Roman"/>
          <w:i/>
          <w:sz w:val="20"/>
          <w:szCs w:val="20"/>
        </w:rPr>
      </w:pPr>
      <w:r w:rsidRPr="001D0846">
        <w:rPr>
          <w:rFonts w:ascii="Times New Roman" w:hAnsi="Times New Roman" w:cs="Times New Roman"/>
          <w:i/>
          <w:sz w:val="20"/>
          <w:szCs w:val="20"/>
        </w:rPr>
        <w:t>*</w:t>
      </w:r>
      <w:r w:rsidRPr="001D0846">
        <w:rPr>
          <w:rFonts w:ascii="Times New Roman" w:hAnsi="Times New Roman" w:cs="Times New Roman"/>
          <w:b/>
          <w:i/>
          <w:sz w:val="20"/>
          <w:szCs w:val="20"/>
        </w:rPr>
        <w:t>Sursă:</w:t>
      </w:r>
      <w:r w:rsidRPr="001D0846">
        <w:rPr>
          <w:rFonts w:ascii="Times New Roman" w:hAnsi="Times New Roman" w:cs="Times New Roman"/>
          <w:i/>
          <w:sz w:val="20"/>
          <w:szCs w:val="20"/>
        </w:rPr>
        <w:t xml:space="preserve"> Raportul de performanță la situația din 01.01.2018 (Forma FD053).</w:t>
      </w:r>
    </w:p>
    <w:p w:rsidR="00714F5D" w:rsidRPr="001D0846" w:rsidRDefault="00714F5D" w:rsidP="00714F5D">
      <w:pPr>
        <w:spacing w:after="0" w:line="276" w:lineRule="auto"/>
      </w:pPr>
    </w:p>
    <w:p w:rsidR="00714F5D" w:rsidRPr="001D0846" w:rsidRDefault="00714F5D" w:rsidP="00714F5D">
      <w:pPr>
        <w:spacing w:after="0" w:line="276" w:lineRule="auto"/>
        <w:rPr>
          <w:rFonts w:ascii="Times New Roman" w:hAnsi="Times New Roman" w:cs="Times New Roman"/>
        </w:rPr>
        <w:sectPr w:rsidR="00714F5D" w:rsidRPr="001D0846" w:rsidSect="000965FB">
          <w:pgSz w:w="15840" w:h="12240" w:orient="landscape"/>
          <w:pgMar w:top="851" w:right="851" w:bottom="851" w:left="1701" w:header="709" w:footer="709" w:gutter="0"/>
          <w:cols w:space="708"/>
          <w:docGrid w:linePitch="360"/>
        </w:sectPr>
      </w:pPr>
    </w:p>
    <w:p w:rsidR="00714F5D" w:rsidRPr="001D0846" w:rsidRDefault="00714F5D" w:rsidP="00714F5D">
      <w:pPr>
        <w:pStyle w:val="ListParagraph"/>
        <w:tabs>
          <w:tab w:val="left" w:pos="0"/>
        </w:tabs>
        <w:spacing w:after="0" w:line="276" w:lineRule="auto"/>
        <w:ind w:left="0" w:firstLine="709"/>
        <w:jc w:val="right"/>
        <w:rPr>
          <w:rFonts w:ascii="Times New Roman" w:hAnsi="Times New Roman" w:cs="Times New Roman"/>
          <w:b/>
          <w:i/>
          <w:sz w:val="28"/>
          <w:szCs w:val="28"/>
        </w:rPr>
      </w:pPr>
      <w:r w:rsidRPr="001D0846">
        <w:rPr>
          <w:rFonts w:ascii="Times New Roman" w:hAnsi="Times New Roman" w:cs="Times New Roman"/>
          <w:b/>
          <w:i/>
          <w:sz w:val="28"/>
          <w:szCs w:val="28"/>
        </w:rPr>
        <w:lastRenderedPageBreak/>
        <w:t>Tabelul nr. 2</w:t>
      </w:r>
    </w:p>
    <w:p w:rsidR="00714F5D" w:rsidRPr="001D0846" w:rsidRDefault="00714F5D" w:rsidP="00714F5D">
      <w:pPr>
        <w:pStyle w:val="ListParagraph"/>
        <w:tabs>
          <w:tab w:val="left" w:pos="0"/>
        </w:tabs>
        <w:spacing w:after="0" w:line="276" w:lineRule="auto"/>
        <w:ind w:left="0" w:firstLine="709"/>
        <w:jc w:val="center"/>
        <w:rPr>
          <w:rFonts w:ascii="Times New Roman" w:hAnsi="Times New Roman" w:cs="Times New Roman"/>
          <w:i/>
          <w:sz w:val="28"/>
          <w:szCs w:val="28"/>
        </w:rPr>
      </w:pPr>
      <w:r w:rsidRPr="001D0846">
        <w:rPr>
          <w:rFonts w:ascii="Times New Roman" w:hAnsi="Times New Roman" w:cs="Times New Roman"/>
          <w:i/>
          <w:sz w:val="28"/>
          <w:szCs w:val="28"/>
        </w:rPr>
        <w:t>Informația privind nivelul de realizare de către SFS a indicatorilor de performanță în activitatea de administrare fiscală în anul 2017</w:t>
      </w:r>
    </w:p>
    <w:tbl>
      <w:tblPr>
        <w:tblStyle w:val="TableGrid"/>
        <w:tblpPr w:leftFromText="180" w:rightFromText="180" w:vertAnchor="text" w:horzAnchor="margin" w:tblpXSpec="center" w:tblpY="36"/>
        <w:tblW w:w="13745" w:type="dxa"/>
        <w:tblLayout w:type="fixed"/>
        <w:tblLook w:val="04A0"/>
      </w:tblPr>
      <w:tblGrid>
        <w:gridCol w:w="562"/>
        <w:gridCol w:w="4253"/>
        <w:gridCol w:w="4394"/>
        <w:gridCol w:w="1040"/>
        <w:gridCol w:w="900"/>
        <w:gridCol w:w="990"/>
        <w:gridCol w:w="900"/>
        <w:gridCol w:w="706"/>
      </w:tblGrid>
      <w:tr w:rsidR="00714F5D" w:rsidRPr="001D0846" w:rsidTr="008C5C6A">
        <w:tc>
          <w:tcPr>
            <w:tcW w:w="562"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hideMark/>
          </w:tcPr>
          <w:p w:rsidR="00714F5D" w:rsidRPr="001D0846" w:rsidRDefault="00714F5D" w:rsidP="008C5C6A">
            <w:pPr>
              <w:pStyle w:val="ListParagraph"/>
              <w:tabs>
                <w:tab w:val="left" w:pos="1134"/>
              </w:tabs>
              <w:spacing w:line="276" w:lineRule="auto"/>
              <w:ind w:left="56" w:right="113"/>
              <w:jc w:val="center"/>
              <w:rPr>
                <w:rFonts w:ascii="Times New Roman" w:hAnsi="Times New Roman" w:cs="Times New Roman"/>
                <w:b/>
                <w:sz w:val="20"/>
                <w:szCs w:val="20"/>
              </w:rPr>
            </w:pPr>
            <w:r w:rsidRPr="001D0846">
              <w:rPr>
                <w:rFonts w:ascii="Times New Roman" w:hAnsi="Times New Roman" w:cs="Times New Roman"/>
                <w:b/>
                <w:sz w:val="20"/>
                <w:szCs w:val="20"/>
              </w:rPr>
              <w:t>Categoria</w:t>
            </w:r>
          </w:p>
        </w:tc>
        <w:tc>
          <w:tcPr>
            <w:tcW w:w="425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14F5D" w:rsidRPr="001D0846" w:rsidRDefault="00714F5D" w:rsidP="008C5C6A">
            <w:pPr>
              <w:pStyle w:val="ListParagraph"/>
              <w:tabs>
                <w:tab w:val="left" w:pos="1134"/>
              </w:tabs>
              <w:spacing w:line="276" w:lineRule="auto"/>
              <w:ind w:left="0"/>
              <w:rPr>
                <w:rFonts w:ascii="Times New Roman" w:hAnsi="Times New Roman" w:cs="Times New Roman"/>
                <w:b/>
                <w:i/>
                <w:sz w:val="20"/>
                <w:szCs w:val="20"/>
              </w:rPr>
            </w:pPr>
            <w:r w:rsidRPr="001D0846">
              <w:rPr>
                <w:rFonts w:ascii="Times New Roman" w:hAnsi="Times New Roman" w:cs="Times New Roman"/>
                <w:b/>
                <w:sz w:val="20"/>
                <w:szCs w:val="20"/>
              </w:rPr>
              <w:t>Indicatori aprobați de către MF</w:t>
            </w:r>
          </w:p>
        </w:tc>
        <w:tc>
          <w:tcPr>
            <w:tcW w:w="8930"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14F5D" w:rsidRPr="001D0846" w:rsidRDefault="00714F5D" w:rsidP="008C5C6A">
            <w:pPr>
              <w:pStyle w:val="ListParagraph"/>
              <w:tabs>
                <w:tab w:val="left" w:pos="1134"/>
              </w:tabs>
              <w:spacing w:line="276" w:lineRule="auto"/>
              <w:ind w:left="0"/>
              <w:rPr>
                <w:rFonts w:ascii="Times New Roman" w:hAnsi="Times New Roman" w:cs="Times New Roman"/>
                <w:b/>
                <w:sz w:val="20"/>
                <w:szCs w:val="20"/>
              </w:rPr>
            </w:pPr>
            <w:r w:rsidRPr="001D0846">
              <w:rPr>
                <w:rFonts w:ascii="Times New Roman" w:hAnsi="Times New Roman" w:cs="Times New Roman"/>
                <w:b/>
                <w:sz w:val="20"/>
                <w:szCs w:val="20"/>
              </w:rPr>
              <w:t>Indicatori raportați de către SFS</w:t>
            </w:r>
          </w:p>
        </w:tc>
      </w:tr>
      <w:tr w:rsidR="00714F5D" w:rsidRPr="001D0846" w:rsidTr="008C5C6A">
        <w:tc>
          <w:tcPr>
            <w:tcW w:w="562" w:type="dxa"/>
            <w:vMerge/>
            <w:tcBorders>
              <w:top w:val="single" w:sz="4" w:space="0" w:color="auto"/>
              <w:left w:val="single" w:sz="4" w:space="0" w:color="auto"/>
              <w:bottom w:val="single" w:sz="4" w:space="0" w:color="auto"/>
              <w:right w:val="single" w:sz="4" w:space="0" w:color="auto"/>
            </w:tcBorders>
            <w:vAlign w:val="center"/>
            <w:hideMark/>
          </w:tcPr>
          <w:p w:rsidR="00714F5D" w:rsidRPr="001D0846" w:rsidRDefault="00714F5D" w:rsidP="008C5C6A">
            <w:pPr>
              <w:spacing w:line="276" w:lineRule="auto"/>
              <w:rPr>
                <w:rFonts w:ascii="Times New Roman" w:hAnsi="Times New Roman" w:cs="Times New Roman"/>
                <w:b/>
                <w:sz w:val="20"/>
                <w:szCs w:val="20"/>
              </w:rPr>
            </w:pPr>
          </w:p>
        </w:tc>
        <w:tc>
          <w:tcPr>
            <w:tcW w:w="425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De rezultat</w:t>
            </w:r>
          </w:p>
        </w:tc>
        <w:tc>
          <w:tcPr>
            <w:tcW w:w="439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De rezultat</w:t>
            </w:r>
          </w:p>
        </w:tc>
        <w:tc>
          <w:tcPr>
            <w:tcW w:w="104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Unitatea de măsură (%)</w:t>
            </w:r>
          </w:p>
        </w:tc>
        <w:tc>
          <w:tcPr>
            <w:tcW w:w="90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Aprobat</w:t>
            </w:r>
          </w:p>
        </w:tc>
        <w:tc>
          <w:tcPr>
            <w:tcW w:w="99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Executat</w:t>
            </w:r>
          </w:p>
        </w:tc>
        <w:tc>
          <w:tcPr>
            <w:tcW w:w="90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Devieri (+/-)</w:t>
            </w:r>
          </w:p>
        </w:tc>
        <w:tc>
          <w:tcPr>
            <w:tcW w:w="706"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Neexecutați</w:t>
            </w:r>
          </w:p>
        </w:tc>
      </w:tr>
      <w:tr w:rsidR="00714F5D" w:rsidRPr="001D0846" w:rsidTr="008C5C6A">
        <w:tc>
          <w:tcPr>
            <w:tcW w:w="562"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rPr>
                <w:rFonts w:ascii="Times New Roman" w:hAnsi="Times New Roman" w:cs="Times New Roman"/>
                <w:b/>
                <w:i/>
                <w:sz w:val="20"/>
                <w:szCs w:val="20"/>
              </w:rPr>
            </w:pPr>
            <w:r w:rsidRPr="001D0846">
              <w:rPr>
                <w:rFonts w:ascii="Times New Roman" w:hAnsi="Times New Roman" w:cs="Times New Roman"/>
                <w:b/>
                <w:i/>
                <w:sz w:val="20"/>
                <w:szCs w:val="20"/>
              </w:rPr>
              <w:t>R1</w:t>
            </w:r>
          </w:p>
        </w:tc>
        <w:tc>
          <w:tcPr>
            <w:tcW w:w="4253"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rPr>
                <w:rFonts w:ascii="Times New Roman" w:hAnsi="Times New Roman" w:cs="Times New Roman"/>
                <w:b/>
                <w:i/>
                <w:sz w:val="20"/>
                <w:szCs w:val="20"/>
              </w:rPr>
            </w:pPr>
            <w:r w:rsidRPr="001D0846">
              <w:rPr>
                <w:rFonts w:ascii="Times New Roman" w:hAnsi="Times New Roman" w:cs="Times New Roman"/>
                <w:sz w:val="20"/>
                <w:szCs w:val="20"/>
              </w:rPr>
              <w:t>Gradul de reducere a restanței la BPN în baza măsurilor de executare silită a obligațiilor fiscale</w:t>
            </w:r>
          </w:p>
        </w:tc>
        <w:tc>
          <w:tcPr>
            <w:tcW w:w="4394"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rPr>
                <w:rFonts w:ascii="Times New Roman" w:hAnsi="Times New Roman" w:cs="Times New Roman"/>
                <w:sz w:val="20"/>
                <w:szCs w:val="20"/>
              </w:rPr>
            </w:pPr>
            <w:r w:rsidRPr="001D0846">
              <w:rPr>
                <w:rFonts w:ascii="Times New Roman" w:hAnsi="Times New Roman" w:cs="Times New Roman"/>
                <w:sz w:val="20"/>
                <w:szCs w:val="20"/>
              </w:rPr>
              <w:t>Gradul de reducere a restanței la BPN în baza măsurilor de executare silită a obligațiilor fiscale</w:t>
            </w:r>
          </w:p>
        </w:tc>
        <w:tc>
          <w:tcPr>
            <w:tcW w:w="104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sz w:val="20"/>
                <w:szCs w:val="20"/>
              </w:rPr>
            </w:pPr>
            <w:r w:rsidRPr="001D0846">
              <w:rPr>
                <w:rFonts w:ascii="Times New Roman" w:hAnsi="Times New Roman" w:cs="Times New Roman"/>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32</w:t>
            </w:r>
          </w:p>
        </w:tc>
        <w:tc>
          <w:tcPr>
            <w:tcW w:w="99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50,5</w:t>
            </w:r>
          </w:p>
        </w:tc>
        <w:tc>
          <w:tcPr>
            <w:tcW w:w="90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+18,5</w:t>
            </w:r>
          </w:p>
        </w:tc>
        <w:tc>
          <w:tcPr>
            <w:tcW w:w="706" w:type="dxa"/>
            <w:tcBorders>
              <w:top w:val="single" w:sz="4" w:space="0" w:color="auto"/>
              <w:left w:val="single" w:sz="4" w:space="0" w:color="auto"/>
              <w:bottom w:val="single" w:sz="4" w:space="0" w:color="auto"/>
              <w:right w:val="single" w:sz="4" w:space="0" w:color="auto"/>
            </w:tcBorders>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b/>
                <w:i/>
                <w:sz w:val="20"/>
                <w:szCs w:val="20"/>
              </w:rPr>
            </w:pPr>
          </w:p>
        </w:tc>
      </w:tr>
      <w:tr w:rsidR="00714F5D" w:rsidRPr="001D0846" w:rsidTr="008C5C6A">
        <w:tc>
          <w:tcPr>
            <w:tcW w:w="562"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rPr>
                <w:rFonts w:ascii="Times New Roman" w:hAnsi="Times New Roman" w:cs="Times New Roman"/>
                <w:b/>
                <w:i/>
                <w:sz w:val="20"/>
                <w:szCs w:val="20"/>
              </w:rPr>
            </w:pPr>
            <w:r w:rsidRPr="001D0846">
              <w:rPr>
                <w:rFonts w:ascii="Times New Roman" w:hAnsi="Times New Roman" w:cs="Times New Roman"/>
                <w:b/>
                <w:i/>
                <w:sz w:val="20"/>
                <w:szCs w:val="20"/>
              </w:rPr>
              <w:t>R11</w:t>
            </w:r>
          </w:p>
        </w:tc>
        <w:tc>
          <w:tcPr>
            <w:tcW w:w="4253"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rPr>
                <w:rFonts w:ascii="Times New Roman" w:hAnsi="Times New Roman" w:cs="Times New Roman"/>
                <w:b/>
                <w:sz w:val="20"/>
                <w:szCs w:val="20"/>
              </w:rPr>
            </w:pPr>
            <w:r w:rsidRPr="001D0846">
              <w:rPr>
                <w:rFonts w:ascii="Times New Roman" w:hAnsi="Times New Roman" w:cs="Times New Roman"/>
                <w:sz w:val="20"/>
                <w:szCs w:val="20"/>
              </w:rPr>
              <w:t>Nivelul de conformare voluntară a contribuabililor (ponderea impozitelor și taxelor la un leu de vânzări)</w:t>
            </w:r>
          </w:p>
        </w:tc>
        <w:tc>
          <w:tcPr>
            <w:tcW w:w="4394"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rPr>
                <w:rFonts w:ascii="Times New Roman" w:hAnsi="Times New Roman" w:cs="Times New Roman"/>
                <w:sz w:val="20"/>
                <w:szCs w:val="20"/>
              </w:rPr>
            </w:pPr>
            <w:r w:rsidRPr="001D0846">
              <w:rPr>
                <w:rFonts w:ascii="Times New Roman" w:hAnsi="Times New Roman" w:cs="Times New Roman"/>
                <w:sz w:val="20"/>
                <w:szCs w:val="20"/>
              </w:rPr>
              <w:t>Nivelul de conformare voluntară a contribuabililor</w:t>
            </w:r>
          </w:p>
        </w:tc>
        <w:tc>
          <w:tcPr>
            <w:tcW w:w="104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sz w:val="20"/>
                <w:szCs w:val="20"/>
              </w:rPr>
            </w:pPr>
            <w:r w:rsidRPr="001D0846">
              <w:rPr>
                <w:rFonts w:ascii="Times New Roman" w:hAnsi="Times New Roman" w:cs="Times New Roman"/>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15</w:t>
            </w:r>
          </w:p>
        </w:tc>
        <w:tc>
          <w:tcPr>
            <w:tcW w:w="99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29,4</w:t>
            </w:r>
          </w:p>
        </w:tc>
        <w:tc>
          <w:tcPr>
            <w:tcW w:w="90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+14,4</w:t>
            </w:r>
          </w:p>
        </w:tc>
        <w:tc>
          <w:tcPr>
            <w:tcW w:w="706" w:type="dxa"/>
            <w:tcBorders>
              <w:top w:val="single" w:sz="4" w:space="0" w:color="auto"/>
              <w:left w:val="single" w:sz="4" w:space="0" w:color="auto"/>
              <w:bottom w:val="single" w:sz="4" w:space="0" w:color="auto"/>
              <w:right w:val="single" w:sz="4" w:space="0" w:color="auto"/>
            </w:tcBorders>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b/>
                <w:i/>
                <w:sz w:val="20"/>
                <w:szCs w:val="20"/>
              </w:rPr>
            </w:pPr>
          </w:p>
        </w:tc>
      </w:tr>
      <w:tr w:rsidR="00714F5D" w:rsidRPr="001D0846" w:rsidTr="008C5C6A">
        <w:tc>
          <w:tcPr>
            <w:tcW w:w="562"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rPr>
                <w:rFonts w:ascii="Times New Roman" w:hAnsi="Times New Roman" w:cs="Times New Roman"/>
                <w:b/>
                <w:i/>
                <w:sz w:val="20"/>
                <w:szCs w:val="20"/>
              </w:rPr>
            </w:pPr>
            <w:r w:rsidRPr="001D0846">
              <w:rPr>
                <w:rFonts w:ascii="Times New Roman" w:hAnsi="Times New Roman" w:cs="Times New Roman"/>
                <w:b/>
                <w:i/>
                <w:sz w:val="20"/>
                <w:szCs w:val="20"/>
              </w:rPr>
              <w:t>R12</w:t>
            </w:r>
          </w:p>
        </w:tc>
        <w:tc>
          <w:tcPr>
            <w:tcW w:w="4253"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rPr>
                <w:rFonts w:ascii="Times New Roman" w:hAnsi="Times New Roman" w:cs="Times New Roman"/>
                <w:b/>
                <w:i/>
                <w:sz w:val="20"/>
                <w:szCs w:val="20"/>
              </w:rPr>
            </w:pPr>
            <w:r w:rsidRPr="001D0846">
              <w:rPr>
                <w:rFonts w:ascii="Times New Roman" w:hAnsi="Times New Roman" w:cs="Times New Roman"/>
                <w:sz w:val="20"/>
                <w:szCs w:val="20"/>
              </w:rPr>
              <w:t>Reducerea decalajului fiscal (prin diminuarea economiei tenebre și majorarea nivelului de conformare voluntară) față de perioada similară a anului precedent</w:t>
            </w:r>
          </w:p>
        </w:tc>
        <w:tc>
          <w:tcPr>
            <w:tcW w:w="4394"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rPr>
                <w:rFonts w:ascii="Times New Roman" w:hAnsi="Times New Roman" w:cs="Times New Roman"/>
                <w:sz w:val="20"/>
                <w:szCs w:val="20"/>
              </w:rPr>
            </w:pPr>
            <w:r w:rsidRPr="001D0846">
              <w:rPr>
                <w:rFonts w:ascii="Times New Roman" w:hAnsi="Times New Roman" w:cs="Times New Roman"/>
                <w:sz w:val="20"/>
                <w:szCs w:val="20"/>
              </w:rPr>
              <w:t>Reducerea decalajului fiscal (prin diminuarea economiei tenebre și majorarea nivelului de conformare voluntară) față de perioada similară a anului precedent</w:t>
            </w:r>
          </w:p>
        </w:tc>
        <w:tc>
          <w:tcPr>
            <w:tcW w:w="104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sz w:val="20"/>
                <w:szCs w:val="20"/>
              </w:rPr>
            </w:pPr>
            <w:r w:rsidRPr="001D0846">
              <w:rPr>
                <w:rFonts w:ascii="Times New Roman" w:hAnsi="Times New Roman" w:cs="Times New Roman"/>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1,5</w:t>
            </w:r>
          </w:p>
        </w:tc>
        <w:tc>
          <w:tcPr>
            <w:tcW w:w="99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3,58</w:t>
            </w:r>
          </w:p>
        </w:tc>
        <w:tc>
          <w:tcPr>
            <w:tcW w:w="90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+2,08</w:t>
            </w:r>
          </w:p>
        </w:tc>
        <w:tc>
          <w:tcPr>
            <w:tcW w:w="706" w:type="dxa"/>
            <w:tcBorders>
              <w:top w:val="single" w:sz="4" w:space="0" w:color="auto"/>
              <w:left w:val="single" w:sz="4" w:space="0" w:color="auto"/>
              <w:bottom w:val="single" w:sz="4" w:space="0" w:color="auto"/>
              <w:right w:val="single" w:sz="4" w:space="0" w:color="auto"/>
            </w:tcBorders>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b/>
                <w:i/>
                <w:sz w:val="20"/>
                <w:szCs w:val="20"/>
              </w:rPr>
            </w:pPr>
          </w:p>
        </w:tc>
      </w:tr>
      <w:tr w:rsidR="00714F5D" w:rsidRPr="001D0846" w:rsidTr="008C5C6A">
        <w:tc>
          <w:tcPr>
            <w:tcW w:w="562"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rPr>
                <w:rFonts w:ascii="Times New Roman" w:hAnsi="Times New Roman" w:cs="Times New Roman"/>
                <w:b/>
                <w:i/>
                <w:sz w:val="20"/>
                <w:szCs w:val="20"/>
              </w:rPr>
            </w:pPr>
            <w:r w:rsidRPr="001D0846">
              <w:rPr>
                <w:rFonts w:ascii="Times New Roman" w:hAnsi="Times New Roman" w:cs="Times New Roman"/>
                <w:b/>
                <w:i/>
                <w:sz w:val="20"/>
                <w:szCs w:val="20"/>
              </w:rPr>
              <w:t>R2</w:t>
            </w:r>
          </w:p>
        </w:tc>
        <w:tc>
          <w:tcPr>
            <w:tcW w:w="4253"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rPr>
                <w:rFonts w:ascii="Times New Roman" w:hAnsi="Times New Roman" w:cs="Times New Roman"/>
                <w:b/>
                <w:i/>
                <w:sz w:val="20"/>
                <w:szCs w:val="20"/>
              </w:rPr>
            </w:pPr>
            <w:r w:rsidRPr="001D0846">
              <w:rPr>
                <w:rFonts w:ascii="Times New Roman" w:hAnsi="Times New Roman" w:cs="Times New Roman"/>
                <w:sz w:val="20"/>
                <w:szCs w:val="20"/>
              </w:rPr>
              <w:t>Ponderea veniturilor la bugetul de stat administrate de SFS, încasate de la contribuabilii mari, în totalul încasărilor</w:t>
            </w:r>
          </w:p>
        </w:tc>
        <w:tc>
          <w:tcPr>
            <w:tcW w:w="4394"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rPr>
                <w:rFonts w:ascii="Times New Roman" w:hAnsi="Times New Roman" w:cs="Times New Roman"/>
                <w:sz w:val="20"/>
                <w:szCs w:val="20"/>
              </w:rPr>
            </w:pPr>
            <w:r w:rsidRPr="001D0846">
              <w:rPr>
                <w:rFonts w:ascii="Times New Roman" w:hAnsi="Times New Roman" w:cs="Times New Roman"/>
                <w:sz w:val="20"/>
                <w:szCs w:val="20"/>
              </w:rPr>
              <w:t>Ponderea veniturilor la bugetul de stat administrate de SFS, încasate de la contribuabilii mari, în totalul încasărilor</w:t>
            </w:r>
          </w:p>
        </w:tc>
        <w:tc>
          <w:tcPr>
            <w:tcW w:w="104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sz w:val="20"/>
                <w:szCs w:val="20"/>
              </w:rPr>
            </w:pPr>
            <w:r w:rsidRPr="001D0846">
              <w:rPr>
                <w:rFonts w:ascii="Times New Roman" w:hAnsi="Times New Roman" w:cs="Times New Roman"/>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45</w:t>
            </w:r>
          </w:p>
        </w:tc>
        <w:tc>
          <w:tcPr>
            <w:tcW w:w="99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50,2</w:t>
            </w:r>
          </w:p>
        </w:tc>
        <w:tc>
          <w:tcPr>
            <w:tcW w:w="90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+5,2</w:t>
            </w:r>
          </w:p>
        </w:tc>
        <w:tc>
          <w:tcPr>
            <w:tcW w:w="706" w:type="dxa"/>
            <w:tcBorders>
              <w:top w:val="single" w:sz="4" w:space="0" w:color="auto"/>
              <w:left w:val="single" w:sz="4" w:space="0" w:color="auto"/>
              <w:bottom w:val="single" w:sz="4" w:space="0" w:color="auto"/>
              <w:right w:val="single" w:sz="4" w:space="0" w:color="auto"/>
            </w:tcBorders>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b/>
                <w:i/>
                <w:sz w:val="20"/>
                <w:szCs w:val="20"/>
              </w:rPr>
            </w:pPr>
          </w:p>
        </w:tc>
      </w:tr>
      <w:tr w:rsidR="00714F5D" w:rsidRPr="001D0846" w:rsidTr="008C5C6A">
        <w:tc>
          <w:tcPr>
            <w:tcW w:w="562"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rPr>
                <w:rFonts w:ascii="Times New Roman" w:hAnsi="Times New Roman" w:cs="Times New Roman"/>
                <w:b/>
                <w:i/>
                <w:sz w:val="20"/>
                <w:szCs w:val="20"/>
              </w:rPr>
            </w:pPr>
            <w:r w:rsidRPr="001D0846">
              <w:rPr>
                <w:rFonts w:ascii="Times New Roman" w:hAnsi="Times New Roman" w:cs="Times New Roman"/>
                <w:b/>
                <w:i/>
                <w:sz w:val="20"/>
                <w:szCs w:val="20"/>
              </w:rPr>
              <w:t>R3</w:t>
            </w:r>
          </w:p>
        </w:tc>
        <w:tc>
          <w:tcPr>
            <w:tcW w:w="4253"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rPr>
                <w:rFonts w:ascii="Times New Roman" w:hAnsi="Times New Roman" w:cs="Times New Roman"/>
                <w:b/>
                <w:i/>
                <w:sz w:val="20"/>
                <w:szCs w:val="20"/>
              </w:rPr>
            </w:pPr>
            <w:r w:rsidRPr="001D0846">
              <w:rPr>
                <w:rFonts w:ascii="Times New Roman" w:hAnsi="Times New Roman" w:cs="Times New Roman"/>
                <w:sz w:val="20"/>
                <w:szCs w:val="20"/>
              </w:rPr>
              <w:t>Ponderea dărilor de seamă prezentate în mod automatizat, în baza utilizării tehnologiilor informaționale, în totalul dărilor de seamă prezentate (Decl</w:t>
            </w:r>
            <w:r>
              <w:rPr>
                <w:rFonts w:ascii="Times New Roman" w:hAnsi="Times New Roman" w:cs="Times New Roman"/>
                <w:sz w:val="20"/>
                <w:szCs w:val="20"/>
              </w:rPr>
              <w:t>arația electronică și Declarația</w:t>
            </w:r>
            <w:r w:rsidRPr="001D0846">
              <w:rPr>
                <w:rFonts w:ascii="Times New Roman" w:hAnsi="Times New Roman" w:cs="Times New Roman"/>
                <w:sz w:val="20"/>
                <w:szCs w:val="20"/>
              </w:rPr>
              <w:t xml:space="preserve"> rapidă)</w:t>
            </w:r>
          </w:p>
        </w:tc>
        <w:tc>
          <w:tcPr>
            <w:tcW w:w="4394"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rPr>
                <w:rFonts w:ascii="Times New Roman" w:hAnsi="Times New Roman" w:cs="Times New Roman"/>
                <w:sz w:val="20"/>
                <w:szCs w:val="20"/>
              </w:rPr>
            </w:pPr>
            <w:r w:rsidRPr="001D0846">
              <w:rPr>
                <w:rFonts w:ascii="Times New Roman" w:hAnsi="Times New Roman" w:cs="Times New Roman"/>
                <w:sz w:val="20"/>
                <w:szCs w:val="20"/>
              </w:rPr>
              <w:t>Ponderea dărilor de seamă prezentate în mod automatizat, în baza utilizării tehnologiilor informaționale, în totalul dărilor de seamă prezentate (Declarația electronică și Declarați</w:t>
            </w:r>
            <w:r>
              <w:rPr>
                <w:rFonts w:ascii="Times New Roman" w:hAnsi="Times New Roman" w:cs="Times New Roman"/>
                <w:sz w:val="20"/>
                <w:szCs w:val="20"/>
              </w:rPr>
              <w:t>a</w:t>
            </w:r>
            <w:r w:rsidRPr="001D0846">
              <w:rPr>
                <w:rFonts w:ascii="Times New Roman" w:hAnsi="Times New Roman" w:cs="Times New Roman"/>
                <w:sz w:val="20"/>
                <w:szCs w:val="20"/>
              </w:rPr>
              <w:t xml:space="preserve"> rapidă)</w:t>
            </w:r>
          </w:p>
        </w:tc>
        <w:tc>
          <w:tcPr>
            <w:tcW w:w="104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sz w:val="20"/>
                <w:szCs w:val="20"/>
              </w:rPr>
            </w:pPr>
            <w:r w:rsidRPr="001D0846">
              <w:rPr>
                <w:rFonts w:ascii="Times New Roman" w:hAnsi="Times New Roman" w:cs="Times New Roman"/>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72</w:t>
            </w:r>
          </w:p>
        </w:tc>
        <w:tc>
          <w:tcPr>
            <w:tcW w:w="99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83,03</w:t>
            </w:r>
          </w:p>
        </w:tc>
        <w:tc>
          <w:tcPr>
            <w:tcW w:w="90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+11,03</w:t>
            </w:r>
          </w:p>
        </w:tc>
        <w:tc>
          <w:tcPr>
            <w:tcW w:w="706" w:type="dxa"/>
            <w:tcBorders>
              <w:top w:val="single" w:sz="4" w:space="0" w:color="auto"/>
              <w:left w:val="single" w:sz="4" w:space="0" w:color="auto"/>
              <w:bottom w:val="single" w:sz="4" w:space="0" w:color="auto"/>
              <w:right w:val="single" w:sz="4" w:space="0" w:color="auto"/>
            </w:tcBorders>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b/>
                <w:i/>
                <w:sz w:val="20"/>
                <w:szCs w:val="20"/>
              </w:rPr>
            </w:pPr>
          </w:p>
        </w:tc>
      </w:tr>
      <w:tr w:rsidR="00714F5D" w:rsidRPr="001D0846" w:rsidTr="008C5C6A">
        <w:tc>
          <w:tcPr>
            <w:tcW w:w="562"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rPr>
                <w:rFonts w:ascii="Times New Roman" w:hAnsi="Times New Roman" w:cs="Times New Roman"/>
                <w:b/>
                <w:i/>
                <w:sz w:val="20"/>
                <w:szCs w:val="20"/>
              </w:rPr>
            </w:pPr>
            <w:r w:rsidRPr="001D0846">
              <w:rPr>
                <w:rFonts w:ascii="Times New Roman" w:hAnsi="Times New Roman" w:cs="Times New Roman"/>
                <w:b/>
                <w:i/>
                <w:sz w:val="20"/>
                <w:szCs w:val="20"/>
              </w:rPr>
              <w:t>R4</w:t>
            </w:r>
          </w:p>
        </w:tc>
        <w:tc>
          <w:tcPr>
            <w:tcW w:w="4253"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rPr>
                <w:rFonts w:ascii="Times New Roman" w:hAnsi="Times New Roman" w:cs="Times New Roman"/>
                <w:b/>
                <w:i/>
                <w:sz w:val="20"/>
                <w:szCs w:val="20"/>
              </w:rPr>
            </w:pPr>
            <w:r w:rsidRPr="001D0846">
              <w:rPr>
                <w:rFonts w:ascii="Times New Roman" w:hAnsi="Times New Roman" w:cs="Times New Roman"/>
                <w:sz w:val="20"/>
                <w:szCs w:val="20"/>
              </w:rPr>
              <w:t>Realizarea planului de venituri la BPN de către SFS</w:t>
            </w:r>
          </w:p>
        </w:tc>
        <w:tc>
          <w:tcPr>
            <w:tcW w:w="4394"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rPr>
                <w:rFonts w:ascii="Times New Roman" w:hAnsi="Times New Roman" w:cs="Times New Roman"/>
                <w:sz w:val="20"/>
                <w:szCs w:val="20"/>
              </w:rPr>
            </w:pPr>
            <w:r w:rsidRPr="001D0846">
              <w:rPr>
                <w:rFonts w:ascii="Times New Roman" w:hAnsi="Times New Roman" w:cs="Times New Roman"/>
                <w:sz w:val="20"/>
                <w:szCs w:val="20"/>
              </w:rPr>
              <w:t>Realizarea planului de venituri la BPN de către SFS</w:t>
            </w:r>
          </w:p>
        </w:tc>
        <w:tc>
          <w:tcPr>
            <w:tcW w:w="104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sz w:val="20"/>
                <w:szCs w:val="20"/>
              </w:rPr>
            </w:pPr>
            <w:r w:rsidRPr="001D0846">
              <w:rPr>
                <w:rFonts w:ascii="Times New Roman" w:hAnsi="Times New Roman" w:cs="Times New Roman"/>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100</w:t>
            </w:r>
          </w:p>
        </w:tc>
        <w:tc>
          <w:tcPr>
            <w:tcW w:w="99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101,9</w:t>
            </w:r>
          </w:p>
        </w:tc>
        <w:tc>
          <w:tcPr>
            <w:tcW w:w="90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+1,9</w:t>
            </w:r>
          </w:p>
        </w:tc>
        <w:tc>
          <w:tcPr>
            <w:tcW w:w="706" w:type="dxa"/>
            <w:tcBorders>
              <w:top w:val="single" w:sz="4" w:space="0" w:color="auto"/>
              <w:left w:val="single" w:sz="4" w:space="0" w:color="auto"/>
              <w:bottom w:val="single" w:sz="4" w:space="0" w:color="auto"/>
              <w:right w:val="single" w:sz="4" w:space="0" w:color="auto"/>
            </w:tcBorders>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b/>
                <w:i/>
                <w:sz w:val="20"/>
                <w:szCs w:val="20"/>
              </w:rPr>
            </w:pPr>
          </w:p>
        </w:tc>
      </w:tr>
      <w:tr w:rsidR="00714F5D" w:rsidRPr="001D0846" w:rsidTr="008C5C6A">
        <w:tc>
          <w:tcPr>
            <w:tcW w:w="562"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rPr>
                <w:rFonts w:ascii="Times New Roman" w:hAnsi="Times New Roman" w:cs="Times New Roman"/>
                <w:b/>
                <w:i/>
                <w:sz w:val="20"/>
                <w:szCs w:val="20"/>
              </w:rPr>
            </w:pPr>
            <w:r w:rsidRPr="001D0846">
              <w:rPr>
                <w:rFonts w:ascii="Times New Roman" w:hAnsi="Times New Roman" w:cs="Times New Roman"/>
                <w:b/>
                <w:i/>
                <w:sz w:val="20"/>
                <w:szCs w:val="20"/>
              </w:rPr>
              <w:t>R5</w:t>
            </w:r>
          </w:p>
        </w:tc>
        <w:tc>
          <w:tcPr>
            <w:tcW w:w="4253"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rPr>
                <w:rFonts w:ascii="Times New Roman" w:hAnsi="Times New Roman" w:cs="Times New Roman"/>
                <w:b/>
                <w:i/>
                <w:sz w:val="20"/>
                <w:szCs w:val="20"/>
              </w:rPr>
            </w:pPr>
            <w:r w:rsidRPr="001D0846">
              <w:rPr>
                <w:rFonts w:ascii="Times New Roman" w:hAnsi="Times New Roman" w:cs="Times New Roman"/>
                <w:sz w:val="20"/>
                <w:szCs w:val="20"/>
              </w:rPr>
              <w:t xml:space="preserve">Ponderea sumelor încasate </w:t>
            </w:r>
            <w:r>
              <w:rPr>
                <w:rFonts w:ascii="Times New Roman" w:hAnsi="Times New Roman" w:cs="Times New Roman"/>
                <w:sz w:val="20"/>
                <w:szCs w:val="20"/>
              </w:rPr>
              <w:t>în</w:t>
            </w:r>
            <w:r w:rsidRPr="001D0846">
              <w:rPr>
                <w:rFonts w:ascii="Times New Roman" w:hAnsi="Times New Roman" w:cs="Times New Roman"/>
                <w:sz w:val="20"/>
                <w:szCs w:val="20"/>
              </w:rPr>
              <w:t xml:space="preserve"> totalul sumelor calculate în rezultatul controalelor fiscale</w:t>
            </w:r>
          </w:p>
        </w:tc>
        <w:tc>
          <w:tcPr>
            <w:tcW w:w="4394"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rPr>
                <w:rFonts w:ascii="Times New Roman" w:hAnsi="Times New Roman" w:cs="Times New Roman"/>
                <w:sz w:val="20"/>
                <w:szCs w:val="20"/>
              </w:rPr>
            </w:pPr>
            <w:r w:rsidRPr="001D0846">
              <w:rPr>
                <w:rFonts w:ascii="Times New Roman" w:hAnsi="Times New Roman" w:cs="Times New Roman"/>
                <w:sz w:val="20"/>
                <w:szCs w:val="20"/>
              </w:rPr>
              <w:t xml:space="preserve">Ponderea sumelor încasate </w:t>
            </w:r>
            <w:r>
              <w:rPr>
                <w:rFonts w:ascii="Times New Roman" w:hAnsi="Times New Roman" w:cs="Times New Roman"/>
                <w:sz w:val="20"/>
                <w:szCs w:val="20"/>
              </w:rPr>
              <w:t>în</w:t>
            </w:r>
            <w:r w:rsidRPr="001D0846">
              <w:rPr>
                <w:rFonts w:ascii="Times New Roman" w:hAnsi="Times New Roman" w:cs="Times New Roman"/>
                <w:sz w:val="20"/>
                <w:szCs w:val="20"/>
              </w:rPr>
              <w:t xml:space="preserve"> totalul sumelor calculate în rezultatul controalelor fiscale</w:t>
            </w:r>
          </w:p>
        </w:tc>
        <w:tc>
          <w:tcPr>
            <w:tcW w:w="104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sz w:val="20"/>
                <w:szCs w:val="20"/>
              </w:rPr>
            </w:pPr>
            <w:r w:rsidRPr="001D0846">
              <w:rPr>
                <w:rFonts w:ascii="Times New Roman" w:hAnsi="Times New Roman" w:cs="Times New Roman"/>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75</w:t>
            </w:r>
          </w:p>
        </w:tc>
        <w:tc>
          <w:tcPr>
            <w:tcW w:w="99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70,62</w:t>
            </w:r>
          </w:p>
        </w:tc>
        <w:tc>
          <w:tcPr>
            <w:tcW w:w="90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-4,38</w:t>
            </w:r>
          </w:p>
        </w:tc>
        <w:tc>
          <w:tcPr>
            <w:tcW w:w="706"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v</w:t>
            </w:r>
          </w:p>
        </w:tc>
      </w:tr>
      <w:tr w:rsidR="00714F5D" w:rsidRPr="001D0846" w:rsidTr="008C5C6A">
        <w:tc>
          <w:tcPr>
            <w:tcW w:w="56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14F5D" w:rsidRPr="001D0846" w:rsidRDefault="00714F5D" w:rsidP="008C5C6A">
            <w:pPr>
              <w:pStyle w:val="ListParagraph"/>
              <w:tabs>
                <w:tab w:val="left" w:pos="1134"/>
              </w:tabs>
              <w:spacing w:line="276" w:lineRule="auto"/>
              <w:ind w:left="0"/>
              <w:rPr>
                <w:rFonts w:ascii="Times New Roman" w:hAnsi="Times New Roman" w:cs="Times New Roman"/>
                <w:b/>
                <w:i/>
                <w:sz w:val="20"/>
                <w:szCs w:val="20"/>
              </w:rPr>
            </w:pPr>
          </w:p>
        </w:tc>
        <w:tc>
          <w:tcPr>
            <w:tcW w:w="425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14F5D" w:rsidRPr="001D0846" w:rsidRDefault="00714F5D" w:rsidP="008C5C6A">
            <w:pPr>
              <w:pStyle w:val="ListParagraph"/>
              <w:tabs>
                <w:tab w:val="left" w:pos="1134"/>
              </w:tabs>
              <w:spacing w:line="276" w:lineRule="auto"/>
              <w:ind w:left="0"/>
              <w:rPr>
                <w:rFonts w:ascii="Times New Roman" w:hAnsi="Times New Roman" w:cs="Times New Roman"/>
                <w:b/>
                <w:i/>
                <w:sz w:val="20"/>
                <w:szCs w:val="20"/>
              </w:rPr>
            </w:pPr>
            <w:r w:rsidRPr="001D0846">
              <w:rPr>
                <w:rFonts w:ascii="Times New Roman" w:hAnsi="Times New Roman" w:cs="Times New Roman"/>
                <w:b/>
                <w:i/>
                <w:sz w:val="20"/>
                <w:szCs w:val="20"/>
              </w:rPr>
              <w:t>De produs</w:t>
            </w:r>
          </w:p>
        </w:tc>
        <w:tc>
          <w:tcPr>
            <w:tcW w:w="439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14F5D" w:rsidRPr="001D0846" w:rsidRDefault="00714F5D" w:rsidP="008C5C6A">
            <w:pPr>
              <w:pStyle w:val="ListParagraph"/>
              <w:tabs>
                <w:tab w:val="left" w:pos="1134"/>
              </w:tabs>
              <w:spacing w:line="276" w:lineRule="auto"/>
              <w:ind w:left="0"/>
              <w:rPr>
                <w:rFonts w:ascii="Times New Roman" w:hAnsi="Times New Roman" w:cs="Times New Roman"/>
                <w:b/>
                <w:i/>
                <w:sz w:val="20"/>
                <w:szCs w:val="20"/>
              </w:rPr>
            </w:pPr>
            <w:r w:rsidRPr="001D0846">
              <w:rPr>
                <w:rFonts w:ascii="Times New Roman" w:hAnsi="Times New Roman" w:cs="Times New Roman"/>
                <w:b/>
                <w:i/>
                <w:sz w:val="20"/>
                <w:szCs w:val="20"/>
              </w:rPr>
              <w:t>De produs</w:t>
            </w:r>
          </w:p>
        </w:tc>
        <w:tc>
          <w:tcPr>
            <w:tcW w:w="1040" w:type="dxa"/>
            <w:tcBorders>
              <w:top w:val="single" w:sz="4" w:space="0" w:color="auto"/>
              <w:left w:val="single" w:sz="4" w:space="0" w:color="auto"/>
              <w:bottom w:val="single" w:sz="4" w:space="0" w:color="auto"/>
              <w:right w:val="single" w:sz="4" w:space="0" w:color="auto"/>
            </w:tcBorders>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b/>
                <w:i/>
                <w:sz w:val="20"/>
                <w:szCs w:val="20"/>
              </w:rPr>
            </w:pPr>
          </w:p>
        </w:tc>
        <w:tc>
          <w:tcPr>
            <w:tcW w:w="900" w:type="dxa"/>
            <w:tcBorders>
              <w:top w:val="single" w:sz="4" w:space="0" w:color="auto"/>
              <w:left w:val="single" w:sz="4" w:space="0" w:color="auto"/>
              <w:bottom w:val="single" w:sz="4" w:space="0" w:color="auto"/>
              <w:right w:val="single" w:sz="4" w:space="0" w:color="auto"/>
            </w:tcBorders>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b/>
                <w:i/>
                <w:sz w:val="20"/>
                <w:szCs w:val="20"/>
              </w:rPr>
            </w:pPr>
          </w:p>
        </w:tc>
        <w:tc>
          <w:tcPr>
            <w:tcW w:w="990" w:type="dxa"/>
            <w:tcBorders>
              <w:top w:val="single" w:sz="4" w:space="0" w:color="auto"/>
              <w:left w:val="single" w:sz="4" w:space="0" w:color="auto"/>
              <w:bottom w:val="single" w:sz="4" w:space="0" w:color="auto"/>
              <w:right w:val="single" w:sz="4" w:space="0" w:color="auto"/>
            </w:tcBorders>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b/>
                <w:i/>
                <w:sz w:val="20"/>
                <w:szCs w:val="20"/>
              </w:rPr>
            </w:pPr>
          </w:p>
        </w:tc>
        <w:tc>
          <w:tcPr>
            <w:tcW w:w="900" w:type="dxa"/>
            <w:tcBorders>
              <w:top w:val="single" w:sz="4" w:space="0" w:color="auto"/>
              <w:left w:val="single" w:sz="4" w:space="0" w:color="auto"/>
              <w:bottom w:val="single" w:sz="4" w:space="0" w:color="auto"/>
              <w:right w:val="single" w:sz="4" w:space="0" w:color="auto"/>
            </w:tcBorders>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b/>
                <w:i/>
                <w:sz w:val="20"/>
                <w:szCs w:val="20"/>
              </w:rPr>
            </w:pPr>
          </w:p>
        </w:tc>
        <w:tc>
          <w:tcPr>
            <w:tcW w:w="706" w:type="dxa"/>
            <w:tcBorders>
              <w:top w:val="single" w:sz="4" w:space="0" w:color="auto"/>
              <w:left w:val="single" w:sz="4" w:space="0" w:color="auto"/>
              <w:bottom w:val="single" w:sz="4" w:space="0" w:color="auto"/>
              <w:right w:val="single" w:sz="4" w:space="0" w:color="auto"/>
            </w:tcBorders>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b/>
                <w:i/>
                <w:sz w:val="20"/>
                <w:szCs w:val="20"/>
              </w:rPr>
            </w:pPr>
          </w:p>
        </w:tc>
      </w:tr>
      <w:tr w:rsidR="00714F5D" w:rsidRPr="001D0846" w:rsidTr="008C5C6A">
        <w:tc>
          <w:tcPr>
            <w:tcW w:w="562"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rPr>
                <w:rFonts w:ascii="Times New Roman" w:hAnsi="Times New Roman" w:cs="Times New Roman"/>
                <w:b/>
                <w:i/>
                <w:sz w:val="20"/>
                <w:szCs w:val="20"/>
              </w:rPr>
            </w:pPr>
            <w:r w:rsidRPr="001D0846">
              <w:rPr>
                <w:rFonts w:ascii="Times New Roman" w:hAnsi="Times New Roman" w:cs="Times New Roman"/>
                <w:b/>
                <w:i/>
                <w:sz w:val="20"/>
                <w:szCs w:val="20"/>
              </w:rPr>
              <w:t>O1</w:t>
            </w:r>
          </w:p>
        </w:tc>
        <w:tc>
          <w:tcPr>
            <w:tcW w:w="4253"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rPr>
                <w:rFonts w:ascii="Times New Roman" w:hAnsi="Times New Roman" w:cs="Times New Roman"/>
                <w:sz w:val="20"/>
                <w:szCs w:val="20"/>
              </w:rPr>
            </w:pPr>
            <w:r w:rsidRPr="001D0846">
              <w:rPr>
                <w:rFonts w:ascii="Times New Roman" w:hAnsi="Times New Roman" w:cs="Times New Roman"/>
                <w:sz w:val="20"/>
                <w:szCs w:val="20"/>
              </w:rPr>
              <w:t>Nr</w:t>
            </w:r>
            <w:r>
              <w:rPr>
                <w:rFonts w:ascii="Times New Roman" w:hAnsi="Times New Roman" w:cs="Times New Roman"/>
                <w:sz w:val="20"/>
                <w:szCs w:val="20"/>
              </w:rPr>
              <w:t>.</w:t>
            </w:r>
            <w:r w:rsidRPr="001D0846">
              <w:rPr>
                <w:rFonts w:ascii="Times New Roman" w:hAnsi="Times New Roman" w:cs="Times New Roman"/>
                <w:sz w:val="20"/>
                <w:szCs w:val="20"/>
              </w:rPr>
              <w:t xml:space="preserve"> agenților economici–contribuabili mari, administrați de SFS</w:t>
            </w:r>
          </w:p>
        </w:tc>
        <w:tc>
          <w:tcPr>
            <w:tcW w:w="4394"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rPr>
                <w:rFonts w:ascii="Times New Roman" w:hAnsi="Times New Roman" w:cs="Times New Roman"/>
                <w:sz w:val="20"/>
                <w:szCs w:val="20"/>
              </w:rPr>
            </w:pPr>
            <w:r w:rsidRPr="001D0846">
              <w:rPr>
                <w:rFonts w:ascii="Times New Roman" w:hAnsi="Times New Roman" w:cs="Times New Roman"/>
                <w:sz w:val="20"/>
                <w:szCs w:val="20"/>
              </w:rPr>
              <w:t>Nr</w:t>
            </w:r>
            <w:r>
              <w:rPr>
                <w:rFonts w:ascii="Times New Roman" w:hAnsi="Times New Roman" w:cs="Times New Roman"/>
                <w:sz w:val="20"/>
                <w:szCs w:val="20"/>
              </w:rPr>
              <w:t>.</w:t>
            </w:r>
            <w:r w:rsidRPr="001D0846">
              <w:rPr>
                <w:rFonts w:ascii="Times New Roman" w:hAnsi="Times New Roman" w:cs="Times New Roman"/>
                <w:sz w:val="20"/>
                <w:szCs w:val="20"/>
              </w:rPr>
              <w:t xml:space="preserve"> agenților economici–contribuabili mari, administrați de SFS</w:t>
            </w:r>
          </w:p>
        </w:tc>
        <w:tc>
          <w:tcPr>
            <w:tcW w:w="104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sz w:val="20"/>
                <w:szCs w:val="20"/>
              </w:rPr>
            </w:pPr>
            <w:r w:rsidRPr="001D0846">
              <w:rPr>
                <w:rFonts w:ascii="Times New Roman" w:hAnsi="Times New Roman" w:cs="Times New Roman"/>
                <w:sz w:val="20"/>
                <w:szCs w:val="20"/>
              </w:rPr>
              <w:t>unități</w:t>
            </w:r>
          </w:p>
        </w:tc>
        <w:tc>
          <w:tcPr>
            <w:tcW w:w="90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450</w:t>
            </w:r>
          </w:p>
        </w:tc>
        <w:tc>
          <w:tcPr>
            <w:tcW w:w="99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650</w:t>
            </w:r>
          </w:p>
        </w:tc>
        <w:tc>
          <w:tcPr>
            <w:tcW w:w="90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+200</w:t>
            </w:r>
          </w:p>
        </w:tc>
        <w:tc>
          <w:tcPr>
            <w:tcW w:w="706" w:type="dxa"/>
            <w:tcBorders>
              <w:top w:val="single" w:sz="4" w:space="0" w:color="auto"/>
              <w:left w:val="single" w:sz="4" w:space="0" w:color="auto"/>
              <w:bottom w:val="single" w:sz="4" w:space="0" w:color="auto"/>
              <w:right w:val="single" w:sz="4" w:space="0" w:color="auto"/>
            </w:tcBorders>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b/>
                <w:i/>
                <w:sz w:val="20"/>
                <w:szCs w:val="20"/>
              </w:rPr>
            </w:pPr>
          </w:p>
        </w:tc>
      </w:tr>
      <w:tr w:rsidR="00714F5D" w:rsidRPr="001D0846" w:rsidTr="008C5C6A">
        <w:tc>
          <w:tcPr>
            <w:tcW w:w="562"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rPr>
                <w:rFonts w:ascii="Times New Roman" w:hAnsi="Times New Roman" w:cs="Times New Roman"/>
                <w:b/>
                <w:i/>
                <w:sz w:val="20"/>
                <w:szCs w:val="20"/>
              </w:rPr>
            </w:pPr>
            <w:r w:rsidRPr="001D0846">
              <w:rPr>
                <w:rFonts w:ascii="Times New Roman" w:hAnsi="Times New Roman" w:cs="Times New Roman"/>
                <w:b/>
                <w:i/>
                <w:sz w:val="20"/>
                <w:szCs w:val="20"/>
              </w:rPr>
              <w:t>O6</w:t>
            </w:r>
          </w:p>
        </w:tc>
        <w:tc>
          <w:tcPr>
            <w:tcW w:w="4253"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rPr>
                <w:rFonts w:ascii="Times New Roman" w:hAnsi="Times New Roman" w:cs="Times New Roman"/>
                <w:sz w:val="20"/>
                <w:szCs w:val="20"/>
              </w:rPr>
            </w:pPr>
            <w:r w:rsidRPr="001D0846">
              <w:rPr>
                <w:rFonts w:ascii="Times New Roman" w:hAnsi="Times New Roman" w:cs="Times New Roman"/>
                <w:sz w:val="20"/>
                <w:szCs w:val="20"/>
              </w:rPr>
              <w:t>Nr</w:t>
            </w:r>
            <w:r>
              <w:rPr>
                <w:rFonts w:ascii="Times New Roman" w:hAnsi="Times New Roman" w:cs="Times New Roman"/>
                <w:sz w:val="20"/>
                <w:szCs w:val="20"/>
              </w:rPr>
              <w:t>.</w:t>
            </w:r>
            <w:r w:rsidRPr="001D0846">
              <w:rPr>
                <w:rFonts w:ascii="Times New Roman" w:hAnsi="Times New Roman" w:cs="Times New Roman"/>
                <w:sz w:val="20"/>
                <w:szCs w:val="20"/>
              </w:rPr>
              <w:t xml:space="preserve"> dărilor de seamă recepționate și prelucrate de </w:t>
            </w:r>
            <w:r>
              <w:rPr>
                <w:rFonts w:ascii="Times New Roman" w:hAnsi="Times New Roman" w:cs="Times New Roman"/>
                <w:sz w:val="20"/>
                <w:szCs w:val="20"/>
              </w:rPr>
              <w:lastRenderedPageBreak/>
              <w:t xml:space="preserve">către </w:t>
            </w:r>
            <w:r w:rsidRPr="001D0846">
              <w:rPr>
                <w:rFonts w:ascii="Times New Roman" w:hAnsi="Times New Roman" w:cs="Times New Roman"/>
                <w:sz w:val="20"/>
                <w:szCs w:val="20"/>
              </w:rPr>
              <w:t>SFS</w:t>
            </w:r>
          </w:p>
        </w:tc>
        <w:tc>
          <w:tcPr>
            <w:tcW w:w="4394"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rPr>
                <w:rFonts w:ascii="Times New Roman" w:hAnsi="Times New Roman" w:cs="Times New Roman"/>
                <w:sz w:val="20"/>
                <w:szCs w:val="20"/>
              </w:rPr>
            </w:pPr>
            <w:r w:rsidRPr="001D0846">
              <w:rPr>
                <w:rFonts w:ascii="Times New Roman" w:hAnsi="Times New Roman" w:cs="Times New Roman"/>
                <w:sz w:val="20"/>
                <w:szCs w:val="20"/>
              </w:rPr>
              <w:lastRenderedPageBreak/>
              <w:t xml:space="preserve">Nr. dărilor de seamă recepționate și prelucrate de </w:t>
            </w:r>
            <w:r>
              <w:rPr>
                <w:rFonts w:ascii="Times New Roman" w:hAnsi="Times New Roman" w:cs="Times New Roman"/>
                <w:sz w:val="20"/>
                <w:szCs w:val="20"/>
              </w:rPr>
              <w:lastRenderedPageBreak/>
              <w:t xml:space="preserve">către </w:t>
            </w:r>
            <w:r w:rsidRPr="001D0846">
              <w:rPr>
                <w:rFonts w:ascii="Times New Roman" w:hAnsi="Times New Roman" w:cs="Times New Roman"/>
                <w:sz w:val="20"/>
                <w:szCs w:val="20"/>
              </w:rPr>
              <w:t>SFS</w:t>
            </w:r>
          </w:p>
        </w:tc>
        <w:tc>
          <w:tcPr>
            <w:tcW w:w="104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sz w:val="20"/>
                <w:szCs w:val="20"/>
              </w:rPr>
            </w:pPr>
            <w:r w:rsidRPr="001D0846">
              <w:rPr>
                <w:rFonts w:ascii="Times New Roman" w:hAnsi="Times New Roman" w:cs="Times New Roman"/>
                <w:sz w:val="20"/>
                <w:szCs w:val="20"/>
              </w:rPr>
              <w:lastRenderedPageBreak/>
              <w:t xml:space="preserve">mii </w:t>
            </w:r>
            <w:r w:rsidRPr="001D0846">
              <w:rPr>
                <w:rFonts w:ascii="Times New Roman" w:hAnsi="Times New Roman" w:cs="Times New Roman"/>
                <w:sz w:val="20"/>
                <w:szCs w:val="20"/>
              </w:rPr>
              <w:lastRenderedPageBreak/>
              <w:t>unități</w:t>
            </w:r>
          </w:p>
        </w:tc>
        <w:tc>
          <w:tcPr>
            <w:tcW w:w="90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lastRenderedPageBreak/>
              <w:t>1700</w:t>
            </w:r>
          </w:p>
        </w:tc>
        <w:tc>
          <w:tcPr>
            <w:tcW w:w="99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1937,8</w:t>
            </w:r>
          </w:p>
        </w:tc>
        <w:tc>
          <w:tcPr>
            <w:tcW w:w="90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+237,8</w:t>
            </w:r>
          </w:p>
        </w:tc>
        <w:tc>
          <w:tcPr>
            <w:tcW w:w="706" w:type="dxa"/>
            <w:tcBorders>
              <w:top w:val="single" w:sz="4" w:space="0" w:color="auto"/>
              <w:left w:val="single" w:sz="4" w:space="0" w:color="auto"/>
              <w:bottom w:val="single" w:sz="4" w:space="0" w:color="auto"/>
              <w:right w:val="single" w:sz="4" w:space="0" w:color="auto"/>
            </w:tcBorders>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b/>
                <w:i/>
                <w:sz w:val="20"/>
                <w:szCs w:val="20"/>
              </w:rPr>
            </w:pPr>
          </w:p>
        </w:tc>
      </w:tr>
      <w:tr w:rsidR="00714F5D" w:rsidRPr="001D0846" w:rsidTr="008C5C6A">
        <w:tc>
          <w:tcPr>
            <w:tcW w:w="562"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rPr>
                <w:rFonts w:ascii="Times New Roman" w:hAnsi="Times New Roman" w:cs="Times New Roman"/>
                <w:b/>
                <w:i/>
                <w:sz w:val="20"/>
                <w:szCs w:val="20"/>
              </w:rPr>
            </w:pPr>
            <w:r w:rsidRPr="001D0846">
              <w:rPr>
                <w:rFonts w:ascii="Times New Roman" w:hAnsi="Times New Roman" w:cs="Times New Roman"/>
                <w:b/>
                <w:i/>
                <w:sz w:val="20"/>
                <w:szCs w:val="20"/>
              </w:rPr>
              <w:lastRenderedPageBreak/>
              <w:t>O7</w:t>
            </w:r>
          </w:p>
        </w:tc>
        <w:tc>
          <w:tcPr>
            <w:tcW w:w="4253"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rPr>
                <w:rFonts w:ascii="Times New Roman" w:hAnsi="Times New Roman" w:cs="Times New Roman"/>
                <w:sz w:val="20"/>
                <w:szCs w:val="20"/>
              </w:rPr>
            </w:pPr>
            <w:r w:rsidRPr="001D0846">
              <w:rPr>
                <w:rFonts w:ascii="Times New Roman" w:hAnsi="Times New Roman" w:cs="Times New Roman"/>
                <w:sz w:val="20"/>
                <w:szCs w:val="20"/>
              </w:rPr>
              <w:t>Suma încasărilor obținute în urma aplicării modalității de executare silită față de contribuabilii restanțieri</w:t>
            </w:r>
          </w:p>
        </w:tc>
        <w:tc>
          <w:tcPr>
            <w:tcW w:w="4394"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rPr>
                <w:rFonts w:ascii="Times New Roman" w:hAnsi="Times New Roman" w:cs="Times New Roman"/>
                <w:sz w:val="20"/>
                <w:szCs w:val="20"/>
              </w:rPr>
            </w:pPr>
            <w:r w:rsidRPr="001D0846">
              <w:rPr>
                <w:rFonts w:ascii="Times New Roman" w:hAnsi="Times New Roman" w:cs="Times New Roman"/>
                <w:sz w:val="20"/>
                <w:szCs w:val="20"/>
              </w:rPr>
              <w:t>Suma încasărilor obținute în urma aplicării modalității de executare silită față de contribuabilii restanțieri</w:t>
            </w:r>
          </w:p>
        </w:tc>
        <w:tc>
          <w:tcPr>
            <w:tcW w:w="104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sz w:val="20"/>
                <w:szCs w:val="20"/>
              </w:rPr>
            </w:pPr>
            <w:r w:rsidRPr="001D0846">
              <w:rPr>
                <w:rFonts w:ascii="Times New Roman" w:hAnsi="Times New Roman" w:cs="Times New Roman"/>
                <w:sz w:val="20"/>
                <w:szCs w:val="20"/>
              </w:rPr>
              <w:t>mil.lei</w:t>
            </w:r>
          </w:p>
        </w:tc>
        <w:tc>
          <w:tcPr>
            <w:tcW w:w="90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600</w:t>
            </w:r>
          </w:p>
        </w:tc>
        <w:tc>
          <w:tcPr>
            <w:tcW w:w="99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1102,48</w:t>
            </w:r>
          </w:p>
        </w:tc>
        <w:tc>
          <w:tcPr>
            <w:tcW w:w="90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+502,48</w:t>
            </w:r>
          </w:p>
        </w:tc>
        <w:tc>
          <w:tcPr>
            <w:tcW w:w="706" w:type="dxa"/>
            <w:tcBorders>
              <w:top w:val="single" w:sz="4" w:space="0" w:color="auto"/>
              <w:left w:val="single" w:sz="4" w:space="0" w:color="auto"/>
              <w:bottom w:val="single" w:sz="4" w:space="0" w:color="auto"/>
              <w:right w:val="single" w:sz="4" w:space="0" w:color="auto"/>
            </w:tcBorders>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b/>
                <w:i/>
                <w:sz w:val="20"/>
                <w:szCs w:val="20"/>
              </w:rPr>
            </w:pPr>
          </w:p>
        </w:tc>
      </w:tr>
      <w:tr w:rsidR="00714F5D" w:rsidRPr="001D0846" w:rsidTr="008C5C6A">
        <w:tc>
          <w:tcPr>
            <w:tcW w:w="562"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rPr>
                <w:rFonts w:ascii="Times New Roman" w:hAnsi="Times New Roman" w:cs="Times New Roman"/>
                <w:b/>
                <w:i/>
                <w:sz w:val="20"/>
                <w:szCs w:val="20"/>
              </w:rPr>
            </w:pPr>
            <w:r w:rsidRPr="001D0846">
              <w:rPr>
                <w:rFonts w:ascii="Times New Roman" w:hAnsi="Times New Roman" w:cs="Times New Roman"/>
                <w:b/>
                <w:i/>
                <w:sz w:val="20"/>
                <w:szCs w:val="20"/>
              </w:rPr>
              <w:t>O6</w:t>
            </w:r>
          </w:p>
        </w:tc>
        <w:tc>
          <w:tcPr>
            <w:tcW w:w="4253"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rPr>
                <w:rFonts w:ascii="Times New Roman" w:hAnsi="Times New Roman" w:cs="Times New Roman"/>
                <w:sz w:val="20"/>
                <w:szCs w:val="20"/>
              </w:rPr>
            </w:pPr>
            <w:r w:rsidRPr="001D0846">
              <w:rPr>
                <w:rFonts w:ascii="Times New Roman" w:hAnsi="Times New Roman" w:cs="Times New Roman"/>
                <w:sz w:val="20"/>
                <w:szCs w:val="20"/>
              </w:rPr>
              <w:t>Sistem informațional integrat procurat și implementat</w:t>
            </w:r>
          </w:p>
        </w:tc>
        <w:tc>
          <w:tcPr>
            <w:tcW w:w="4394"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rPr>
                <w:rFonts w:ascii="Times New Roman" w:hAnsi="Times New Roman" w:cs="Times New Roman"/>
                <w:sz w:val="20"/>
                <w:szCs w:val="20"/>
              </w:rPr>
            </w:pPr>
            <w:r w:rsidRPr="001D0846">
              <w:rPr>
                <w:rFonts w:ascii="Times New Roman" w:hAnsi="Times New Roman" w:cs="Times New Roman"/>
                <w:sz w:val="20"/>
                <w:szCs w:val="20"/>
              </w:rPr>
              <w:t>Sistem informațional integrat procurat și implementat</w:t>
            </w:r>
          </w:p>
        </w:tc>
        <w:tc>
          <w:tcPr>
            <w:tcW w:w="104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sz w:val="20"/>
                <w:szCs w:val="20"/>
              </w:rPr>
            </w:pPr>
            <w:r w:rsidRPr="001D0846">
              <w:rPr>
                <w:rFonts w:ascii="Times New Roman" w:hAnsi="Times New Roman" w:cs="Times New Roman"/>
                <w:sz w:val="20"/>
                <w:szCs w:val="20"/>
              </w:rPr>
              <w:t>mil.lei</w:t>
            </w:r>
          </w:p>
        </w:tc>
        <w:tc>
          <w:tcPr>
            <w:tcW w:w="90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40,8</w:t>
            </w:r>
          </w:p>
        </w:tc>
        <w:tc>
          <w:tcPr>
            <w:tcW w:w="99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b/>
                <w:i/>
                <w:sz w:val="20"/>
                <w:szCs w:val="20"/>
              </w:rPr>
            </w:pPr>
          </w:p>
        </w:tc>
        <w:tc>
          <w:tcPr>
            <w:tcW w:w="706"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v</w:t>
            </w:r>
          </w:p>
        </w:tc>
      </w:tr>
      <w:tr w:rsidR="00714F5D" w:rsidRPr="001D0846" w:rsidTr="008C5C6A">
        <w:tc>
          <w:tcPr>
            <w:tcW w:w="56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14F5D" w:rsidRPr="001D0846" w:rsidRDefault="00714F5D" w:rsidP="008C5C6A">
            <w:pPr>
              <w:pStyle w:val="ListParagraph"/>
              <w:tabs>
                <w:tab w:val="left" w:pos="1134"/>
              </w:tabs>
              <w:spacing w:line="276" w:lineRule="auto"/>
              <w:ind w:left="0"/>
              <w:rPr>
                <w:rFonts w:ascii="Times New Roman" w:hAnsi="Times New Roman" w:cs="Times New Roman"/>
                <w:b/>
                <w:i/>
                <w:sz w:val="20"/>
                <w:szCs w:val="20"/>
              </w:rPr>
            </w:pPr>
          </w:p>
        </w:tc>
        <w:tc>
          <w:tcPr>
            <w:tcW w:w="425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14F5D" w:rsidRPr="001D0846" w:rsidRDefault="00714F5D" w:rsidP="008C5C6A">
            <w:pPr>
              <w:pStyle w:val="ListParagraph"/>
              <w:tabs>
                <w:tab w:val="left" w:pos="1134"/>
              </w:tabs>
              <w:spacing w:line="276" w:lineRule="auto"/>
              <w:ind w:left="0"/>
              <w:rPr>
                <w:rFonts w:ascii="Times New Roman" w:hAnsi="Times New Roman" w:cs="Times New Roman"/>
                <w:b/>
                <w:i/>
                <w:sz w:val="20"/>
                <w:szCs w:val="20"/>
              </w:rPr>
            </w:pPr>
            <w:r w:rsidRPr="001D0846">
              <w:rPr>
                <w:rFonts w:ascii="Times New Roman" w:hAnsi="Times New Roman" w:cs="Times New Roman"/>
                <w:b/>
                <w:i/>
                <w:sz w:val="20"/>
                <w:szCs w:val="20"/>
              </w:rPr>
              <w:t>De eficiență</w:t>
            </w:r>
          </w:p>
        </w:tc>
        <w:tc>
          <w:tcPr>
            <w:tcW w:w="439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14F5D" w:rsidRPr="001D0846" w:rsidRDefault="00714F5D" w:rsidP="008C5C6A">
            <w:pPr>
              <w:pStyle w:val="ListParagraph"/>
              <w:tabs>
                <w:tab w:val="left" w:pos="1134"/>
              </w:tabs>
              <w:spacing w:line="276" w:lineRule="auto"/>
              <w:ind w:left="0"/>
              <w:rPr>
                <w:rFonts w:ascii="Times New Roman" w:hAnsi="Times New Roman" w:cs="Times New Roman"/>
                <w:b/>
                <w:i/>
                <w:sz w:val="20"/>
                <w:szCs w:val="20"/>
              </w:rPr>
            </w:pPr>
            <w:r w:rsidRPr="001D0846">
              <w:rPr>
                <w:rFonts w:ascii="Times New Roman" w:hAnsi="Times New Roman" w:cs="Times New Roman"/>
                <w:b/>
                <w:i/>
                <w:sz w:val="20"/>
                <w:szCs w:val="20"/>
              </w:rPr>
              <w:t>De eficiență</w:t>
            </w:r>
          </w:p>
        </w:tc>
        <w:tc>
          <w:tcPr>
            <w:tcW w:w="1040" w:type="dxa"/>
            <w:tcBorders>
              <w:top w:val="single" w:sz="4" w:space="0" w:color="auto"/>
              <w:left w:val="single" w:sz="4" w:space="0" w:color="auto"/>
              <w:bottom w:val="single" w:sz="4" w:space="0" w:color="auto"/>
              <w:right w:val="single" w:sz="4" w:space="0" w:color="auto"/>
            </w:tcBorders>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b/>
                <w:i/>
                <w:sz w:val="20"/>
                <w:szCs w:val="20"/>
              </w:rPr>
            </w:pPr>
          </w:p>
        </w:tc>
        <w:tc>
          <w:tcPr>
            <w:tcW w:w="900" w:type="dxa"/>
            <w:tcBorders>
              <w:top w:val="single" w:sz="4" w:space="0" w:color="auto"/>
              <w:left w:val="single" w:sz="4" w:space="0" w:color="auto"/>
              <w:bottom w:val="single" w:sz="4" w:space="0" w:color="auto"/>
              <w:right w:val="single" w:sz="4" w:space="0" w:color="auto"/>
            </w:tcBorders>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b/>
                <w:i/>
                <w:sz w:val="20"/>
                <w:szCs w:val="20"/>
              </w:rPr>
            </w:pPr>
          </w:p>
        </w:tc>
        <w:tc>
          <w:tcPr>
            <w:tcW w:w="990" w:type="dxa"/>
            <w:tcBorders>
              <w:top w:val="single" w:sz="4" w:space="0" w:color="auto"/>
              <w:left w:val="single" w:sz="4" w:space="0" w:color="auto"/>
              <w:bottom w:val="single" w:sz="4" w:space="0" w:color="auto"/>
              <w:right w:val="single" w:sz="4" w:space="0" w:color="auto"/>
            </w:tcBorders>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b/>
                <w:i/>
                <w:sz w:val="20"/>
                <w:szCs w:val="20"/>
              </w:rPr>
            </w:pPr>
          </w:p>
        </w:tc>
        <w:tc>
          <w:tcPr>
            <w:tcW w:w="900" w:type="dxa"/>
            <w:tcBorders>
              <w:top w:val="single" w:sz="4" w:space="0" w:color="auto"/>
              <w:left w:val="single" w:sz="4" w:space="0" w:color="auto"/>
              <w:bottom w:val="single" w:sz="4" w:space="0" w:color="auto"/>
              <w:right w:val="single" w:sz="4" w:space="0" w:color="auto"/>
            </w:tcBorders>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b/>
                <w:i/>
                <w:sz w:val="20"/>
                <w:szCs w:val="20"/>
              </w:rPr>
            </w:pPr>
          </w:p>
        </w:tc>
        <w:tc>
          <w:tcPr>
            <w:tcW w:w="706" w:type="dxa"/>
            <w:tcBorders>
              <w:top w:val="single" w:sz="4" w:space="0" w:color="auto"/>
              <w:left w:val="single" w:sz="4" w:space="0" w:color="auto"/>
              <w:bottom w:val="single" w:sz="4" w:space="0" w:color="auto"/>
              <w:right w:val="single" w:sz="4" w:space="0" w:color="auto"/>
            </w:tcBorders>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b/>
                <w:i/>
                <w:sz w:val="20"/>
                <w:szCs w:val="20"/>
              </w:rPr>
            </w:pPr>
          </w:p>
        </w:tc>
      </w:tr>
      <w:tr w:rsidR="00714F5D" w:rsidRPr="001D0846" w:rsidTr="008C5C6A">
        <w:tc>
          <w:tcPr>
            <w:tcW w:w="562"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rPr>
                <w:rFonts w:ascii="Times New Roman" w:hAnsi="Times New Roman" w:cs="Times New Roman"/>
                <w:b/>
                <w:i/>
                <w:sz w:val="20"/>
                <w:szCs w:val="20"/>
              </w:rPr>
            </w:pPr>
            <w:r w:rsidRPr="001D0846">
              <w:rPr>
                <w:rFonts w:ascii="Times New Roman" w:hAnsi="Times New Roman" w:cs="Times New Roman"/>
                <w:b/>
                <w:i/>
                <w:sz w:val="20"/>
                <w:szCs w:val="20"/>
              </w:rPr>
              <w:t>E1</w:t>
            </w:r>
          </w:p>
        </w:tc>
        <w:tc>
          <w:tcPr>
            <w:tcW w:w="4253"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rPr>
                <w:rFonts w:ascii="Times New Roman" w:hAnsi="Times New Roman" w:cs="Times New Roman"/>
                <w:sz w:val="20"/>
                <w:szCs w:val="20"/>
              </w:rPr>
            </w:pPr>
            <w:r w:rsidRPr="001D0846">
              <w:rPr>
                <w:rFonts w:ascii="Times New Roman" w:hAnsi="Times New Roman" w:cs="Times New Roman"/>
                <w:sz w:val="20"/>
                <w:szCs w:val="20"/>
              </w:rPr>
              <w:t>Costul administrării fiscale la un leu de venituri la BPN</w:t>
            </w:r>
          </w:p>
        </w:tc>
        <w:tc>
          <w:tcPr>
            <w:tcW w:w="4394"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rPr>
                <w:rFonts w:ascii="Times New Roman" w:hAnsi="Times New Roman" w:cs="Times New Roman"/>
                <w:sz w:val="20"/>
                <w:szCs w:val="20"/>
              </w:rPr>
            </w:pPr>
            <w:r w:rsidRPr="001D0846">
              <w:rPr>
                <w:rFonts w:ascii="Times New Roman" w:hAnsi="Times New Roman" w:cs="Times New Roman"/>
                <w:sz w:val="20"/>
                <w:szCs w:val="20"/>
              </w:rPr>
              <w:t>Costul administrării fiscale la un leu de venituri la BPN</w:t>
            </w:r>
          </w:p>
        </w:tc>
        <w:tc>
          <w:tcPr>
            <w:tcW w:w="104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sz w:val="20"/>
                <w:szCs w:val="20"/>
              </w:rPr>
            </w:pPr>
            <w:r w:rsidRPr="001D0846">
              <w:rPr>
                <w:rFonts w:ascii="Times New Roman" w:hAnsi="Times New Roman" w:cs="Times New Roman"/>
                <w:sz w:val="20"/>
                <w:szCs w:val="20"/>
              </w:rPr>
              <w:t>lei</w:t>
            </w:r>
          </w:p>
        </w:tc>
        <w:tc>
          <w:tcPr>
            <w:tcW w:w="90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0,01</w:t>
            </w:r>
          </w:p>
        </w:tc>
        <w:tc>
          <w:tcPr>
            <w:tcW w:w="99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0,01</w:t>
            </w:r>
          </w:p>
        </w:tc>
        <w:tc>
          <w:tcPr>
            <w:tcW w:w="90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0</w:t>
            </w:r>
          </w:p>
        </w:tc>
        <w:tc>
          <w:tcPr>
            <w:tcW w:w="706"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b/>
                <w:i/>
                <w:sz w:val="20"/>
                <w:szCs w:val="20"/>
              </w:rPr>
            </w:pPr>
          </w:p>
        </w:tc>
      </w:tr>
      <w:tr w:rsidR="00714F5D" w:rsidRPr="001D0846" w:rsidTr="008C5C6A">
        <w:tc>
          <w:tcPr>
            <w:tcW w:w="562"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rPr>
                <w:rFonts w:ascii="Times New Roman" w:hAnsi="Times New Roman" w:cs="Times New Roman"/>
                <w:b/>
                <w:i/>
                <w:sz w:val="20"/>
                <w:szCs w:val="20"/>
              </w:rPr>
            </w:pPr>
            <w:r w:rsidRPr="001D0846">
              <w:rPr>
                <w:rFonts w:ascii="Times New Roman" w:hAnsi="Times New Roman" w:cs="Times New Roman"/>
                <w:b/>
                <w:i/>
                <w:sz w:val="20"/>
                <w:szCs w:val="20"/>
              </w:rPr>
              <w:t>E2</w:t>
            </w:r>
          </w:p>
        </w:tc>
        <w:tc>
          <w:tcPr>
            <w:tcW w:w="4253"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rPr>
                <w:rFonts w:ascii="Times New Roman" w:hAnsi="Times New Roman" w:cs="Times New Roman"/>
                <w:sz w:val="20"/>
                <w:szCs w:val="20"/>
              </w:rPr>
            </w:pPr>
            <w:r w:rsidRPr="001D0846">
              <w:rPr>
                <w:rFonts w:ascii="Times New Roman" w:hAnsi="Times New Roman" w:cs="Times New Roman"/>
                <w:sz w:val="20"/>
                <w:szCs w:val="20"/>
              </w:rPr>
              <w:t>Gradul de reducere a restanței recuperabile, comparativ cu începutul anului</w:t>
            </w:r>
          </w:p>
        </w:tc>
        <w:tc>
          <w:tcPr>
            <w:tcW w:w="4394"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rPr>
                <w:rFonts w:ascii="Times New Roman" w:hAnsi="Times New Roman" w:cs="Times New Roman"/>
                <w:sz w:val="20"/>
                <w:szCs w:val="20"/>
              </w:rPr>
            </w:pPr>
            <w:r w:rsidRPr="001D0846">
              <w:rPr>
                <w:rFonts w:ascii="Times New Roman" w:hAnsi="Times New Roman" w:cs="Times New Roman"/>
                <w:sz w:val="20"/>
                <w:szCs w:val="20"/>
              </w:rPr>
              <w:t>Gradul de reducere a restanței recuperabile, comparativ cu începutul anului</w:t>
            </w:r>
          </w:p>
        </w:tc>
        <w:tc>
          <w:tcPr>
            <w:tcW w:w="104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sz w:val="20"/>
                <w:szCs w:val="20"/>
              </w:rPr>
            </w:pPr>
            <w:r w:rsidRPr="001D0846">
              <w:rPr>
                <w:rFonts w:ascii="Times New Roman" w:hAnsi="Times New Roman" w:cs="Times New Roman"/>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5</w:t>
            </w:r>
          </w:p>
        </w:tc>
        <w:tc>
          <w:tcPr>
            <w:tcW w:w="990" w:type="dxa"/>
            <w:tcBorders>
              <w:top w:val="single" w:sz="4" w:space="0" w:color="auto"/>
              <w:left w:val="single" w:sz="4" w:space="0" w:color="auto"/>
              <w:bottom w:val="single" w:sz="4" w:space="0" w:color="auto"/>
              <w:right w:val="single" w:sz="4" w:space="0" w:color="auto"/>
            </w:tcBorders>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b/>
                <w:i/>
                <w:sz w:val="20"/>
                <w:szCs w:val="20"/>
              </w:rPr>
            </w:pPr>
          </w:p>
        </w:tc>
        <w:tc>
          <w:tcPr>
            <w:tcW w:w="900" w:type="dxa"/>
            <w:tcBorders>
              <w:top w:val="single" w:sz="4" w:space="0" w:color="auto"/>
              <w:left w:val="single" w:sz="4" w:space="0" w:color="auto"/>
              <w:bottom w:val="single" w:sz="4" w:space="0" w:color="auto"/>
              <w:right w:val="single" w:sz="4" w:space="0" w:color="auto"/>
            </w:tcBorders>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b/>
                <w:i/>
                <w:sz w:val="20"/>
                <w:szCs w:val="20"/>
              </w:rPr>
            </w:pPr>
          </w:p>
        </w:tc>
        <w:tc>
          <w:tcPr>
            <w:tcW w:w="706"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v</w:t>
            </w:r>
          </w:p>
        </w:tc>
      </w:tr>
    </w:tbl>
    <w:p w:rsidR="00714F5D" w:rsidRPr="001D0846" w:rsidRDefault="00714F5D" w:rsidP="00714F5D">
      <w:pPr>
        <w:spacing w:after="0" w:line="276" w:lineRule="auto"/>
        <w:rPr>
          <w:rFonts w:ascii="Times New Roman" w:hAnsi="Times New Roman" w:cs="Times New Roman"/>
          <w:i/>
          <w:sz w:val="20"/>
          <w:szCs w:val="20"/>
        </w:rPr>
      </w:pPr>
      <w:r w:rsidRPr="001D0846">
        <w:rPr>
          <w:rFonts w:ascii="Times New Roman" w:hAnsi="Times New Roman" w:cs="Times New Roman"/>
          <w:b/>
          <w:i/>
          <w:sz w:val="20"/>
          <w:szCs w:val="20"/>
        </w:rPr>
        <w:t>Sursă:</w:t>
      </w:r>
      <w:r w:rsidRPr="001D0846">
        <w:rPr>
          <w:rFonts w:ascii="Times New Roman" w:hAnsi="Times New Roman" w:cs="Times New Roman"/>
          <w:i/>
          <w:sz w:val="20"/>
          <w:szCs w:val="20"/>
        </w:rPr>
        <w:t xml:space="preserve"> Raportul de performanță la situația din 01.01.2018 (Forma FD053).</w:t>
      </w:r>
    </w:p>
    <w:p w:rsidR="00714F5D" w:rsidRPr="001D0846" w:rsidRDefault="00714F5D" w:rsidP="00714F5D">
      <w:pPr>
        <w:pStyle w:val="ListParagraph"/>
        <w:tabs>
          <w:tab w:val="left" w:pos="0"/>
        </w:tabs>
        <w:spacing w:after="0" w:line="276" w:lineRule="auto"/>
        <w:ind w:left="0" w:right="-37" w:firstLine="709"/>
        <w:jc w:val="right"/>
        <w:rPr>
          <w:rFonts w:ascii="Times New Roman" w:hAnsi="Times New Roman" w:cs="Times New Roman"/>
          <w:b/>
          <w:i/>
          <w:sz w:val="28"/>
          <w:szCs w:val="28"/>
        </w:rPr>
      </w:pPr>
      <w:r w:rsidRPr="001D0846">
        <w:rPr>
          <w:rFonts w:ascii="Times New Roman" w:hAnsi="Times New Roman" w:cs="Times New Roman"/>
          <w:b/>
          <w:i/>
          <w:sz w:val="28"/>
          <w:szCs w:val="28"/>
        </w:rPr>
        <w:t>Tabelul nr.3</w:t>
      </w:r>
    </w:p>
    <w:p w:rsidR="00714F5D" w:rsidRPr="001D0846" w:rsidRDefault="00714F5D" w:rsidP="00714F5D">
      <w:pPr>
        <w:pStyle w:val="ListParagraph"/>
        <w:tabs>
          <w:tab w:val="left" w:pos="0"/>
        </w:tabs>
        <w:spacing w:after="0" w:line="276" w:lineRule="auto"/>
        <w:ind w:left="0" w:firstLine="709"/>
        <w:jc w:val="center"/>
        <w:rPr>
          <w:rFonts w:ascii="Times New Roman" w:hAnsi="Times New Roman" w:cs="Times New Roman"/>
          <w:i/>
          <w:sz w:val="28"/>
          <w:szCs w:val="28"/>
        </w:rPr>
      </w:pPr>
      <w:r w:rsidRPr="001D0846">
        <w:rPr>
          <w:rFonts w:ascii="Times New Roman" w:hAnsi="Times New Roman" w:cs="Times New Roman"/>
          <w:i/>
          <w:sz w:val="28"/>
          <w:szCs w:val="28"/>
        </w:rPr>
        <w:t>Informația privind nivelul de realizare de către SV a indicatorilor de performanță în activitatea de administrare vamală în anul 2017</w:t>
      </w:r>
    </w:p>
    <w:tbl>
      <w:tblPr>
        <w:tblStyle w:val="TableGrid"/>
        <w:tblpPr w:leftFromText="180" w:rightFromText="180" w:vertAnchor="text" w:horzAnchor="margin" w:tblpXSpec="center" w:tblpY="36"/>
        <w:tblW w:w="13745" w:type="dxa"/>
        <w:tblLayout w:type="fixed"/>
        <w:tblLook w:val="04A0"/>
      </w:tblPr>
      <w:tblGrid>
        <w:gridCol w:w="562"/>
        <w:gridCol w:w="4111"/>
        <w:gridCol w:w="4394"/>
        <w:gridCol w:w="972"/>
        <w:gridCol w:w="900"/>
        <w:gridCol w:w="990"/>
        <w:gridCol w:w="900"/>
        <w:gridCol w:w="916"/>
      </w:tblGrid>
      <w:tr w:rsidR="00714F5D" w:rsidRPr="001D0846" w:rsidTr="008C5C6A">
        <w:tc>
          <w:tcPr>
            <w:tcW w:w="562"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hideMark/>
          </w:tcPr>
          <w:p w:rsidR="00714F5D" w:rsidRPr="001D0846" w:rsidRDefault="00714F5D" w:rsidP="008C5C6A">
            <w:pPr>
              <w:pStyle w:val="ListParagraph"/>
              <w:tabs>
                <w:tab w:val="left" w:pos="1134"/>
              </w:tabs>
              <w:spacing w:line="276" w:lineRule="auto"/>
              <w:ind w:left="113" w:right="113"/>
              <w:jc w:val="center"/>
              <w:rPr>
                <w:rFonts w:ascii="Times New Roman" w:hAnsi="Times New Roman" w:cs="Times New Roman"/>
                <w:b/>
                <w:sz w:val="20"/>
                <w:szCs w:val="20"/>
              </w:rPr>
            </w:pPr>
            <w:r w:rsidRPr="001D0846">
              <w:rPr>
                <w:rFonts w:ascii="Times New Roman" w:hAnsi="Times New Roman" w:cs="Times New Roman"/>
                <w:b/>
                <w:sz w:val="20"/>
                <w:szCs w:val="20"/>
              </w:rPr>
              <w:t>Categoria</w:t>
            </w:r>
          </w:p>
        </w:tc>
        <w:tc>
          <w:tcPr>
            <w:tcW w:w="411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sz w:val="20"/>
                <w:szCs w:val="20"/>
              </w:rPr>
              <w:t>Indicatori aprobați de MF</w:t>
            </w:r>
          </w:p>
        </w:tc>
        <w:tc>
          <w:tcPr>
            <w:tcW w:w="9072"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14F5D" w:rsidRPr="001D0846" w:rsidRDefault="00714F5D" w:rsidP="008C5C6A">
            <w:pPr>
              <w:pStyle w:val="ListParagraph"/>
              <w:tabs>
                <w:tab w:val="left" w:pos="1134"/>
              </w:tabs>
              <w:spacing w:line="276" w:lineRule="auto"/>
              <w:ind w:left="0"/>
              <w:rPr>
                <w:rFonts w:ascii="Times New Roman" w:hAnsi="Times New Roman" w:cs="Times New Roman"/>
                <w:b/>
                <w:sz w:val="20"/>
                <w:szCs w:val="20"/>
              </w:rPr>
            </w:pPr>
            <w:r w:rsidRPr="001D0846">
              <w:rPr>
                <w:rFonts w:ascii="Times New Roman" w:hAnsi="Times New Roman" w:cs="Times New Roman"/>
                <w:b/>
                <w:sz w:val="20"/>
                <w:szCs w:val="20"/>
              </w:rPr>
              <w:t>Indicatori raportați de SV</w:t>
            </w:r>
          </w:p>
        </w:tc>
      </w:tr>
      <w:tr w:rsidR="00714F5D" w:rsidRPr="001D0846" w:rsidTr="008C5C6A">
        <w:trPr>
          <w:trHeight w:val="852"/>
        </w:trPr>
        <w:tc>
          <w:tcPr>
            <w:tcW w:w="562" w:type="dxa"/>
            <w:vMerge/>
            <w:tcBorders>
              <w:top w:val="single" w:sz="4" w:space="0" w:color="auto"/>
              <w:left w:val="single" w:sz="4" w:space="0" w:color="auto"/>
              <w:bottom w:val="single" w:sz="4" w:space="0" w:color="auto"/>
              <w:right w:val="single" w:sz="4" w:space="0" w:color="auto"/>
            </w:tcBorders>
            <w:vAlign w:val="center"/>
            <w:hideMark/>
          </w:tcPr>
          <w:p w:rsidR="00714F5D" w:rsidRPr="001D0846" w:rsidRDefault="00714F5D" w:rsidP="008C5C6A">
            <w:pPr>
              <w:spacing w:line="276" w:lineRule="auto"/>
              <w:rPr>
                <w:rFonts w:ascii="Times New Roman" w:hAnsi="Times New Roman" w:cs="Times New Roman"/>
                <w:b/>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De rezultat</w:t>
            </w:r>
          </w:p>
        </w:tc>
        <w:tc>
          <w:tcPr>
            <w:tcW w:w="439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De rezultat</w:t>
            </w:r>
          </w:p>
        </w:tc>
        <w:tc>
          <w:tcPr>
            <w:tcW w:w="972"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Unitatea de măsură (%)</w:t>
            </w:r>
          </w:p>
        </w:tc>
        <w:tc>
          <w:tcPr>
            <w:tcW w:w="90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Aprobat</w:t>
            </w:r>
          </w:p>
        </w:tc>
        <w:tc>
          <w:tcPr>
            <w:tcW w:w="99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Executat</w:t>
            </w:r>
          </w:p>
        </w:tc>
        <w:tc>
          <w:tcPr>
            <w:tcW w:w="90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Devieri (+/-)</w:t>
            </w:r>
          </w:p>
        </w:tc>
        <w:tc>
          <w:tcPr>
            <w:tcW w:w="916"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Neexecutați</w:t>
            </w:r>
          </w:p>
        </w:tc>
      </w:tr>
      <w:tr w:rsidR="00714F5D" w:rsidRPr="001D0846" w:rsidTr="008C5C6A">
        <w:tc>
          <w:tcPr>
            <w:tcW w:w="562"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rPr>
                <w:rFonts w:ascii="Times New Roman" w:hAnsi="Times New Roman" w:cs="Times New Roman"/>
                <w:b/>
                <w:i/>
                <w:sz w:val="20"/>
                <w:szCs w:val="20"/>
              </w:rPr>
            </w:pPr>
            <w:r w:rsidRPr="001D0846">
              <w:rPr>
                <w:rFonts w:ascii="Times New Roman" w:hAnsi="Times New Roman" w:cs="Times New Roman"/>
                <w:b/>
                <w:i/>
                <w:sz w:val="20"/>
                <w:szCs w:val="20"/>
              </w:rPr>
              <w:t>R6</w:t>
            </w:r>
          </w:p>
        </w:tc>
        <w:tc>
          <w:tcPr>
            <w:tcW w:w="4111"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rPr>
                <w:rFonts w:ascii="Times New Roman" w:hAnsi="Times New Roman" w:cs="Times New Roman"/>
                <w:sz w:val="20"/>
                <w:szCs w:val="20"/>
              </w:rPr>
            </w:pPr>
            <w:r w:rsidRPr="001D0846">
              <w:rPr>
                <w:rFonts w:ascii="Times New Roman" w:hAnsi="Times New Roman" w:cs="Times New Roman"/>
                <w:sz w:val="20"/>
                <w:szCs w:val="20"/>
              </w:rPr>
              <w:t>Cota declarațiilor vamale perfectate electronic</w:t>
            </w:r>
          </w:p>
        </w:tc>
        <w:tc>
          <w:tcPr>
            <w:tcW w:w="4394"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rPr>
                <w:rFonts w:ascii="Times New Roman" w:hAnsi="Times New Roman" w:cs="Times New Roman"/>
                <w:sz w:val="20"/>
                <w:szCs w:val="20"/>
              </w:rPr>
            </w:pPr>
            <w:r w:rsidRPr="001D0846">
              <w:rPr>
                <w:rFonts w:ascii="Times New Roman" w:hAnsi="Times New Roman" w:cs="Times New Roman"/>
                <w:sz w:val="20"/>
                <w:szCs w:val="20"/>
              </w:rPr>
              <w:t>Cota declarațiilor vamale perfectate electronic</w:t>
            </w:r>
          </w:p>
        </w:tc>
        <w:tc>
          <w:tcPr>
            <w:tcW w:w="972"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sz w:val="20"/>
                <w:szCs w:val="20"/>
              </w:rPr>
            </w:pPr>
            <w:r w:rsidRPr="001D0846">
              <w:rPr>
                <w:rFonts w:ascii="Times New Roman" w:hAnsi="Times New Roman" w:cs="Times New Roman"/>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i/>
                <w:sz w:val="20"/>
                <w:szCs w:val="20"/>
              </w:rPr>
            </w:pPr>
            <w:r w:rsidRPr="001D0846">
              <w:rPr>
                <w:rFonts w:ascii="Times New Roman" w:hAnsi="Times New Roman" w:cs="Times New Roman"/>
                <w:i/>
                <w:sz w:val="20"/>
                <w:szCs w:val="20"/>
              </w:rPr>
              <w:t>25</w:t>
            </w:r>
          </w:p>
        </w:tc>
        <w:tc>
          <w:tcPr>
            <w:tcW w:w="99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i/>
                <w:sz w:val="20"/>
                <w:szCs w:val="20"/>
              </w:rPr>
            </w:pPr>
            <w:r w:rsidRPr="001D0846">
              <w:rPr>
                <w:rFonts w:ascii="Times New Roman" w:hAnsi="Times New Roman" w:cs="Times New Roman"/>
                <w:i/>
                <w:sz w:val="20"/>
                <w:szCs w:val="20"/>
              </w:rPr>
              <w:t>62</w:t>
            </w:r>
          </w:p>
        </w:tc>
        <w:tc>
          <w:tcPr>
            <w:tcW w:w="90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i/>
                <w:sz w:val="20"/>
                <w:szCs w:val="20"/>
              </w:rPr>
            </w:pPr>
            <w:r w:rsidRPr="001D0846">
              <w:rPr>
                <w:rFonts w:ascii="Times New Roman" w:hAnsi="Times New Roman" w:cs="Times New Roman"/>
                <w:i/>
                <w:sz w:val="20"/>
                <w:szCs w:val="20"/>
              </w:rPr>
              <w:t>37</w:t>
            </w:r>
          </w:p>
        </w:tc>
        <w:tc>
          <w:tcPr>
            <w:tcW w:w="916" w:type="dxa"/>
            <w:tcBorders>
              <w:top w:val="single" w:sz="4" w:space="0" w:color="auto"/>
              <w:left w:val="single" w:sz="4" w:space="0" w:color="auto"/>
              <w:bottom w:val="single" w:sz="4" w:space="0" w:color="auto"/>
              <w:right w:val="single" w:sz="4" w:space="0" w:color="auto"/>
            </w:tcBorders>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i/>
                <w:sz w:val="20"/>
                <w:szCs w:val="20"/>
              </w:rPr>
            </w:pPr>
          </w:p>
        </w:tc>
      </w:tr>
      <w:tr w:rsidR="00714F5D" w:rsidRPr="001D0846" w:rsidTr="008C5C6A">
        <w:tc>
          <w:tcPr>
            <w:tcW w:w="562"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rPr>
                <w:rFonts w:ascii="Times New Roman" w:hAnsi="Times New Roman" w:cs="Times New Roman"/>
                <w:b/>
                <w:i/>
                <w:sz w:val="20"/>
                <w:szCs w:val="20"/>
              </w:rPr>
            </w:pPr>
            <w:r w:rsidRPr="001D0846">
              <w:rPr>
                <w:rFonts w:ascii="Times New Roman" w:hAnsi="Times New Roman" w:cs="Times New Roman"/>
                <w:b/>
                <w:i/>
                <w:sz w:val="20"/>
                <w:szCs w:val="20"/>
              </w:rPr>
              <w:t>R7</w:t>
            </w:r>
          </w:p>
        </w:tc>
        <w:tc>
          <w:tcPr>
            <w:tcW w:w="4111"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rPr>
                <w:rFonts w:ascii="Times New Roman" w:hAnsi="Times New Roman" w:cs="Times New Roman"/>
                <w:sz w:val="20"/>
                <w:szCs w:val="20"/>
              </w:rPr>
            </w:pPr>
            <w:r w:rsidRPr="001D0846">
              <w:rPr>
                <w:rFonts w:ascii="Times New Roman" w:hAnsi="Times New Roman" w:cs="Times New Roman"/>
                <w:sz w:val="20"/>
                <w:szCs w:val="20"/>
              </w:rPr>
              <w:t>Cota declarațiilor vamale de import direcționate pentru control fizic</w:t>
            </w:r>
          </w:p>
        </w:tc>
        <w:tc>
          <w:tcPr>
            <w:tcW w:w="4394"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rPr>
                <w:rFonts w:ascii="Times New Roman" w:hAnsi="Times New Roman" w:cs="Times New Roman"/>
                <w:sz w:val="20"/>
                <w:szCs w:val="20"/>
              </w:rPr>
            </w:pPr>
            <w:r w:rsidRPr="001D0846">
              <w:rPr>
                <w:rFonts w:ascii="Times New Roman" w:hAnsi="Times New Roman" w:cs="Times New Roman"/>
                <w:sz w:val="20"/>
                <w:szCs w:val="20"/>
              </w:rPr>
              <w:t>Cota declarațiilor vamale de import direcționate pentru control fizic</w:t>
            </w:r>
          </w:p>
        </w:tc>
        <w:tc>
          <w:tcPr>
            <w:tcW w:w="972"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sz w:val="20"/>
                <w:szCs w:val="20"/>
              </w:rPr>
            </w:pPr>
            <w:r w:rsidRPr="001D0846">
              <w:rPr>
                <w:rFonts w:ascii="Times New Roman" w:hAnsi="Times New Roman" w:cs="Times New Roman"/>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i/>
                <w:sz w:val="20"/>
                <w:szCs w:val="20"/>
              </w:rPr>
            </w:pPr>
            <w:r w:rsidRPr="001D0846">
              <w:rPr>
                <w:rFonts w:ascii="Times New Roman" w:hAnsi="Times New Roman" w:cs="Times New Roman"/>
                <w:i/>
                <w:sz w:val="20"/>
                <w:szCs w:val="20"/>
              </w:rPr>
              <w:t>15</w:t>
            </w:r>
          </w:p>
        </w:tc>
        <w:tc>
          <w:tcPr>
            <w:tcW w:w="99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i/>
                <w:sz w:val="20"/>
                <w:szCs w:val="20"/>
              </w:rPr>
            </w:pPr>
            <w:r w:rsidRPr="001D0846">
              <w:rPr>
                <w:rFonts w:ascii="Times New Roman" w:hAnsi="Times New Roman" w:cs="Times New Roman"/>
                <w:i/>
                <w:sz w:val="20"/>
                <w:szCs w:val="20"/>
              </w:rPr>
              <w:t>7,2</w:t>
            </w:r>
          </w:p>
        </w:tc>
        <w:tc>
          <w:tcPr>
            <w:tcW w:w="90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i/>
                <w:sz w:val="20"/>
                <w:szCs w:val="20"/>
              </w:rPr>
            </w:pPr>
            <w:r w:rsidRPr="001D0846">
              <w:rPr>
                <w:rFonts w:ascii="Times New Roman" w:hAnsi="Times New Roman" w:cs="Times New Roman"/>
                <w:i/>
                <w:sz w:val="20"/>
                <w:szCs w:val="20"/>
              </w:rPr>
              <w:t>-8</w:t>
            </w:r>
          </w:p>
        </w:tc>
        <w:tc>
          <w:tcPr>
            <w:tcW w:w="916"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i/>
                <w:sz w:val="20"/>
                <w:szCs w:val="20"/>
              </w:rPr>
            </w:pPr>
            <w:r w:rsidRPr="001D0846">
              <w:rPr>
                <w:rFonts w:ascii="Times New Roman" w:hAnsi="Times New Roman" w:cs="Times New Roman"/>
                <w:i/>
                <w:sz w:val="20"/>
                <w:szCs w:val="20"/>
              </w:rPr>
              <w:t>v</w:t>
            </w:r>
          </w:p>
        </w:tc>
      </w:tr>
      <w:tr w:rsidR="00714F5D" w:rsidRPr="001D0846" w:rsidTr="008C5C6A">
        <w:tc>
          <w:tcPr>
            <w:tcW w:w="562"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rPr>
                <w:rFonts w:ascii="Times New Roman" w:hAnsi="Times New Roman" w:cs="Times New Roman"/>
                <w:b/>
                <w:i/>
                <w:sz w:val="20"/>
                <w:szCs w:val="20"/>
              </w:rPr>
            </w:pPr>
            <w:r w:rsidRPr="001D0846">
              <w:rPr>
                <w:rFonts w:ascii="Times New Roman" w:hAnsi="Times New Roman" w:cs="Times New Roman"/>
                <w:b/>
                <w:i/>
                <w:sz w:val="20"/>
                <w:szCs w:val="20"/>
              </w:rPr>
              <w:t>R8</w:t>
            </w:r>
          </w:p>
        </w:tc>
        <w:tc>
          <w:tcPr>
            <w:tcW w:w="4111"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rPr>
                <w:rFonts w:ascii="Times New Roman" w:hAnsi="Times New Roman" w:cs="Times New Roman"/>
                <w:sz w:val="20"/>
                <w:szCs w:val="20"/>
              </w:rPr>
            </w:pPr>
            <w:r w:rsidRPr="001D0846">
              <w:rPr>
                <w:rFonts w:ascii="Times New Roman" w:hAnsi="Times New Roman" w:cs="Times New Roman"/>
                <w:sz w:val="20"/>
                <w:szCs w:val="20"/>
              </w:rPr>
              <w:t>Cota declarațiilor vamale de export direcționate pentru control fizic</w:t>
            </w:r>
          </w:p>
        </w:tc>
        <w:tc>
          <w:tcPr>
            <w:tcW w:w="4394"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rPr>
                <w:rFonts w:ascii="Times New Roman" w:hAnsi="Times New Roman" w:cs="Times New Roman"/>
                <w:sz w:val="20"/>
                <w:szCs w:val="20"/>
              </w:rPr>
            </w:pPr>
            <w:r w:rsidRPr="001D0846">
              <w:rPr>
                <w:rFonts w:ascii="Times New Roman" w:hAnsi="Times New Roman" w:cs="Times New Roman"/>
                <w:sz w:val="20"/>
                <w:szCs w:val="20"/>
              </w:rPr>
              <w:t>Cota declarațiilor vamale de export direcționate pentru control fizic</w:t>
            </w:r>
          </w:p>
        </w:tc>
        <w:tc>
          <w:tcPr>
            <w:tcW w:w="972"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sz w:val="20"/>
                <w:szCs w:val="20"/>
              </w:rPr>
            </w:pPr>
            <w:r w:rsidRPr="001D0846">
              <w:rPr>
                <w:rFonts w:ascii="Times New Roman" w:hAnsi="Times New Roman" w:cs="Times New Roman"/>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i/>
                <w:sz w:val="20"/>
                <w:szCs w:val="20"/>
              </w:rPr>
            </w:pPr>
            <w:r w:rsidRPr="001D0846">
              <w:rPr>
                <w:rFonts w:ascii="Times New Roman" w:hAnsi="Times New Roman" w:cs="Times New Roman"/>
                <w:i/>
                <w:sz w:val="20"/>
                <w:szCs w:val="20"/>
              </w:rPr>
              <w:t>10</w:t>
            </w:r>
          </w:p>
        </w:tc>
        <w:tc>
          <w:tcPr>
            <w:tcW w:w="99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i/>
                <w:sz w:val="20"/>
                <w:szCs w:val="20"/>
              </w:rPr>
            </w:pPr>
            <w:r w:rsidRPr="001D0846">
              <w:rPr>
                <w:rFonts w:ascii="Times New Roman" w:hAnsi="Times New Roman" w:cs="Times New Roman"/>
                <w:i/>
                <w:sz w:val="20"/>
                <w:szCs w:val="20"/>
              </w:rPr>
              <w:t>3,3</w:t>
            </w:r>
          </w:p>
        </w:tc>
        <w:tc>
          <w:tcPr>
            <w:tcW w:w="90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i/>
                <w:sz w:val="20"/>
                <w:szCs w:val="20"/>
              </w:rPr>
            </w:pPr>
            <w:r w:rsidRPr="001D0846">
              <w:rPr>
                <w:rFonts w:ascii="Times New Roman" w:hAnsi="Times New Roman" w:cs="Times New Roman"/>
                <w:i/>
                <w:sz w:val="20"/>
                <w:szCs w:val="20"/>
              </w:rPr>
              <w:t>-7</w:t>
            </w:r>
          </w:p>
        </w:tc>
        <w:tc>
          <w:tcPr>
            <w:tcW w:w="916"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i/>
                <w:sz w:val="20"/>
                <w:szCs w:val="20"/>
              </w:rPr>
            </w:pPr>
            <w:r w:rsidRPr="001D0846">
              <w:rPr>
                <w:rFonts w:ascii="Times New Roman" w:hAnsi="Times New Roman" w:cs="Times New Roman"/>
                <w:i/>
                <w:sz w:val="20"/>
                <w:szCs w:val="20"/>
              </w:rPr>
              <w:t>v</w:t>
            </w:r>
          </w:p>
        </w:tc>
      </w:tr>
      <w:tr w:rsidR="00714F5D" w:rsidRPr="001D0846" w:rsidTr="008C5C6A">
        <w:tc>
          <w:tcPr>
            <w:tcW w:w="562"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rPr>
                <w:rFonts w:ascii="Times New Roman" w:hAnsi="Times New Roman" w:cs="Times New Roman"/>
                <w:b/>
                <w:i/>
                <w:sz w:val="20"/>
                <w:szCs w:val="20"/>
              </w:rPr>
            </w:pPr>
            <w:r w:rsidRPr="001D0846">
              <w:rPr>
                <w:rFonts w:ascii="Times New Roman" w:hAnsi="Times New Roman" w:cs="Times New Roman"/>
                <w:b/>
                <w:i/>
                <w:sz w:val="20"/>
                <w:szCs w:val="20"/>
              </w:rPr>
              <w:t>R9</w:t>
            </w:r>
          </w:p>
        </w:tc>
        <w:tc>
          <w:tcPr>
            <w:tcW w:w="4111"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rPr>
                <w:rFonts w:ascii="Times New Roman" w:hAnsi="Times New Roman" w:cs="Times New Roman"/>
                <w:sz w:val="20"/>
                <w:szCs w:val="20"/>
              </w:rPr>
            </w:pPr>
            <w:r w:rsidRPr="001D0846">
              <w:rPr>
                <w:rFonts w:ascii="Times New Roman" w:hAnsi="Times New Roman" w:cs="Times New Roman"/>
                <w:sz w:val="20"/>
                <w:szCs w:val="20"/>
              </w:rPr>
              <w:t>Rezultativitatea efectuării cotrolului ulterior</w:t>
            </w:r>
          </w:p>
        </w:tc>
        <w:tc>
          <w:tcPr>
            <w:tcW w:w="4394"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rPr>
                <w:rFonts w:ascii="Times New Roman" w:hAnsi="Times New Roman" w:cs="Times New Roman"/>
                <w:sz w:val="20"/>
                <w:szCs w:val="20"/>
              </w:rPr>
            </w:pPr>
            <w:r w:rsidRPr="001D0846">
              <w:rPr>
                <w:rFonts w:ascii="Times New Roman" w:hAnsi="Times New Roman" w:cs="Times New Roman"/>
                <w:sz w:val="20"/>
                <w:szCs w:val="20"/>
              </w:rPr>
              <w:t>Rezultativitatea efectuării cotrolului ulterior</w:t>
            </w:r>
          </w:p>
        </w:tc>
        <w:tc>
          <w:tcPr>
            <w:tcW w:w="972"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sz w:val="20"/>
                <w:szCs w:val="20"/>
              </w:rPr>
            </w:pPr>
            <w:r w:rsidRPr="001D0846">
              <w:rPr>
                <w:rFonts w:ascii="Times New Roman" w:hAnsi="Times New Roman" w:cs="Times New Roman"/>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i/>
                <w:sz w:val="20"/>
                <w:szCs w:val="20"/>
              </w:rPr>
            </w:pPr>
            <w:r w:rsidRPr="001D0846">
              <w:rPr>
                <w:rFonts w:ascii="Times New Roman" w:hAnsi="Times New Roman" w:cs="Times New Roman"/>
                <w:i/>
                <w:sz w:val="20"/>
                <w:szCs w:val="20"/>
              </w:rPr>
              <w:t>75</w:t>
            </w:r>
          </w:p>
        </w:tc>
        <w:tc>
          <w:tcPr>
            <w:tcW w:w="99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i/>
                <w:sz w:val="20"/>
                <w:szCs w:val="20"/>
              </w:rPr>
            </w:pPr>
            <w:r w:rsidRPr="001D0846">
              <w:rPr>
                <w:rFonts w:ascii="Times New Roman" w:hAnsi="Times New Roman" w:cs="Times New Roman"/>
                <w:i/>
                <w:sz w:val="20"/>
                <w:szCs w:val="20"/>
              </w:rPr>
              <w:t>83</w:t>
            </w:r>
          </w:p>
        </w:tc>
        <w:tc>
          <w:tcPr>
            <w:tcW w:w="90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i/>
                <w:sz w:val="20"/>
                <w:szCs w:val="20"/>
              </w:rPr>
            </w:pPr>
            <w:r w:rsidRPr="001D0846">
              <w:rPr>
                <w:rFonts w:ascii="Times New Roman" w:hAnsi="Times New Roman" w:cs="Times New Roman"/>
                <w:i/>
                <w:sz w:val="20"/>
                <w:szCs w:val="20"/>
              </w:rPr>
              <w:t>8</w:t>
            </w:r>
          </w:p>
        </w:tc>
        <w:tc>
          <w:tcPr>
            <w:tcW w:w="916" w:type="dxa"/>
            <w:tcBorders>
              <w:top w:val="single" w:sz="4" w:space="0" w:color="auto"/>
              <w:left w:val="single" w:sz="4" w:space="0" w:color="auto"/>
              <w:bottom w:val="single" w:sz="4" w:space="0" w:color="auto"/>
              <w:right w:val="single" w:sz="4" w:space="0" w:color="auto"/>
            </w:tcBorders>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i/>
                <w:sz w:val="20"/>
                <w:szCs w:val="20"/>
              </w:rPr>
            </w:pPr>
          </w:p>
        </w:tc>
      </w:tr>
      <w:tr w:rsidR="00714F5D" w:rsidRPr="001D0846" w:rsidTr="008C5C6A">
        <w:tc>
          <w:tcPr>
            <w:tcW w:w="562"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rPr>
                <w:rFonts w:ascii="Times New Roman" w:hAnsi="Times New Roman" w:cs="Times New Roman"/>
                <w:b/>
                <w:i/>
                <w:sz w:val="20"/>
                <w:szCs w:val="20"/>
              </w:rPr>
            </w:pPr>
            <w:r w:rsidRPr="001D0846">
              <w:rPr>
                <w:rFonts w:ascii="Times New Roman" w:hAnsi="Times New Roman" w:cs="Times New Roman"/>
                <w:b/>
                <w:i/>
                <w:sz w:val="20"/>
                <w:szCs w:val="20"/>
              </w:rPr>
              <w:t>R10</w:t>
            </w:r>
          </w:p>
        </w:tc>
        <w:tc>
          <w:tcPr>
            <w:tcW w:w="4111"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rPr>
                <w:rFonts w:ascii="Times New Roman" w:hAnsi="Times New Roman" w:cs="Times New Roman"/>
                <w:sz w:val="20"/>
                <w:szCs w:val="20"/>
              </w:rPr>
            </w:pPr>
            <w:r w:rsidRPr="001D0846">
              <w:rPr>
                <w:rFonts w:ascii="Times New Roman" w:hAnsi="Times New Roman" w:cs="Times New Roman"/>
                <w:sz w:val="20"/>
                <w:szCs w:val="20"/>
              </w:rPr>
              <w:t xml:space="preserve">Gradul de realizare a planului încasărilor de </w:t>
            </w:r>
            <w:r>
              <w:rPr>
                <w:rFonts w:ascii="Times New Roman" w:hAnsi="Times New Roman" w:cs="Times New Roman"/>
                <w:sz w:val="20"/>
                <w:szCs w:val="20"/>
              </w:rPr>
              <w:t xml:space="preserve">către </w:t>
            </w:r>
            <w:r w:rsidRPr="001D0846">
              <w:rPr>
                <w:rFonts w:ascii="Times New Roman" w:hAnsi="Times New Roman" w:cs="Times New Roman"/>
                <w:sz w:val="20"/>
                <w:szCs w:val="20"/>
              </w:rPr>
              <w:t>SV</w:t>
            </w:r>
          </w:p>
        </w:tc>
        <w:tc>
          <w:tcPr>
            <w:tcW w:w="4394"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rPr>
                <w:rFonts w:ascii="Times New Roman" w:hAnsi="Times New Roman" w:cs="Times New Roman"/>
                <w:sz w:val="20"/>
                <w:szCs w:val="20"/>
              </w:rPr>
            </w:pPr>
            <w:r w:rsidRPr="001D0846">
              <w:rPr>
                <w:rFonts w:ascii="Times New Roman" w:hAnsi="Times New Roman" w:cs="Times New Roman"/>
                <w:sz w:val="20"/>
                <w:szCs w:val="20"/>
              </w:rPr>
              <w:t xml:space="preserve">Gradul de realizare a planului încasărilor de </w:t>
            </w:r>
            <w:r>
              <w:rPr>
                <w:rFonts w:ascii="Times New Roman" w:hAnsi="Times New Roman" w:cs="Times New Roman"/>
                <w:sz w:val="20"/>
                <w:szCs w:val="20"/>
              </w:rPr>
              <w:t xml:space="preserve">către </w:t>
            </w:r>
            <w:r w:rsidRPr="001D0846">
              <w:rPr>
                <w:rFonts w:ascii="Times New Roman" w:hAnsi="Times New Roman" w:cs="Times New Roman"/>
                <w:sz w:val="20"/>
                <w:szCs w:val="20"/>
              </w:rPr>
              <w:t>SV</w:t>
            </w:r>
          </w:p>
        </w:tc>
        <w:tc>
          <w:tcPr>
            <w:tcW w:w="972"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sz w:val="20"/>
                <w:szCs w:val="20"/>
              </w:rPr>
            </w:pPr>
            <w:r w:rsidRPr="001D0846">
              <w:rPr>
                <w:rFonts w:ascii="Times New Roman" w:hAnsi="Times New Roman" w:cs="Times New Roman"/>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i/>
                <w:sz w:val="20"/>
                <w:szCs w:val="20"/>
              </w:rPr>
            </w:pPr>
            <w:r w:rsidRPr="001D0846">
              <w:rPr>
                <w:rFonts w:ascii="Times New Roman" w:hAnsi="Times New Roman" w:cs="Times New Roman"/>
                <w:i/>
                <w:sz w:val="20"/>
                <w:szCs w:val="20"/>
              </w:rPr>
              <w:t>100</w:t>
            </w:r>
          </w:p>
        </w:tc>
        <w:tc>
          <w:tcPr>
            <w:tcW w:w="99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i/>
                <w:sz w:val="20"/>
                <w:szCs w:val="20"/>
              </w:rPr>
            </w:pPr>
            <w:r w:rsidRPr="001D0846">
              <w:rPr>
                <w:rFonts w:ascii="Times New Roman" w:hAnsi="Times New Roman" w:cs="Times New Roman"/>
                <w:i/>
                <w:sz w:val="20"/>
                <w:szCs w:val="20"/>
              </w:rPr>
              <w:t>102</w:t>
            </w:r>
          </w:p>
        </w:tc>
        <w:tc>
          <w:tcPr>
            <w:tcW w:w="90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i/>
                <w:sz w:val="20"/>
                <w:szCs w:val="20"/>
              </w:rPr>
            </w:pPr>
            <w:r w:rsidRPr="001D0846">
              <w:rPr>
                <w:rFonts w:ascii="Times New Roman" w:hAnsi="Times New Roman" w:cs="Times New Roman"/>
                <w:i/>
                <w:sz w:val="20"/>
                <w:szCs w:val="20"/>
              </w:rPr>
              <w:t>2</w:t>
            </w:r>
          </w:p>
        </w:tc>
        <w:tc>
          <w:tcPr>
            <w:tcW w:w="916" w:type="dxa"/>
            <w:tcBorders>
              <w:top w:val="single" w:sz="4" w:space="0" w:color="auto"/>
              <w:left w:val="single" w:sz="4" w:space="0" w:color="auto"/>
              <w:bottom w:val="single" w:sz="4" w:space="0" w:color="auto"/>
              <w:right w:val="single" w:sz="4" w:space="0" w:color="auto"/>
            </w:tcBorders>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i/>
                <w:sz w:val="20"/>
                <w:szCs w:val="20"/>
              </w:rPr>
            </w:pPr>
          </w:p>
        </w:tc>
      </w:tr>
      <w:tr w:rsidR="00714F5D" w:rsidRPr="001D0846" w:rsidTr="008C5C6A">
        <w:tc>
          <w:tcPr>
            <w:tcW w:w="56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14F5D" w:rsidRPr="001D0846" w:rsidRDefault="00714F5D" w:rsidP="008C5C6A">
            <w:pPr>
              <w:pStyle w:val="ListParagraph"/>
              <w:tabs>
                <w:tab w:val="left" w:pos="1134"/>
              </w:tabs>
              <w:spacing w:line="276" w:lineRule="auto"/>
              <w:ind w:left="0"/>
              <w:rPr>
                <w:rFonts w:ascii="Times New Roman" w:hAnsi="Times New Roman" w:cs="Times New Roman"/>
                <w:b/>
                <w:i/>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14F5D" w:rsidRPr="001D0846" w:rsidRDefault="00714F5D" w:rsidP="008C5C6A">
            <w:pPr>
              <w:pStyle w:val="ListParagraph"/>
              <w:tabs>
                <w:tab w:val="left" w:pos="1134"/>
              </w:tabs>
              <w:spacing w:line="276" w:lineRule="auto"/>
              <w:ind w:left="0"/>
              <w:rPr>
                <w:rFonts w:ascii="Times New Roman" w:hAnsi="Times New Roman" w:cs="Times New Roman"/>
                <w:b/>
                <w:i/>
                <w:sz w:val="20"/>
                <w:szCs w:val="20"/>
              </w:rPr>
            </w:pPr>
            <w:r w:rsidRPr="001D0846">
              <w:rPr>
                <w:rFonts w:ascii="Times New Roman" w:hAnsi="Times New Roman" w:cs="Times New Roman"/>
                <w:b/>
                <w:i/>
                <w:sz w:val="20"/>
                <w:szCs w:val="20"/>
              </w:rPr>
              <w:t>De produs</w:t>
            </w:r>
          </w:p>
        </w:tc>
        <w:tc>
          <w:tcPr>
            <w:tcW w:w="439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14F5D" w:rsidRPr="001D0846" w:rsidRDefault="00714F5D" w:rsidP="008C5C6A">
            <w:pPr>
              <w:pStyle w:val="ListParagraph"/>
              <w:tabs>
                <w:tab w:val="left" w:pos="1134"/>
              </w:tabs>
              <w:spacing w:line="276" w:lineRule="auto"/>
              <w:ind w:left="0"/>
              <w:rPr>
                <w:rFonts w:ascii="Times New Roman" w:hAnsi="Times New Roman" w:cs="Times New Roman"/>
                <w:b/>
                <w:i/>
                <w:sz w:val="20"/>
                <w:szCs w:val="20"/>
              </w:rPr>
            </w:pPr>
            <w:r w:rsidRPr="001D0846">
              <w:rPr>
                <w:rFonts w:ascii="Times New Roman" w:hAnsi="Times New Roman" w:cs="Times New Roman"/>
                <w:b/>
                <w:i/>
                <w:sz w:val="20"/>
                <w:szCs w:val="20"/>
              </w:rPr>
              <w:t>De produs</w:t>
            </w:r>
          </w:p>
        </w:tc>
        <w:tc>
          <w:tcPr>
            <w:tcW w:w="972" w:type="dxa"/>
            <w:tcBorders>
              <w:top w:val="single" w:sz="4" w:space="0" w:color="auto"/>
              <w:left w:val="single" w:sz="4" w:space="0" w:color="auto"/>
              <w:bottom w:val="single" w:sz="4" w:space="0" w:color="auto"/>
              <w:right w:val="single" w:sz="4" w:space="0" w:color="auto"/>
            </w:tcBorders>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b/>
                <w:i/>
                <w:sz w:val="20"/>
                <w:szCs w:val="20"/>
              </w:rPr>
            </w:pPr>
          </w:p>
        </w:tc>
        <w:tc>
          <w:tcPr>
            <w:tcW w:w="900" w:type="dxa"/>
            <w:tcBorders>
              <w:top w:val="single" w:sz="4" w:space="0" w:color="auto"/>
              <w:left w:val="single" w:sz="4" w:space="0" w:color="auto"/>
              <w:bottom w:val="single" w:sz="4" w:space="0" w:color="auto"/>
              <w:right w:val="single" w:sz="4" w:space="0" w:color="auto"/>
            </w:tcBorders>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b/>
                <w:i/>
                <w:sz w:val="20"/>
                <w:szCs w:val="20"/>
              </w:rPr>
            </w:pPr>
          </w:p>
        </w:tc>
        <w:tc>
          <w:tcPr>
            <w:tcW w:w="990" w:type="dxa"/>
            <w:tcBorders>
              <w:top w:val="single" w:sz="4" w:space="0" w:color="auto"/>
              <w:left w:val="single" w:sz="4" w:space="0" w:color="auto"/>
              <w:bottom w:val="single" w:sz="4" w:space="0" w:color="auto"/>
              <w:right w:val="single" w:sz="4" w:space="0" w:color="auto"/>
            </w:tcBorders>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b/>
                <w:i/>
                <w:sz w:val="20"/>
                <w:szCs w:val="20"/>
              </w:rPr>
            </w:pPr>
          </w:p>
        </w:tc>
        <w:tc>
          <w:tcPr>
            <w:tcW w:w="900" w:type="dxa"/>
            <w:tcBorders>
              <w:top w:val="single" w:sz="4" w:space="0" w:color="auto"/>
              <w:left w:val="single" w:sz="4" w:space="0" w:color="auto"/>
              <w:bottom w:val="single" w:sz="4" w:space="0" w:color="auto"/>
              <w:right w:val="single" w:sz="4" w:space="0" w:color="auto"/>
            </w:tcBorders>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b/>
                <w:i/>
                <w:sz w:val="20"/>
                <w:szCs w:val="20"/>
              </w:rPr>
            </w:pPr>
          </w:p>
        </w:tc>
        <w:tc>
          <w:tcPr>
            <w:tcW w:w="916" w:type="dxa"/>
            <w:tcBorders>
              <w:top w:val="single" w:sz="4" w:space="0" w:color="auto"/>
              <w:left w:val="single" w:sz="4" w:space="0" w:color="auto"/>
              <w:bottom w:val="single" w:sz="4" w:space="0" w:color="auto"/>
              <w:right w:val="single" w:sz="4" w:space="0" w:color="auto"/>
            </w:tcBorders>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b/>
                <w:i/>
                <w:sz w:val="20"/>
                <w:szCs w:val="20"/>
              </w:rPr>
            </w:pPr>
          </w:p>
        </w:tc>
      </w:tr>
      <w:tr w:rsidR="00714F5D" w:rsidRPr="001D0846" w:rsidTr="008C5C6A">
        <w:tc>
          <w:tcPr>
            <w:tcW w:w="562"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rPr>
                <w:rFonts w:ascii="Times New Roman" w:hAnsi="Times New Roman" w:cs="Times New Roman"/>
                <w:b/>
                <w:i/>
                <w:sz w:val="20"/>
                <w:szCs w:val="20"/>
              </w:rPr>
            </w:pPr>
            <w:r w:rsidRPr="001D0846">
              <w:rPr>
                <w:rFonts w:ascii="Times New Roman" w:hAnsi="Times New Roman" w:cs="Times New Roman"/>
                <w:b/>
                <w:i/>
                <w:sz w:val="20"/>
                <w:szCs w:val="20"/>
              </w:rPr>
              <w:t>O4</w:t>
            </w:r>
          </w:p>
        </w:tc>
        <w:tc>
          <w:tcPr>
            <w:tcW w:w="4111"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rPr>
                <w:rFonts w:ascii="Times New Roman" w:hAnsi="Times New Roman" w:cs="Times New Roman"/>
                <w:sz w:val="20"/>
                <w:szCs w:val="20"/>
              </w:rPr>
            </w:pPr>
            <w:r w:rsidRPr="001D0846">
              <w:rPr>
                <w:rFonts w:ascii="Times New Roman" w:hAnsi="Times New Roman" w:cs="Times New Roman"/>
                <w:sz w:val="20"/>
                <w:szCs w:val="20"/>
              </w:rPr>
              <w:t>Numărul cazuri</w:t>
            </w:r>
            <w:r>
              <w:rPr>
                <w:rFonts w:ascii="Times New Roman" w:hAnsi="Times New Roman" w:cs="Times New Roman"/>
                <w:sz w:val="20"/>
                <w:szCs w:val="20"/>
              </w:rPr>
              <w:t>lor</w:t>
            </w:r>
            <w:r w:rsidRPr="001D0846">
              <w:rPr>
                <w:rFonts w:ascii="Times New Roman" w:hAnsi="Times New Roman" w:cs="Times New Roman"/>
                <w:sz w:val="20"/>
                <w:szCs w:val="20"/>
              </w:rPr>
              <w:t xml:space="preserve"> de reținere a mărfurilor suspecte a fi contrafăcute</w:t>
            </w:r>
          </w:p>
        </w:tc>
        <w:tc>
          <w:tcPr>
            <w:tcW w:w="4394"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rPr>
                <w:rFonts w:ascii="Times New Roman" w:hAnsi="Times New Roman" w:cs="Times New Roman"/>
                <w:sz w:val="20"/>
                <w:szCs w:val="20"/>
              </w:rPr>
            </w:pPr>
            <w:r w:rsidRPr="001D0846">
              <w:rPr>
                <w:rFonts w:ascii="Times New Roman" w:hAnsi="Times New Roman" w:cs="Times New Roman"/>
                <w:sz w:val="20"/>
                <w:szCs w:val="20"/>
              </w:rPr>
              <w:t>Numărul cazuri</w:t>
            </w:r>
            <w:r>
              <w:rPr>
                <w:rFonts w:ascii="Times New Roman" w:hAnsi="Times New Roman" w:cs="Times New Roman"/>
                <w:sz w:val="20"/>
                <w:szCs w:val="20"/>
              </w:rPr>
              <w:t>lor</w:t>
            </w:r>
            <w:r w:rsidRPr="001D0846">
              <w:rPr>
                <w:rFonts w:ascii="Times New Roman" w:hAnsi="Times New Roman" w:cs="Times New Roman"/>
                <w:sz w:val="20"/>
                <w:szCs w:val="20"/>
              </w:rPr>
              <w:t xml:space="preserve"> de reținere a mărfurilor suspecte a fi contrafăcute</w:t>
            </w:r>
          </w:p>
        </w:tc>
        <w:tc>
          <w:tcPr>
            <w:tcW w:w="972"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sz w:val="20"/>
                <w:szCs w:val="20"/>
              </w:rPr>
            </w:pPr>
            <w:r w:rsidRPr="001D0846">
              <w:rPr>
                <w:rFonts w:ascii="Times New Roman" w:hAnsi="Times New Roman" w:cs="Times New Roman"/>
                <w:sz w:val="20"/>
                <w:szCs w:val="20"/>
              </w:rPr>
              <w:t>unități</w:t>
            </w:r>
          </w:p>
        </w:tc>
        <w:tc>
          <w:tcPr>
            <w:tcW w:w="90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i/>
                <w:sz w:val="20"/>
                <w:szCs w:val="20"/>
              </w:rPr>
            </w:pPr>
            <w:r w:rsidRPr="001D0846">
              <w:rPr>
                <w:rFonts w:ascii="Times New Roman" w:hAnsi="Times New Roman" w:cs="Times New Roman"/>
                <w:i/>
                <w:sz w:val="20"/>
                <w:szCs w:val="20"/>
              </w:rPr>
              <w:t>50</w:t>
            </w:r>
          </w:p>
        </w:tc>
        <w:tc>
          <w:tcPr>
            <w:tcW w:w="99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i/>
                <w:sz w:val="20"/>
                <w:szCs w:val="20"/>
              </w:rPr>
            </w:pPr>
            <w:r w:rsidRPr="001D0846">
              <w:rPr>
                <w:rFonts w:ascii="Times New Roman" w:hAnsi="Times New Roman" w:cs="Times New Roman"/>
                <w:i/>
                <w:sz w:val="20"/>
                <w:szCs w:val="20"/>
              </w:rPr>
              <w:t>41</w:t>
            </w:r>
          </w:p>
        </w:tc>
        <w:tc>
          <w:tcPr>
            <w:tcW w:w="90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i/>
                <w:sz w:val="20"/>
                <w:szCs w:val="20"/>
              </w:rPr>
            </w:pPr>
            <w:r w:rsidRPr="001D0846">
              <w:rPr>
                <w:rFonts w:ascii="Times New Roman" w:hAnsi="Times New Roman" w:cs="Times New Roman"/>
                <w:i/>
                <w:sz w:val="20"/>
                <w:szCs w:val="20"/>
              </w:rPr>
              <w:t>-9</w:t>
            </w:r>
          </w:p>
        </w:tc>
        <w:tc>
          <w:tcPr>
            <w:tcW w:w="916"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v</w:t>
            </w:r>
          </w:p>
        </w:tc>
      </w:tr>
      <w:tr w:rsidR="00714F5D" w:rsidRPr="001D0846" w:rsidTr="008C5C6A">
        <w:tc>
          <w:tcPr>
            <w:tcW w:w="562"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rPr>
                <w:rFonts w:ascii="Times New Roman" w:hAnsi="Times New Roman" w:cs="Times New Roman"/>
                <w:b/>
                <w:i/>
                <w:sz w:val="20"/>
                <w:szCs w:val="20"/>
              </w:rPr>
            </w:pPr>
            <w:r w:rsidRPr="001D0846">
              <w:rPr>
                <w:rFonts w:ascii="Times New Roman" w:hAnsi="Times New Roman" w:cs="Times New Roman"/>
                <w:b/>
                <w:i/>
                <w:sz w:val="20"/>
                <w:szCs w:val="20"/>
              </w:rPr>
              <w:t>O5</w:t>
            </w:r>
          </w:p>
        </w:tc>
        <w:tc>
          <w:tcPr>
            <w:tcW w:w="4111"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rPr>
                <w:rFonts w:ascii="Times New Roman" w:hAnsi="Times New Roman" w:cs="Times New Roman"/>
                <w:sz w:val="20"/>
                <w:szCs w:val="20"/>
              </w:rPr>
            </w:pPr>
            <w:r w:rsidRPr="001D0846">
              <w:rPr>
                <w:rFonts w:ascii="Times New Roman" w:hAnsi="Times New Roman" w:cs="Times New Roman"/>
                <w:sz w:val="20"/>
                <w:szCs w:val="20"/>
              </w:rPr>
              <w:t>Numărul de colaboratori vamali participanți la activități</w:t>
            </w:r>
            <w:r>
              <w:rPr>
                <w:rFonts w:ascii="Times New Roman" w:hAnsi="Times New Roman" w:cs="Times New Roman"/>
                <w:sz w:val="20"/>
                <w:szCs w:val="20"/>
              </w:rPr>
              <w:t>le</w:t>
            </w:r>
            <w:r w:rsidRPr="001D0846">
              <w:rPr>
                <w:rFonts w:ascii="Times New Roman" w:hAnsi="Times New Roman" w:cs="Times New Roman"/>
                <w:sz w:val="20"/>
                <w:szCs w:val="20"/>
              </w:rPr>
              <w:t xml:space="preserve"> de instruire în cadrul Centrului de </w:t>
            </w:r>
            <w:r w:rsidRPr="001D0846">
              <w:rPr>
                <w:rFonts w:ascii="Times New Roman" w:hAnsi="Times New Roman" w:cs="Times New Roman"/>
                <w:sz w:val="20"/>
                <w:szCs w:val="20"/>
              </w:rPr>
              <w:lastRenderedPageBreak/>
              <w:t>instruire</w:t>
            </w:r>
          </w:p>
        </w:tc>
        <w:tc>
          <w:tcPr>
            <w:tcW w:w="4394"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rPr>
                <w:rFonts w:ascii="Times New Roman" w:hAnsi="Times New Roman" w:cs="Times New Roman"/>
                <w:sz w:val="20"/>
                <w:szCs w:val="20"/>
              </w:rPr>
            </w:pPr>
            <w:r w:rsidRPr="001D0846">
              <w:rPr>
                <w:rFonts w:ascii="Times New Roman" w:hAnsi="Times New Roman" w:cs="Times New Roman"/>
                <w:sz w:val="20"/>
                <w:szCs w:val="20"/>
              </w:rPr>
              <w:lastRenderedPageBreak/>
              <w:t>Numărul de colaboratori vamali participanți la activități</w:t>
            </w:r>
            <w:r>
              <w:rPr>
                <w:rFonts w:ascii="Times New Roman" w:hAnsi="Times New Roman" w:cs="Times New Roman"/>
                <w:sz w:val="20"/>
                <w:szCs w:val="20"/>
              </w:rPr>
              <w:t>le</w:t>
            </w:r>
            <w:r w:rsidRPr="001D0846">
              <w:rPr>
                <w:rFonts w:ascii="Times New Roman" w:hAnsi="Times New Roman" w:cs="Times New Roman"/>
                <w:sz w:val="20"/>
                <w:szCs w:val="20"/>
              </w:rPr>
              <w:t xml:space="preserve"> de instruire în cadrul Centrului de </w:t>
            </w:r>
            <w:r w:rsidRPr="001D0846">
              <w:rPr>
                <w:rFonts w:ascii="Times New Roman" w:hAnsi="Times New Roman" w:cs="Times New Roman"/>
                <w:sz w:val="20"/>
                <w:szCs w:val="20"/>
              </w:rPr>
              <w:lastRenderedPageBreak/>
              <w:t>instruire</w:t>
            </w:r>
          </w:p>
        </w:tc>
        <w:tc>
          <w:tcPr>
            <w:tcW w:w="972"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sz w:val="20"/>
                <w:szCs w:val="20"/>
              </w:rPr>
            </w:pPr>
            <w:r w:rsidRPr="001D0846">
              <w:rPr>
                <w:rFonts w:ascii="Times New Roman" w:hAnsi="Times New Roman" w:cs="Times New Roman"/>
                <w:sz w:val="20"/>
                <w:szCs w:val="20"/>
              </w:rPr>
              <w:lastRenderedPageBreak/>
              <w:t>unități</w:t>
            </w:r>
          </w:p>
        </w:tc>
        <w:tc>
          <w:tcPr>
            <w:tcW w:w="90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i/>
                <w:sz w:val="20"/>
                <w:szCs w:val="20"/>
              </w:rPr>
            </w:pPr>
            <w:r w:rsidRPr="001D0846">
              <w:rPr>
                <w:rFonts w:ascii="Times New Roman" w:hAnsi="Times New Roman" w:cs="Times New Roman"/>
                <w:i/>
                <w:sz w:val="20"/>
                <w:szCs w:val="20"/>
              </w:rPr>
              <w:t>1250</w:t>
            </w:r>
          </w:p>
        </w:tc>
        <w:tc>
          <w:tcPr>
            <w:tcW w:w="99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i/>
                <w:sz w:val="20"/>
                <w:szCs w:val="20"/>
              </w:rPr>
            </w:pPr>
            <w:r w:rsidRPr="001D0846">
              <w:rPr>
                <w:rFonts w:ascii="Times New Roman" w:hAnsi="Times New Roman" w:cs="Times New Roman"/>
                <w:i/>
                <w:sz w:val="20"/>
                <w:szCs w:val="20"/>
              </w:rPr>
              <w:t>3235</w:t>
            </w:r>
          </w:p>
        </w:tc>
        <w:tc>
          <w:tcPr>
            <w:tcW w:w="90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i/>
                <w:sz w:val="20"/>
                <w:szCs w:val="20"/>
              </w:rPr>
            </w:pPr>
            <w:r w:rsidRPr="001D0846">
              <w:rPr>
                <w:rFonts w:ascii="Times New Roman" w:hAnsi="Times New Roman" w:cs="Times New Roman"/>
                <w:i/>
                <w:sz w:val="20"/>
                <w:szCs w:val="20"/>
              </w:rPr>
              <w:t>1985</w:t>
            </w:r>
          </w:p>
        </w:tc>
        <w:tc>
          <w:tcPr>
            <w:tcW w:w="916" w:type="dxa"/>
            <w:tcBorders>
              <w:top w:val="single" w:sz="4" w:space="0" w:color="auto"/>
              <w:left w:val="single" w:sz="4" w:space="0" w:color="auto"/>
              <w:bottom w:val="single" w:sz="4" w:space="0" w:color="auto"/>
              <w:right w:val="single" w:sz="4" w:space="0" w:color="auto"/>
            </w:tcBorders>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b/>
                <w:i/>
                <w:sz w:val="20"/>
                <w:szCs w:val="20"/>
              </w:rPr>
            </w:pPr>
          </w:p>
        </w:tc>
      </w:tr>
      <w:tr w:rsidR="00714F5D" w:rsidRPr="001D0846" w:rsidTr="008C5C6A">
        <w:tc>
          <w:tcPr>
            <w:tcW w:w="56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14F5D" w:rsidRPr="001D0846" w:rsidRDefault="00714F5D" w:rsidP="008C5C6A">
            <w:pPr>
              <w:pStyle w:val="ListParagraph"/>
              <w:tabs>
                <w:tab w:val="left" w:pos="1134"/>
              </w:tabs>
              <w:spacing w:line="276" w:lineRule="auto"/>
              <w:ind w:left="0"/>
              <w:rPr>
                <w:rFonts w:ascii="Times New Roman" w:hAnsi="Times New Roman" w:cs="Times New Roman"/>
                <w:b/>
                <w:i/>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14F5D" w:rsidRPr="001D0846" w:rsidRDefault="00714F5D" w:rsidP="008C5C6A">
            <w:pPr>
              <w:pStyle w:val="ListParagraph"/>
              <w:tabs>
                <w:tab w:val="left" w:pos="1134"/>
              </w:tabs>
              <w:spacing w:line="276" w:lineRule="auto"/>
              <w:ind w:left="0"/>
              <w:rPr>
                <w:rFonts w:ascii="Times New Roman" w:hAnsi="Times New Roman" w:cs="Times New Roman"/>
                <w:b/>
                <w:i/>
                <w:sz w:val="20"/>
                <w:szCs w:val="20"/>
              </w:rPr>
            </w:pPr>
            <w:r w:rsidRPr="001D0846">
              <w:rPr>
                <w:rFonts w:ascii="Times New Roman" w:hAnsi="Times New Roman" w:cs="Times New Roman"/>
                <w:b/>
                <w:i/>
                <w:sz w:val="20"/>
                <w:szCs w:val="20"/>
              </w:rPr>
              <w:t>De eficiență</w:t>
            </w:r>
          </w:p>
        </w:tc>
        <w:tc>
          <w:tcPr>
            <w:tcW w:w="439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14F5D" w:rsidRPr="001D0846" w:rsidRDefault="00714F5D" w:rsidP="008C5C6A">
            <w:pPr>
              <w:pStyle w:val="ListParagraph"/>
              <w:tabs>
                <w:tab w:val="left" w:pos="1134"/>
              </w:tabs>
              <w:spacing w:line="276" w:lineRule="auto"/>
              <w:ind w:left="0"/>
              <w:rPr>
                <w:rFonts w:ascii="Times New Roman" w:hAnsi="Times New Roman" w:cs="Times New Roman"/>
                <w:b/>
                <w:i/>
                <w:sz w:val="20"/>
                <w:szCs w:val="20"/>
              </w:rPr>
            </w:pPr>
            <w:r w:rsidRPr="001D0846">
              <w:rPr>
                <w:rFonts w:ascii="Times New Roman" w:hAnsi="Times New Roman" w:cs="Times New Roman"/>
                <w:b/>
                <w:i/>
                <w:sz w:val="20"/>
                <w:szCs w:val="20"/>
              </w:rPr>
              <w:t>De eficiență</w:t>
            </w:r>
          </w:p>
        </w:tc>
        <w:tc>
          <w:tcPr>
            <w:tcW w:w="972" w:type="dxa"/>
            <w:tcBorders>
              <w:top w:val="single" w:sz="4" w:space="0" w:color="auto"/>
              <w:left w:val="single" w:sz="4" w:space="0" w:color="auto"/>
              <w:bottom w:val="single" w:sz="4" w:space="0" w:color="auto"/>
              <w:right w:val="single" w:sz="4" w:space="0" w:color="auto"/>
            </w:tcBorders>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b/>
                <w:i/>
                <w:sz w:val="20"/>
                <w:szCs w:val="20"/>
              </w:rPr>
            </w:pPr>
          </w:p>
        </w:tc>
        <w:tc>
          <w:tcPr>
            <w:tcW w:w="900" w:type="dxa"/>
            <w:tcBorders>
              <w:top w:val="single" w:sz="4" w:space="0" w:color="auto"/>
              <w:left w:val="single" w:sz="4" w:space="0" w:color="auto"/>
              <w:bottom w:val="single" w:sz="4" w:space="0" w:color="auto"/>
              <w:right w:val="single" w:sz="4" w:space="0" w:color="auto"/>
            </w:tcBorders>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b/>
                <w:i/>
                <w:sz w:val="20"/>
                <w:szCs w:val="20"/>
              </w:rPr>
            </w:pPr>
          </w:p>
        </w:tc>
        <w:tc>
          <w:tcPr>
            <w:tcW w:w="990" w:type="dxa"/>
            <w:tcBorders>
              <w:top w:val="single" w:sz="4" w:space="0" w:color="auto"/>
              <w:left w:val="single" w:sz="4" w:space="0" w:color="auto"/>
              <w:bottom w:val="single" w:sz="4" w:space="0" w:color="auto"/>
              <w:right w:val="single" w:sz="4" w:space="0" w:color="auto"/>
            </w:tcBorders>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b/>
                <w:i/>
                <w:sz w:val="20"/>
                <w:szCs w:val="20"/>
              </w:rPr>
            </w:pPr>
          </w:p>
        </w:tc>
        <w:tc>
          <w:tcPr>
            <w:tcW w:w="900" w:type="dxa"/>
            <w:tcBorders>
              <w:top w:val="single" w:sz="4" w:space="0" w:color="auto"/>
              <w:left w:val="single" w:sz="4" w:space="0" w:color="auto"/>
              <w:bottom w:val="single" w:sz="4" w:space="0" w:color="auto"/>
              <w:right w:val="single" w:sz="4" w:space="0" w:color="auto"/>
            </w:tcBorders>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b/>
                <w:i/>
                <w:sz w:val="20"/>
                <w:szCs w:val="20"/>
              </w:rPr>
            </w:pPr>
          </w:p>
        </w:tc>
        <w:tc>
          <w:tcPr>
            <w:tcW w:w="916" w:type="dxa"/>
            <w:tcBorders>
              <w:top w:val="single" w:sz="4" w:space="0" w:color="auto"/>
              <w:left w:val="single" w:sz="4" w:space="0" w:color="auto"/>
              <w:bottom w:val="single" w:sz="4" w:space="0" w:color="auto"/>
              <w:right w:val="single" w:sz="4" w:space="0" w:color="auto"/>
            </w:tcBorders>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b/>
                <w:i/>
                <w:sz w:val="20"/>
                <w:szCs w:val="20"/>
              </w:rPr>
            </w:pPr>
          </w:p>
        </w:tc>
      </w:tr>
      <w:tr w:rsidR="00714F5D" w:rsidRPr="001D0846" w:rsidTr="008C5C6A">
        <w:tc>
          <w:tcPr>
            <w:tcW w:w="562"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rPr>
                <w:rFonts w:ascii="Times New Roman" w:hAnsi="Times New Roman" w:cs="Times New Roman"/>
                <w:b/>
                <w:i/>
                <w:sz w:val="20"/>
                <w:szCs w:val="20"/>
              </w:rPr>
            </w:pPr>
            <w:r w:rsidRPr="001D0846">
              <w:rPr>
                <w:rFonts w:ascii="Times New Roman" w:hAnsi="Times New Roman" w:cs="Times New Roman"/>
                <w:b/>
                <w:i/>
                <w:sz w:val="20"/>
                <w:szCs w:val="20"/>
              </w:rPr>
              <w:t>E3</w:t>
            </w:r>
          </w:p>
        </w:tc>
        <w:tc>
          <w:tcPr>
            <w:tcW w:w="4111"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rPr>
                <w:rFonts w:ascii="Times New Roman" w:hAnsi="Times New Roman" w:cs="Times New Roman"/>
                <w:sz w:val="20"/>
                <w:szCs w:val="20"/>
              </w:rPr>
            </w:pPr>
            <w:r w:rsidRPr="001D0846">
              <w:rPr>
                <w:rFonts w:ascii="Times New Roman" w:hAnsi="Times New Roman" w:cs="Times New Roman"/>
                <w:sz w:val="20"/>
                <w:szCs w:val="20"/>
              </w:rPr>
              <w:t>Durata medie a procedurii de vămuire la import</w:t>
            </w:r>
          </w:p>
        </w:tc>
        <w:tc>
          <w:tcPr>
            <w:tcW w:w="4394"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rPr>
                <w:rFonts w:ascii="Times New Roman" w:hAnsi="Times New Roman" w:cs="Times New Roman"/>
                <w:sz w:val="20"/>
                <w:szCs w:val="20"/>
              </w:rPr>
            </w:pPr>
            <w:r w:rsidRPr="001D0846">
              <w:rPr>
                <w:rFonts w:ascii="Times New Roman" w:hAnsi="Times New Roman" w:cs="Times New Roman"/>
                <w:sz w:val="20"/>
                <w:szCs w:val="20"/>
              </w:rPr>
              <w:t>Durata medie a procedurii de vămuire la import</w:t>
            </w:r>
          </w:p>
        </w:tc>
        <w:tc>
          <w:tcPr>
            <w:tcW w:w="972"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sz w:val="20"/>
                <w:szCs w:val="20"/>
              </w:rPr>
            </w:pPr>
            <w:r w:rsidRPr="001D0846">
              <w:rPr>
                <w:rFonts w:ascii="Times New Roman" w:hAnsi="Times New Roman" w:cs="Times New Roman"/>
                <w:sz w:val="20"/>
                <w:szCs w:val="20"/>
              </w:rPr>
              <w:t>min.</w:t>
            </w:r>
          </w:p>
        </w:tc>
        <w:tc>
          <w:tcPr>
            <w:tcW w:w="90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i/>
                <w:sz w:val="20"/>
                <w:szCs w:val="20"/>
              </w:rPr>
            </w:pPr>
            <w:r w:rsidRPr="001D0846">
              <w:rPr>
                <w:rFonts w:ascii="Times New Roman" w:hAnsi="Times New Roman" w:cs="Times New Roman"/>
                <w:i/>
                <w:sz w:val="20"/>
                <w:szCs w:val="20"/>
              </w:rPr>
              <w:t>20</w:t>
            </w:r>
          </w:p>
        </w:tc>
        <w:tc>
          <w:tcPr>
            <w:tcW w:w="99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i/>
                <w:sz w:val="20"/>
                <w:szCs w:val="20"/>
              </w:rPr>
            </w:pPr>
            <w:r w:rsidRPr="001D0846">
              <w:rPr>
                <w:rFonts w:ascii="Times New Roman" w:hAnsi="Times New Roman" w:cs="Times New Roman"/>
                <w:i/>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i/>
                <w:sz w:val="20"/>
                <w:szCs w:val="20"/>
              </w:rPr>
            </w:pPr>
            <w:r w:rsidRPr="001D0846">
              <w:rPr>
                <w:rFonts w:ascii="Times New Roman" w:hAnsi="Times New Roman" w:cs="Times New Roman"/>
                <w:i/>
                <w:sz w:val="20"/>
                <w:szCs w:val="20"/>
              </w:rPr>
              <w:t>-15</w:t>
            </w:r>
          </w:p>
        </w:tc>
        <w:tc>
          <w:tcPr>
            <w:tcW w:w="916"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v</w:t>
            </w:r>
          </w:p>
        </w:tc>
      </w:tr>
      <w:tr w:rsidR="00714F5D" w:rsidRPr="001D0846" w:rsidTr="008C5C6A">
        <w:tc>
          <w:tcPr>
            <w:tcW w:w="562"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rPr>
                <w:rFonts w:ascii="Times New Roman" w:hAnsi="Times New Roman" w:cs="Times New Roman"/>
                <w:b/>
                <w:i/>
                <w:sz w:val="20"/>
                <w:szCs w:val="20"/>
              </w:rPr>
            </w:pPr>
            <w:r w:rsidRPr="001D0846">
              <w:rPr>
                <w:rFonts w:ascii="Times New Roman" w:hAnsi="Times New Roman" w:cs="Times New Roman"/>
                <w:b/>
                <w:i/>
                <w:sz w:val="20"/>
                <w:szCs w:val="20"/>
              </w:rPr>
              <w:t>E4</w:t>
            </w:r>
          </w:p>
        </w:tc>
        <w:tc>
          <w:tcPr>
            <w:tcW w:w="4111"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rPr>
                <w:rFonts w:ascii="Times New Roman" w:hAnsi="Times New Roman" w:cs="Times New Roman"/>
                <w:sz w:val="20"/>
                <w:szCs w:val="20"/>
              </w:rPr>
            </w:pPr>
            <w:r w:rsidRPr="001D0846">
              <w:rPr>
                <w:rFonts w:ascii="Times New Roman" w:hAnsi="Times New Roman" w:cs="Times New Roman"/>
                <w:sz w:val="20"/>
                <w:szCs w:val="20"/>
              </w:rPr>
              <w:t>Durata medie a procedurii de vămuire la export</w:t>
            </w:r>
          </w:p>
        </w:tc>
        <w:tc>
          <w:tcPr>
            <w:tcW w:w="4394"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rPr>
                <w:rFonts w:ascii="Times New Roman" w:hAnsi="Times New Roman" w:cs="Times New Roman"/>
                <w:sz w:val="20"/>
                <w:szCs w:val="20"/>
              </w:rPr>
            </w:pPr>
            <w:r w:rsidRPr="001D0846">
              <w:rPr>
                <w:rFonts w:ascii="Times New Roman" w:hAnsi="Times New Roman" w:cs="Times New Roman"/>
                <w:sz w:val="20"/>
                <w:szCs w:val="20"/>
              </w:rPr>
              <w:t>Durata medie a procedurii de vămuire la export</w:t>
            </w:r>
          </w:p>
        </w:tc>
        <w:tc>
          <w:tcPr>
            <w:tcW w:w="972"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sz w:val="20"/>
                <w:szCs w:val="20"/>
              </w:rPr>
            </w:pPr>
            <w:r w:rsidRPr="001D0846">
              <w:rPr>
                <w:rFonts w:ascii="Times New Roman" w:hAnsi="Times New Roman" w:cs="Times New Roman"/>
                <w:sz w:val="20"/>
                <w:szCs w:val="20"/>
              </w:rPr>
              <w:t>min.</w:t>
            </w:r>
          </w:p>
        </w:tc>
        <w:tc>
          <w:tcPr>
            <w:tcW w:w="90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i/>
                <w:sz w:val="20"/>
                <w:szCs w:val="20"/>
              </w:rPr>
            </w:pPr>
            <w:r w:rsidRPr="001D0846">
              <w:rPr>
                <w:rFonts w:ascii="Times New Roman" w:hAnsi="Times New Roman" w:cs="Times New Roman"/>
                <w:i/>
                <w:sz w:val="20"/>
                <w:szCs w:val="20"/>
              </w:rPr>
              <w:t>15</w:t>
            </w:r>
          </w:p>
        </w:tc>
        <w:tc>
          <w:tcPr>
            <w:tcW w:w="99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i/>
                <w:sz w:val="20"/>
                <w:szCs w:val="20"/>
              </w:rPr>
            </w:pPr>
            <w:r w:rsidRPr="001D0846">
              <w:rPr>
                <w:rFonts w:ascii="Times New Roman" w:hAnsi="Times New Roman" w:cs="Times New Roman"/>
                <w:i/>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i/>
                <w:sz w:val="20"/>
                <w:szCs w:val="20"/>
              </w:rPr>
            </w:pPr>
            <w:r w:rsidRPr="001D0846">
              <w:rPr>
                <w:rFonts w:ascii="Times New Roman" w:hAnsi="Times New Roman" w:cs="Times New Roman"/>
                <w:i/>
                <w:sz w:val="20"/>
                <w:szCs w:val="20"/>
              </w:rPr>
              <w:t>-15</w:t>
            </w:r>
          </w:p>
        </w:tc>
        <w:tc>
          <w:tcPr>
            <w:tcW w:w="916"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ListParagraph"/>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v</w:t>
            </w:r>
          </w:p>
        </w:tc>
      </w:tr>
    </w:tbl>
    <w:p w:rsidR="00714F5D" w:rsidRDefault="00714F5D" w:rsidP="00714F5D">
      <w:pPr>
        <w:spacing w:after="0" w:line="276" w:lineRule="auto"/>
        <w:rPr>
          <w:rFonts w:ascii="Times New Roman" w:hAnsi="Times New Roman" w:cs="Times New Roman"/>
          <w:i/>
          <w:sz w:val="20"/>
          <w:szCs w:val="20"/>
        </w:rPr>
      </w:pPr>
      <w:r w:rsidRPr="001D0846">
        <w:rPr>
          <w:rFonts w:ascii="Times New Roman" w:hAnsi="Times New Roman" w:cs="Times New Roman"/>
          <w:b/>
          <w:i/>
          <w:sz w:val="20"/>
          <w:szCs w:val="20"/>
        </w:rPr>
        <w:t>Sursă:</w:t>
      </w:r>
      <w:r w:rsidRPr="001D0846">
        <w:rPr>
          <w:rFonts w:ascii="Times New Roman" w:hAnsi="Times New Roman" w:cs="Times New Roman"/>
          <w:i/>
          <w:sz w:val="20"/>
          <w:szCs w:val="20"/>
        </w:rPr>
        <w:t xml:space="preserve"> Raportul de performanță la situația din 01.01.2018 (Forma FD053).</w:t>
      </w:r>
    </w:p>
    <w:p w:rsidR="00714F5D" w:rsidRDefault="00714F5D" w:rsidP="00714F5D">
      <w:pPr>
        <w:spacing w:after="0" w:line="276" w:lineRule="auto"/>
        <w:rPr>
          <w:rFonts w:ascii="Times New Roman" w:hAnsi="Times New Roman" w:cs="Times New Roman"/>
          <w:i/>
          <w:sz w:val="20"/>
          <w:szCs w:val="20"/>
        </w:rPr>
      </w:pPr>
    </w:p>
    <w:p w:rsidR="00714F5D" w:rsidRDefault="00714F5D" w:rsidP="00714F5D">
      <w:pPr>
        <w:spacing w:line="276" w:lineRule="auto"/>
        <w:jc w:val="right"/>
        <w:rPr>
          <w:rFonts w:ascii="Times New Roman" w:hAnsi="Times New Roman" w:cs="Times New Roman"/>
          <w:b/>
          <w:bCs/>
          <w:i/>
          <w:iCs/>
          <w:sz w:val="28"/>
          <w:szCs w:val="28"/>
          <w:lang w:eastAsia="ru-RU"/>
        </w:rPr>
      </w:pPr>
      <w:r>
        <w:rPr>
          <w:rFonts w:ascii="Times New Roman" w:hAnsi="Times New Roman" w:cs="Times New Roman"/>
          <w:b/>
          <w:bCs/>
          <w:i/>
          <w:iCs/>
          <w:sz w:val="28"/>
          <w:szCs w:val="28"/>
          <w:lang w:eastAsia="ru-RU"/>
        </w:rPr>
        <w:t>Tabelul nr.4</w:t>
      </w:r>
    </w:p>
    <w:p w:rsidR="00714F5D" w:rsidRDefault="00714F5D" w:rsidP="00714F5D">
      <w:pPr>
        <w:spacing w:line="276" w:lineRule="auto"/>
        <w:jc w:val="center"/>
        <w:rPr>
          <w:rFonts w:ascii="Times New Roman" w:hAnsi="Times New Roman" w:cs="Times New Roman"/>
          <w:i/>
          <w:iCs/>
          <w:sz w:val="28"/>
          <w:szCs w:val="28"/>
        </w:rPr>
      </w:pPr>
      <w:r>
        <w:rPr>
          <w:rFonts w:ascii="Times New Roman" w:hAnsi="Times New Roman" w:cs="Times New Roman"/>
          <w:i/>
          <w:iCs/>
          <w:sz w:val="28"/>
          <w:szCs w:val="28"/>
        </w:rPr>
        <w:t>Informația privind venituril</w:t>
      </w:r>
      <w:r w:rsidR="00703842">
        <w:rPr>
          <w:rFonts w:ascii="Times New Roman" w:hAnsi="Times New Roman" w:cs="Times New Roman"/>
          <w:i/>
          <w:iCs/>
          <w:sz w:val="28"/>
          <w:szCs w:val="28"/>
        </w:rPr>
        <w:t>e</w:t>
      </w:r>
      <w:r>
        <w:rPr>
          <w:rFonts w:ascii="Times New Roman" w:hAnsi="Times New Roman" w:cs="Times New Roman"/>
          <w:i/>
          <w:iCs/>
          <w:sz w:val="28"/>
          <w:szCs w:val="28"/>
        </w:rPr>
        <w:t xml:space="preserve"> BPN pentru anii 2015-2017</w:t>
      </w:r>
      <w:r w:rsidR="00703842">
        <w:rPr>
          <w:rFonts w:ascii="Times New Roman" w:hAnsi="Times New Roman" w:cs="Times New Roman"/>
          <w:i/>
          <w:iCs/>
          <w:sz w:val="28"/>
          <w:szCs w:val="28"/>
        </w:rPr>
        <w:t xml:space="preserve"> administrate de SFS</w:t>
      </w:r>
    </w:p>
    <w:p w:rsidR="00714F5D" w:rsidRPr="00EC4D50" w:rsidRDefault="00714F5D" w:rsidP="00714F5D">
      <w:pPr>
        <w:spacing w:line="276" w:lineRule="auto"/>
        <w:jc w:val="right"/>
        <w:rPr>
          <w:rFonts w:ascii="Times New Roman" w:hAnsi="Times New Roman" w:cs="Times New Roman"/>
          <w:bCs/>
          <w:i/>
          <w:iCs/>
          <w:sz w:val="28"/>
          <w:szCs w:val="28"/>
        </w:rPr>
      </w:pPr>
      <w:r w:rsidRPr="00EC4D50">
        <w:rPr>
          <w:rFonts w:ascii="Times New Roman" w:hAnsi="Times New Roman" w:cs="Times New Roman"/>
          <w:bCs/>
          <w:i/>
          <w:iCs/>
          <w:sz w:val="28"/>
          <w:szCs w:val="28"/>
        </w:rPr>
        <w:t>(mlrd.lei)</w:t>
      </w:r>
    </w:p>
    <w:tbl>
      <w:tblPr>
        <w:tblW w:w="13278" w:type="dxa"/>
        <w:tblCellMar>
          <w:left w:w="0" w:type="dxa"/>
          <w:right w:w="0" w:type="dxa"/>
        </w:tblCellMar>
        <w:tblLook w:val="04A0"/>
      </w:tblPr>
      <w:tblGrid>
        <w:gridCol w:w="1650"/>
        <w:gridCol w:w="1119"/>
        <w:gridCol w:w="1130"/>
        <w:gridCol w:w="1176"/>
        <w:gridCol w:w="1251"/>
        <w:gridCol w:w="1192"/>
        <w:gridCol w:w="1204"/>
        <w:gridCol w:w="1290"/>
        <w:gridCol w:w="1633"/>
        <w:gridCol w:w="1633"/>
      </w:tblGrid>
      <w:tr w:rsidR="00714F5D" w:rsidTr="008C5C6A">
        <w:trPr>
          <w:trHeight w:val="792"/>
        </w:trPr>
        <w:tc>
          <w:tcPr>
            <w:tcW w:w="1650" w:type="dxa"/>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714F5D" w:rsidRDefault="00714F5D" w:rsidP="008C5C6A">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Denumirea</w:t>
            </w:r>
          </w:p>
        </w:tc>
        <w:tc>
          <w:tcPr>
            <w:tcW w:w="1119"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rsidR="00714F5D" w:rsidRDefault="00714F5D" w:rsidP="008C5C6A">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Estimări</w:t>
            </w:r>
          </w:p>
        </w:tc>
        <w:tc>
          <w:tcPr>
            <w:tcW w:w="3557"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14F5D" w:rsidRDefault="00714F5D" w:rsidP="008C5C6A">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Venituri </w:t>
            </w:r>
          </w:p>
        </w:tc>
        <w:tc>
          <w:tcPr>
            <w:tcW w:w="1192"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rsidR="00714F5D" w:rsidRDefault="00714F5D" w:rsidP="008C5C6A">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Venituri executate </w:t>
            </w:r>
          </w:p>
        </w:tc>
        <w:tc>
          <w:tcPr>
            <w:tcW w:w="249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14F5D" w:rsidRDefault="00714F5D" w:rsidP="008C5C6A">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Nivelul executării  planului de încasări (%)</w:t>
            </w:r>
          </w:p>
        </w:tc>
        <w:tc>
          <w:tcPr>
            <w:tcW w:w="326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14F5D" w:rsidRDefault="00714F5D" w:rsidP="008C5C6A">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Devieri (+/-), executat</w:t>
            </w:r>
          </w:p>
        </w:tc>
      </w:tr>
      <w:tr w:rsidR="00714F5D" w:rsidTr="008C5C6A">
        <w:trPr>
          <w:trHeight w:val="588"/>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714F5D" w:rsidRDefault="00714F5D" w:rsidP="008C5C6A">
            <w:pPr>
              <w:rPr>
                <w:rFonts w:ascii="Times New Roman" w:hAnsi="Times New Roman" w:cs="Times New Roman"/>
                <w:b/>
                <w:bCs/>
                <w:color w:val="000000"/>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rsidR="00714F5D" w:rsidRDefault="00714F5D" w:rsidP="008C5C6A">
            <w:pPr>
              <w:rPr>
                <w:rFonts w:ascii="Times New Roman" w:hAnsi="Times New Roman" w:cs="Times New Roman"/>
                <w:b/>
                <w:bCs/>
                <w:color w:val="000000"/>
                <w:sz w:val="20"/>
                <w:szCs w:val="20"/>
              </w:rPr>
            </w:pPr>
          </w:p>
        </w:tc>
        <w:tc>
          <w:tcPr>
            <w:tcW w:w="1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4F5D" w:rsidRDefault="00714F5D" w:rsidP="008C5C6A">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aprobate</w:t>
            </w:r>
          </w:p>
        </w:tc>
        <w:tc>
          <w:tcPr>
            <w:tcW w:w="1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4F5D" w:rsidRDefault="00714F5D" w:rsidP="008C5C6A">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precizate</w:t>
            </w:r>
          </w:p>
        </w:tc>
        <w:tc>
          <w:tcPr>
            <w:tcW w:w="1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4F5D" w:rsidRDefault="00714F5D" w:rsidP="008C5C6A">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gradul de precizare (%)</w:t>
            </w:r>
          </w:p>
        </w:tc>
        <w:tc>
          <w:tcPr>
            <w:tcW w:w="0" w:type="auto"/>
            <w:vMerge/>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rsidR="00714F5D" w:rsidRDefault="00714F5D" w:rsidP="008C5C6A">
            <w:pPr>
              <w:rPr>
                <w:rFonts w:ascii="Times New Roman" w:hAnsi="Times New Roman" w:cs="Times New Roman"/>
                <w:b/>
                <w:bCs/>
                <w:color w:val="000000"/>
                <w:sz w:val="20"/>
                <w:szCs w:val="20"/>
              </w:rPr>
            </w:pP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4F5D" w:rsidRDefault="00714F5D" w:rsidP="008C5C6A">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aprobat</w:t>
            </w:r>
          </w:p>
        </w:tc>
        <w:tc>
          <w:tcPr>
            <w:tcW w:w="12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4F5D" w:rsidRDefault="00714F5D" w:rsidP="008C5C6A">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precizat</w:t>
            </w:r>
          </w:p>
        </w:tc>
        <w:tc>
          <w:tcPr>
            <w:tcW w:w="16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4F5D" w:rsidRDefault="00714F5D" w:rsidP="008C5C6A">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față de aprobat</w:t>
            </w:r>
          </w:p>
        </w:tc>
        <w:tc>
          <w:tcPr>
            <w:tcW w:w="16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4F5D" w:rsidRDefault="00714F5D" w:rsidP="008C5C6A">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față de precizat</w:t>
            </w:r>
          </w:p>
        </w:tc>
      </w:tr>
      <w:tr w:rsidR="00714F5D" w:rsidTr="008C5C6A">
        <w:trPr>
          <w:trHeight w:val="228"/>
        </w:trPr>
        <w:tc>
          <w:tcPr>
            <w:tcW w:w="16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F5D" w:rsidRDefault="00714F5D" w:rsidP="008C5C6A">
            <w:pPr>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1</w:t>
            </w:r>
          </w:p>
        </w:tc>
        <w:tc>
          <w:tcPr>
            <w:tcW w:w="1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4F5D" w:rsidRDefault="00714F5D" w:rsidP="008C5C6A">
            <w:pPr>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2</w:t>
            </w:r>
          </w:p>
        </w:tc>
        <w:tc>
          <w:tcPr>
            <w:tcW w:w="1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4F5D" w:rsidRDefault="00714F5D" w:rsidP="008C5C6A">
            <w:pPr>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3</w:t>
            </w:r>
          </w:p>
        </w:tc>
        <w:tc>
          <w:tcPr>
            <w:tcW w:w="1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4F5D" w:rsidRDefault="00714F5D" w:rsidP="008C5C6A">
            <w:pPr>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4</w:t>
            </w:r>
          </w:p>
        </w:tc>
        <w:tc>
          <w:tcPr>
            <w:tcW w:w="1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4F5D" w:rsidRDefault="00714F5D" w:rsidP="008C5C6A">
            <w:pPr>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5=4/3*100-100</w:t>
            </w:r>
          </w:p>
        </w:tc>
        <w:tc>
          <w:tcPr>
            <w:tcW w:w="11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4F5D" w:rsidRDefault="00714F5D" w:rsidP="008C5C6A">
            <w:pPr>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6</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4F5D" w:rsidRDefault="00714F5D" w:rsidP="008C5C6A">
            <w:pPr>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7=6/3*100</w:t>
            </w:r>
          </w:p>
        </w:tc>
        <w:tc>
          <w:tcPr>
            <w:tcW w:w="12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4F5D" w:rsidRDefault="00714F5D" w:rsidP="008C5C6A">
            <w:pPr>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8=6/4*100</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rsidR="00714F5D" w:rsidRDefault="00714F5D" w:rsidP="008C5C6A">
            <w:pPr>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9=6-3</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rsidR="00714F5D" w:rsidRDefault="00714F5D" w:rsidP="008C5C6A">
            <w:pPr>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10=6-4</w:t>
            </w:r>
          </w:p>
        </w:tc>
      </w:tr>
      <w:tr w:rsidR="00714F5D" w:rsidTr="008C5C6A">
        <w:trPr>
          <w:trHeight w:val="288"/>
        </w:trPr>
        <w:tc>
          <w:tcPr>
            <w:tcW w:w="13278" w:type="dxa"/>
            <w:gridSpan w:val="10"/>
            <w:tcBorders>
              <w:top w:val="nil"/>
              <w:left w:val="single" w:sz="8" w:space="0" w:color="auto"/>
              <w:bottom w:val="single" w:sz="8" w:space="0" w:color="auto"/>
              <w:right w:val="single" w:sz="8" w:space="0" w:color="auto"/>
            </w:tcBorders>
            <w:shd w:val="clear" w:color="auto" w:fill="DDEBF7"/>
            <w:tcMar>
              <w:top w:w="0" w:type="dxa"/>
              <w:left w:w="108" w:type="dxa"/>
              <w:bottom w:w="0" w:type="dxa"/>
              <w:right w:w="108" w:type="dxa"/>
            </w:tcMar>
            <w:hideMark/>
          </w:tcPr>
          <w:p w:rsidR="00714F5D" w:rsidRDefault="00714F5D" w:rsidP="008C5C6A">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Anul 2015 </w:t>
            </w:r>
          </w:p>
        </w:tc>
      </w:tr>
      <w:tr w:rsidR="00714F5D" w:rsidTr="008C5C6A">
        <w:trPr>
          <w:trHeight w:val="288"/>
        </w:trPr>
        <w:tc>
          <w:tcPr>
            <w:tcW w:w="1650"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714F5D" w:rsidRDefault="00714F5D" w:rsidP="008C5C6A">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BPN, inclusiv:</w:t>
            </w:r>
          </w:p>
        </w:tc>
        <w:tc>
          <w:tcPr>
            <w:tcW w:w="111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714F5D" w:rsidRDefault="00714F5D" w:rsidP="008C5C6A">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x</w:t>
            </w:r>
          </w:p>
        </w:tc>
        <w:tc>
          <w:tcPr>
            <w:tcW w:w="113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714F5D" w:rsidRDefault="00714F5D" w:rsidP="008C5C6A">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20,30</w:t>
            </w:r>
          </w:p>
        </w:tc>
        <w:tc>
          <w:tcPr>
            <w:tcW w:w="117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714F5D" w:rsidRDefault="00714F5D" w:rsidP="008C5C6A">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24,86</w:t>
            </w:r>
          </w:p>
        </w:tc>
        <w:tc>
          <w:tcPr>
            <w:tcW w:w="125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714F5D" w:rsidRDefault="00714F5D" w:rsidP="008C5C6A">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22.46</w:t>
            </w:r>
          </w:p>
        </w:tc>
        <w:tc>
          <w:tcPr>
            <w:tcW w:w="1192"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714F5D" w:rsidRDefault="00714F5D" w:rsidP="008C5C6A">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25,12</w:t>
            </w:r>
          </w:p>
        </w:tc>
        <w:tc>
          <w:tcPr>
            <w:tcW w:w="120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714F5D" w:rsidRDefault="00714F5D" w:rsidP="008C5C6A">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123,74</w:t>
            </w:r>
          </w:p>
        </w:tc>
        <w:tc>
          <w:tcPr>
            <w:tcW w:w="129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714F5D" w:rsidRDefault="00714F5D" w:rsidP="008C5C6A">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101,05</w:t>
            </w:r>
          </w:p>
        </w:tc>
        <w:tc>
          <w:tcPr>
            <w:tcW w:w="163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714F5D" w:rsidRDefault="00714F5D" w:rsidP="008C5C6A">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4,82</w:t>
            </w:r>
          </w:p>
        </w:tc>
        <w:tc>
          <w:tcPr>
            <w:tcW w:w="163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714F5D" w:rsidRDefault="00714F5D" w:rsidP="008C5C6A">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0,26</w:t>
            </w:r>
          </w:p>
        </w:tc>
      </w:tr>
      <w:tr w:rsidR="00714F5D" w:rsidTr="008C5C6A">
        <w:trPr>
          <w:trHeight w:val="312"/>
        </w:trPr>
        <w:tc>
          <w:tcPr>
            <w:tcW w:w="16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F5D" w:rsidRDefault="00714F5D" w:rsidP="008C5C6A">
            <w:pPr>
              <w:rPr>
                <w:rFonts w:ascii="Times New Roman" w:hAnsi="Times New Roman" w:cs="Times New Roman"/>
                <w:b/>
                <w:bCs/>
                <w:color w:val="000000"/>
                <w:sz w:val="20"/>
                <w:szCs w:val="20"/>
              </w:rPr>
            </w:pPr>
            <w:r>
              <w:rPr>
                <w:rFonts w:ascii="Times New Roman" w:hAnsi="Times New Roman" w:cs="Times New Roman"/>
                <w:b/>
                <w:bCs/>
                <w:color w:val="000000"/>
                <w:sz w:val="20"/>
                <w:szCs w:val="20"/>
              </w:rPr>
              <w:t>BS/BUAT</w:t>
            </w:r>
          </w:p>
        </w:tc>
        <w:tc>
          <w:tcPr>
            <w:tcW w:w="11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11,8</w:t>
            </w:r>
          </w:p>
        </w:tc>
        <w:tc>
          <w:tcPr>
            <w:tcW w:w="11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color w:val="000000"/>
                <w:sz w:val="20"/>
                <w:szCs w:val="20"/>
              </w:rPr>
            </w:pPr>
            <w:r>
              <w:rPr>
                <w:rFonts w:ascii="Times New Roman" w:hAnsi="Times New Roman" w:cs="Times New Roman"/>
                <w:color w:val="000000"/>
                <w:sz w:val="20"/>
                <w:szCs w:val="20"/>
              </w:rPr>
              <w:t>9,87</w:t>
            </w:r>
          </w:p>
        </w:tc>
        <w:tc>
          <w:tcPr>
            <w:tcW w:w="11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color w:val="000000"/>
                <w:sz w:val="20"/>
                <w:szCs w:val="20"/>
              </w:rPr>
            </w:pPr>
            <w:r>
              <w:rPr>
                <w:rFonts w:ascii="Times New Roman" w:hAnsi="Times New Roman" w:cs="Times New Roman"/>
                <w:color w:val="000000"/>
                <w:sz w:val="20"/>
                <w:szCs w:val="20"/>
              </w:rPr>
              <w:t>13,32</w:t>
            </w:r>
          </w:p>
        </w:tc>
        <w:tc>
          <w:tcPr>
            <w:tcW w:w="12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color w:val="000000"/>
                <w:sz w:val="20"/>
                <w:szCs w:val="20"/>
              </w:rPr>
            </w:pPr>
            <w:r>
              <w:rPr>
                <w:rFonts w:ascii="Times New Roman" w:hAnsi="Times New Roman" w:cs="Times New Roman"/>
                <w:color w:val="000000"/>
                <w:sz w:val="20"/>
                <w:szCs w:val="20"/>
              </w:rPr>
              <w:t>34,95</w:t>
            </w:r>
          </w:p>
        </w:tc>
        <w:tc>
          <w:tcPr>
            <w:tcW w:w="11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color w:val="000000"/>
                <w:sz w:val="20"/>
                <w:szCs w:val="20"/>
              </w:rPr>
            </w:pPr>
            <w:r>
              <w:rPr>
                <w:rFonts w:ascii="Times New Roman" w:hAnsi="Times New Roman" w:cs="Times New Roman"/>
                <w:color w:val="000000"/>
                <w:sz w:val="20"/>
                <w:szCs w:val="20"/>
              </w:rPr>
              <w:t>13,45</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color w:val="000000"/>
                <w:sz w:val="20"/>
                <w:szCs w:val="20"/>
              </w:rPr>
            </w:pPr>
            <w:r>
              <w:rPr>
                <w:rFonts w:ascii="Times New Roman" w:hAnsi="Times New Roman" w:cs="Times New Roman"/>
                <w:color w:val="000000"/>
                <w:sz w:val="20"/>
                <w:szCs w:val="20"/>
              </w:rPr>
              <w:t>136,27</w:t>
            </w:r>
          </w:p>
        </w:tc>
        <w:tc>
          <w:tcPr>
            <w:tcW w:w="12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100,98</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rsidR="00714F5D" w:rsidRDefault="00714F5D" w:rsidP="008C5C6A">
            <w:pPr>
              <w:jc w:val="center"/>
              <w:rPr>
                <w:rFonts w:ascii="Times New Roman" w:hAnsi="Times New Roman" w:cs="Times New Roman"/>
                <w:color w:val="000000"/>
                <w:sz w:val="20"/>
                <w:szCs w:val="20"/>
              </w:rPr>
            </w:pPr>
            <w:r>
              <w:rPr>
                <w:rFonts w:ascii="Times New Roman" w:hAnsi="Times New Roman" w:cs="Times New Roman"/>
                <w:color w:val="000000"/>
                <w:sz w:val="20"/>
                <w:szCs w:val="20"/>
              </w:rPr>
              <w:t>3,58</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rsidR="00714F5D" w:rsidRDefault="00714F5D" w:rsidP="008C5C6A">
            <w:pPr>
              <w:jc w:val="center"/>
              <w:rPr>
                <w:rFonts w:ascii="Times New Roman" w:hAnsi="Times New Roman" w:cs="Times New Roman"/>
                <w:color w:val="000000"/>
                <w:sz w:val="20"/>
                <w:szCs w:val="20"/>
              </w:rPr>
            </w:pPr>
            <w:r>
              <w:rPr>
                <w:rFonts w:ascii="Times New Roman" w:hAnsi="Times New Roman" w:cs="Times New Roman"/>
                <w:color w:val="000000"/>
                <w:sz w:val="20"/>
                <w:szCs w:val="20"/>
              </w:rPr>
              <w:t>0,13</w:t>
            </w:r>
          </w:p>
        </w:tc>
      </w:tr>
      <w:tr w:rsidR="00714F5D" w:rsidTr="008C5C6A">
        <w:trPr>
          <w:trHeight w:val="312"/>
        </w:trPr>
        <w:tc>
          <w:tcPr>
            <w:tcW w:w="16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F5D" w:rsidRDefault="00714F5D" w:rsidP="008C5C6A">
            <w:pPr>
              <w:rPr>
                <w:rFonts w:ascii="Times New Roman" w:hAnsi="Times New Roman" w:cs="Times New Roman"/>
                <w:b/>
                <w:bCs/>
                <w:color w:val="000000"/>
                <w:sz w:val="20"/>
                <w:szCs w:val="20"/>
              </w:rPr>
            </w:pPr>
            <w:r>
              <w:rPr>
                <w:rFonts w:ascii="Times New Roman" w:hAnsi="Times New Roman" w:cs="Times New Roman"/>
                <w:b/>
                <w:bCs/>
                <w:color w:val="000000"/>
                <w:sz w:val="20"/>
                <w:szCs w:val="20"/>
              </w:rPr>
              <w:t>BASS</w:t>
            </w:r>
          </w:p>
        </w:tc>
        <w:tc>
          <w:tcPr>
            <w:tcW w:w="11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x</w:t>
            </w:r>
          </w:p>
        </w:tc>
        <w:tc>
          <w:tcPr>
            <w:tcW w:w="11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color w:val="000000"/>
                <w:sz w:val="20"/>
                <w:szCs w:val="20"/>
              </w:rPr>
            </w:pPr>
            <w:r>
              <w:rPr>
                <w:rFonts w:ascii="Times New Roman" w:hAnsi="Times New Roman" w:cs="Times New Roman"/>
                <w:color w:val="000000"/>
                <w:sz w:val="20"/>
                <w:szCs w:val="20"/>
              </w:rPr>
              <w:t>8,10</w:t>
            </w:r>
          </w:p>
        </w:tc>
        <w:tc>
          <w:tcPr>
            <w:tcW w:w="11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color w:val="000000"/>
                <w:sz w:val="20"/>
                <w:szCs w:val="20"/>
              </w:rPr>
            </w:pPr>
            <w:r>
              <w:rPr>
                <w:rFonts w:ascii="Times New Roman" w:hAnsi="Times New Roman" w:cs="Times New Roman"/>
                <w:color w:val="000000"/>
                <w:sz w:val="20"/>
                <w:szCs w:val="20"/>
              </w:rPr>
              <w:t>8,81</w:t>
            </w:r>
          </w:p>
        </w:tc>
        <w:tc>
          <w:tcPr>
            <w:tcW w:w="12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color w:val="000000"/>
                <w:sz w:val="20"/>
                <w:szCs w:val="20"/>
              </w:rPr>
            </w:pPr>
            <w:r>
              <w:rPr>
                <w:rFonts w:ascii="Times New Roman" w:hAnsi="Times New Roman" w:cs="Times New Roman"/>
                <w:color w:val="000000"/>
                <w:sz w:val="20"/>
                <w:szCs w:val="20"/>
              </w:rPr>
              <w:t>8.77</w:t>
            </w:r>
          </w:p>
        </w:tc>
        <w:tc>
          <w:tcPr>
            <w:tcW w:w="11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color w:val="000000"/>
                <w:sz w:val="20"/>
                <w:szCs w:val="20"/>
                <w:highlight w:val="yellow"/>
              </w:rPr>
            </w:pPr>
            <w:r>
              <w:rPr>
                <w:rFonts w:ascii="Times New Roman" w:hAnsi="Times New Roman" w:cs="Times New Roman"/>
                <w:color w:val="000000"/>
                <w:sz w:val="20"/>
                <w:szCs w:val="20"/>
              </w:rPr>
              <w:t>8,91</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color w:val="000000"/>
                <w:sz w:val="20"/>
                <w:szCs w:val="20"/>
                <w:highlight w:val="yellow"/>
              </w:rPr>
            </w:pPr>
            <w:r>
              <w:rPr>
                <w:rFonts w:ascii="Times New Roman" w:hAnsi="Times New Roman" w:cs="Times New Roman"/>
                <w:color w:val="000000"/>
                <w:sz w:val="20"/>
                <w:szCs w:val="20"/>
              </w:rPr>
              <w:t>110,00</w:t>
            </w:r>
          </w:p>
        </w:tc>
        <w:tc>
          <w:tcPr>
            <w:tcW w:w="12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color w:val="000000"/>
                <w:sz w:val="20"/>
                <w:szCs w:val="20"/>
                <w:highlight w:val="yellow"/>
              </w:rPr>
            </w:pPr>
            <w:r>
              <w:rPr>
                <w:rFonts w:ascii="Times New Roman" w:hAnsi="Times New Roman" w:cs="Times New Roman"/>
                <w:color w:val="000000"/>
                <w:sz w:val="20"/>
                <w:szCs w:val="20"/>
              </w:rPr>
              <w:t>101,14</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rsidR="00714F5D" w:rsidRDefault="00714F5D" w:rsidP="008C5C6A">
            <w:pPr>
              <w:jc w:val="center"/>
              <w:rPr>
                <w:rFonts w:ascii="Times New Roman" w:hAnsi="Times New Roman" w:cs="Times New Roman"/>
                <w:color w:val="000000"/>
                <w:sz w:val="20"/>
                <w:szCs w:val="20"/>
                <w:highlight w:val="yellow"/>
              </w:rPr>
            </w:pPr>
            <w:r>
              <w:rPr>
                <w:rFonts w:ascii="Times New Roman" w:hAnsi="Times New Roman" w:cs="Times New Roman"/>
                <w:color w:val="000000"/>
                <w:sz w:val="20"/>
                <w:szCs w:val="20"/>
              </w:rPr>
              <w:t>0,81</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rsidR="00714F5D" w:rsidRDefault="00714F5D" w:rsidP="008C5C6A">
            <w:pPr>
              <w:jc w:val="center"/>
              <w:rPr>
                <w:rFonts w:ascii="Times New Roman" w:hAnsi="Times New Roman" w:cs="Times New Roman"/>
                <w:color w:val="000000"/>
                <w:sz w:val="20"/>
                <w:szCs w:val="20"/>
                <w:highlight w:val="yellow"/>
              </w:rPr>
            </w:pPr>
            <w:r>
              <w:rPr>
                <w:rFonts w:ascii="Times New Roman" w:hAnsi="Times New Roman" w:cs="Times New Roman"/>
                <w:color w:val="000000"/>
                <w:sz w:val="20"/>
                <w:szCs w:val="20"/>
              </w:rPr>
              <w:t>0,10</w:t>
            </w:r>
          </w:p>
        </w:tc>
      </w:tr>
      <w:tr w:rsidR="00714F5D" w:rsidTr="008C5C6A">
        <w:trPr>
          <w:trHeight w:val="166"/>
        </w:trPr>
        <w:tc>
          <w:tcPr>
            <w:tcW w:w="16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F5D" w:rsidRDefault="00714F5D" w:rsidP="008C5C6A">
            <w:pPr>
              <w:rPr>
                <w:rFonts w:ascii="Times New Roman" w:hAnsi="Times New Roman" w:cs="Times New Roman"/>
                <w:b/>
                <w:bCs/>
                <w:color w:val="000000"/>
                <w:sz w:val="20"/>
                <w:szCs w:val="20"/>
              </w:rPr>
            </w:pPr>
            <w:r>
              <w:rPr>
                <w:rFonts w:ascii="Times New Roman" w:hAnsi="Times New Roman" w:cs="Times New Roman"/>
                <w:b/>
                <w:bCs/>
                <w:color w:val="000000"/>
                <w:sz w:val="20"/>
                <w:szCs w:val="20"/>
              </w:rPr>
              <w:t>FAOAM</w:t>
            </w:r>
          </w:p>
        </w:tc>
        <w:tc>
          <w:tcPr>
            <w:tcW w:w="11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x</w:t>
            </w:r>
          </w:p>
        </w:tc>
        <w:tc>
          <w:tcPr>
            <w:tcW w:w="11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14F5D" w:rsidRPr="00FE7E52" w:rsidRDefault="00714F5D" w:rsidP="008C5C6A">
            <w:pPr>
              <w:jc w:val="center"/>
              <w:rPr>
                <w:rFonts w:ascii="Times New Roman" w:hAnsi="Times New Roman" w:cs="Times New Roman"/>
                <w:color w:val="000000"/>
                <w:sz w:val="20"/>
                <w:szCs w:val="20"/>
              </w:rPr>
            </w:pPr>
            <w:r w:rsidRPr="00FE7E52">
              <w:rPr>
                <w:rFonts w:ascii="Times New Roman" w:hAnsi="Times New Roman" w:cs="Times New Roman"/>
                <w:color w:val="000000"/>
                <w:sz w:val="20"/>
                <w:szCs w:val="20"/>
              </w:rPr>
              <w:t>2,33</w:t>
            </w:r>
          </w:p>
        </w:tc>
        <w:tc>
          <w:tcPr>
            <w:tcW w:w="11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color w:val="000000"/>
                <w:sz w:val="20"/>
                <w:szCs w:val="20"/>
              </w:rPr>
            </w:pPr>
            <w:r>
              <w:rPr>
                <w:rFonts w:ascii="Times New Roman" w:hAnsi="Times New Roman" w:cs="Times New Roman"/>
                <w:color w:val="000000"/>
                <w:sz w:val="20"/>
                <w:szCs w:val="20"/>
              </w:rPr>
              <w:t>2,73</w:t>
            </w:r>
          </w:p>
        </w:tc>
        <w:tc>
          <w:tcPr>
            <w:tcW w:w="12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color w:val="000000"/>
                <w:sz w:val="20"/>
                <w:szCs w:val="20"/>
              </w:rPr>
            </w:pPr>
            <w:r>
              <w:rPr>
                <w:rFonts w:ascii="Times New Roman" w:hAnsi="Times New Roman" w:cs="Times New Roman"/>
                <w:color w:val="000000"/>
                <w:sz w:val="20"/>
                <w:szCs w:val="20"/>
              </w:rPr>
              <w:t>17,17</w:t>
            </w:r>
          </w:p>
        </w:tc>
        <w:tc>
          <w:tcPr>
            <w:tcW w:w="11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color w:val="000000"/>
                <w:sz w:val="20"/>
                <w:szCs w:val="20"/>
              </w:rPr>
            </w:pPr>
            <w:r>
              <w:rPr>
                <w:rFonts w:ascii="Times New Roman" w:hAnsi="Times New Roman" w:cs="Times New Roman"/>
                <w:color w:val="000000"/>
                <w:sz w:val="20"/>
                <w:szCs w:val="20"/>
              </w:rPr>
              <w:t>2,76</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color w:val="000000"/>
                <w:sz w:val="20"/>
                <w:szCs w:val="20"/>
              </w:rPr>
            </w:pPr>
            <w:r>
              <w:rPr>
                <w:rFonts w:ascii="Times New Roman" w:hAnsi="Times New Roman" w:cs="Times New Roman"/>
                <w:color w:val="000000"/>
                <w:sz w:val="20"/>
                <w:szCs w:val="20"/>
              </w:rPr>
              <w:t>118.45</w:t>
            </w:r>
          </w:p>
        </w:tc>
        <w:tc>
          <w:tcPr>
            <w:tcW w:w="12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color w:val="000000"/>
                <w:sz w:val="20"/>
                <w:szCs w:val="20"/>
              </w:rPr>
            </w:pPr>
            <w:r>
              <w:rPr>
                <w:rFonts w:ascii="Times New Roman" w:hAnsi="Times New Roman" w:cs="Times New Roman"/>
                <w:color w:val="000000"/>
                <w:sz w:val="20"/>
                <w:szCs w:val="20"/>
              </w:rPr>
              <w:t>101,10</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rsidR="00714F5D" w:rsidRDefault="00714F5D" w:rsidP="008C5C6A">
            <w:pPr>
              <w:jc w:val="center"/>
              <w:rPr>
                <w:rFonts w:ascii="Times New Roman" w:hAnsi="Times New Roman" w:cs="Times New Roman"/>
                <w:color w:val="000000"/>
                <w:sz w:val="20"/>
                <w:szCs w:val="20"/>
              </w:rPr>
            </w:pPr>
            <w:r>
              <w:rPr>
                <w:rFonts w:ascii="Times New Roman" w:hAnsi="Times New Roman" w:cs="Times New Roman"/>
                <w:color w:val="000000"/>
                <w:sz w:val="20"/>
                <w:szCs w:val="20"/>
              </w:rPr>
              <w:t>0,43</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rsidR="00714F5D" w:rsidRDefault="00714F5D" w:rsidP="008C5C6A">
            <w:pPr>
              <w:jc w:val="center"/>
              <w:rPr>
                <w:rFonts w:ascii="Times New Roman" w:hAnsi="Times New Roman" w:cs="Times New Roman"/>
                <w:color w:val="000000"/>
                <w:sz w:val="20"/>
                <w:szCs w:val="20"/>
              </w:rPr>
            </w:pPr>
            <w:r>
              <w:rPr>
                <w:rFonts w:ascii="Times New Roman" w:hAnsi="Times New Roman" w:cs="Times New Roman"/>
                <w:color w:val="000000"/>
                <w:sz w:val="20"/>
                <w:szCs w:val="20"/>
              </w:rPr>
              <w:t>0,03</w:t>
            </w:r>
          </w:p>
        </w:tc>
      </w:tr>
      <w:tr w:rsidR="00714F5D" w:rsidTr="008C5C6A">
        <w:trPr>
          <w:trHeight w:val="288"/>
        </w:trPr>
        <w:tc>
          <w:tcPr>
            <w:tcW w:w="13278" w:type="dxa"/>
            <w:gridSpan w:val="10"/>
            <w:tcBorders>
              <w:top w:val="nil"/>
              <w:left w:val="single" w:sz="8" w:space="0" w:color="auto"/>
              <w:bottom w:val="single" w:sz="8" w:space="0" w:color="auto"/>
              <w:right w:val="single" w:sz="8" w:space="0" w:color="auto"/>
            </w:tcBorders>
            <w:shd w:val="clear" w:color="auto" w:fill="DDEBF7"/>
            <w:tcMar>
              <w:top w:w="0" w:type="dxa"/>
              <w:left w:w="108" w:type="dxa"/>
              <w:bottom w:w="0" w:type="dxa"/>
              <w:right w:w="108" w:type="dxa"/>
            </w:tcMar>
            <w:hideMark/>
          </w:tcPr>
          <w:p w:rsidR="00714F5D" w:rsidRPr="00FE7E52" w:rsidRDefault="00714F5D" w:rsidP="008C5C6A">
            <w:pPr>
              <w:jc w:val="center"/>
              <w:rPr>
                <w:rFonts w:ascii="Times New Roman" w:hAnsi="Times New Roman" w:cs="Times New Roman"/>
                <w:b/>
                <w:bCs/>
                <w:color w:val="000000"/>
                <w:sz w:val="20"/>
                <w:szCs w:val="20"/>
              </w:rPr>
            </w:pPr>
            <w:r w:rsidRPr="00FE7E52">
              <w:rPr>
                <w:rFonts w:ascii="Times New Roman" w:hAnsi="Times New Roman" w:cs="Times New Roman"/>
                <w:b/>
                <w:bCs/>
                <w:color w:val="000000"/>
                <w:sz w:val="20"/>
                <w:szCs w:val="20"/>
              </w:rPr>
              <w:t>Anul 2016</w:t>
            </w:r>
          </w:p>
        </w:tc>
      </w:tr>
      <w:tr w:rsidR="00714F5D" w:rsidTr="008C5C6A">
        <w:trPr>
          <w:trHeight w:val="288"/>
        </w:trPr>
        <w:tc>
          <w:tcPr>
            <w:tcW w:w="1650"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714F5D" w:rsidRDefault="00714F5D" w:rsidP="008C5C6A">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BPN, inclusiv:</w:t>
            </w:r>
          </w:p>
        </w:tc>
        <w:tc>
          <w:tcPr>
            <w:tcW w:w="111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x</w:t>
            </w:r>
          </w:p>
        </w:tc>
        <w:tc>
          <w:tcPr>
            <w:tcW w:w="113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714F5D" w:rsidRPr="00FE7E52" w:rsidRDefault="00714F5D" w:rsidP="008C5C6A">
            <w:pPr>
              <w:jc w:val="center"/>
              <w:rPr>
                <w:rFonts w:ascii="Times New Roman" w:hAnsi="Times New Roman" w:cs="Times New Roman"/>
                <w:b/>
                <w:bCs/>
                <w:color w:val="000000"/>
                <w:sz w:val="20"/>
                <w:szCs w:val="20"/>
              </w:rPr>
            </w:pPr>
            <w:r w:rsidRPr="00FE7E52">
              <w:rPr>
                <w:rFonts w:ascii="Times New Roman" w:hAnsi="Times New Roman" w:cs="Times New Roman"/>
                <w:b/>
                <w:bCs/>
                <w:color w:val="000000"/>
                <w:sz w:val="20"/>
                <w:szCs w:val="20"/>
              </w:rPr>
              <w:t>26,75</w:t>
            </w:r>
          </w:p>
        </w:tc>
        <w:tc>
          <w:tcPr>
            <w:tcW w:w="117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27,35</w:t>
            </w:r>
          </w:p>
        </w:tc>
        <w:tc>
          <w:tcPr>
            <w:tcW w:w="125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2,24</w:t>
            </w:r>
          </w:p>
        </w:tc>
        <w:tc>
          <w:tcPr>
            <w:tcW w:w="1192"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27,62</w:t>
            </w:r>
          </w:p>
        </w:tc>
        <w:tc>
          <w:tcPr>
            <w:tcW w:w="120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103,25</w:t>
            </w:r>
          </w:p>
        </w:tc>
        <w:tc>
          <w:tcPr>
            <w:tcW w:w="129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100,99</w:t>
            </w:r>
          </w:p>
        </w:tc>
        <w:tc>
          <w:tcPr>
            <w:tcW w:w="163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714F5D" w:rsidRDefault="00714F5D" w:rsidP="008C5C6A">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0,87</w:t>
            </w:r>
          </w:p>
        </w:tc>
        <w:tc>
          <w:tcPr>
            <w:tcW w:w="163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714F5D" w:rsidRDefault="00714F5D" w:rsidP="008C5C6A">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0,27</w:t>
            </w:r>
          </w:p>
        </w:tc>
      </w:tr>
      <w:tr w:rsidR="00714F5D" w:rsidTr="008C5C6A">
        <w:trPr>
          <w:trHeight w:val="312"/>
        </w:trPr>
        <w:tc>
          <w:tcPr>
            <w:tcW w:w="1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14F5D" w:rsidRDefault="00714F5D" w:rsidP="008C5C6A">
            <w:pPr>
              <w:rPr>
                <w:rFonts w:ascii="Times New Roman" w:hAnsi="Times New Roman" w:cs="Times New Roman"/>
                <w:b/>
                <w:bCs/>
                <w:color w:val="000000"/>
                <w:sz w:val="20"/>
                <w:szCs w:val="20"/>
              </w:rPr>
            </w:pPr>
            <w:r>
              <w:rPr>
                <w:rFonts w:ascii="Times New Roman" w:hAnsi="Times New Roman" w:cs="Times New Roman"/>
                <w:b/>
                <w:bCs/>
                <w:color w:val="000000"/>
                <w:sz w:val="20"/>
                <w:szCs w:val="20"/>
              </w:rPr>
              <w:t>BS/BUAT</w:t>
            </w:r>
          </w:p>
        </w:tc>
        <w:tc>
          <w:tcPr>
            <w:tcW w:w="11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13,5</w:t>
            </w:r>
          </w:p>
        </w:tc>
        <w:tc>
          <w:tcPr>
            <w:tcW w:w="11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14F5D" w:rsidRPr="00FE7E52" w:rsidRDefault="00714F5D" w:rsidP="008C5C6A">
            <w:pPr>
              <w:jc w:val="center"/>
              <w:rPr>
                <w:rFonts w:ascii="Times New Roman" w:hAnsi="Times New Roman" w:cs="Times New Roman"/>
                <w:color w:val="000000"/>
                <w:sz w:val="20"/>
                <w:szCs w:val="20"/>
              </w:rPr>
            </w:pPr>
            <w:r w:rsidRPr="00FE7E52">
              <w:rPr>
                <w:rFonts w:ascii="Times New Roman" w:hAnsi="Times New Roman" w:cs="Times New Roman"/>
                <w:color w:val="000000"/>
                <w:sz w:val="20"/>
                <w:szCs w:val="20"/>
              </w:rPr>
              <w:t>14,22</w:t>
            </w:r>
          </w:p>
        </w:tc>
        <w:tc>
          <w:tcPr>
            <w:tcW w:w="11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color w:val="000000"/>
                <w:sz w:val="20"/>
                <w:szCs w:val="20"/>
              </w:rPr>
            </w:pPr>
            <w:r>
              <w:rPr>
                <w:rFonts w:ascii="Times New Roman" w:hAnsi="Times New Roman" w:cs="Times New Roman"/>
                <w:color w:val="000000"/>
                <w:sz w:val="20"/>
                <w:szCs w:val="20"/>
              </w:rPr>
              <w:t>14,57</w:t>
            </w:r>
          </w:p>
        </w:tc>
        <w:tc>
          <w:tcPr>
            <w:tcW w:w="12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color w:val="000000"/>
                <w:sz w:val="20"/>
                <w:szCs w:val="20"/>
              </w:rPr>
            </w:pPr>
            <w:r>
              <w:rPr>
                <w:rFonts w:ascii="Times New Roman" w:hAnsi="Times New Roman" w:cs="Times New Roman"/>
                <w:color w:val="000000"/>
                <w:sz w:val="20"/>
                <w:szCs w:val="20"/>
              </w:rPr>
              <w:t>2.46</w:t>
            </w:r>
          </w:p>
        </w:tc>
        <w:tc>
          <w:tcPr>
            <w:tcW w:w="11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color w:val="000000"/>
                <w:sz w:val="20"/>
                <w:szCs w:val="20"/>
              </w:rPr>
            </w:pPr>
            <w:r>
              <w:rPr>
                <w:rFonts w:ascii="Times New Roman" w:hAnsi="Times New Roman" w:cs="Times New Roman"/>
                <w:color w:val="000000"/>
                <w:sz w:val="20"/>
                <w:szCs w:val="20"/>
              </w:rPr>
              <w:t>14,82</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color w:val="000000"/>
                <w:sz w:val="20"/>
                <w:szCs w:val="20"/>
              </w:rPr>
            </w:pPr>
            <w:r>
              <w:rPr>
                <w:rFonts w:ascii="Times New Roman" w:hAnsi="Times New Roman" w:cs="Times New Roman"/>
                <w:color w:val="000000"/>
                <w:sz w:val="20"/>
                <w:szCs w:val="20"/>
              </w:rPr>
              <w:t>104.22</w:t>
            </w:r>
          </w:p>
        </w:tc>
        <w:tc>
          <w:tcPr>
            <w:tcW w:w="12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color w:val="000000"/>
                <w:sz w:val="20"/>
                <w:szCs w:val="20"/>
              </w:rPr>
            </w:pPr>
            <w:r>
              <w:rPr>
                <w:rFonts w:ascii="Times New Roman" w:hAnsi="Times New Roman" w:cs="Times New Roman"/>
                <w:color w:val="000000"/>
                <w:sz w:val="20"/>
                <w:szCs w:val="20"/>
              </w:rPr>
              <w:t>101,72</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rsidR="00714F5D" w:rsidRDefault="00714F5D" w:rsidP="008C5C6A">
            <w:pPr>
              <w:jc w:val="center"/>
              <w:rPr>
                <w:rFonts w:ascii="Times New Roman" w:hAnsi="Times New Roman" w:cs="Times New Roman"/>
                <w:color w:val="000000"/>
                <w:sz w:val="20"/>
                <w:szCs w:val="20"/>
              </w:rPr>
            </w:pPr>
            <w:r>
              <w:rPr>
                <w:rFonts w:ascii="Times New Roman" w:hAnsi="Times New Roman" w:cs="Times New Roman"/>
                <w:color w:val="000000"/>
                <w:sz w:val="20"/>
                <w:szCs w:val="20"/>
              </w:rPr>
              <w:t>0,60</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rsidR="00714F5D" w:rsidRDefault="00714F5D" w:rsidP="008C5C6A">
            <w:pPr>
              <w:jc w:val="center"/>
              <w:rPr>
                <w:rFonts w:ascii="Times New Roman" w:hAnsi="Times New Roman" w:cs="Times New Roman"/>
                <w:color w:val="000000"/>
                <w:sz w:val="20"/>
                <w:szCs w:val="20"/>
              </w:rPr>
            </w:pPr>
            <w:r>
              <w:rPr>
                <w:rFonts w:ascii="Times New Roman" w:hAnsi="Times New Roman" w:cs="Times New Roman"/>
                <w:color w:val="000000"/>
                <w:sz w:val="20"/>
                <w:szCs w:val="20"/>
              </w:rPr>
              <w:t>0,25</w:t>
            </w:r>
          </w:p>
        </w:tc>
      </w:tr>
      <w:tr w:rsidR="00714F5D" w:rsidTr="008C5C6A">
        <w:trPr>
          <w:trHeight w:val="312"/>
        </w:trPr>
        <w:tc>
          <w:tcPr>
            <w:tcW w:w="16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F5D" w:rsidRDefault="00714F5D" w:rsidP="008C5C6A">
            <w:pPr>
              <w:rPr>
                <w:rFonts w:ascii="Times New Roman" w:hAnsi="Times New Roman" w:cs="Times New Roman"/>
                <w:b/>
                <w:bCs/>
                <w:color w:val="000000"/>
                <w:sz w:val="20"/>
                <w:szCs w:val="20"/>
              </w:rPr>
            </w:pPr>
            <w:r>
              <w:rPr>
                <w:rFonts w:ascii="Times New Roman" w:hAnsi="Times New Roman" w:cs="Times New Roman"/>
                <w:b/>
                <w:bCs/>
                <w:color w:val="000000"/>
                <w:sz w:val="20"/>
                <w:szCs w:val="20"/>
              </w:rPr>
              <w:t>BASS</w:t>
            </w:r>
          </w:p>
        </w:tc>
        <w:tc>
          <w:tcPr>
            <w:tcW w:w="11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x</w:t>
            </w:r>
          </w:p>
        </w:tc>
        <w:tc>
          <w:tcPr>
            <w:tcW w:w="11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color w:val="000000"/>
                <w:sz w:val="20"/>
                <w:szCs w:val="20"/>
              </w:rPr>
            </w:pPr>
            <w:r>
              <w:rPr>
                <w:rFonts w:ascii="Times New Roman" w:hAnsi="Times New Roman" w:cs="Times New Roman"/>
                <w:color w:val="000000"/>
                <w:sz w:val="20"/>
                <w:szCs w:val="20"/>
              </w:rPr>
              <w:t>9,80</w:t>
            </w:r>
          </w:p>
        </w:tc>
        <w:tc>
          <w:tcPr>
            <w:tcW w:w="11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color w:val="000000"/>
                <w:sz w:val="20"/>
                <w:szCs w:val="20"/>
              </w:rPr>
            </w:pPr>
            <w:r>
              <w:rPr>
                <w:rFonts w:ascii="Times New Roman" w:hAnsi="Times New Roman" w:cs="Times New Roman"/>
                <w:color w:val="000000"/>
                <w:sz w:val="20"/>
                <w:szCs w:val="20"/>
              </w:rPr>
              <w:t>9,61</w:t>
            </w:r>
          </w:p>
        </w:tc>
        <w:tc>
          <w:tcPr>
            <w:tcW w:w="12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color w:val="000000"/>
                <w:sz w:val="20"/>
                <w:szCs w:val="20"/>
              </w:rPr>
            </w:pPr>
            <w:r>
              <w:rPr>
                <w:rFonts w:ascii="Times New Roman" w:hAnsi="Times New Roman" w:cs="Times New Roman"/>
                <w:color w:val="000000"/>
                <w:sz w:val="20"/>
                <w:szCs w:val="20"/>
              </w:rPr>
              <w:t>-1,94</w:t>
            </w:r>
          </w:p>
        </w:tc>
        <w:tc>
          <w:tcPr>
            <w:tcW w:w="11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color w:val="000000"/>
                <w:sz w:val="20"/>
                <w:szCs w:val="20"/>
              </w:rPr>
            </w:pPr>
            <w:r>
              <w:rPr>
                <w:rFonts w:ascii="Times New Roman" w:hAnsi="Times New Roman" w:cs="Times New Roman"/>
                <w:color w:val="000000"/>
                <w:sz w:val="20"/>
                <w:szCs w:val="20"/>
              </w:rPr>
              <w:t>9,65</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color w:val="000000"/>
                <w:sz w:val="20"/>
                <w:szCs w:val="20"/>
              </w:rPr>
            </w:pPr>
            <w:r>
              <w:rPr>
                <w:rFonts w:ascii="Times New Roman" w:hAnsi="Times New Roman" w:cs="Times New Roman"/>
                <w:color w:val="000000"/>
                <w:sz w:val="20"/>
                <w:szCs w:val="20"/>
              </w:rPr>
              <w:t>98,47</w:t>
            </w:r>
          </w:p>
        </w:tc>
        <w:tc>
          <w:tcPr>
            <w:tcW w:w="12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100,42</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rsidR="00714F5D" w:rsidRDefault="00714F5D" w:rsidP="008C5C6A">
            <w:pPr>
              <w:jc w:val="center"/>
              <w:rPr>
                <w:rFonts w:ascii="Times New Roman" w:hAnsi="Times New Roman" w:cs="Times New Roman"/>
                <w:color w:val="000000"/>
                <w:sz w:val="20"/>
                <w:szCs w:val="20"/>
              </w:rPr>
            </w:pPr>
            <w:r>
              <w:rPr>
                <w:rFonts w:ascii="Times New Roman" w:hAnsi="Times New Roman" w:cs="Times New Roman"/>
                <w:color w:val="000000"/>
                <w:sz w:val="20"/>
                <w:szCs w:val="20"/>
              </w:rPr>
              <w:t>-0,15</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rsidR="00714F5D" w:rsidRDefault="00714F5D" w:rsidP="008C5C6A">
            <w:pPr>
              <w:jc w:val="center"/>
              <w:rPr>
                <w:rFonts w:ascii="Times New Roman" w:hAnsi="Times New Roman" w:cs="Times New Roman"/>
                <w:color w:val="000000"/>
                <w:sz w:val="20"/>
                <w:szCs w:val="20"/>
              </w:rPr>
            </w:pPr>
            <w:r>
              <w:rPr>
                <w:rFonts w:ascii="Times New Roman" w:hAnsi="Times New Roman" w:cs="Times New Roman"/>
                <w:color w:val="000000"/>
                <w:sz w:val="20"/>
                <w:szCs w:val="20"/>
              </w:rPr>
              <w:t>0,04</w:t>
            </w:r>
          </w:p>
        </w:tc>
      </w:tr>
      <w:tr w:rsidR="00714F5D" w:rsidTr="008C5C6A">
        <w:trPr>
          <w:trHeight w:val="260"/>
        </w:trPr>
        <w:tc>
          <w:tcPr>
            <w:tcW w:w="16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F5D" w:rsidRDefault="00714F5D" w:rsidP="008C5C6A">
            <w:pPr>
              <w:rPr>
                <w:rFonts w:ascii="Times New Roman" w:hAnsi="Times New Roman" w:cs="Times New Roman"/>
                <w:b/>
                <w:bCs/>
                <w:color w:val="000000"/>
                <w:sz w:val="20"/>
                <w:szCs w:val="20"/>
              </w:rPr>
            </w:pPr>
            <w:r>
              <w:rPr>
                <w:rFonts w:ascii="Times New Roman" w:hAnsi="Times New Roman" w:cs="Times New Roman"/>
                <w:b/>
                <w:bCs/>
                <w:color w:val="000000"/>
                <w:sz w:val="20"/>
                <w:szCs w:val="20"/>
              </w:rPr>
              <w:lastRenderedPageBreak/>
              <w:t>FAOAM</w:t>
            </w:r>
          </w:p>
        </w:tc>
        <w:tc>
          <w:tcPr>
            <w:tcW w:w="11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x</w:t>
            </w:r>
          </w:p>
        </w:tc>
        <w:tc>
          <w:tcPr>
            <w:tcW w:w="11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color w:val="000000"/>
                <w:sz w:val="20"/>
                <w:szCs w:val="20"/>
              </w:rPr>
            </w:pPr>
            <w:r>
              <w:rPr>
                <w:rFonts w:ascii="Times New Roman" w:hAnsi="Times New Roman" w:cs="Times New Roman"/>
                <w:color w:val="000000"/>
                <w:sz w:val="20"/>
                <w:szCs w:val="20"/>
              </w:rPr>
              <w:t>2,73</w:t>
            </w:r>
          </w:p>
        </w:tc>
        <w:tc>
          <w:tcPr>
            <w:tcW w:w="11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color w:val="000000"/>
                <w:sz w:val="20"/>
                <w:szCs w:val="20"/>
              </w:rPr>
            </w:pPr>
            <w:r>
              <w:rPr>
                <w:rFonts w:ascii="Times New Roman" w:hAnsi="Times New Roman" w:cs="Times New Roman"/>
                <w:color w:val="000000"/>
                <w:sz w:val="20"/>
                <w:szCs w:val="20"/>
              </w:rPr>
              <w:t>3,17</w:t>
            </w:r>
          </w:p>
        </w:tc>
        <w:tc>
          <w:tcPr>
            <w:tcW w:w="12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color w:val="000000"/>
                <w:sz w:val="20"/>
                <w:szCs w:val="20"/>
              </w:rPr>
            </w:pPr>
            <w:r>
              <w:rPr>
                <w:rFonts w:ascii="Times New Roman" w:hAnsi="Times New Roman" w:cs="Times New Roman"/>
                <w:color w:val="000000"/>
                <w:sz w:val="20"/>
                <w:szCs w:val="20"/>
              </w:rPr>
              <w:t>16,12</w:t>
            </w:r>
          </w:p>
        </w:tc>
        <w:tc>
          <w:tcPr>
            <w:tcW w:w="11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color w:val="000000"/>
                <w:sz w:val="20"/>
                <w:szCs w:val="20"/>
              </w:rPr>
            </w:pPr>
            <w:r>
              <w:rPr>
                <w:rFonts w:ascii="Times New Roman" w:hAnsi="Times New Roman" w:cs="Times New Roman"/>
                <w:color w:val="000000"/>
                <w:sz w:val="20"/>
                <w:szCs w:val="20"/>
              </w:rPr>
              <w:t>3,15</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color w:val="000000"/>
                <w:sz w:val="20"/>
                <w:szCs w:val="20"/>
              </w:rPr>
            </w:pPr>
            <w:r>
              <w:rPr>
                <w:rFonts w:ascii="Times New Roman" w:hAnsi="Times New Roman" w:cs="Times New Roman"/>
                <w:color w:val="000000"/>
                <w:sz w:val="20"/>
                <w:szCs w:val="20"/>
              </w:rPr>
              <w:t>115,38</w:t>
            </w:r>
          </w:p>
        </w:tc>
        <w:tc>
          <w:tcPr>
            <w:tcW w:w="12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color w:val="000000"/>
                <w:sz w:val="20"/>
                <w:szCs w:val="20"/>
              </w:rPr>
            </w:pPr>
            <w:r>
              <w:rPr>
                <w:rFonts w:ascii="Times New Roman" w:hAnsi="Times New Roman" w:cs="Times New Roman"/>
                <w:color w:val="000000"/>
                <w:sz w:val="20"/>
                <w:szCs w:val="20"/>
              </w:rPr>
              <w:t>99,37</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rsidR="00714F5D" w:rsidRDefault="00714F5D" w:rsidP="008C5C6A">
            <w:pPr>
              <w:jc w:val="center"/>
              <w:rPr>
                <w:rFonts w:ascii="Times New Roman" w:hAnsi="Times New Roman" w:cs="Times New Roman"/>
                <w:color w:val="000000"/>
                <w:sz w:val="20"/>
                <w:szCs w:val="20"/>
              </w:rPr>
            </w:pPr>
            <w:r>
              <w:rPr>
                <w:rFonts w:ascii="Times New Roman" w:hAnsi="Times New Roman" w:cs="Times New Roman"/>
                <w:color w:val="000000"/>
                <w:sz w:val="20"/>
                <w:szCs w:val="20"/>
              </w:rPr>
              <w:t>0,42</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rsidR="00714F5D" w:rsidRDefault="00714F5D" w:rsidP="008C5C6A">
            <w:pPr>
              <w:jc w:val="center"/>
              <w:rPr>
                <w:rFonts w:ascii="Times New Roman" w:hAnsi="Times New Roman" w:cs="Times New Roman"/>
                <w:color w:val="000000"/>
                <w:sz w:val="20"/>
                <w:szCs w:val="20"/>
              </w:rPr>
            </w:pPr>
            <w:r>
              <w:rPr>
                <w:rFonts w:ascii="Times New Roman" w:hAnsi="Times New Roman" w:cs="Times New Roman"/>
                <w:color w:val="000000"/>
                <w:sz w:val="20"/>
                <w:szCs w:val="20"/>
              </w:rPr>
              <w:t>-0,02</w:t>
            </w:r>
          </w:p>
        </w:tc>
      </w:tr>
      <w:tr w:rsidR="00714F5D" w:rsidTr="008C5C6A">
        <w:trPr>
          <w:trHeight w:val="288"/>
        </w:trPr>
        <w:tc>
          <w:tcPr>
            <w:tcW w:w="13278" w:type="dxa"/>
            <w:gridSpan w:val="10"/>
            <w:tcBorders>
              <w:top w:val="nil"/>
              <w:left w:val="single" w:sz="8" w:space="0" w:color="auto"/>
              <w:bottom w:val="single" w:sz="8" w:space="0" w:color="auto"/>
              <w:right w:val="single" w:sz="8" w:space="0" w:color="auto"/>
            </w:tcBorders>
            <w:shd w:val="clear" w:color="auto" w:fill="DDEBF7"/>
            <w:tcMar>
              <w:top w:w="0" w:type="dxa"/>
              <w:left w:w="108" w:type="dxa"/>
              <w:bottom w:w="0" w:type="dxa"/>
              <w:right w:w="108" w:type="dxa"/>
            </w:tcMar>
            <w:hideMark/>
          </w:tcPr>
          <w:p w:rsidR="00714F5D" w:rsidRDefault="00714F5D" w:rsidP="008C5C6A">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Anul 2017</w:t>
            </w:r>
          </w:p>
        </w:tc>
      </w:tr>
      <w:tr w:rsidR="00714F5D" w:rsidTr="008C5C6A">
        <w:trPr>
          <w:trHeight w:val="288"/>
        </w:trPr>
        <w:tc>
          <w:tcPr>
            <w:tcW w:w="1650"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714F5D" w:rsidRDefault="00714F5D" w:rsidP="008C5C6A">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BPN, inclusiv:</w:t>
            </w:r>
          </w:p>
        </w:tc>
        <w:tc>
          <w:tcPr>
            <w:tcW w:w="111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x</w:t>
            </w:r>
          </w:p>
        </w:tc>
        <w:tc>
          <w:tcPr>
            <w:tcW w:w="113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30,32</w:t>
            </w:r>
          </w:p>
        </w:tc>
        <w:tc>
          <w:tcPr>
            <w:tcW w:w="117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32,09</w:t>
            </w:r>
          </w:p>
        </w:tc>
        <w:tc>
          <w:tcPr>
            <w:tcW w:w="125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5,84</w:t>
            </w:r>
          </w:p>
        </w:tc>
        <w:tc>
          <w:tcPr>
            <w:tcW w:w="1192"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32,71</w:t>
            </w:r>
          </w:p>
        </w:tc>
        <w:tc>
          <w:tcPr>
            <w:tcW w:w="120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107,88</w:t>
            </w:r>
          </w:p>
        </w:tc>
        <w:tc>
          <w:tcPr>
            <w:tcW w:w="129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101,93</w:t>
            </w:r>
          </w:p>
        </w:tc>
        <w:tc>
          <w:tcPr>
            <w:tcW w:w="163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714F5D" w:rsidRDefault="00714F5D" w:rsidP="008C5C6A">
            <w:pPr>
              <w:spacing w:line="276" w:lineRule="auto"/>
              <w:ind w:right="-334"/>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2,39</w:t>
            </w:r>
          </w:p>
        </w:tc>
        <w:tc>
          <w:tcPr>
            <w:tcW w:w="163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714F5D" w:rsidRDefault="00714F5D" w:rsidP="008C5C6A">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0,62</w:t>
            </w:r>
          </w:p>
        </w:tc>
      </w:tr>
      <w:tr w:rsidR="00714F5D" w:rsidTr="008C5C6A">
        <w:trPr>
          <w:trHeight w:val="312"/>
        </w:trPr>
        <w:tc>
          <w:tcPr>
            <w:tcW w:w="16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F5D" w:rsidRDefault="00714F5D" w:rsidP="008C5C6A">
            <w:pPr>
              <w:rPr>
                <w:rFonts w:ascii="Times New Roman" w:hAnsi="Times New Roman" w:cs="Times New Roman"/>
                <w:b/>
                <w:bCs/>
                <w:color w:val="000000"/>
                <w:sz w:val="20"/>
                <w:szCs w:val="20"/>
              </w:rPr>
            </w:pPr>
            <w:r>
              <w:rPr>
                <w:rFonts w:ascii="Times New Roman" w:hAnsi="Times New Roman" w:cs="Times New Roman"/>
                <w:b/>
                <w:bCs/>
                <w:color w:val="000000"/>
                <w:sz w:val="20"/>
                <w:szCs w:val="20"/>
              </w:rPr>
              <w:t>BS/BUAT</w:t>
            </w:r>
          </w:p>
        </w:tc>
        <w:tc>
          <w:tcPr>
            <w:tcW w:w="11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15,9</w:t>
            </w:r>
          </w:p>
        </w:tc>
        <w:tc>
          <w:tcPr>
            <w:tcW w:w="11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color w:val="000000"/>
                <w:sz w:val="20"/>
                <w:szCs w:val="20"/>
              </w:rPr>
            </w:pPr>
            <w:r>
              <w:rPr>
                <w:rFonts w:ascii="Times New Roman" w:hAnsi="Times New Roman" w:cs="Times New Roman"/>
                <w:color w:val="000000"/>
                <w:sz w:val="20"/>
                <w:szCs w:val="20"/>
              </w:rPr>
              <w:t>15,89</w:t>
            </w:r>
          </w:p>
        </w:tc>
        <w:tc>
          <w:tcPr>
            <w:tcW w:w="11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color w:val="000000"/>
                <w:sz w:val="20"/>
                <w:szCs w:val="20"/>
              </w:rPr>
            </w:pPr>
            <w:r>
              <w:rPr>
                <w:rFonts w:ascii="Times New Roman" w:hAnsi="Times New Roman" w:cs="Times New Roman"/>
                <w:color w:val="000000"/>
                <w:sz w:val="20"/>
                <w:szCs w:val="20"/>
              </w:rPr>
              <w:t>17,39</w:t>
            </w:r>
          </w:p>
        </w:tc>
        <w:tc>
          <w:tcPr>
            <w:tcW w:w="12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color w:val="000000"/>
                <w:sz w:val="20"/>
                <w:szCs w:val="20"/>
              </w:rPr>
            </w:pPr>
            <w:r>
              <w:rPr>
                <w:rFonts w:ascii="Times New Roman" w:hAnsi="Times New Roman" w:cs="Times New Roman"/>
                <w:color w:val="000000"/>
                <w:sz w:val="20"/>
                <w:szCs w:val="20"/>
              </w:rPr>
              <w:t>9,44</w:t>
            </w:r>
          </w:p>
        </w:tc>
        <w:tc>
          <w:tcPr>
            <w:tcW w:w="11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color w:val="000000"/>
                <w:sz w:val="20"/>
                <w:szCs w:val="20"/>
              </w:rPr>
            </w:pPr>
            <w:r>
              <w:rPr>
                <w:rFonts w:ascii="Times New Roman" w:hAnsi="Times New Roman" w:cs="Times New Roman"/>
                <w:color w:val="000000"/>
                <w:sz w:val="20"/>
                <w:szCs w:val="20"/>
              </w:rPr>
              <w:t>17,74</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color w:val="000000"/>
                <w:sz w:val="20"/>
                <w:szCs w:val="20"/>
              </w:rPr>
            </w:pPr>
            <w:r>
              <w:rPr>
                <w:rFonts w:ascii="Times New Roman" w:hAnsi="Times New Roman" w:cs="Times New Roman"/>
                <w:color w:val="000000"/>
                <w:sz w:val="20"/>
                <w:szCs w:val="20"/>
              </w:rPr>
              <w:t>111,64</w:t>
            </w:r>
          </w:p>
        </w:tc>
        <w:tc>
          <w:tcPr>
            <w:tcW w:w="12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color w:val="000000"/>
                <w:sz w:val="20"/>
                <w:szCs w:val="20"/>
              </w:rPr>
            </w:pPr>
            <w:r>
              <w:rPr>
                <w:rFonts w:ascii="Times New Roman" w:hAnsi="Times New Roman" w:cs="Times New Roman"/>
                <w:color w:val="000000"/>
                <w:sz w:val="20"/>
                <w:szCs w:val="20"/>
              </w:rPr>
              <w:t>102,01</w:t>
            </w:r>
          </w:p>
        </w:tc>
        <w:tc>
          <w:tcPr>
            <w:tcW w:w="163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14F5D" w:rsidRDefault="00714F5D" w:rsidP="008C5C6A">
            <w:pPr>
              <w:spacing w:line="276" w:lineRule="auto"/>
              <w:ind w:right="-334"/>
              <w:jc w:val="center"/>
              <w:rPr>
                <w:rFonts w:ascii="Times New Roman" w:hAnsi="Times New Roman" w:cs="Times New Roman"/>
                <w:color w:val="000000"/>
                <w:sz w:val="20"/>
                <w:szCs w:val="20"/>
              </w:rPr>
            </w:pPr>
            <w:r>
              <w:rPr>
                <w:rFonts w:ascii="Times New Roman" w:hAnsi="Times New Roman" w:cs="Times New Roman"/>
                <w:color w:val="000000"/>
                <w:sz w:val="20"/>
                <w:szCs w:val="20"/>
              </w:rPr>
              <w:t>1,85</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rsidR="00714F5D" w:rsidRDefault="00714F5D" w:rsidP="008C5C6A">
            <w:pPr>
              <w:jc w:val="center"/>
              <w:rPr>
                <w:rFonts w:ascii="Times New Roman" w:hAnsi="Times New Roman" w:cs="Times New Roman"/>
                <w:color w:val="000000"/>
                <w:sz w:val="20"/>
                <w:szCs w:val="20"/>
              </w:rPr>
            </w:pPr>
            <w:r>
              <w:rPr>
                <w:rFonts w:ascii="Times New Roman" w:hAnsi="Times New Roman" w:cs="Times New Roman"/>
                <w:color w:val="000000"/>
                <w:sz w:val="20"/>
                <w:szCs w:val="20"/>
              </w:rPr>
              <w:t>0,35</w:t>
            </w:r>
          </w:p>
        </w:tc>
      </w:tr>
      <w:tr w:rsidR="00714F5D" w:rsidTr="008C5C6A">
        <w:trPr>
          <w:trHeight w:val="312"/>
        </w:trPr>
        <w:tc>
          <w:tcPr>
            <w:tcW w:w="16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F5D" w:rsidRDefault="00714F5D" w:rsidP="008C5C6A">
            <w:pPr>
              <w:rPr>
                <w:rFonts w:ascii="Times New Roman" w:hAnsi="Times New Roman" w:cs="Times New Roman"/>
                <w:b/>
                <w:bCs/>
                <w:color w:val="000000"/>
                <w:sz w:val="20"/>
                <w:szCs w:val="20"/>
              </w:rPr>
            </w:pPr>
            <w:r>
              <w:rPr>
                <w:rFonts w:ascii="Times New Roman" w:hAnsi="Times New Roman" w:cs="Times New Roman"/>
                <w:b/>
                <w:bCs/>
                <w:color w:val="000000"/>
                <w:sz w:val="20"/>
                <w:szCs w:val="20"/>
              </w:rPr>
              <w:t>BASS</w:t>
            </w:r>
          </w:p>
        </w:tc>
        <w:tc>
          <w:tcPr>
            <w:tcW w:w="11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x</w:t>
            </w:r>
          </w:p>
        </w:tc>
        <w:tc>
          <w:tcPr>
            <w:tcW w:w="11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color w:val="000000"/>
                <w:sz w:val="20"/>
                <w:szCs w:val="20"/>
              </w:rPr>
            </w:pPr>
            <w:r>
              <w:rPr>
                <w:rFonts w:ascii="Times New Roman" w:hAnsi="Times New Roman" w:cs="Times New Roman"/>
                <w:color w:val="000000"/>
                <w:sz w:val="20"/>
                <w:szCs w:val="20"/>
              </w:rPr>
              <w:t>10,98</w:t>
            </w:r>
          </w:p>
        </w:tc>
        <w:tc>
          <w:tcPr>
            <w:tcW w:w="11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color w:val="000000"/>
                <w:sz w:val="20"/>
                <w:szCs w:val="20"/>
              </w:rPr>
            </w:pPr>
            <w:r>
              <w:rPr>
                <w:rFonts w:ascii="Times New Roman" w:hAnsi="Times New Roman" w:cs="Times New Roman"/>
                <w:color w:val="000000"/>
                <w:sz w:val="20"/>
                <w:szCs w:val="20"/>
              </w:rPr>
              <w:t>11,18</w:t>
            </w:r>
          </w:p>
        </w:tc>
        <w:tc>
          <w:tcPr>
            <w:tcW w:w="12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color w:val="000000"/>
                <w:sz w:val="20"/>
                <w:szCs w:val="20"/>
              </w:rPr>
            </w:pPr>
            <w:r>
              <w:rPr>
                <w:rFonts w:ascii="Times New Roman" w:hAnsi="Times New Roman" w:cs="Times New Roman"/>
                <w:color w:val="000000"/>
                <w:sz w:val="20"/>
                <w:szCs w:val="20"/>
              </w:rPr>
              <w:t>1,82</w:t>
            </w:r>
          </w:p>
        </w:tc>
        <w:tc>
          <w:tcPr>
            <w:tcW w:w="11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color w:val="000000"/>
                <w:sz w:val="20"/>
                <w:szCs w:val="20"/>
              </w:rPr>
            </w:pPr>
            <w:r>
              <w:rPr>
                <w:rFonts w:ascii="Times New Roman" w:hAnsi="Times New Roman" w:cs="Times New Roman"/>
                <w:color w:val="000000"/>
                <w:sz w:val="20"/>
                <w:szCs w:val="20"/>
              </w:rPr>
              <w:t>11,43</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color w:val="000000"/>
                <w:sz w:val="20"/>
                <w:szCs w:val="20"/>
              </w:rPr>
            </w:pPr>
            <w:r>
              <w:rPr>
                <w:rFonts w:ascii="Times New Roman" w:hAnsi="Times New Roman" w:cs="Times New Roman"/>
                <w:color w:val="000000"/>
                <w:sz w:val="20"/>
                <w:szCs w:val="20"/>
              </w:rPr>
              <w:t>104,10</w:t>
            </w:r>
          </w:p>
        </w:tc>
        <w:tc>
          <w:tcPr>
            <w:tcW w:w="12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color w:val="000000"/>
                <w:sz w:val="20"/>
                <w:szCs w:val="20"/>
              </w:rPr>
            </w:pPr>
            <w:r>
              <w:rPr>
                <w:rFonts w:ascii="Times New Roman" w:hAnsi="Times New Roman" w:cs="Times New Roman"/>
                <w:color w:val="000000"/>
                <w:sz w:val="20"/>
                <w:szCs w:val="20"/>
              </w:rPr>
              <w:t>102,24</w:t>
            </w:r>
          </w:p>
        </w:tc>
        <w:tc>
          <w:tcPr>
            <w:tcW w:w="163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14F5D" w:rsidRDefault="00714F5D" w:rsidP="008C5C6A">
            <w:pPr>
              <w:spacing w:line="276" w:lineRule="auto"/>
              <w:ind w:right="-334"/>
              <w:jc w:val="center"/>
              <w:rPr>
                <w:rFonts w:ascii="Times New Roman" w:hAnsi="Times New Roman" w:cs="Times New Roman"/>
                <w:color w:val="000000"/>
                <w:sz w:val="20"/>
                <w:szCs w:val="20"/>
              </w:rPr>
            </w:pPr>
            <w:r>
              <w:rPr>
                <w:rFonts w:ascii="Times New Roman" w:hAnsi="Times New Roman" w:cs="Times New Roman"/>
                <w:color w:val="000000"/>
                <w:sz w:val="20"/>
                <w:szCs w:val="20"/>
              </w:rPr>
              <w:t>0,45</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rsidR="00714F5D" w:rsidRDefault="00714F5D" w:rsidP="008C5C6A">
            <w:pPr>
              <w:jc w:val="center"/>
              <w:rPr>
                <w:rFonts w:ascii="Times New Roman" w:hAnsi="Times New Roman" w:cs="Times New Roman"/>
                <w:color w:val="000000"/>
                <w:sz w:val="20"/>
                <w:szCs w:val="20"/>
              </w:rPr>
            </w:pPr>
            <w:r>
              <w:rPr>
                <w:rFonts w:ascii="Times New Roman" w:hAnsi="Times New Roman" w:cs="Times New Roman"/>
                <w:color w:val="000000"/>
                <w:sz w:val="20"/>
                <w:szCs w:val="20"/>
              </w:rPr>
              <w:t>0,25</w:t>
            </w:r>
          </w:p>
        </w:tc>
      </w:tr>
      <w:tr w:rsidR="00714F5D" w:rsidTr="008C5C6A">
        <w:trPr>
          <w:trHeight w:val="311"/>
        </w:trPr>
        <w:tc>
          <w:tcPr>
            <w:tcW w:w="16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F5D" w:rsidRDefault="00714F5D" w:rsidP="008C5C6A">
            <w:pPr>
              <w:rPr>
                <w:rFonts w:ascii="Times New Roman" w:hAnsi="Times New Roman" w:cs="Times New Roman"/>
                <w:b/>
                <w:bCs/>
                <w:color w:val="000000"/>
                <w:sz w:val="20"/>
                <w:szCs w:val="20"/>
              </w:rPr>
            </w:pPr>
            <w:r>
              <w:rPr>
                <w:rFonts w:ascii="Times New Roman" w:hAnsi="Times New Roman" w:cs="Times New Roman"/>
                <w:b/>
                <w:bCs/>
                <w:color w:val="000000"/>
                <w:sz w:val="20"/>
                <w:szCs w:val="20"/>
              </w:rPr>
              <w:t>FAOAM</w:t>
            </w:r>
          </w:p>
        </w:tc>
        <w:tc>
          <w:tcPr>
            <w:tcW w:w="11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x</w:t>
            </w:r>
          </w:p>
        </w:tc>
        <w:tc>
          <w:tcPr>
            <w:tcW w:w="11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color w:val="000000"/>
                <w:sz w:val="20"/>
                <w:szCs w:val="20"/>
              </w:rPr>
            </w:pPr>
            <w:r>
              <w:rPr>
                <w:rFonts w:ascii="Times New Roman" w:hAnsi="Times New Roman" w:cs="Times New Roman"/>
                <w:color w:val="000000"/>
                <w:sz w:val="20"/>
                <w:szCs w:val="20"/>
              </w:rPr>
              <w:t>3,45</w:t>
            </w:r>
          </w:p>
        </w:tc>
        <w:tc>
          <w:tcPr>
            <w:tcW w:w="11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color w:val="000000"/>
                <w:sz w:val="20"/>
                <w:szCs w:val="20"/>
              </w:rPr>
            </w:pPr>
            <w:r>
              <w:rPr>
                <w:rFonts w:ascii="Times New Roman" w:hAnsi="Times New Roman" w:cs="Times New Roman"/>
                <w:color w:val="000000"/>
                <w:sz w:val="20"/>
                <w:szCs w:val="20"/>
              </w:rPr>
              <w:t>3,52</w:t>
            </w:r>
          </w:p>
        </w:tc>
        <w:tc>
          <w:tcPr>
            <w:tcW w:w="12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color w:val="000000"/>
                <w:sz w:val="20"/>
                <w:szCs w:val="20"/>
              </w:rPr>
            </w:pPr>
            <w:r>
              <w:rPr>
                <w:rFonts w:ascii="Times New Roman" w:hAnsi="Times New Roman" w:cs="Times New Roman"/>
                <w:color w:val="000000"/>
                <w:sz w:val="20"/>
                <w:szCs w:val="20"/>
              </w:rPr>
              <w:t>2,03</w:t>
            </w:r>
          </w:p>
        </w:tc>
        <w:tc>
          <w:tcPr>
            <w:tcW w:w="11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color w:val="000000"/>
                <w:sz w:val="20"/>
                <w:szCs w:val="20"/>
              </w:rPr>
            </w:pPr>
            <w:r>
              <w:rPr>
                <w:rFonts w:ascii="Times New Roman" w:hAnsi="Times New Roman" w:cs="Times New Roman"/>
                <w:color w:val="000000"/>
                <w:sz w:val="20"/>
                <w:szCs w:val="20"/>
              </w:rPr>
              <w:t>3,54</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color w:val="000000"/>
                <w:sz w:val="20"/>
                <w:szCs w:val="20"/>
              </w:rPr>
            </w:pPr>
            <w:r>
              <w:rPr>
                <w:rFonts w:ascii="Times New Roman" w:hAnsi="Times New Roman" w:cs="Times New Roman"/>
                <w:color w:val="000000"/>
                <w:sz w:val="20"/>
                <w:szCs w:val="20"/>
              </w:rPr>
              <w:t>102,61</w:t>
            </w:r>
          </w:p>
        </w:tc>
        <w:tc>
          <w:tcPr>
            <w:tcW w:w="12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100,57</w:t>
            </w:r>
          </w:p>
        </w:tc>
        <w:tc>
          <w:tcPr>
            <w:tcW w:w="163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14F5D" w:rsidRDefault="00714F5D" w:rsidP="008C5C6A">
            <w:pPr>
              <w:spacing w:line="276" w:lineRule="auto"/>
              <w:ind w:right="-334"/>
              <w:jc w:val="center"/>
              <w:rPr>
                <w:rFonts w:ascii="Times New Roman" w:hAnsi="Times New Roman" w:cs="Times New Roman"/>
                <w:color w:val="000000"/>
                <w:sz w:val="20"/>
                <w:szCs w:val="20"/>
              </w:rPr>
            </w:pPr>
            <w:r>
              <w:rPr>
                <w:rFonts w:ascii="Times New Roman" w:hAnsi="Times New Roman" w:cs="Times New Roman"/>
                <w:color w:val="000000"/>
                <w:sz w:val="20"/>
                <w:szCs w:val="20"/>
              </w:rPr>
              <w:t>0,09</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rsidR="00714F5D" w:rsidRDefault="00714F5D" w:rsidP="008C5C6A">
            <w:pPr>
              <w:jc w:val="center"/>
              <w:rPr>
                <w:rFonts w:ascii="Times New Roman" w:hAnsi="Times New Roman" w:cs="Times New Roman"/>
                <w:color w:val="000000"/>
                <w:sz w:val="20"/>
                <w:szCs w:val="20"/>
              </w:rPr>
            </w:pPr>
            <w:r>
              <w:rPr>
                <w:rFonts w:ascii="Times New Roman" w:hAnsi="Times New Roman" w:cs="Times New Roman"/>
                <w:color w:val="000000"/>
                <w:sz w:val="20"/>
                <w:szCs w:val="20"/>
              </w:rPr>
              <w:t>0,02</w:t>
            </w:r>
          </w:p>
        </w:tc>
      </w:tr>
    </w:tbl>
    <w:p w:rsidR="00714F5D" w:rsidRDefault="00714F5D" w:rsidP="00714F5D">
      <w:pPr>
        <w:spacing w:line="276" w:lineRule="auto"/>
        <w:jc w:val="both"/>
        <w:rPr>
          <w:rFonts w:ascii="Times New Roman" w:hAnsi="Times New Roman" w:cs="Times New Roman"/>
          <w:i/>
          <w:iCs/>
          <w:sz w:val="20"/>
          <w:szCs w:val="20"/>
        </w:rPr>
      </w:pPr>
      <w:r>
        <w:rPr>
          <w:rFonts w:ascii="Times New Roman" w:hAnsi="Times New Roman" w:cs="Times New Roman"/>
          <w:b/>
          <w:bCs/>
          <w:i/>
          <w:iCs/>
          <w:sz w:val="20"/>
          <w:szCs w:val="20"/>
        </w:rPr>
        <w:t>Sursă:</w:t>
      </w:r>
      <w:r>
        <w:rPr>
          <w:rFonts w:ascii="Times New Roman" w:hAnsi="Times New Roman" w:cs="Times New Roman"/>
          <w:i/>
          <w:iCs/>
          <w:sz w:val="20"/>
          <w:szCs w:val="20"/>
        </w:rPr>
        <w:t xml:space="preserve"> Datele generalizate de către echipa de audit în baza informațiilor din dările de seamă privind încasările la BPN administrate de SFS pe anii 2015-2017.</w:t>
      </w:r>
    </w:p>
    <w:p w:rsidR="00714F5D" w:rsidRPr="001D0846" w:rsidRDefault="00714F5D" w:rsidP="00714F5D">
      <w:pPr>
        <w:spacing w:after="0" w:line="276" w:lineRule="auto"/>
        <w:rPr>
          <w:rFonts w:ascii="Times New Roman" w:hAnsi="Times New Roman" w:cs="Times New Roman"/>
          <w:i/>
          <w:sz w:val="20"/>
          <w:szCs w:val="20"/>
        </w:rPr>
      </w:pPr>
    </w:p>
    <w:p w:rsidR="00714F5D" w:rsidRPr="001D0846" w:rsidRDefault="00714F5D" w:rsidP="00714F5D">
      <w:pPr>
        <w:spacing w:after="0" w:line="276" w:lineRule="auto"/>
        <w:ind w:right="105" w:firstLine="720"/>
        <w:jc w:val="right"/>
        <w:rPr>
          <w:rFonts w:ascii="Times New Roman" w:hAnsi="Times New Roman" w:cs="Times New Roman"/>
          <w:b/>
          <w:i/>
          <w:sz w:val="28"/>
          <w:szCs w:val="28"/>
        </w:rPr>
      </w:pPr>
      <w:r w:rsidRPr="001D0846">
        <w:rPr>
          <w:rFonts w:ascii="Times New Roman" w:hAnsi="Times New Roman" w:cs="Times New Roman"/>
          <w:b/>
          <w:i/>
          <w:sz w:val="28"/>
          <w:szCs w:val="28"/>
        </w:rPr>
        <w:t>Tabelul nr.5</w:t>
      </w:r>
    </w:p>
    <w:p w:rsidR="00714F5D" w:rsidRPr="001D0846" w:rsidRDefault="00714F5D" w:rsidP="00714F5D">
      <w:pPr>
        <w:spacing w:after="0" w:line="240" w:lineRule="auto"/>
        <w:jc w:val="center"/>
        <w:rPr>
          <w:rFonts w:ascii="Times New Roman" w:hAnsi="Times New Roman" w:cs="Times New Roman"/>
          <w:i/>
          <w:sz w:val="28"/>
          <w:szCs w:val="28"/>
        </w:rPr>
      </w:pPr>
      <w:r w:rsidRPr="001D0846">
        <w:rPr>
          <w:rFonts w:ascii="Times New Roman" w:hAnsi="Times New Roman" w:cs="Times New Roman"/>
          <w:i/>
          <w:sz w:val="28"/>
          <w:szCs w:val="28"/>
        </w:rPr>
        <w:t xml:space="preserve">Informația privind </w:t>
      </w:r>
      <w:r>
        <w:rPr>
          <w:rFonts w:ascii="Times New Roman" w:hAnsi="Times New Roman" w:cs="Times New Roman"/>
          <w:i/>
          <w:sz w:val="28"/>
          <w:szCs w:val="28"/>
        </w:rPr>
        <w:t>venituril</w:t>
      </w:r>
      <w:r w:rsidR="00703842">
        <w:rPr>
          <w:rFonts w:ascii="Times New Roman" w:hAnsi="Times New Roman" w:cs="Times New Roman"/>
          <w:i/>
          <w:sz w:val="28"/>
          <w:szCs w:val="28"/>
        </w:rPr>
        <w:t xml:space="preserve">e </w:t>
      </w:r>
      <w:r w:rsidRPr="001D0846">
        <w:rPr>
          <w:rFonts w:ascii="Times New Roman" w:hAnsi="Times New Roman" w:cs="Times New Roman"/>
          <w:i/>
          <w:sz w:val="28"/>
          <w:szCs w:val="28"/>
        </w:rPr>
        <w:t>BS</w:t>
      </w:r>
      <w:r>
        <w:rPr>
          <w:rFonts w:ascii="Times New Roman" w:hAnsi="Times New Roman" w:cs="Times New Roman"/>
          <w:i/>
          <w:sz w:val="28"/>
          <w:szCs w:val="28"/>
        </w:rPr>
        <w:t xml:space="preserve"> pentru anii</w:t>
      </w:r>
      <w:r w:rsidRPr="001D0846">
        <w:rPr>
          <w:rFonts w:ascii="Times New Roman" w:hAnsi="Times New Roman" w:cs="Times New Roman"/>
          <w:i/>
          <w:sz w:val="28"/>
          <w:szCs w:val="28"/>
        </w:rPr>
        <w:t xml:space="preserve"> 2015-2017</w:t>
      </w:r>
      <w:r w:rsidR="00703842">
        <w:rPr>
          <w:rFonts w:ascii="Times New Roman" w:hAnsi="Times New Roman" w:cs="Times New Roman"/>
          <w:i/>
          <w:sz w:val="28"/>
          <w:szCs w:val="28"/>
        </w:rPr>
        <w:t xml:space="preserve"> administrate de SV</w:t>
      </w:r>
    </w:p>
    <w:p w:rsidR="00714F5D" w:rsidRPr="00EC4D50" w:rsidRDefault="00714F5D" w:rsidP="00714F5D">
      <w:pPr>
        <w:spacing w:after="0" w:line="240" w:lineRule="auto"/>
        <w:ind w:right="105" w:firstLine="720"/>
        <w:jc w:val="right"/>
        <w:rPr>
          <w:rFonts w:ascii="Times New Roman" w:hAnsi="Times New Roman" w:cs="Times New Roman"/>
          <w:i/>
          <w:sz w:val="28"/>
          <w:szCs w:val="28"/>
        </w:rPr>
      </w:pPr>
      <w:r w:rsidRPr="00EC4D50">
        <w:rPr>
          <w:rFonts w:ascii="Times New Roman" w:hAnsi="Times New Roman" w:cs="Times New Roman"/>
          <w:i/>
          <w:sz w:val="28"/>
          <w:szCs w:val="28"/>
        </w:rPr>
        <w:t>(mil.lei)</w:t>
      </w:r>
    </w:p>
    <w:tbl>
      <w:tblPr>
        <w:tblStyle w:val="TableGrid"/>
        <w:tblW w:w="13041" w:type="dxa"/>
        <w:tblInd w:w="137" w:type="dxa"/>
        <w:tblLayout w:type="fixed"/>
        <w:tblLook w:val="04A0"/>
      </w:tblPr>
      <w:tblGrid>
        <w:gridCol w:w="1135"/>
        <w:gridCol w:w="1417"/>
        <w:gridCol w:w="1170"/>
        <w:gridCol w:w="1440"/>
        <w:gridCol w:w="1500"/>
        <w:gridCol w:w="1207"/>
        <w:gridCol w:w="1203"/>
        <w:gridCol w:w="1260"/>
        <w:gridCol w:w="7"/>
        <w:gridCol w:w="1343"/>
        <w:gridCol w:w="1359"/>
      </w:tblGrid>
      <w:tr w:rsidR="00714F5D" w:rsidRPr="001D0846" w:rsidTr="008C5C6A">
        <w:trPr>
          <w:trHeight w:val="920"/>
        </w:trPr>
        <w:tc>
          <w:tcPr>
            <w:tcW w:w="1135" w:type="dxa"/>
            <w:vMerge w:val="restart"/>
            <w:vAlign w:val="center"/>
          </w:tcPr>
          <w:p w:rsidR="00714F5D" w:rsidRPr="001D0846" w:rsidRDefault="00714F5D" w:rsidP="008C5C6A">
            <w:pPr>
              <w:spacing w:line="276" w:lineRule="auto"/>
              <w:ind w:right="30"/>
              <w:jc w:val="center"/>
              <w:rPr>
                <w:rFonts w:ascii="Times New Roman" w:hAnsi="Times New Roman" w:cs="Times New Roman"/>
                <w:b/>
              </w:rPr>
            </w:pPr>
            <w:r w:rsidRPr="001D0846">
              <w:rPr>
                <w:rFonts w:ascii="Times New Roman" w:hAnsi="Times New Roman" w:cs="Times New Roman"/>
                <w:b/>
              </w:rPr>
              <w:t>Anul</w:t>
            </w:r>
          </w:p>
        </w:tc>
        <w:tc>
          <w:tcPr>
            <w:tcW w:w="1417" w:type="dxa"/>
            <w:vMerge w:val="restart"/>
            <w:vAlign w:val="center"/>
          </w:tcPr>
          <w:p w:rsidR="00714F5D" w:rsidRPr="001D0846" w:rsidRDefault="00714F5D" w:rsidP="008C5C6A">
            <w:pPr>
              <w:spacing w:line="276" w:lineRule="auto"/>
              <w:ind w:right="30"/>
              <w:jc w:val="center"/>
              <w:rPr>
                <w:rFonts w:ascii="Times New Roman" w:hAnsi="Times New Roman" w:cs="Times New Roman"/>
                <w:b/>
              </w:rPr>
            </w:pPr>
            <w:r w:rsidRPr="001D0846">
              <w:rPr>
                <w:rFonts w:ascii="Times New Roman" w:hAnsi="Times New Roman" w:cs="Times New Roman"/>
                <w:b/>
              </w:rPr>
              <w:t>Estimări</w:t>
            </w:r>
          </w:p>
        </w:tc>
        <w:tc>
          <w:tcPr>
            <w:tcW w:w="4110" w:type="dxa"/>
            <w:gridSpan w:val="3"/>
            <w:vAlign w:val="center"/>
          </w:tcPr>
          <w:p w:rsidR="00714F5D" w:rsidRPr="001D0846" w:rsidRDefault="00714F5D" w:rsidP="008C5C6A">
            <w:pPr>
              <w:spacing w:line="276" w:lineRule="auto"/>
              <w:ind w:right="-334"/>
              <w:jc w:val="center"/>
              <w:rPr>
                <w:rFonts w:ascii="Times New Roman" w:hAnsi="Times New Roman" w:cs="Times New Roman"/>
                <w:b/>
              </w:rPr>
            </w:pPr>
            <w:r w:rsidRPr="001D0846">
              <w:rPr>
                <w:rFonts w:ascii="Times New Roman" w:hAnsi="Times New Roman" w:cs="Times New Roman"/>
                <w:b/>
              </w:rPr>
              <w:t>Venituri</w:t>
            </w:r>
          </w:p>
          <w:p w:rsidR="00714F5D" w:rsidRPr="001D0846" w:rsidRDefault="00714F5D" w:rsidP="008C5C6A">
            <w:pPr>
              <w:spacing w:line="276" w:lineRule="auto"/>
              <w:ind w:right="-334"/>
              <w:jc w:val="center"/>
              <w:rPr>
                <w:rFonts w:ascii="Times New Roman" w:hAnsi="Times New Roman" w:cs="Times New Roman"/>
                <w:b/>
              </w:rPr>
            </w:pPr>
          </w:p>
        </w:tc>
        <w:tc>
          <w:tcPr>
            <w:tcW w:w="1207" w:type="dxa"/>
            <w:vMerge w:val="restart"/>
            <w:vAlign w:val="center"/>
          </w:tcPr>
          <w:p w:rsidR="00714F5D" w:rsidRPr="001D0846" w:rsidRDefault="00714F5D" w:rsidP="008C5C6A">
            <w:pPr>
              <w:spacing w:line="276" w:lineRule="auto"/>
              <w:ind w:right="-334"/>
              <w:rPr>
                <w:rFonts w:ascii="Times New Roman" w:hAnsi="Times New Roman" w:cs="Times New Roman"/>
                <w:b/>
              </w:rPr>
            </w:pPr>
          </w:p>
          <w:p w:rsidR="00714F5D" w:rsidRPr="001D0846" w:rsidRDefault="00714F5D" w:rsidP="008C5C6A">
            <w:pPr>
              <w:spacing w:line="276" w:lineRule="auto"/>
              <w:jc w:val="center"/>
              <w:rPr>
                <w:rFonts w:ascii="Times New Roman" w:hAnsi="Times New Roman" w:cs="Times New Roman"/>
                <w:b/>
              </w:rPr>
            </w:pPr>
            <w:r w:rsidRPr="001D0846">
              <w:rPr>
                <w:rFonts w:ascii="Times New Roman" w:hAnsi="Times New Roman" w:cs="Times New Roman"/>
                <w:b/>
              </w:rPr>
              <w:t>Venituri</w:t>
            </w:r>
          </w:p>
          <w:p w:rsidR="00714F5D" w:rsidRPr="001D0846" w:rsidRDefault="00714F5D" w:rsidP="008C5C6A">
            <w:pPr>
              <w:spacing w:line="276" w:lineRule="auto"/>
              <w:jc w:val="center"/>
              <w:rPr>
                <w:rFonts w:ascii="Times New Roman" w:hAnsi="Times New Roman" w:cs="Times New Roman"/>
                <w:b/>
              </w:rPr>
            </w:pPr>
            <w:r w:rsidRPr="001D0846">
              <w:rPr>
                <w:rFonts w:ascii="Times New Roman" w:hAnsi="Times New Roman" w:cs="Times New Roman"/>
                <w:b/>
              </w:rPr>
              <w:t>realizate</w:t>
            </w:r>
          </w:p>
        </w:tc>
        <w:tc>
          <w:tcPr>
            <w:tcW w:w="2470" w:type="dxa"/>
            <w:gridSpan w:val="3"/>
            <w:vAlign w:val="center"/>
          </w:tcPr>
          <w:p w:rsidR="00714F5D" w:rsidRPr="001D0846" w:rsidRDefault="00714F5D" w:rsidP="008C5C6A">
            <w:pPr>
              <w:spacing w:line="276" w:lineRule="auto"/>
              <w:ind w:right="51"/>
              <w:jc w:val="center"/>
              <w:rPr>
                <w:rFonts w:ascii="Times New Roman" w:hAnsi="Times New Roman" w:cs="Times New Roman"/>
                <w:b/>
              </w:rPr>
            </w:pPr>
            <w:r w:rsidRPr="001D0846">
              <w:rPr>
                <w:rFonts w:ascii="Times New Roman" w:hAnsi="Times New Roman" w:cs="Times New Roman"/>
                <w:b/>
              </w:rPr>
              <w:t>Nivelul de realizare a planului de încasări (%)</w:t>
            </w:r>
          </w:p>
        </w:tc>
        <w:tc>
          <w:tcPr>
            <w:tcW w:w="2702" w:type="dxa"/>
            <w:gridSpan w:val="2"/>
            <w:vAlign w:val="center"/>
          </w:tcPr>
          <w:p w:rsidR="00714F5D" w:rsidRPr="001D0846" w:rsidRDefault="00714F5D" w:rsidP="008C5C6A">
            <w:pPr>
              <w:spacing w:line="276" w:lineRule="auto"/>
              <w:ind w:right="-334"/>
              <w:jc w:val="center"/>
              <w:rPr>
                <w:rFonts w:ascii="Times New Roman" w:hAnsi="Times New Roman" w:cs="Times New Roman"/>
                <w:b/>
              </w:rPr>
            </w:pPr>
            <w:r w:rsidRPr="001D0846">
              <w:rPr>
                <w:rFonts w:ascii="Times New Roman" w:hAnsi="Times New Roman" w:cs="Times New Roman"/>
                <w:b/>
              </w:rPr>
              <w:t>Devieri (+/-)</w:t>
            </w:r>
            <w:r>
              <w:rPr>
                <w:rFonts w:ascii="Times New Roman" w:hAnsi="Times New Roman" w:cs="Times New Roman"/>
                <w:b/>
              </w:rPr>
              <w:t>,</w:t>
            </w:r>
            <w:r w:rsidRPr="001D0846">
              <w:rPr>
                <w:rFonts w:ascii="Times New Roman" w:hAnsi="Times New Roman" w:cs="Times New Roman"/>
                <w:b/>
              </w:rPr>
              <w:t xml:space="preserve"> executat</w:t>
            </w:r>
          </w:p>
        </w:tc>
      </w:tr>
      <w:tr w:rsidR="00714F5D" w:rsidRPr="001D0846" w:rsidTr="008C5C6A">
        <w:trPr>
          <w:trHeight w:val="639"/>
        </w:trPr>
        <w:tc>
          <w:tcPr>
            <w:tcW w:w="1135" w:type="dxa"/>
            <w:vMerge/>
            <w:vAlign w:val="center"/>
          </w:tcPr>
          <w:p w:rsidR="00714F5D" w:rsidRPr="001D0846" w:rsidRDefault="00714F5D" w:rsidP="008C5C6A">
            <w:pPr>
              <w:spacing w:line="276" w:lineRule="auto"/>
              <w:ind w:right="-334"/>
              <w:jc w:val="center"/>
              <w:rPr>
                <w:rFonts w:ascii="Times New Roman" w:hAnsi="Times New Roman" w:cs="Times New Roman"/>
              </w:rPr>
            </w:pPr>
          </w:p>
        </w:tc>
        <w:tc>
          <w:tcPr>
            <w:tcW w:w="1417" w:type="dxa"/>
            <w:vMerge/>
            <w:vAlign w:val="center"/>
          </w:tcPr>
          <w:p w:rsidR="00714F5D" w:rsidRPr="001D0846" w:rsidRDefault="00714F5D" w:rsidP="008C5C6A">
            <w:pPr>
              <w:spacing w:line="276" w:lineRule="auto"/>
              <w:ind w:right="-334"/>
              <w:jc w:val="center"/>
              <w:rPr>
                <w:rFonts w:ascii="Times New Roman" w:hAnsi="Times New Roman" w:cs="Times New Roman"/>
                <w:b/>
              </w:rPr>
            </w:pPr>
          </w:p>
        </w:tc>
        <w:tc>
          <w:tcPr>
            <w:tcW w:w="1170" w:type="dxa"/>
            <w:vAlign w:val="center"/>
          </w:tcPr>
          <w:p w:rsidR="00714F5D" w:rsidRPr="001D0846" w:rsidRDefault="00714F5D" w:rsidP="008C5C6A">
            <w:pPr>
              <w:spacing w:line="276" w:lineRule="auto"/>
              <w:ind w:right="-211"/>
              <w:jc w:val="center"/>
              <w:rPr>
                <w:rFonts w:ascii="Times New Roman" w:hAnsi="Times New Roman" w:cs="Times New Roman"/>
                <w:b/>
              </w:rPr>
            </w:pPr>
            <w:r w:rsidRPr="001D0846">
              <w:rPr>
                <w:rFonts w:ascii="Times New Roman" w:hAnsi="Times New Roman" w:cs="Times New Roman"/>
                <w:b/>
              </w:rPr>
              <w:t>aprobate</w:t>
            </w:r>
          </w:p>
        </w:tc>
        <w:tc>
          <w:tcPr>
            <w:tcW w:w="1440" w:type="dxa"/>
            <w:vAlign w:val="center"/>
          </w:tcPr>
          <w:p w:rsidR="00714F5D" w:rsidRPr="001D0846" w:rsidRDefault="00714F5D" w:rsidP="008C5C6A">
            <w:pPr>
              <w:spacing w:line="276" w:lineRule="auto"/>
              <w:ind w:right="-189"/>
              <w:jc w:val="center"/>
              <w:rPr>
                <w:rFonts w:ascii="Times New Roman" w:hAnsi="Times New Roman" w:cs="Times New Roman"/>
                <w:b/>
              </w:rPr>
            </w:pPr>
            <w:r w:rsidRPr="001D0846">
              <w:rPr>
                <w:rFonts w:ascii="Times New Roman" w:hAnsi="Times New Roman" w:cs="Times New Roman"/>
                <w:b/>
              </w:rPr>
              <w:t>precizate</w:t>
            </w:r>
          </w:p>
        </w:tc>
        <w:tc>
          <w:tcPr>
            <w:tcW w:w="1500" w:type="dxa"/>
            <w:vAlign w:val="center"/>
          </w:tcPr>
          <w:p w:rsidR="00714F5D" w:rsidRPr="001D0846" w:rsidRDefault="00714F5D" w:rsidP="008C5C6A">
            <w:pPr>
              <w:spacing w:line="276" w:lineRule="auto"/>
              <w:ind w:right="35"/>
              <w:jc w:val="center"/>
              <w:rPr>
                <w:rFonts w:ascii="Times New Roman" w:hAnsi="Times New Roman" w:cs="Times New Roman"/>
                <w:b/>
              </w:rPr>
            </w:pPr>
            <w:r w:rsidRPr="001D0846">
              <w:rPr>
                <w:rFonts w:ascii="Times New Roman" w:hAnsi="Times New Roman" w:cs="Times New Roman"/>
                <w:b/>
              </w:rPr>
              <w:t>gradul de precizare (%)</w:t>
            </w:r>
          </w:p>
        </w:tc>
        <w:tc>
          <w:tcPr>
            <w:tcW w:w="1207" w:type="dxa"/>
            <w:vMerge/>
            <w:vAlign w:val="center"/>
          </w:tcPr>
          <w:p w:rsidR="00714F5D" w:rsidRPr="001D0846" w:rsidRDefault="00714F5D" w:rsidP="008C5C6A">
            <w:pPr>
              <w:spacing w:line="276" w:lineRule="auto"/>
              <w:ind w:right="-334"/>
              <w:rPr>
                <w:rFonts w:ascii="Times New Roman" w:hAnsi="Times New Roman" w:cs="Times New Roman"/>
              </w:rPr>
            </w:pPr>
          </w:p>
        </w:tc>
        <w:tc>
          <w:tcPr>
            <w:tcW w:w="1203" w:type="dxa"/>
            <w:vAlign w:val="center"/>
          </w:tcPr>
          <w:p w:rsidR="00714F5D" w:rsidRPr="001D0846" w:rsidRDefault="00703842" w:rsidP="008C5C6A">
            <w:pPr>
              <w:spacing w:line="276" w:lineRule="auto"/>
              <w:ind w:right="-232"/>
              <w:jc w:val="center"/>
              <w:rPr>
                <w:rFonts w:ascii="Times New Roman" w:hAnsi="Times New Roman" w:cs="Times New Roman"/>
                <w:b/>
              </w:rPr>
            </w:pPr>
            <w:r>
              <w:rPr>
                <w:rFonts w:ascii="Times New Roman" w:hAnsi="Times New Roman" w:cs="Times New Roman"/>
                <w:b/>
              </w:rPr>
              <w:t>aprobat</w:t>
            </w:r>
          </w:p>
        </w:tc>
        <w:tc>
          <w:tcPr>
            <w:tcW w:w="1260" w:type="dxa"/>
            <w:vAlign w:val="center"/>
          </w:tcPr>
          <w:p w:rsidR="00714F5D" w:rsidRPr="001D0846" w:rsidRDefault="00703842" w:rsidP="008C5C6A">
            <w:pPr>
              <w:spacing w:line="276" w:lineRule="auto"/>
              <w:ind w:right="51"/>
              <w:jc w:val="center"/>
              <w:rPr>
                <w:rFonts w:ascii="Times New Roman" w:hAnsi="Times New Roman" w:cs="Times New Roman"/>
                <w:b/>
              </w:rPr>
            </w:pPr>
            <w:r>
              <w:rPr>
                <w:rFonts w:ascii="Times New Roman" w:hAnsi="Times New Roman" w:cs="Times New Roman"/>
                <w:b/>
              </w:rPr>
              <w:t>precizat</w:t>
            </w:r>
          </w:p>
        </w:tc>
        <w:tc>
          <w:tcPr>
            <w:tcW w:w="1350" w:type="dxa"/>
            <w:gridSpan w:val="2"/>
            <w:tcBorders>
              <w:right w:val="single" w:sz="4" w:space="0" w:color="auto"/>
            </w:tcBorders>
            <w:vAlign w:val="center"/>
          </w:tcPr>
          <w:p w:rsidR="00714F5D" w:rsidRPr="001D0846" w:rsidRDefault="00714F5D" w:rsidP="008C5C6A">
            <w:pPr>
              <w:spacing w:line="276" w:lineRule="auto"/>
              <w:ind w:right="-10"/>
              <w:jc w:val="center"/>
              <w:rPr>
                <w:rFonts w:ascii="Times New Roman" w:hAnsi="Times New Roman" w:cs="Times New Roman"/>
                <w:b/>
              </w:rPr>
            </w:pPr>
            <w:r w:rsidRPr="001D0846">
              <w:rPr>
                <w:rFonts w:ascii="Times New Roman" w:hAnsi="Times New Roman" w:cs="Times New Roman"/>
                <w:b/>
              </w:rPr>
              <w:t>față de aprobat</w:t>
            </w:r>
          </w:p>
        </w:tc>
        <w:tc>
          <w:tcPr>
            <w:tcW w:w="1359" w:type="dxa"/>
            <w:tcBorders>
              <w:left w:val="single" w:sz="4" w:space="0" w:color="auto"/>
            </w:tcBorders>
            <w:vAlign w:val="center"/>
          </w:tcPr>
          <w:p w:rsidR="00714F5D" w:rsidRPr="001D0846" w:rsidRDefault="00714F5D" w:rsidP="008C5C6A">
            <w:pPr>
              <w:spacing w:line="276" w:lineRule="auto"/>
              <w:jc w:val="center"/>
              <w:rPr>
                <w:rFonts w:ascii="Times New Roman" w:hAnsi="Times New Roman" w:cs="Times New Roman"/>
                <w:b/>
              </w:rPr>
            </w:pPr>
            <w:r w:rsidRPr="001D0846">
              <w:rPr>
                <w:rFonts w:ascii="Times New Roman" w:hAnsi="Times New Roman" w:cs="Times New Roman"/>
                <w:b/>
              </w:rPr>
              <w:t>față de precizat</w:t>
            </w:r>
          </w:p>
        </w:tc>
      </w:tr>
      <w:tr w:rsidR="00714F5D" w:rsidRPr="001D0846" w:rsidTr="008C5C6A">
        <w:trPr>
          <w:trHeight w:val="317"/>
        </w:trPr>
        <w:tc>
          <w:tcPr>
            <w:tcW w:w="1135" w:type="dxa"/>
            <w:vAlign w:val="center"/>
          </w:tcPr>
          <w:p w:rsidR="00714F5D" w:rsidRPr="001D0846" w:rsidRDefault="00714F5D" w:rsidP="008C5C6A">
            <w:pPr>
              <w:spacing w:line="276" w:lineRule="auto"/>
              <w:ind w:right="-334"/>
              <w:jc w:val="center"/>
              <w:rPr>
                <w:rFonts w:ascii="Times New Roman" w:hAnsi="Times New Roman" w:cs="Times New Roman"/>
                <w:i/>
                <w:sz w:val="18"/>
                <w:szCs w:val="18"/>
              </w:rPr>
            </w:pPr>
            <w:r w:rsidRPr="001D0846">
              <w:rPr>
                <w:rFonts w:ascii="Times New Roman" w:hAnsi="Times New Roman" w:cs="Times New Roman"/>
                <w:i/>
                <w:sz w:val="18"/>
                <w:szCs w:val="18"/>
              </w:rPr>
              <w:t>1</w:t>
            </w:r>
          </w:p>
        </w:tc>
        <w:tc>
          <w:tcPr>
            <w:tcW w:w="1417" w:type="dxa"/>
            <w:vAlign w:val="center"/>
          </w:tcPr>
          <w:p w:rsidR="00714F5D" w:rsidRPr="001D0846" w:rsidRDefault="00714F5D" w:rsidP="008C5C6A">
            <w:pPr>
              <w:spacing w:line="276" w:lineRule="auto"/>
              <w:ind w:right="-334"/>
              <w:jc w:val="center"/>
              <w:rPr>
                <w:rFonts w:ascii="Times New Roman" w:hAnsi="Times New Roman" w:cs="Times New Roman"/>
                <w:i/>
                <w:sz w:val="18"/>
                <w:szCs w:val="18"/>
              </w:rPr>
            </w:pPr>
            <w:r w:rsidRPr="001D0846">
              <w:rPr>
                <w:rFonts w:ascii="Times New Roman" w:hAnsi="Times New Roman" w:cs="Times New Roman"/>
                <w:i/>
                <w:sz w:val="18"/>
                <w:szCs w:val="18"/>
              </w:rPr>
              <w:t>2</w:t>
            </w:r>
          </w:p>
        </w:tc>
        <w:tc>
          <w:tcPr>
            <w:tcW w:w="1170" w:type="dxa"/>
            <w:vAlign w:val="center"/>
          </w:tcPr>
          <w:p w:rsidR="00714F5D" w:rsidRPr="001D0846" w:rsidRDefault="00714F5D" w:rsidP="008C5C6A">
            <w:pPr>
              <w:spacing w:line="276" w:lineRule="auto"/>
              <w:ind w:right="-211"/>
              <w:jc w:val="center"/>
              <w:rPr>
                <w:rFonts w:ascii="Times New Roman" w:hAnsi="Times New Roman" w:cs="Times New Roman"/>
                <w:i/>
                <w:sz w:val="18"/>
                <w:szCs w:val="18"/>
              </w:rPr>
            </w:pPr>
            <w:r w:rsidRPr="001D0846">
              <w:rPr>
                <w:rFonts w:ascii="Times New Roman" w:hAnsi="Times New Roman" w:cs="Times New Roman"/>
                <w:i/>
                <w:sz w:val="18"/>
                <w:szCs w:val="18"/>
              </w:rPr>
              <w:t>3</w:t>
            </w:r>
          </w:p>
        </w:tc>
        <w:tc>
          <w:tcPr>
            <w:tcW w:w="1440" w:type="dxa"/>
            <w:vAlign w:val="center"/>
          </w:tcPr>
          <w:p w:rsidR="00714F5D" w:rsidRPr="001D0846" w:rsidRDefault="00714F5D" w:rsidP="008C5C6A">
            <w:pPr>
              <w:spacing w:line="276" w:lineRule="auto"/>
              <w:ind w:right="-189"/>
              <w:jc w:val="center"/>
              <w:rPr>
                <w:rFonts w:ascii="Times New Roman" w:hAnsi="Times New Roman" w:cs="Times New Roman"/>
                <w:i/>
                <w:sz w:val="18"/>
                <w:szCs w:val="18"/>
              </w:rPr>
            </w:pPr>
            <w:r w:rsidRPr="001D0846">
              <w:rPr>
                <w:rFonts w:ascii="Times New Roman" w:hAnsi="Times New Roman" w:cs="Times New Roman"/>
                <w:i/>
                <w:sz w:val="18"/>
                <w:szCs w:val="18"/>
              </w:rPr>
              <w:t>4</w:t>
            </w:r>
          </w:p>
        </w:tc>
        <w:tc>
          <w:tcPr>
            <w:tcW w:w="1500" w:type="dxa"/>
            <w:vAlign w:val="center"/>
          </w:tcPr>
          <w:p w:rsidR="00714F5D" w:rsidRPr="001D0846" w:rsidRDefault="00714F5D" w:rsidP="008C5C6A">
            <w:pPr>
              <w:spacing w:line="276" w:lineRule="auto"/>
              <w:ind w:right="35"/>
              <w:jc w:val="center"/>
              <w:rPr>
                <w:rFonts w:ascii="Times New Roman" w:hAnsi="Times New Roman" w:cs="Times New Roman"/>
                <w:i/>
                <w:sz w:val="18"/>
                <w:szCs w:val="18"/>
              </w:rPr>
            </w:pPr>
            <w:r w:rsidRPr="001D0846">
              <w:rPr>
                <w:rFonts w:ascii="Times New Roman" w:hAnsi="Times New Roman" w:cs="Times New Roman"/>
                <w:i/>
                <w:sz w:val="18"/>
                <w:szCs w:val="18"/>
              </w:rPr>
              <w:t>5=4/3*100-100</w:t>
            </w:r>
          </w:p>
        </w:tc>
        <w:tc>
          <w:tcPr>
            <w:tcW w:w="1207" w:type="dxa"/>
            <w:vAlign w:val="center"/>
          </w:tcPr>
          <w:p w:rsidR="00714F5D" w:rsidRPr="001D0846" w:rsidRDefault="00714F5D" w:rsidP="008C5C6A">
            <w:pPr>
              <w:spacing w:line="276" w:lineRule="auto"/>
              <w:ind w:right="-334"/>
              <w:jc w:val="center"/>
              <w:rPr>
                <w:rFonts w:ascii="Times New Roman" w:hAnsi="Times New Roman" w:cs="Times New Roman"/>
                <w:i/>
                <w:sz w:val="18"/>
                <w:szCs w:val="18"/>
              </w:rPr>
            </w:pPr>
            <w:r w:rsidRPr="001D0846">
              <w:rPr>
                <w:rFonts w:ascii="Times New Roman" w:hAnsi="Times New Roman" w:cs="Times New Roman"/>
                <w:i/>
                <w:sz w:val="18"/>
                <w:szCs w:val="18"/>
              </w:rPr>
              <w:t>6</w:t>
            </w:r>
          </w:p>
        </w:tc>
        <w:tc>
          <w:tcPr>
            <w:tcW w:w="1203" w:type="dxa"/>
            <w:vAlign w:val="center"/>
          </w:tcPr>
          <w:p w:rsidR="00714F5D" w:rsidRPr="001D0846" w:rsidRDefault="00714F5D" w:rsidP="008C5C6A">
            <w:pPr>
              <w:spacing w:line="276" w:lineRule="auto"/>
              <w:ind w:right="-232"/>
              <w:jc w:val="center"/>
              <w:rPr>
                <w:rFonts w:ascii="Times New Roman" w:hAnsi="Times New Roman" w:cs="Times New Roman"/>
                <w:i/>
                <w:sz w:val="18"/>
                <w:szCs w:val="18"/>
              </w:rPr>
            </w:pPr>
            <w:r w:rsidRPr="001D0846">
              <w:rPr>
                <w:rFonts w:ascii="Times New Roman" w:hAnsi="Times New Roman" w:cs="Times New Roman"/>
                <w:i/>
                <w:sz w:val="18"/>
                <w:szCs w:val="18"/>
              </w:rPr>
              <w:t>7=6/3*100</w:t>
            </w:r>
          </w:p>
        </w:tc>
        <w:tc>
          <w:tcPr>
            <w:tcW w:w="1260" w:type="dxa"/>
            <w:vAlign w:val="center"/>
          </w:tcPr>
          <w:p w:rsidR="00714F5D" w:rsidRPr="001D0846" w:rsidRDefault="00714F5D" w:rsidP="008C5C6A">
            <w:pPr>
              <w:spacing w:line="276" w:lineRule="auto"/>
              <w:ind w:right="51"/>
              <w:jc w:val="center"/>
              <w:rPr>
                <w:rFonts w:ascii="Times New Roman" w:hAnsi="Times New Roman" w:cs="Times New Roman"/>
                <w:i/>
                <w:sz w:val="18"/>
                <w:szCs w:val="18"/>
              </w:rPr>
            </w:pPr>
            <w:r w:rsidRPr="001D0846">
              <w:rPr>
                <w:rFonts w:ascii="Times New Roman" w:hAnsi="Times New Roman" w:cs="Times New Roman"/>
                <w:i/>
                <w:sz w:val="18"/>
                <w:szCs w:val="18"/>
              </w:rPr>
              <w:t>8=6/4*100</w:t>
            </w:r>
          </w:p>
        </w:tc>
        <w:tc>
          <w:tcPr>
            <w:tcW w:w="1350" w:type="dxa"/>
            <w:gridSpan w:val="2"/>
            <w:tcBorders>
              <w:right w:val="single" w:sz="4" w:space="0" w:color="auto"/>
            </w:tcBorders>
            <w:vAlign w:val="center"/>
          </w:tcPr>
          <w:p w:rsidR="00714F5D" w:rsidRPr="001D0846" w:rsidRDefault="00714F5D" w:rsidP="008C5C6A">
            <w:pPr>
              <w:spacing w:line="276" w:lineRule="auto"/>
              <w:ind w:right="-10"/>
              <w:jc w:val="center"/>
              <w:rPr>
                <w:rFonts w:ascii="Times New Roman" w:hAnsi="Times New Roman" w:cs="Times New Roman"/>
                <w:i/>
                <w:sz w:val="18"/>
                <w:szCs w:val="18"/>
              </w:rPr>
            </w:pPr>
            <w:r w:rsidRPr="001D0846">
              <w:rPr>
                <w:rFonts w:ascii="Times New Roman" w:hAnsi="Times New Roman" w:cs="Times New Roman"/>
                <w:i/>
                <w:sz w:val="18"/>
                <w:szCs w:val="18"/>
              </w:rPr>
              <w:t>9=6-3</w:t>
            </w:r>
          </w:p>
        </w:tc>
        <w:tc>
          <w:tcPr>
            <w:tcW w:w="1359" w:type="dxa"/>
            <w:tcBorders>
              <w:left w:val="single" w:sz="4" w:space="0" w:color="auto"/>
            </w:tcBorders>
            <w:vAlign w:val="center"/>
          </w:tcPr>
          <w:p w:rsidR="00714F5D" w:rsidRPr="001D0846" w:rsidRDefault="00714F5D" w:rsidP="008C5C6A">
            <w:pPr>
              <w:spacing w:line="276" w:lineRule="auto"/>
              <w:jc w:val="center"/>
              <w:rPr>
                <w:rFonts w:ascii="Times New Roman" w:hAnsi="Times New Roman" w:cs="Times New Roman"/>
                <w:i/>
                <w:sz w:val="18"/>
                <w:szCs w:val="18"/>
              </w:rPr>
            </w:pPr>
            <w:r w:rsidRPr="001D0846">
              <w:rPr>
                <w:rFonts w:ascii="Times New Roman" w:hAnsi="Times New Roman" w:cs="Times New Roman"/>
                <w:i/>
                <w:sz w:val="18"/>
                <w:szCs w:val="18"/>
              </w:rPr>
              <w:t>10=6-4</w:t>
            </w:r>
          </w:p>
        </w:tc>
      </w:tr>
      <w:tr w:rsidR="00714F5D" w:rsidRPr="001D0846" w:rsidTr="008C5C6A">
        <w:tc>
          <w:tcPr>
            <w:tcW w:w="1135" w:type="dxa"/>
          </w:tcPr>
          <w:p w:rsidR="00714F5D" w:rsidRPr="001D0846" w:rsidRDefault="00714F5D" w:rsidP="008C5C6A">
            <w:pPr>
              <w:spacing w:line="276" w:lineRule="auto"/>
              <w:ind w:right="30"/>
              <w:jc w:val="center"/>
              <w:rPr>
                <w:rFonts w:ascii="Times New Roman" w:hAnsi="Times New Roman" w:cs="Times New Roman"/>
                <w:b/>
              </w:rPr>
            </w:pPr>
            <w:r w:rsidRPr="001D0846">
              <w:rPr>
                <w:rFonts w:ascii="Times New Roman" w:hAnsi="Times New Roman" w:cs="Times New Roman"/>
                <w:b/>
              </w:rPr>
              <w:t>2015</w:t>
            </w:r>
          </w:p>
        </w:tc>
        <w:tc>
          <w:tcPr>
            <w:tcW w:w="1417" w:type="dxa"/>
            <w:vAlign w:val="bottom"/>
          </w:tcPr>
          <w:p w:rsidR="00714F5D" w:rsidRPr="001D0846" w:rsidRDefault="00714F5D" w:rsidP="008C5C6A">
            <w:pPr>
              <w:spacing w:line="276" w:lineRule="auto"/>
              <w:jc w:val="center"/>
              <w:rPr>
                <w:rFonts w:ascii="Times New Roman" w:hAnsi="Times New Roman" w:cs="Times New Roman"/>
                <w:color w:val="000000"/>
              </w:rPr>
            </w:pPr>
            <w:r>
              <w:rPr>
                <w:rFonts w:ascii="Times New Roman" w:hAnsi="Times New Roman" w:cs="Times New Roman"/>
                <w:color w:val="000000"/>
              </w:rPr>
              <w:t>16169,1</w:t>
            </w:r>
          </w:p>
        </w:tc>
        <w:tc>
          <w:tcPr>
            <w:tcW w:w="1170" w:type="dxa"/>
          </w:tcPr>
          <w:p w:rsidR="00714F5D" w:rsidRPr="001D0846" w:rsidRDefault="00714F5D" w:rsidP="008C5C6A">
            <w:pPr>
              <w:spacing w:line="276" w:lineRule="auto"/>
              <w:ind w:right="72"/>
              <w:jc w:val="center"/>
              <w:rPr>
                <w:rFonts w:ascii="Times New Roman" w:hAnsi="Times New Roman" w:cs="Times New Roman"/>
              </w:rPr>
            </w:pPr>
            <w:r w:rsidRPr="001D0846">
              <w:rPr>
                <w:rFonts w:ascii="Times New Roman" w:hAnsi="Times New Roman" w:cs="Times New Roman"/>
              </w:rPr>
              <w:t>17419,80</w:t>
            </w:r>
          </w:p>
        </w:tc>
        <w:tc>
          <w:tcPr>
            <w:tcW w:w="1440" w:type="dxa"/>
          </w:tcPr>
          <w:p w:rsidR="00714F5D" w:rsidRPr="001D0846" w:rsidRDefault="00714F5D" w:rsidP="008C5C6A">
            <w:pPr>
              <w:spacing w:line="276" w:lineRule="auto"/>
              <w:jc w:val="center"/>
              <w:rPr>
                <w:rFonts w:ascii="Times New Roman" w:hAnsi="Times New Roman" w:cs="Times New Roman"/>
              </w:rPr>
            </w:pPr>
            <w:r w:rsidRPr="001D0846">
              <w:rPr>
                <w:rFonts w:ascii="Times New Roman" w:hAnsi="Times New Roman" w:cs="Times New Roman"/>
              </w:rPr>
              <w:t>16027,16</w:t>
            </w:r>
          </w:p>
        </w:tc>
        <w:tc>
          <w:tcPr>
            <w:tcW w:w="1500" w:type="dxa"/>
          </w:tcPr>
          <w:p w:rsidR="00714F5D" w:rsidRPr="001D0846" w:rsidRDefault="00714F5D" w:rsidP="008C5C6A">
            <w:pPr>
              <w:spacing w:line="276" w:lineRule="auto"/>
              <w:ind w:right="41"/>
              <w:jc w:val="center"/>
              <w:rPr>
                <w:rFonts w:ascii="Times New Roman" w:hAnsi="Times New Roman" w:cs="Times New Roman"/>
              </w:rPr>
            </w:pPr>
            <w:r w:rsidRPr="001D0846">
              <w:rPr>
                <w:rFonts w:ascii="Times New Roman" w:hAnsi="Times New Roman" w:cs="Times New Roman"/>
              </w:rPr>
              <w:t>-7,99</w:t>
            </w:r>
          </w:p>
        </w:tc>
        <w:tc>
          <w:tcPr>
            <w:tcW w:w="1207" w:type="dxa"/>
          </w:tcPr>
          <w:p w:rsidR="00714F5D" w:rsidRPr="001D0846" w:rsidRDefault="00714F5D" w:rsidP="008C5C6A">
            <w:pPr>
              <w:spacing w:line="276" w:lineRule="auto"/>
              <w:jc w:val="center"/>
              <w:rPr>
                <w:rFonts w:ascii="Times New Roman" w:hAnsi="Times New Roman" w:cs="Times New Roman"/>
              </w:rPr>
            </w:pPr>
            <w:r w:rsidRPr="001D0846">
              <w:rPr>
                <w:rFonts w:ascii="Times New Roman" w:hAnsi="Times New Roman" w:cs="Times New Roman"/>
              </w:rPr>
              <w:t>15829,96</w:t>
            </w:r>
          </w:p>
        </w:tc>
        <w:tc>
          <w:tcPr>
            <w:tcW w:w="1203" w:type="dxa"/>
          </w:tcPr>
          <w:p w:rsidR="00714F5D" w:rsidRPr="001D0846" w:rsidRDefault="00714F5D" w:rsidP="008C5C6A">
            <w:pPr>
              <w:spacing w:line="276" w:lineRule="auto"/>
              <w:ind w:right="-220"/>
              <w:jc w:val="center"/>
              <w:rPr>
                <w:rFonts w:ascii="Times New Roman" w:hAnsi="Times New Roman" w:cs="Times New Roman"/>
              </w:rPr>
            </w:pPr>
            <w:r w:rsidRPr="001D0846">
              <w:rPr>
                <w:rFonts w:ascii="Times New Roman" w:hAnsi="Times New Roman" w:cs="Times New Roman"/>
              </w:rPr>
              <w:t>90,87</w:t>
            </w:r>
          </w:p>
        </w:tc>
        <w:tc>
          <w:tcPr>
            <w:tcW w:w="1260" w:type="dxa"/>
          </w:tcPr>
          <w:p w:rsidR="00714F5D" w:rsidRPr="001D0846" w:rsidRDefault="00714F5D" w:rsidP="008C5C6A">
            <w:pPr>
              <w:spacing w:line="276" w:lineRule="auto"/>
              <w:ind w:right="-227"/>
              <w:jc w:val="center"/>
              <w:rPr>
                <w:rFonts w:ascii="Times New Roman" w:hAnsi="Times New Roman" w:cs="Times New Roman"/>
              </w:rPr>
            </w:pPr>
            <w:r w:rsidRPr="001D0846">
              <w:rPr>
                <w:rFonts w:ascii="Times New Roman" w:hAnsi="Times New Roman" w:cs="Times New Roman"/>
              </w:rPr>
              <w:t>98,77</w:t>
            </w:r>
          </w:p>
        </w:tc>
        <w:tc>
          <w:tcPr>
            <w:tcW w:w="1350" w:type="dxa"/>
            <w:gridSpan w:val="2"/>
          </w:tcPr>
          <w:p w:rsidR="00714F5D" w:rsidRPr="001D0846" w:rsidRDefault="00714F5D" w:rsidP="008C5C6A">
            <w:pPr>
              <w:spacing w:line="276" w:lineRule="auto"/>
              <w:ind w:right="-300"/>
              <w:jc w:val="center"/>
              <w:rPr>
                <w:rFonts w:ascii="Times New Roman" w:hAnsi="Times New Roman" w:cs="Times New Roman"/>
              </w:rPr>
            </w:pPr>
            <w:r w:rsidRPr="001D0846">
              <w:rPr>
                <w:rFonts w:ascii="Times New Roman" w:hAnsi="Times New Roman" w:cs="Times New Roman"/>
              </w:rPr>
              <w:t>-1589,84</w:t>
            </w:r>
          </w:p>
        </w:tc>
        <w:tc>
          <w:tcPr>
            <w:tcW w:w="1359" w:type="dxa"/>
          </w:tcPr>
          <w:p w:rsidR="00714F5D" w:rsidRPr="001D0846" w:rsidRDefault="00714F5D" w:rsidP="008C5C6A">
            <w:pPr>
              <w:spacing w:line="276" w:lineRule="auto"/>
              <w:jc w:val="center"/>
              <w:rPr>
                <w:rFonts w:ascii="Times New Roman" w:hAnsi="Times New Roman" w:cs="Times New Roman"/>
              </w:rPr>
            </w:pPr>
            <w:r w:rsidRPr="001D0846">
              <w:rPr>
                <w:rFonts w:ascii="Times New Roman" w:hAnsi="Times New Roman" w:cs="Times New Roman"/>
              </w:rPr>
              <w:t>-197,20</w:t>
            </w:r>
          </w:p>
        </w:tc>
      </w:tr>
      <w:tr w:rsidR="00714F5D" w:rsidRPr="001D0846" w:rsidTr="008C5C6A">
        <w:tc>
          <w:tcPr>
            <w:tcW w:w="1135" w:type="dxa"/>
          </w:tcPr>
          <w:p w:rsidR="00714F5D" w:rsidRPr="001D0846" w:rsidRDefault="00714F5D" w:rsidP="008C5C6A">
            <w:pPr>
              <w:spacing w:line="276" w:lineRule="auto"/>
              <w:ind w:right="30"/>
              <w:jc w:val="center"/>
              <w:rPr>
                <w:rFonts w:ascii="Times New Roman" w:hAnsi="Times New Roman" w:cs="Times New Roman"/>
                <w:b/>
              </w:rPr>
            </w:pPr>
            <w:r w:rsidRPr="001D0846">
              <w:rPr>
                <w:rFonts w:ascii="Times New Roman" w:hAnsi="Times New Roman" w:cs="Times New Roman"/>
                <w:b/>
              </w:rPr>
              <w:t>2016</w:t>
            </w:r>
          </w:p>
        </w:tc>
        <w:tc>
          <w:tcPr>
            <w:tcW w:w="1417" w:type="dxa"/>
            <w:vAlign w:val="bottom"/>
          </w:tcPr>
          <w:p w:rsidR="00714F5D" w:rsidRPr="001D0846" w:rsidRDefault="00714F5D" w:rsidP="008C5C6A">
            <w:pPr>
              <w:spacing w:line="276" w:lineRule="auto"/>
              <w:jc w:val="center"/>
              <w:rPr>
                <w:rFonts w:ascii="Times New Roman" w:hAnsi="Times New Roman" w:cs="Times New Roman"/>
                <w:color w:val="000000"/>
              </w:rPr>
            </w:pPr>
            <w:r>
              <w:rPr>
                <w:rFonts w:ascii="Times New Roman" w:hAnsi="Times New Roman" w:cs="Times New Roman"/>
                <w:color w:val="000000"/>
              </w:rPr>
              <w:t>17160,5</w:t>
            </w:r>
          </w:p>
        </w:tc>
        <w:tc>
          <w:tcPr>
            <w:tcW w:w="1170" w:type="dxa"/>
          </w:tcPr>
          <w:p w:rsidR="00714F5D" w:rsidRPr="001D0846" w:rsidRDefault="00714F5D" w:rsidP="008C5C6A">
            <w:pPr>
              <w:spacing w:line="276" w:lineRule="auto"/>
              <w:jc w:val="center"/>
              <w:rPr>
                <w:rFonts w:ascii="Times New Roman" w:hAnsi="Times New Roman" w:cs="Times New Roman"/>
              </w:rPr>
            </w:pPr>
            <w:r w:rsidRPr="001D0846">
              <w:rPr>
                <w:rFonts w:ascii="Times New Roman" w:hAnsi="Times New Roman" w:cs="Times New Roman"/>
              </w:rPr>
              <w:t>18480,06</w:t>
            </w:r>
          </w:p>
        </w:tc>
        <w:tc>
          <w:tcPr>
            <w:tcW w:w="1440" w:type="dxa"/>
          </w:tcPr>
          <w:p w:rsidR="00714F5D" w:rsidRPr="001D0846" w:rsidRDefault="00714F5D" w:rsidP="008C5C6A">
            <w:pPr>
              <w:spacing w:line="276" w:lineRule="auto"/>
              <w:jc w:val="center"/>
              <w:rPr>
                <w:rFonts w:ascii="Times New Roman" w:hAnsi="Times New Roman" w:cs="Times New Roman"/>
              </w:rPr>
            </w:pPr>
            <w:r w:rsidRPr="001D0846">
              <w:rPr>
                <w:rFonts w:ascii="Times New Roman" w:hAnsi="Times New Roman" w:cs="Times New Roman"/>
              </w:rPr>
              <w:t>17138,51</w:t>
            </w:r>
          </w:p>
        </w:tc>
        <w:tc>
          <w:tcPr>
            <w:tcW w:w="1500" w:type="dxa"/>
          </w:tcPr>
          <w:p w:rsidR="00714F5D" w:rsidRPr="001D0846" w:rsidRDefault="00714F5D" w:rsidP="008C5C6A">
            <w:pPr>
              <w:spacing w:line="276" w:lineRule="auto"/>
              <w:ind w:right="41"/>
              <w:jc w:val="center"/>
              <w:rPr>
                <w:rFonts w:ascii="Times New Roman" w:hAnsi="Times New Roman" w:cs="Times New Roman"/>
              </w:rPr>
            </w:pPr>
            <w:r w:rsidRPr="001D0846">
              <w:rPr>
                <w:rFonts w:ascii="Times New Roman" w:hAnsi="Times New Roman" w:cs="Times New Roman"/>
              </w:rPr>
              <w:t>-7,</w:t>
            </w:r>
            <w:r>
              <w:rPr>
                <w:rFonts w:ascii="Times New Roman" w:hAnsi="Times New Roman" w:cs="Times New Roman"/>
              </w:rPr>
              <w:t>5</w:t>
            </w:r>
            <w:r w:rsidRPr="001D0846">
              <w:rPr>
                <w:rFonts w:ascii="Times New Roman" w:hAnsi="Times New Roman" w:cs="Times New Roman"/>
              </w:rPr>
              <w:t>6</w:t>
            </w:r>
          </w:p>
        </w:tc>
        <w:tc>
          <w:tcPr>
            <w:tcW w:w="1207" w:type="dxa"/>
          </w:tcPr>
          <w:p w:rsidR="00714F5D" w:rsidRPr="001D0846" w:rsidRDefault="00714F5D" w:rsidP="008C5C6A">
            <w:pPr>
              <w:spacing w:line="276" w:lineRule="auto"/>
              <w:jc w:val="center"/>
              <w:rPr>
                <w:rFonts w:ascii="Times New Roman" w:hAnsi="Times New Roman" w:cs="Times New Roman"/>
              </w:rPr>
            </w:pPr>
            <w:r w:rsidRPr="001D0846">
              <w:rPr>
                <w:rFonts w:ascii="Times New Roman" w:hAnsi="Times New Roman" w:cs="Times New Roman"/>
              </w:rPr>
              <w:t>17476,10</w:t>
            </w:r>
          </w:p>
        </w:tc>
        <w:tc>
          <w:tcPr>
            <w:tcW w:w="1203" w:type="dxa"/>
          </w:tcPr>
          <w:p w:rsidR="00714F5D" w:rsidRPr="001D0846" w:rsidRDefault="00714F5D" w:rsidP="008C5C6A">
            <w:pPr>
              <w:spacing w:line="276" w:lineRule="auto"/>
              <w:ind w:right="-220"/>
              <w:jc w:val="center"/>
              <w:rPr>
                <w:rFonts w:ascii="Times New Roman" w:hAnsi="Times New Roman" w:cs="Times New Roman"/>
              </w:rPr>
            </w:pPr>
            <w:r w:rsidRPr="001D0846">
              <w:rPr>
                <w:rFonts w:ascii="Times New Roman" w:hAnsi="Times New Roman" w:cs="Times New Roman"/>
              </w:rPr>
              <w:t>94,57</w:t>
            </w:r>
          </w:p>
        </w:tc>
        <w:tc>
          <w:tcPr>
            <w:tcW w:w="1260" w:type="dxa"/>
          </w:tcPr>
          <w:p w:rsidR="00714F5D" w:rsidRPr="001D0846" w:rsidRDefault="00714F5D" w:rsidP="008C5C6A">
            <w:pPr>
              <w:spacing w:line="276" w:lineRule="auto"/>
              <w:ind w:right="-227"/>
              <w:jc w:val="center"/>
              <w:rPr>
                <w:rFonts w:ascii="Times New Roman" w:hAnsi="Times New Roman" w:cs="Times New Roman"/>
              </w:rPr>
            </w:pPr>
            <w:r w:rsidRPr="001D0846">
              <w:rPr>
                <w:rFonts w:ascii="Times New Roman" w:hAnsi="Times New Roman" w:cs="Times New Roman"/>
              </w:rPr>
              <w:t>101,97</w:t>
            </w:r>
          </w:p>
        </w:tc>
        <w:tc>
          <w:tcPr>
            <w:tcW w:w="1350" w:type="dxa"/>
            <w:gridSpan w:val="2"/>
          </w:tcPr>
          <w:p w:rsidR="00714F5D" w:rsidRPr="001D0846" w:rsidRDefault="00714F5D" w:rsidP="008C5C6A">
            <w:pPr>
              <w:spacing w:line="276" w:lineRule="auto"/>
              <w:ind w:right="-300"/>
              <w:jc w:val="center"/>
              <w:rPr>
                <w:rFonts w:ascii="Times New Roman" w:hAnsi="Times New Roman" w:cs="Times New Roman"/>
              </w:rPr>
            </w:pPr>
            <w:r w:rsidRPr="001D0846">
              <w:rPr>
                <w:rFonts w:ascii="Times New Roman" w:hAnsi="Times New Roman" w:cs="Times New Roman"/>
              </w:rPr>
              <w:t>-1003,96</w:t>
            </w:r>
          </w:p>
        </w:tc>
        <w:tc>
          <w:tcPr>
            <w:tcW w:w="1359" w:type="dxa"/>
          </w:tcPr>
          <w:p w:rsidR="00714F5D" w:rsidRPr="001D0846" w:rsidRDefault="00714F5D" w:rsidP="008C5C6A">
            <w:pPr>
              <w:spacing w:line="276" w:lineRule="auto"/>
              <w:jc w:val="center"/>
              <w:rPr>
                <w:rFonts w:ascii="Times New Roman" w:hAnsi="Times New Roman" w:cs="Times New Roman"/>
              </w:rPr>
            </w:pPr>
            <w:r w:rsidRPr="001D0846">
              <w:rPr>
                <w:rFonts w:ascii="Times New Roman" w:hAnsi="Times New Roman" w:cs="Times New Roman"/>
              </w:rPr>
              <w:t>337,59</w:t>
            </w:r>
          </w:p>
        </w:tc>
      </w:tr>
      <w:tr w:rsidR="00714F5D" w:rsidRPr="001D0846" w:rsidTr="008C5C6A">
        <w:tc>
          <w:tcPr>
            <w:tcW w:w="1135" w:type="dxa"/>
          </w:tcPr>
          <w:p w:rsidR="00714F5D" w:rsidRPr="001D0846" w:rsidRDefault="00714F5D" w:rsidP="008C5C6A">
            <w:pPr>
              <w:spacing w:line="276" w:lineRule="auto"/>
              <w:ind w:right="30"/>
              <w:jc w:val="center"/>
              <w:rPr>
                <w:rFonts w:ascii="Times New Roman" w:hAnsi="Times New Roman" w:cs="Times New Roman"/>
                <w:b/>
              </w:rPr>
            </w:pPr>
            <w:r w:rsidRPr="001D0846">
              <w:rPr>
                <w:rFonts w:ascii="Times New Roman" w:hAnsi="Times New Roman" w:cs="Times New Roman"/>
                <w:b/>
              </w:rPr>
              <w:t>2017</w:t>
            </w:r>
          </w:p>
        </w:tc>
        <w:tc>
          <w:tcPr>
            <w:tcW w:w="1417" w:type="dxa"/>
            <w:vAlign w:val="bottom"/>
          </w:tcPr>
          <w:p w:rsidR="00714F5D" w:rsidRPr="001D0846" w:rsidRDefault="00714F5D" w:rsidP="008C5C6A">
            <w:pPr>
              <w:spacing w:line="276" w:lineRule="auto"/>
              <w:jc w:val="center"/>
              <w:rPr>
                <w:rFonts w:ascii="Times New Roman" w:hAnsi="Times New Roman" w:cs="Times New Roman"/>
                <w:color w:val="000000"/>
              </w:rPr>
            </w:pPr>
            <w:r w:rsidRPr="001D0846">
              <w:rPr>
                <w:rFonts w:ascii="Times New Roman" w:hAnsi="Times New Roman" w:cs="Times New Roman"/>
                <w:color w:val="000000"/>
              </w:rPr>
              <w:t>18</w:t>
            </w:r>
            <w:r>
              <w:rPr>
                <w:rFonts w:ascii="Times New Roman" w:hAnsi="Times New Roman" w:cs="Times New Roman"/>
                <w:color w:val="000000"/>
              </w:rPr>
              <w:t>277,7</w:t>
            </w:r>
          </w:p>
        </w:tc>
        <w:tc>
          <w:tcPr>
            <w:tcW w:w="1170" w:type="dxa"/>
          </w:tcPr>
          <w:p w:rsidR="00714F5D" w:rsidRPr="001D0846" w:rsidRDefault="00714F5D" w:rsidP="008C5C6A">
            <w:pPr>
              <w:spacing w:line="276" w:lineRule="auto"/>
              <w:jc w:val="center"/>
              <w:rPr>
                <w:rFonts w:ascii="Times New Roman" w:hAnsi="Times New Roman" w:cs="Times New Roman"/>
              </w:rPr>
            </w:pPr>
            <w:r w:rsidRPr="001D0846">
              <w:rPr>
                <w:rFonts w:ascii="Times New Roman" w:hAnsi="Times New Roman" w:cs="Times New Roman"/>
              </w:rPr>
              <w:t>18564,62</w:t>
            </w:r>
          </w:p>
        </w:tc>
        <w:tc>
          <w:tcPr>
            <w:tcW w:w="1440" w:type="dxa"/>
          </w:tcPr>
          <w:p w:rsidR="00714F5D" w:rsidRPr="001D0846" w:rsidRDefault="00714F5D" w:rsidP="008C5C6A">
            <w:pPr>
              <w:spacing w:line="276" w:lineRule="auto"/>
              <w:jc w:val="center"/>
              <w:rPr>
                <w:rFonts w:ascii="Times New Roman" w:hAnsi="Times New Roman" w:cs="Times New Roman"/>
              </w:rPr>
            </w:pPr>
            <w:r w:rsidRPr="001D0846">
              <w:rPr>
                <w:rFonts w:ascii="Times New Roman" w:hAnsi="Times New Roman" w:cs="Times New Roman"/>
              </w:rPr>
              <w:t>20045,47</w:t>
            </w:r>
          </w:p>
        </w:tc>
        <w:tc>
          <w:tcPr>
            <w:tcW w:w="1500" w:type="dxa"/>
          </w:tcPr>
          <w:p w:rsidR="00714F5D" w:rsidRPr="001D0846" w:rsidRDefault="00714F5D" w:rsidP="008C5C6A">
            <w:pPr>
              <w:spacing w:line="276" w:lineRule="auto"/>
              <w:ind w:right="41"/>
              <w:jc w:val="center"/>
              <w:rPr>
                <w:rFonts w:ascii="Times New Roman" w:hAnsi="Times New Roman" w:cs="Times New Roman"/>
              </w:rPr>
            </w:pPr>
            <w:r w:rsidRPr="001D0846">
              <w:rPr>
                <w:rFonts w:ascii="Times New Roman" w:hAnsi="Times New Roman" w:cs="Times New Roman"/>
              </w:rPr>
              <w:t>7,98</w:t>
            </w:r>
          </w:p>
        </w:tc>
        <w:tc>
          <w:tcPr>
            <w:tcW w:w="1207" w:type="dxa"/>
          </w:tcPr>
          <w:p w:rsidR="00714F5D" w:rsidRPr="001D0846" w:rsidRDefault="00714F5D" w:rsidP="008C5C6A">
            <w:pPr>
              <w:spacing w:line="276" w:lineRule="auto"/>
              <w:jc w:val="center"/>
              <w:rPr>
                <w:rFonts w:ascii="Times New Roman" w:hAnsi="Times New Roman" w:cs="Times New Roman"/>
              </w:rPr>
            </w:pPr>
            <w:r w:rsidRPr="001D0846">
              <w:rPr>
                <w:rFonts w:ascii="Times New Roman" w:hAnsi="Times New Roman" w:cs="Times New Roman"/>
              </w:rPr>
              <w:t>20372,57</w:t>
            </w:r>
          </w:p>
        </w:tc>
        <w:tc>
          <w:tcPr>
            <w:tcW w:w="1203" w:type="dxa"/>
          </w:tcPr>
          <w:p w:rsidR="00714F5D" w:rsidRPr="001D0846" w:rsidRDefault="00714F5D" w:rsidP="008C5C6A">
            <w:pPr>
              <w:spacing w:line="276" w:lineRule="auto"/>
              <w:ind w:right="-220"/>
              <w:jc w:val="center"/>
              <w:rPr>
                <w:rFonts w:ascii="Times New Roman" w:hAnsi="Times New Roman" w:cs="Times New Roman"/>
              </w:rPr>
            </w:pPr>
            <w:r w:rsidRPr="001D0846">
              <w:rPr>
                <w:rFonts w:ascii="Times New Roman" w:hAnsi="Times New Roman" w:cs="Times New Roman"/>
              </w:rPr>
              <w:t>109,74</w:t>
            </w:r>
          </w:p>
        </w:tc>
        <w:tc>
          <w:tcPr>
            <w:tcW w:w="1260" w:type="dxa"/>
          </w:tcPr>
          <w:p w:rsidR="00714F5D" w:rsidRPr="001D0846" w:rsidRDefault="00714F5D" w:rsidP="008C5C6A">
            <w:pPr>
              <w:spacing w:line="276" w:lineRule="auto"/>
              <w:ind w:right="-227"/>
              <w:jc w:val="center"/>
              <w:rPr>
                <w:rFonts w:ascii="Times New Roman" w:hAnsi="Times New Roman" w:cs="Times New Roman"/>
              </w:rPr>
            </w:pPr>
            <w:r w:rsidRPr="001D0846">
              <w:rPr>
                <w:rFonts w:ascii="Times New Roman" w:hAnsi="Times New Roman" w:cs="Times New Roman"/>
              </w:rPr>
              <w:t>101,63</w:t>
            </w:r>
          </w:p>
        </w:tc>
        <w:tc>
          <w:tcPr>
            <w:tcW w:w="1350" w:type="dxa"/>
            <w:gridSpan w:val="2"/>
          </w:tcPr>
          <w:p w:rsidR="00714F5D" w:rsidRPr="001D0846" w:rsidRDefault="00714F5D" w:rsidP="008C5C6A">
            <w:pPr>
              <w:spacing w:line="276" w:lineRule="auto"/>
              <w:ind w:right="-334"/>
              <w:jc w:val="center"/>
              <w:rPr>
                <w:rFonts w:ascii="Times New Roman" w:hAnsi="Times New Roman" w:cs="Times New Roman"/>
              </w:rPr>
            </w:pPr>
            <w:r w:rsidRPr="001D0846">
              <w:rPr>
                <w:rFonts w:ascii="Times New Roman" w:hAnsi="Times New Roman" w:cs="Times New Roman"/>
              </w:rPr>
              <w:t>1807,95</w:t>
            </w:r>
          </w:p>
        </w:tc>
        <w:tc>
          <w:tcPr>
            <w:tcW w:w="1359" w:type="dxa"/>
          </w:tcPr>
          <w:p w:rsidR="00714F5D" w:rsidRPr="001D0846" w:rsidRDefault="00714F5D" w:rsidP="008C5C6A">
            <w:pPr>
              <w:spacing w:line="276" w:lineRule="auto"/>
              <w:jc w:val="center"/>
              <w:rPr>
                <w:rFonts w:ascii="Times New Roman" w:hAnsi="Times New Roman" w:cs="Times New Roman"/>
              </w:rPr>
            </w:pPr>
            <w:r w:rsidRPr="001D0846">
              <w:rPr>
                <w:rFonts w:ascii="Times New Roman" w:hAnsi="Times New Roman" w:cs="Times New Roman"/>
              </w:rPr>
              <w:t>327,10</w:t>
            </w:r>
          </w:p>
        </w:tc>
      </w:tr>
    </w:tbl>
    <w:p w:rsidR="00714F5D" w:rsidRPr="001D0846" w:rsidRDefault="00714F5D" w:rsidP="00714F5D">
      <w:pPr>
        <w:spacing w:after="0" w:line="276" w:lineRule="auto"/>
        <w:ind w:right="-331"/>
        <w:rPr>
          <w:rFonts w:ascii="Times New Roman" w:hAnsi="Times New Roman" w:cs="Times New Roman"/>
          <w:b/>
          <w:i/>
          <w:sz w:val="28"/>
          <w:szCs w:val="28"/>
        </w:rPr>
      </w:pPr>
      <w:r w:rsidRPr="001D0846">
        <w:rPr>
          <w:rFonts w:ascii="Times New Roman" w:hAnsi="Times New Roman" w:cs="Times New Roman"/>
          <w:b/>
          <w:i/>
          <w:sz w:val="20"/>
          <w:szCs w:val="20"/>
        </w:rPr>
        <w:t xml:space="preserve">  Sursă:</w:t>
      </w:r>
      <w:r w:rsidRPr="001D0846">
        <w:rPr>
          <w:rFonts w:ascii="Times New Roman" w:hAnsi="Times New Roman" w:cs="Times New Roman"/>
          <w:i/>
          <w:sz w:val="20"/>
          <w:szCs w:val="20"/>
        </w:rPr>
        <w:t xml:space="preserve"> Datele generalizate de către echipa de audit din informațiile și dările de seamă a</w:t>
      </w:r>
      <w:r>
        <w:rPr>
          <w:rFonts w:ascii="Times New Roman" w:hAnsi="Times New Roman" w:cs="Times New Roman"/>
          <w:i/>
          <w:sz w:val="20"/>
          <w:szCs w:val="20"/>
        </w:rPr>
        <w:t>le</w:t>
      </w:r>
      <w:r w:rsidRPr="001D0846">
        <w:rPr>
          <w:rFonts w:ascii="Times New Roman" w:hAnsi="Times New Roman" w:cs="Times New Roman"/>
          <w:i/>
          <w:sz w:val="20"/>
          <w:szCs w:val="20"/>
        </w:rPr>
        <w:t xml:space="preserve"> SV.</w:t>
      </w:r>
    </w:p>
    <w:p w:rsidR="00714F5D" w:rsidRDefault="00714F5D" w:rsidP="00714F5D">
      <w:pPr>
        <w:spacing w:after="0" w:line="240" w:lineRule="auto"/>
        <w:ind w:right="105" w:firstLine="720"/>
        <w:jc w:val="right"/>
        <w:rPr>
          <w:rFonts w:ascii="Times New Roman" w:hAnsi="Times New Roman" w:cs="Times New Roman"/>
          <w:b/>
          <w:i/>
          <w:sz w:val="28"/>
          <w:szCs w:val="28"/>
        </w:rPr>
      </w:pPr>
    </w:p>
    <w:p w:rsidR="00714F5D" w:rsidRDefault="00714F5D" w:rsidP="00714F5D">
      <w:pPr>
        <w:spacing w:after="0" w:line="240" w:lineRule="auto"/>
        <w:ind w:right="105" w:firstLine="720"/>
        <w:jc w:val="right"/>
        <w:rPr>
          <w:rFonts w:ascii="Times New Roman" w:hAnsi="Times New Roman" w:cs="Times New Roman"/>
          <w:b/>
          <w:i/>
          <w:sz w:val="28"/>
          <w:szCs w:val="28"/>
        </w:rPr>
      </w:pPr>
    </w:p>
    <w:p w:rsidR="00714F5D" w:rsidRDefault="00714F5D" w:rsidP="00714F5D">
      <w:pPr>
        <w:spacing w:after="0" w:line="240" w:lineRule="auto"/>
        <w:ind w:right="105" w:firstLine="720"/>
        <w:jc w:val="right"/>
        <w:rPr>
          <w:rFonts w:ascii="Times New Roman" w:hAnsi="Times New Roman" w:cs="Times New Roman"/>
          <w:b/>
          <w:i/>
          <w:sz w:val="28"/>
          <w:szCs w:val="28"/>
        </w:rPr>
      </w:pPr>
      <w:r w:rsidRPr="001D0846">
        <w:rPr>
          <w:rFonts w:ascii="Times New Roman" w:hAnsi="Times New Roman" w:cs="Times New Roman"/>
          <w:b/>
          <w:i/>
          <w:sz w:val="28"/>
          <w:szCs w:val="28"/>
        </w:rPr>
        <w:t>Tabelul nr.6</w:t>
      </w:r>
    </w:p>
    <w:p w:rsidR="00714F5D" w:rsidRPr="001D0846" w:rsidRDefault="00714F5D" w:rsidP="00714F5D">
      <w:pPr>
        <w:spacing w:after="0" w:line="240" w:lineRule="auto"/>
        <w:ind w:right="105" w:firstLine="720"/>
        <w:jc w:val="right"/>
        <w:rPr>
          <w:rFonts w:ascii="Times New Roman" w:hAnsi="Times New Roman" w:cs="Times New Roman"/>
          <w:b/>
          <w:i/>
          <w:sz w:val="28"/>
          <w:szCs w:val="28"/>
        </w:rPr>
      </w:pPr>
    </w:p>
    <w:p w:rsidR="00714F5D" w:rsidRDefault="00714F5D" w:rsidP="00714F5D">
      <w:pPr>
        <w:spacing w:after="0" w:line="240" w:lineRule="auto"/>
        <w:ind w:right="105"/>
        <w:jc w:val="center"/>
        <w:rPr>
          <w:rFonts w:ascii="Times New Roman" w:hAnsi="Times New Roman" w:cs="Times New Roman"/>
          <w:i/>
          <w:sz w:val="28"/>
          <w:szCs w:val="28"/>
        </w:rPr>
      </w:pPr>
      <w:r w:rsidRPr="001D0846">
        <w:rPr>
          <w:rFonts w:ascii="Times New Roman" w:hAnsi="Times New Roman" w:cs="Times New Roman"/>
          <w:i/>
          <w:sz w:val="28"/>
          <w:szCs w:val="28"/>
          <w:lang w:eastAsia="ru-RU"/>
        </w:rPr>
        <w:t xml:space="preserve">Analiza nivelului de realizare a sarcinii de colectare în aspectul tipurilor de impozite și taxe </w:t>
      </w:r>
      <w:r w:rsidRPr="001D0846">
        <w:rPr>
          <w:rFonts w:ascii="Times New Roman" w:hAnsi="Times New Roman" w:cs="Times New Roman"/>
          <w:i/>
          <w:sz w:val="28"/>
          <w:szCs w:val="28"/>
        </w:rPr>
        <w:t xml:space="preserve">de către SFS </w:t>
      </w:r>
    </w:p>
    <w:p w:rsidR="00714F5D" w:rsidRPr="001D0846" w:rsidRDefault="00714F5D" w:rsidP="00714F5D">
      <w:pPr>
        <w:spacing w:after="0" w:line="240" w:lineRule="auto"/>
        <w:ind w:right="105"/>
        <w:jc w:val="center"/>
        <w:rPr>
          <w:rFonts w:ascii="Times New Roman" w:hAnsi="Times New Roman" w:cs="Times New Roman"/>
          <w:i/>
          <w:sz w:val="28"/>
          <w:szCs w:val="28"/>
        </w:rPr>
      </w:pPr>
      <w:r w:rsidRPr="001D0846">
        <w:rPr>
          <w:rFonts w:ascii="Times New Roman" w:hAnsi="Times New Roman" w:cs="Times New Roman"/>
          <w:i/>
          <w:sz w:val="28"/>
          <w:szCs w:val="28"/>
        </w:rPr>
        <w:lastRenderedPageBreak/>
        <w:t>pentru anii 2015-2017</w:t>
      </w:r>
    </w:p>
    <w:p w:rsidR="00714F5D" w:rsidRPr="00F7638B" w:rsidRDefault="00714F5D" w:rsidP="00714F5D">
      <w:pPr>
        <w:spacing w:after="0" w:line="240" w:lineRule="auto"/>
        <w:ind w:right="105"/>
        <w:jc w:val="right"/>
        <w:rPr>
          <w:rFonts w:ascii="Times New Roman" w:hAnsi="Times New Roman" w:cs="Times New Roman"/>
          <w:i/>
          <w:sz w:val="28"/>
          <w:szCs w:val="28"/>
        </w:rPr>
      </w:pPr>
      <w:r w:rsidRPr="00F7638B">
        <w:rPr>
          <w:rFonts w:ascii="Times New Roman" w:hAnsi="Times New Roman" w:cs="Times New Roman"/>
          <w:i/>
          <w:sz w:val="28"/>
          <w:szCs w:val="28"/>
        </w:rPr>
        <w:t>(mil.lei)</w:t>
      </w:r>
    </w:p>
    <w:tbl>
      <w:tblPr>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6"/>
        <w:gridCol w:w="1134"/>
        <w:gridCol w:w="1134"/>
        <w:gridCol w:w="1134"/>
        <w:gridCol w:w="1102"/>
        <w:gridCol w:w="1134"/>
        <w:gridCol w:w="1166"/>
        <w:gridCol w:w="1109"/>
        <w:gridCol w:w="1134"/>
        <w:gridCol w:w="1017"/>
      </w:tblGrid>
      <w:tr w:rsidR="00714F5D" w:rsidRPr="001D0846" w:rsidTr="008C5C6A">
        <w:trPr>
          <w:trHeight w:val="324"/>
        </w:trPr>
        <w:tc>
          <w:tcPr>
            <w:tcW w:w="3256" w:type="dxa"/>
            <w:vMerge w:val="restart"/>
            <w:shd w:val="clear" w:color="auto" w:fill="auto"/>
            <w:noWrap/>
            <w:vAlign w:val="center"/>
            <w:hideMark/>
          </w:tcPr>
          <w:p w:rsidR="00714F5D" w:rsidRPr="001D0846" w:rsidRDefault="00714F5D" w:rsidP="008C5C6A">
            <w:pPr>
              <w:spacing w:after="0" w:line="240" w:lineRule="auto"/>
              <w:jc w:val="center"/>
              <w:rPr>
                <w:rFonts w:ascii="Times New Roman" w:eastAsia="Times New Roman" w:hAnsi="Times New Roman" w:cs="Times New Roman"/>
                <w:b/>
                <w:bCs/>
                <w:color w:val="000000"/>
              </w:rPr>
            </w:pPr>
            <w:r w:rsidRPr="001D0846">
              <w:rPr>
                <w:rFonts w:ascii="Times New Roman" w:eastAsia="Times New Roman" w:hAnsi="Times New Roman" w:cs="Times New Roman"/>
                <w:b/>
                <w:bCs/>
                <w:color w:val="000000"/>
              </w:rPr>
              <w:t>Denumirea veniturilor</w:t>
            </w:r>
          </w:p>
        </w:tc>
        <w:tc>
          <w:tcPr>
            <w:tcW w:w="3402" w:type="dxa"/>
            <w:gridSpan w:val="3"/>
            <w:tcBorders>
              <w:bottom w:val="single" w:sz="18" w:space="0" w:color="auto"/>
              <w:right w:val="single" w:sz="18" w:space="0" w:color="auto"/>
            </w:tcBorders>
            <w:shd w:val="clear" w:color="auto" w:fill="auto"/>
            <w:noWrap/>
            <w:vAlign w:val="center"/>
            <w:hideMark/>
          </w:tcPr>
          <w:p w:rsidR="00714F5D" w:rsidRPr="001D0846" w:rsidRDefault="00714F5D" w:rsidP="008C5C6A">
            <w:pPr>
              <w:spacing w:after="0" w:line="240" w:lineRule="auto"/>
              <w:jc w:val="center"/>
              <w:rPr>
                <w:rFonts w:ascii="Times New Roman" w:eastAsia="Times New Roman" w:hAnsi="Times New Roman" w:cs="Times New Roman"/>
                <w:b/>
                <w:bCs/>
                <w:color w:val="000000"/>
              </w:rPr>
            </w:pPr>
            <w:r w:rsidRPr="001D0846">
              <w:rPr>
                <w:rFonts w:ascii="Times New Roman" w:eastAsia="Times New Roman" w:hAnsi="Times New Roman" w:cs="Times New Roman"/>
                <w:b/>
                <w:bCs/>
                <w:color w:val="000000"/>
              </w:rPr>
              <w:t>Anul 2015</w:t>
            </w:r>
          </w:p>
        </w:tc>
        <w:tc>
          <w:tcPr>
            <w:tcW w:w="3402" w:type="dxa"/>
            <w:gridSpan w:val="3"/>
            <w:tcBorders>
              <w:left w:val="single" w:sz="18" w:space="0" w:color="auto"/>
              <w:right w:val="single" w:sz="18" w:space="0" w:color="auto"/>
            </w:tcBorders>
            <w:shd w:val="clear" w:color="auto" w:fill="auto"/>
            <w:noWrap/>
            <w:vAlign w:val="center"/>
            <w:hideMark/>
          </w:tcPr>
          <w:p w:rsidR="00714F5D" w:rsidRPr="001D0846" w:rsidRDefault="00714F5D" w:rsidP="008C5C6A">
            <w:pPr>
              <w:spacing w:after="0" w:line="240" w:lineRule="auto"/>
              <w:jc w:val="center"/>
              <w:rPr>
                <w:rFonts w:ascii="Times New Roman" w:eastAsia="Times New Roman" w:hAnsi="Times New Roman" w:cs="Times New Roman"/>
                <w:b/>
                <w:bCs/>
                <w:color w:val="000000"/>
              </w:rPr>
            </w:pPr>
            <w:r w:rsidRPr="001D0846">
              <w:rPr>
                <w:rFonts w:ascii="Times New Roman" w:eastAsia="Times New Roman" w:hAnsi="Times New Roman" w:cs="Times New Roman"/>
                <w:b/>
                <w:bCs/>
                <w:color w:val="000000"/>
              </w:rPr>
              <w:t>Anul 2016</w:t>
            </w:r>
          </w:p>
        </w:tc>
        <w:tc>
          <w:tcPr>
            <w:tcW w:w="3260" w:type="dxa"/>
            <w:gridSpan w:val="3"/>
            <w:tcBorders>
              <w:left w:val="single" w:sz="18" w:space="0" w:color="auto"/>
            </w:tcBorders>
            <w:shd w:val="clear" w:color="auto" w:fill="auto"/>
            <w:noWrap/>
            <w:vAlign w:val="center"/>
            <w:hideMark/>
          </w:tcPr>
          <w:p w:rsidR="00714F5D" w:rsidRPr="001D0846" w:rsidRDefault="00714F5D" w:rsidP="008C5C6A">
            <w:pPr>
              <w:spacing w:after="0" w:line="240" w:lineRule="auto"/>
              <w:jc w:val="center"/>
              <w:rPr>
                <w:rFonts w:ascii="Times New Roman" w:eastAsia="Times New Roman" w:hAnsi="Times New Roman" w:cs="Times New Roman"/>
                <w:b/>
                <w:bCs/>
                <w:color w:val="000000"/>
              </w:rPr>
            </w:pPr>
            <w:r w:rsidRPr="001D0846">
              <w:rPr>
                <w:rFonts w:ascii="Times New Roman" w:eastAsia="Times New Roman" w:hAnsi="Times New Roman" w:cs="Times New Roman"/>
                <w:b/>
                <w:bCs/>
                <w:color w:val="000000"/>
              </w:rPr>
              <w:t>Anul 2017</w:t>
            </w:r>
          </w:p>
        </w:tc>
      </w:tr>
      <w:tr w:rsidR="00714F5D" w:rsidRPr="001D0846" w:rsidTr="008C5C6A">
        <w:trPr>
          <w:trHeight w:val="324"/>
        </w:trPr>
        <w:tc>
          <w:tcPr>
            <w:tcW w:w="3256" w:type="dxa"/>
            <w:vMerge/>
            <w:vAlign w:val="center"/>
            <w:hideMark/>
          </w:tcPr>
          <w:p w:rsidR="00714F5D" w:rsidRPr="001D0846" w:rsidRDefault="00714F5D" w:rsidP="008C5C6A">
            <w:pPr>
              <w:spacing w:after="0" w:line="240" w:lineRule="auto"/>
              <w:rPr>
                <w:rFonts w:ascii="Times New Roman" w:eastAsia="Times New Roman" w:hAnsi="Times New Roman" w:cs="Times New Roman"/>
                <w:b/>
                <w:bCs/>
                <w:color w:val="000000"/>
              </w:rPr>
            </w:pPr>
          </w:p>
        </w:tc>
        <w:tc>
          <w:tcPr>
            <w:tcW w:w="1134" w:type="dxa"/>
            <w:tcBorders>
              <w:top w:val="single" w:sz="18" w:space="0" w:color="auto"/>
            </w:tcBorders>
            <w:shd w:val="clear" w:color="auto" w:fill="auto"/>
            <w:noWrap/>
            <w:vAlign w:val="center"/>
            <w:hideMark/>
          </w:tcPr>
          <w:p w:rsidR="00714F5D" w:rsidRPr="001D0846" w:rsidRDefault="00714F5D" w:rsidP="008C5C6A">
            <w:pPr>
              <w:spacing w:after="0" w:line="240" w:lineRule="auto"/>
              <w:jc w:val="center"/>
              <w:rPr>
                <w:rFonts w:ascii="Times New Roman" w:eastAsia="Times New Roman" w:hAnsi="Times New Roman" w:cs="Times New Roman"/>
                <w:b/>
                <w:color w:val="000000"/>
              </w:rPr>
            </w:pPr>
            <w:r w:rsidRPr="001D0846">
              <w:rPr>
                <w:rFonts w:ascii="Times New Roman" w:eastAsia="Times New Roman" w:hAnsi="Times New Roman" w:cs="Times New Roman"/>
                <w:b/>
                <w:color w:val="000000"/>
              </w:rPr>
              <w:t xml:space="preserve">aprobat </w:t>
            </w:r>
          </w:p>
        </w:tc>
        <w:tc>
          <w:tcPr>
            <w:tcW w:w="1134" w:type="dxa"/>
            <w:tcBorders>
              <w:top w:val="single" w:sz="18" w:space="0" w:color="auto"/>
            </w:tcBorders>
            <w:shd w:val="clear" w:color="auto" w:fill="auto"/>
            <w:noWrap/>
            <w:vAlign w:val="center"/>
            <w:hideMark/>
          </w:tcPr>
          <w:p w:rsidR="00714F5D" w:rsidRPr="001D0846" w:rsidRDefault="00714F5D" w:rsidP="008C5C6A">
            <w:pPr>
              <w:spacing w:after="0" w:line="240" w:lineRule="auto"/>
              <w:jc w:val="center"/>
              <w:rPr>
                <w:rFonts w:ascii="Times New Roman" w:eastAsia="Times New Roman" w:hAnsi="Times New Roman" w:cs="Times New Roman"/>
                <w:b/>
                <w:color w:val="000000"/>
              </w:rPr>
            </w:pPr>
            <w:r w:rsidRPr="001D0846">
              <w:rPr>
                <w:rFonts w:ascii="Times New Roman" w:eastAsia="Times New Roman" w:hAnsi="Times New Roman" w:cs="Times New Roman"/>
                <w:b/>
                <w:color w:val="000000"/>
              </w:rPr>
              <w:t>executat</w:t>
            </w:r>
          </w:p>
        </w:tc>
        <w:tc>
          <w:tcPr>
            <w:tcW w:w="1134" w:type="dxa"/>
            <w:tcBorders>
              <w:top w:val="single" w:sz="18" w:space="0" w:color="auto"/>
              <w:right w:val="single" w:sz="18" w:space="0" w:color="auto"/>
            </w:tcBorders>
            <w:shd w:val="clear" w:color="auto" w:fill="auto"/>
            <w:vAlign w:val="center"/>
            <w:hideMark/>
          </w:tcPr>
          <w:p w:rsidR="00714F5D" w:rsidRPr="001D0846" w:rsidRDefault="00714F5D" w:rsidP="008C5C6A">
            <w:pPr>
              <w:spacing w:after="0" w:line="240" w:lineRule="auto"/>
              <w:jc w:val="center"/>
              <w:rPr>
                <w:rFonts w:ascii="Times New Roman" w:eastAsia="Times New Roman" w:hAnsi="Times New Roman" w:cs="Times New Roman"/>
                <w:i/>
                <w:color w:val="000000"/>
              </w:rPr>
            </w:pPr>
            <w:r w:rsidRPr="001D0846">
              <w:rPr>
                <w:rFonts w:ascii="Times New Roman" w:eastAsia="Times New Roman" w:hAnsi="Times New Roman" w:cs="Times New Roman"/>
                <w:i/>
                <w:color w:val="000000"/>
              </w:rPr>
              <w:t>Devieri (+/-) </w:t>
            </w:r>
          </w:p>
        </w:tc>
        <w:tc>
          <w:tcPr>
            <w:tcW w:w="1102" w:type="dxa"/>
            <w:tcBorders>
              <w:top w:val="single" w:sz="18" w:space="0" w:color="auto"/>
              <w:left w:val="single" w:sz="18" w:space="0" w:color="auto"/>
            </w:tcBorders>
            <w:shd w:val="clear" w:color="auto" w:fill="auto"/>
            <w:noWrap/>
            <w:vAlign w:val="center"/>
          </w:tcPr>
          <w:p w:rsidR="00714F5D" w:rsidRPr="001D0846" w:rsidRDefault="00714F5D" w:rsidP="008C5C6A">
            <w:pPr>
              <w:spacing w:after="0" w:line="240" w:lineRule="auto"/>
              <w:jc w:val="center"/>
              <w:rPr>
                <w:rFonts w:ascii="Times New Roman" w:eastAsia="Times New Roman" w:hAnsi="Times New Roman" w:cs="Times New Roman"/>
                <w:b/>
                <w:color w:val="000000"/>
              </w:rPr>
            </w:pPr>
            <w:r w:rsidRPr="001D0846">
              <w:rPr>
                <w:rFonts w:ascii="Times New Roman" w:eastAsia="Times New Roman" w:hAnsi="Times New Roman" w:cs="Times New Roman"/>
                <w:b/>
                <w:color w:val="000000"/>
              </w:rPr>
              <w:t>aprobat</w:t>
            </w:r>
          </w:p>
        </w:tc>
        <w:tc>
          <w:tcPr>
            <w:tcW w:w="1134" w:type="dxa"/>
            <w:tcBorders>
              <w:top w:val="single" w:sz="18" w:space="0" w:color="auto"/>
            </w:tcBorders>
            <w:shd w:val="clear" w:color="auto" w:fill="auto"/>
            <w:noWrap/>
            <w:vAlign w:val="center"/>
          </w:tcPr>
          <w:p w:rsidR="00714F5D" w:rsidRPr="001D0846" w:rsidRDefault="00714F5D" w:rsidP="008C5C6A">
            <w:pPr>
              <w:spacing w:after="0" w:line="240" w:lineRule="auto"/>
              <w:jc w:val="center"/>
              <w:rPr>
                <w:rFonts w:ascii="Times New Roman" w:eastAsia="Times New Roman" w:hAnsi="Times New Roman" w:cs="Times New Roman"/>
                <w:b/>
                <w:color w:val="000000"/>
              </w:rPr>
            </w:pPr>
            <w:r w:rsidRPr="001D0846">
              <w:rPr>
                <w:rFonts w:ascii="Times New Roman" w:eastAsia="Times New Roman" w:hAnsi="Times New Roman" w:cs="Times New Roman"/>
                <w:b/>
                <w:color w:val="000000"/>
              </w:rPr>
              <w:t>executat</w:t>
            </w:r>
          </w:p>
        </w:tc>
        <w:tc>
          <w:tcPr>
            <w:tcW w:w="1166" w:type="dxa"/>
            <w:tcBorders>
              <w:top w:val="single" w:sz="18" w:space="0" w:color="auto"/>
              <w:right w:val="single" w:sz="18" w:space="0" w:color="auto"/>
            </w:tcBorders>
            <w:shd w:val="clear" w:color="auto" w:fill="auto"/>
            <w:vAlign w:val="center"/>
          </w:tcPr>
          <w:p w:rsidR="00714F5D" w:rsidRPr="001D0846" w:rsidRDefault="00714F5D" w:rsidP="008C5C6A">
            <w:pPr>
              <w:spacing w:after="0" w:line="240" w:lineRule="auto"/>
              <w:jc w:val="center"/>
              <w:rPr>
                <w:rFonts w:ascii="Times New Roman" w:eastAsia="Times New Roman" w:hAnsi="Times New Roman" w:cs="Times New Roman"/>
                <w:i/>
                <w:color w:val="000000"/>
              </w:rPr>
            </w:pPr>
            <w:r w:rsidRPr="001D0846">
              <w:rPr>
                <w:rFonts w:ascii="Times New Roman" w:eastAsia="Times New Roman" w:hAnsi="Times New Roman" w:cs="Times New Roman"/>
                <w:i/>
                <w:color w:val="000000"/>
              </w:rPr>
              <w:t>Devieri</w:t>
            </w:r>
          </w:p>
          <w:p w:rsidR="00714F5D" w:rsidRPr="001D0846" w:rsidRDefault="00714F5D" w:rsidP="008C5C6A">
            <w:pPr>
              <w:spacing w:after="0" w:line="240" w:lineRule="auto"/>
              <w:jc w:val="center"/>
              <w:rPr>
                <w:rFonts w:ascii="Times New Roman" w:eastAsia="Times New Roman" w:hAnsi="Times New Roman" w:cs="Times New Roman"/>
                <w:i/>
                <w:color w:val="000000"/>
              </w:rPr>
            </w:pPr>
            <w:r w:rsidRPr="001D0846">
              <w:rPr>
                <w:rFonts w:ascii="Times New Roman" w:eastAsia="Times New Roman" w:hAnsi="Times New Roman" w:cs="Times New Roman"/>
                <w:i/>
                <w:color w:val="000000"/>
              </w:rPr>
              <w:t>(+/-)</w:t>
            </w:r>
          </w:p>
        </w:tc>
        <w:tc>
          <w:tcPr>
            <w:tcW w:w="1109" w:type="dxa"/>
            <w:tcBorders>
              <w:top w:val="single" w:sz="18" w:space="0" w:color="auto"/>
              <w:left w:val="single" w:sz="18" w:space="0" w:color="auto"/>
            </w:tcBorders>
            <w:shd w:val="clear" w:color="auto" w:fill="auto"/>
            <w:noWrap/>
            <w:vAlign w:val="center"/>
          </w:tcPr>
          <w:p w:rsidR="00714F5D" w:rsidRPr="001D0846" w:rsidRDefault="00714F5D" w:rsidP="008C5C6A">
            <w:pPr>
              <w:spacing w:after="0" w:line="240" w:lineRule="auto"/>
              <w:jc w:val="center"/>
              <w:rPr>
                <w:rFonts w:ascii="Times New Roman" w:eastAsia="Times New Roman" w:hAnsi="Times New Roman" w:cs="Times New Roman"/>
                <w:b/>
                <w:color w:val="000000"/>
              </w:rPr>
            </w:pPr>
            <w:r w:rsidRPr="001D0846">
              <w:rPr>
                <w:rFonts w:ascii="Times New Roman" w:eastAsia="Times New Roman" w:hAnsi="Times New Roman" w:cs="Times New Roman"/>
                <w:b/>
                <w:color w:val="000000"/>
              </w:rPr>
              <w:t>aprobat</w:t>
            </w:r>
          </w:p>
        </w:tc>
        <w:tc>
          <w:tcPr>
            <w:tcW w:w="1134" w:type="dxa"/>
            <w:tcBorders>
              <w:top w:val="single" w:sz="18" w:space="0" w:color="auto"/>
            </w:tcBorders>
            <w:shd w:val="clear" w:color="auto" w:fill="auto"/>
            <w:noWrap/>
            <w:vAlign w:val="center"/>
          </w:tcPr>
          <w:p w:rsidR="00714F5D" w:rsidRPr="001D0846" w:rsidRDefault="00714F5D" w:rsidP="008C5C6A">
            <w:pPr>
              <w:spacing w:after="0" w:line="240" w:lineRule="auto"/>
              <w:jc w:val="center"/>
              <w:rPr>
                <w:rFonts w:ascii="Times New Roman" w:eastAsia="Times New Roman" w:hAnsi="Times New Roman" w:cs="Times New Roman"/>
                <w:b/>
                <w:color w:val="000000"/>
              </w:rPr>
            </w:pPr>
            <w:r w:rsidRPr="001D0846">
              <w:rPr>
                <w:rFonts w:ascii="Times New Roman" w:eastAsia="Times New Roman" w:hAnsi="Times New Roman" w:cs="Times New Roman"/>
                <w:b/>
                <w:color w:val="000000"/>
              </w:rPr>
              <w:t>executat</w:t>
            </w:r>
          </w:p>
        </w:tc>
        <w:tc>
          <w:tcPr>
            <w:tcW w:w="1017" w:type="dxa"/>
            <w:tcBorders>
              <w:top w:val="single" w:sz="18" w:space="0" w:color="auto"/>
            </w:tcBorders>
            <w:shd w:val="clear" w:color="auto" w:fill="auto"/>
            <w:vAlign w:val="center"/>
          </w:tcPr>
          <w:p w:rsidR="00714F5D" w:rsidRPr="001D0846" w:rsidRDefault="00714F5D" w:rsidP="008C5C6A">
            <w:pPr>
              <w:spacing w:after="0" w:line="240" w:lineRule="auto"/>
              <w:jc w:val="center"/>
              <w:rPr>
                <w:rFonts w:ascii="Times New Roman" w:eastAsia="Times New Roman" w:hAnsi="Times New Roman" w:cs="Times New Roman"/>
                <w:i/>
                <w:color w:val="000000"/>
              </w:rPr>
            </w:pPr>
            <w:r w:rsidRPr="001D0846">
              <w:rPr>
                <w:rFonts w:ascii="Times New Roman" w:eastAsia="Times New Roman" w:hAnsi="Times New Roman" w:cs="Times New Roman"/>
                <w:i/>
                <w:color w:val="000000"/>
              </w:rPr>
              <w:t>Devieri (+/-)</w:t>
            </w:r>
          </w:p>
        </w:tc>
      </w:tr>
      <w:tr w:rsidR="00714F5D" w:rsidRPr="001D0846" w:rsidTr="008C5C6A">
        <w:trPr>
          <w:trHeight w:val="251"/>
        </w:trPr>
        <w:tc>
          <w:tcPr>
            <w:tcW w:w="3256" w:type="dxa"/>
            <w:vAlign w:val="center"/>
          </w:tcPr>
          <w:p w:rsidR="00714F5D" w:rsidRPr="001D0846" w:rsidRDefault="00714F5D" w:rsidP="008C5C6A">
            <w:pPr>
              <w:spacing w:after="0" w:line="240" w:lineRule="auto"/>
              <w:jc w:val="center"/>
              <w:rPr>
                <w:rFonts w:ascii="Times New Roman" w:eastAsia="Times New Roman" w:hAnsi="Times New Roman" w:cs="Times New Roman"/>
                <w:bCs/>
                <w:i/>
                <w:color w:val="000000"/>
                <w:sz w:val="18"/>
                <w:szCs w:val="18"/>
              </w:rPr>
            </w:pPr>
            <w:r w:rsidRPr="001D0846">
              <w:rPr>
                <w:rFonts w:ascii="Times New Roman" w:eastAsia="Times New Roman" w:hAnsi="Times New Roman" w:cs="Times New Roman"/>
                <w:bCs/>
                <w:i/>
                <w:color w:val="000000"/>
                <w:sz w:val="18"/>
                <w:szCs w:val="18"/>
              </w:rPr>
              <w:t>1</w:t>
            </w:r>
          </w:p>
        </w:tc>
        <w:tc>
          <w:tcPr>
            <w:tcW w:w="1134" w:type="dxa"/>
            <w:shd w:val="clear" w:color="auto" w:fill="auto"/>
            <w:noWrap/>
            <w:vAlign w:val="center"/>
          </w:tcPr>
          <w:p w:rsidR="00714F5D" w:rsidRPr="001D0846" w:rsidRDefault="00714F5D" w:rsidP="008C5C6A">
            <w:pPr>
              <w:spacing w:after="0" w:line="240" w:lineRule="auto"/>
              <w:jc w:val="center"/>
              <w:rPr>
                <w:rFonts w:ascii="Times New Roman" w:eastAsia="Times New Roman" w:hAnsi="Times New Roman" w:cs="Times New Roman"/>
                <w:i/>
                <w:color w:val="000000"/>
                <w:sz w:val="18"/>
                <w:szCs w:val="18"/>
              </w:rPr>
            </w:pPr>
            <w:r w:rsidRPr="001D0846">
              <w:rPr>
                <w:rFonts w:ascii="Times New Roman" w:eastAsia="Times New Roman" w:hAnsi="Times New Roman" w:cs="Times New Roman"/>
                <w:i/>
                <w:color w:val="000000"/>
                <w:sz w:val="18"/>
                <w:szCs w:val="18"/>
              </w:rPr>
              <w:t>2</w:t>
            </w:r>
          </w:p>
        </w:tc>
        <w:tc>
          <w:tcPr>
            <w:tcW w:w="1134" w:type="dxa"/>
            <w:shd w:val="clear" w:color="auto" w:fill="auto"/>
            <w:noWrap/>
            <w:vAlign w:val="center"/>
          </w:tcPr>
          <w:p w:rsidR="00714F5D" w:rsidRPr="001D0846" w:rsidRDefault="00714F5D" w:rsidP="008C5C6A">
            <w:pPr>
              <w:spacing w:after="0" w:line="240" w:lineRule="auto"/>
              <w:jc w:val="center"/>
              <w:rPr>
                <w:rFonts w:ascii="Times New Roman" w:eastAsia="Times New Roman" w:hAnsi="Times New Roman" w:cs="Times New Roman"/>
                <w:i/>
                <w:color w:val="000000"/>
                <w:sz w:val="18"/>
                <w:szCs w:val="18"/>
              </w:rPr>
            </w:pPr>
            <w:r w:rsidRPr="001D0846">
              <w:rPr>
                <w:rFonts w:ascii="Times New Roman" w:eastAsia="Times New Roman" w:hAnsi="Times New Roman" w:cs="Times New Roman"/>
                <w:i/>
                <w:color w:val="000000"/>
                <w:sz w:val="18"/>
                <w:szCs w:val="18"/>
              </w:rPr>
              <w:t>3</w:t>
            </w:r>
          </w:p>
        </w:tc>
        <w:tc>
          <w:tcPr>
            <w:tcW w:w="1134" w:type="dxa"/>
            <w:tcBorders>
              <w:right w:val="single" w:sz="18" w:space="0" w:color="auto"/>
            </w:tcBorders>
            <w:shd w:val="clear" w:color="auto" w:fill="auto"/>
            <w:vAlign w:val="center"/>
          </w:tcPr>
          <w:p w:rsidR="00714F5D" w:rsidRPr="001D0846" w:rsidRDefault="00714F5D" w:rsidP="008C5C6A">
            <w:pPr>
              <w:spacing w:after="0" w:line="240" w:lineRule="auto"/>
              <w:jc w:val="center"/>
              <w:rPr>
                <w:rFonts w:ascii="Times New Roman" w:eastAsia="Times New Roman" w:hAnsi="Times New Roman" w:cs="Times New Roman"/>
                <w:i/>
                <w:color w:val="000000"/>
                <w:sz w:val="18"/>
                <w:szCs w:val="18"/>
              </w:rPr>
            </w:pPr>
            <w:r w:rsidRPr="001D0846">
              <w:rPr>
                <w:rFonts w:ascii="Times New Roman" w:eastAsia="Times New Roman" w:hAnsi="Times New Roman" w:cs="Times New Roman"/>
                <w:i/>
                <w:color w:val="000000"/>
                <w:sz w:val="18"/>
                <w:szCs w:val="18"/>
              </w:rPr>
              <w:t>4=3-2</w:t>
            </w:r>
          </w:p>
        </w:tc>
        <w:tc>
          <w:tcPr>
            <w:tcW w:w="1102" w:type="dxa"/>
            <w:tcBorders>
              <w:left w:val="single" w:sz="18" w:space="0" w:color="auto"/>
            </w:tcBorders>
            <w:shd w:val="clear" w:color="auto" w:fill="auto"/>
            <w:noWrap/>
            <w:vAlign w:val="center"/>
          </w:tcPr>
          <w:p w:rsidR="00714F5D" w:rsidRPr="001D0846" w:rsidRDefault="00714F5D" w:rsidP="008C5C6A">
            <w:pPr>
              <w:spacing w:after="0" w:line="240" w:lineRule="auto"/>
              <w:jc w:val="center"/>
              <w:rPr>
                <w:rFonts w:ascii="Times New Roman" w:eastAsia="Times New Roman" w:hAnsi="Times New Roman" w:cs="Times New Roman"/>
                <w:i/>
                <w:color w:val="000000"/>
                <w:sz w:val="18"/>
                <w:szCs w:val="18"/>
              </w:rPr>
            </w:pPr>
            <w:r w:rsidRPr="001D0846">
              <w:rPr>
                <w:rFonts w:ascii="Times New Roman" w:eastAsia="Times New Roman" w:hAnsi="Times New Roman" w:cs="Times New Roman"/>
                <w:i/>
                <w:color w:val="000000"/>
                <w:sz w:val="18"/>
                <w:szCs w:val="18"/>
              </w:rPr>
              <w:t>5</w:t>
            </w:r>
          </w:p>
        </w:tc>
        <w:tc>
          <w:tcPr>
            <w:tcW w:w="1134" w:type="dxa"/>
            <w:shd w:val="clear" w:color="auto" w:fill="auto"/>
            <w:noWrap/>
            <w:vAlign w:val="center"/>
          </w:tcPr>
          <w:p w:rsidR="00714F5D" w:rsidRPr="001D0846" w:rsidRDefault="00714F5D" w:rsidP="008C5C6A">
            <w:pPr>
              <w:spacing w:after="0" w:line="240" w:lineRule="auto"/>
              <w:jc w:val="center"/>
              <w:rPr>
                <w:rFonts w:ascii="Times New Roman" w:eastAsia="Times New Roman" w:hAnsi="Times New Roman" w:cs="Times New Roman"/>
                <w:i/>
                <w:color w:val="000000"/>
                <w:sz w:val="18"/>
                <w:szCs w:val="18"/>
              </w:rPr>
            </w:pPr>
            <w:r w:rsidRPr="001D0846">
              <w:rPr>
                <w:rFonts w:ascii="Times New Roman" w:eastAsia="Times New Roman" w:hAnsi="Times New Roman" w:cs="Times New Roman"/>
                <w:i/>
                <w:color w:val="000000"/>
                <w:sz w:val="18"/>
                <w:szCs w:val="18"/>
              </w:rPr>
              <w:t>6</w:t>
            </w:r>
          </w:p>
        </w:tc>
        <w:tc>
          <w:tcPr>
            <w:tcW w:w="1166" w:type="dxa"/>
            <w:tcBorders>
              <w:right w:val="single" w:sz="18" w:space="0" w:color="auto"/>
            </w:tcBorders>
            <w:shd w:val="clear" w:color="auto" w:fill="auto"/>
            <w:vAlign w:val="center"/>
          </w:tcPr>
          <w:p w:rsidR="00714F5D" w:rsidRPr="001D0846" w:rsidRDefault="00714F5D" w:rsidP="008C5C6A">
            <w:pPr>
              <w:spacing w:after="0" w:line="240" w:lineRule="auto"/>
              <w:jc w:val="center"/>
              <w:rPr>
                <w:rFonts w:ascii="Times New Roman" w:eastAsia="Times New Roman" w:hAnsi="Times New Roman" w:cs="Times New Roman"/>
                <w:i/>
                <w:color w:val="000000"/>
                <w:sz w:val="18"/>
                <w:szCs w:val="18"/>
              </w:rPr>
            </w:pPr>
            <w:r w:rsidRPr="001D0846">
              <w:rPr>
                <w:rFonts w:ascii="Times New Roman" w:eastAsia="Times New Roman" w:hAnsi="Times New Roman" w:cs="Times New Roman"/>
                <w:i/>
                <w:color w:val="000000"/>
                <w:sz w:val="18"/>
                <w:szCs w:val="18"/>
              </w:rPr>
              <w:t>7=6-5</w:t>
            </w:r>
          </w:p>
        </w:tc>
        <w:tc>
          <w:tcPr>
            <w:tcW w:w="1109" w:type="dxa"/>
            <w:tcBorders>
              <w:left w:val="single" w:sz="18" w:space="0" w:color="auto"/>
            </w:tcBorders>
            <w:shd w:val="clear" w:color="auto" w:fill="auto"/>
            <w:noWrap/>
            <w:vAlign w:val="center"/>
          </w:tcPr>
          <w:p w:rsidR="00714F5D" w:rsidRPr="001D0846" w:rsidRDefault="00714F5D" w:rsidP="008C5C6A">
            <w:pPr>
              <w:spacing w:after="0" w:line="240" w:lineRule="auto"/>
              <w:jc w:val="center"/>
              <w:rPr>
                <w:rFonts w:ascii="Times New Roman" w:eastAsia="Times New Roman" w:hAnsi="Times New Roman" w:cs="Times New Roman"/>
                <w:i/>
                <w:color w:val="000000"/>
                <w:sz w:val="18"/>
                <w:szCs w:val="18"/>
              </w:rPr>
            </w:pPr>
            <w:r w:rsidRPr="001D0846">
              <w:rPr>
                <w:rFonts w:ascii="Times New Roman" w:eastAsia="Times New Roman" w:hAnsi="Times New Roman" w:cs="Times New Roman"/>
                <w:i/>
                <w:color w:val="000000"/>
                <w:sz w:val="18"/>
                <w:szCs w:val="18"/>
              </w:rPr>
              <w:t>8</w:t>
            </w:r>
          </w:p>
        </w:tc>
        <w:tc>
          <w:tcPr>
            <w:tcW w:w="1134" w:type="dxa"/>
            <w:shd w:val="clear" w:color="auto" w:fill="auto"/>
            <w:noWrap/>
            <w:vAlign w:val="center"/>
          </w:tcPr>
          <w:p w:rsidR="00714F5D" w:rsidRPr="001D0846" w:rsidRDefault="00714F5D" w:rsidP="008C5C6A">
            <w:pPr>
              <w:spacing w:after="0" w:line="240" w:lineRule="auto"/>
              <w:jc w:val="center"/>
              <w:rPr>
                <w:rFonts w:ascii="Times New Roman" w:eastAsia="Times New Roman" w:hAnsi="Times New Roman" w:cs="Times New Roman"/>
                <w:i/>
                <w:color w:val="000000"/>
                <w:sz w:val="18"/>
                <w:szCs w:val="18"/>
              </w:rPr>
            </w:pPr>
            <w:r w:rsidRPr="001D0846">
              <w:rPr>
                <w:rFonts w:ascii="Times New Roman" w:eastAsia="Times New Roman" w:hAnsi="Times New Roman" w:cs="Times New Roman"/>
                <w:i/>
                <w:color w:val="000000"/>
                <w:sz w:val="18"/>
                <w:szCs w:val="18"/>
              </w:rPr>
              <w:t>9</w:t>
            </w:r>
          </w:p>
        </w:tc>
        <w:tc>
          <w:tcPr>
            <w:tcW w:w="1017" w:type="dxa"/>
            <w:shd w:val="clear" w:color="auto" w:fill="auto"/>
            <w:vAlign w:val="center"/>
          </w:tcPr>
          <w:p w:rsidR="00714F5D" w:rsidRPr="001D0846" w:rsidRDefault="00714F5D" w:rsidP="008C5C6A">
            <w:pPr>
              <w:spacing w:after="0" w:line="240" w:lineRule="auto"/>
              <w:jc w:val="center"/>
              <w:rPr>
                <w:rFonts w:ascii="Times New Roman" w:eastAsia="Times New Roman" w:hAnsi="Times New Roman" w:cs="Times New Roman"/>
                <w:i/>
                <w:color w:val="000000"/>
                <w:sz w:val="18"/>
                <w:szCs w:val="18"/>
              </w:rPr>
            </w:pPr>
            <w:r w:rsidRPr="001D0846">
              <w:rPr>
                <w:rFonts w:ascii="Times New Roman" w:eastAsia="Times New Roman" w:hAnsi="Times New Roman" w:cs="Times New Roman"/>
                <w:i/>
                <w:color w:val="000000"/>
                <w:sz w:val="18"/>
                <w:szCs w:val="18"/>
              </w:rPr>
              <w:t>10=9-8</w:t>
            </w:r>
          </w:p>
        </w:tc>
      </w:tr>
      <w:tr w:rsidR="00714F5D" w:rsidRPr="001D0846" w:rsidTr="008C5C6A">
        <w:trPr>
          <w:trHeight w:val="312"/>
        </w:trPr>
        <w:tc>
          <w:tcPr>
            <w:tcW w:w="3256" w:type="dxa"/>
            <w:shd w:val="clear" w:color="auto" w:fill="auto"/>
            <w:noWrap/>
            <w:vAlign w:val="bottom"/>
            <w:hideMark/>
          </w:tcPr>
          <w:p w:rsidR="00714F5D" w:rsidRPr="001D0846" w:rsidRDefault="00714F5D" w:rsidP="008C5C6A">
            <w:pPr>
              <w:spacing w:after="0" w:line="240" w:lineRule="auto"/>
              <w:rPr>
                <w:rFonts w:ascii="Times New Roman" w:eastAsia="Times New Roman" w:hAnsi="Times New Roman" w:cs="Times New Roman"/>
                <w:color w:val="000000"/>
              </w:rPr>
            </w:pPr>
            <w:r w:rsidRPr="001D0846">
              <w:rPr>
                <w:rFonts w:ascii="Times New Roman" w:eastAsia="Times New Roman" w:hAnsi="Times New Roman" w:cs="Times New Roman"/>
                <w:color w:val="000000"/>
              </w:rPr>
              <w:t>Impozi</w:t>
            </w:r>
            <w:r w:rsidRPr="002E7F00">
              <w:rPr>
                <w:rFonts w:ascii="Times New Roman" w:eastAsia="Times New Roman" w:hAnsi="Times New Roman" w:cs="Times New Roman"/>
                <w:color w:val="000000"/>
              </w:rPr>
              <w:t>t</w:t>
            </w:r>
            <w:r w:rsidRPr="001D0846">
              <w:rPr>
                <w:rFonts w:ascii="Times New Roman" w:eastAsia="Times New Roman" w:hAnsi="Times New Roman" w:cs="Times New Roman"/>
                <w:color w:val="000000"/>
              </w:rPr>
              <w:t xml:space="preserve"> pe venit (total)</w:t>
            </w:r>
          </w:p>
        </w:tc>
        <w:tc>
          <w:tcPr>
            <w:tcW w:w="1134" w:type="dxa"/>
            <w:shd w:val="clear" w:color="auto" w:fill="auto"/>
            <w:noWrap/>
            <w:vAlign w:val="bottom"/>
            <w:hideMark/>
          </w:tcPr>
          <w:p w:rsidR="00714F5D" w:rsidRPr="001D0846" w:rsidRDefault="00714F5D" w:rsidP="008C5C6A">
            <w:pPr>
              <w:spacing w:after="0" w:line="240" w:lineRule="auto"/>
              <w:jc w:val="center"/>
              <w:rPr>
                <w:rFonts w:ascii="Times New Roman" w:eastAsia="Times New Roman" w:hAnsi="Times New Roman" w:cs="Times New Roman"/>
                <w:color w:val="000000"/>
              </w:rPr>
            </w:pPr>
            <w:r w:rsidRPr="001D0846">
              <w:rPr>
                <w:rFonts w:ascii="Times New Roman" w:eastAsia="Times New Roman" w:hAnsi="Times New Roman" w:cs="Times New Roman"/>
                <w:color w:val="000000"/>
              </w:rPr>
              <w:t>3919,6</w:t>
            </w:r>
          </w:p>
        </w:tc>
        <w:tc>
          <w:tcPr>
            <w:tcW w:w="1134" w:type="dxa"/>
            <w:shd w:val="clear" w:color="auto" w:fill="auto"/>
            <w:noWrap/>
            <w:vAlign w:val="bottom"/>
            <w:hideMark/>
          </w:tcPr>
          <w:p w:rsidR="00714F5D" w:rsidRPr="001D0846" w:rsidRDefault="00714F5D" w:rsidP="008C5C6A">
            <w:pPr>
              <w:spacing w:after="0" w:line="240" w:lineRule="auto"/>
              <w:jc w:val="center"/>
              <w:rPr>
                <w:rFonts w:ascii="Times New Roman" w:eastAsia="Times New Roman" w:hAnsi="Times New Roman" w:cs="Times New Roman"/>
                <w:color w:val="000000"/>
              </w:rPr>
            </w:pPr>
            <w:r w:rsidRPr="001D0846">
              <w:rPr>
                <w:rFonts w:ascii="Times New Roman" w:eastAsia="Times New Roman" w:hAnsi="Times New Roman" w:cs="Times New Roman"/>
                <w:color w:val="000000"/>
              </w:rPr>
              <w:t>3983,0</w:t>
            </w:r>
          </w:p>
        </w:tc>
        <w:tc>
          <w:tcPr>
            <w:tcW w:w="1134" w:type="dxa"/>
            <w:tcBorders>
              <w:right w:val="single" w:sz="18" w:space="0" w:color="auto"/>
            </w:tcBorders>
            <w:shd w:val="clear" w:color="auto" w:fill="auto"/>
            <w:noWrap/>
            <w:vAlign w:val="bottom"/>
            <w:hideMark/>
          </w:tcPr>
          <w:p w:rsidR="00714F5D" w:rsidRPr="001D0846" w:rsidRDefault="00714F5D" w:rsidP="008C5C6A">
            <w:pPr>
              <w:spacing w:after="0" w:line="240" w:lineRule="auto"/>
              <w:jc w:val="center"/>
              <w:rPr>
                <w:rFonts w:ascii="Times New Roman" w:eastAsia="Times New Roman" w:hAnsi="Times New Roman" w:cs="Times New Roman"/>
                <w:bCs/>
                <w:i/>
                <w:color w:val="000000"/>
              </w:rPr>
            </w:pPr>
            <w:r w:rsidRPr="001D0846">
              <w:rPr>
                <w:rFonts w:ascii="Times New Roman" w:eastAsia="Times New Roman" w:hAnsi="Times New Roman" w:cs="Times New Roman"/>
                <w:bCs/>
                <w:i/>
                <w:color w:val="000000"/>
              </w:rPr>
              <w:t>63,4</w:t>
            </w:r>
          </w:p>
        </w:tc>
        <w:tc>
          <w:tcPr>
            <w:tcW w:w="1102" w:type="dxa"/>
            <w:tcBorders>
              <w:left w:val="single" w:sz="18" w:space="0" w:color="auto"/>
            </w:tcBorders>
            <w:shd w:val="clear" w:color="auto" w:fill="auto"/>
            <w:noWrap/>
            <w:vAlign w:val="bottom"/>
            <w:hideMark/>
          </w:tcPr>
          <w:p w:rsidR="00714F5D" w:rsidRPr="001D0846" w:rsidRDefault="00714F5D" w:rsidP="008C5C6A">
            <w:pPr>
              <w:spacing w:after="0" w:line="240" w:lineRule="auto"/>
              <w:jc w:val="center"/>
              <w:rPr>
                <w:rFonts w:ascii="Times New Roman" w:eastAsia="Times New Roman" w:hAnsi="Times New Roman" w:cs="Times New Roman"/>
                <w:color w:val="000000"/>
              </w:rPr>
            </w:pPr>
            <w:r w:rsidRPr="001D0846">
              <w:rPr>
                <w:rFonts w:ascii="Times New Roman" w:eastAsia="Times New Roman" w:hAnsi="Times New Roman" w:cs="Times New Roman"/>
                <w:color w:val="000000"/>
              </w:rPr>
              <w:t>4742,5</w:t>
            </w:r>
          </w:p>
        </w:tc>
        <w:tc>
          <w:tcPr>
            <w:tcW w:w="1134" w:type="dxa"/>
            <w:shd w:val="clear" w:color="auto" w:fill="auto"/>
            <w:noWrap/>
            <w:vAlign w:val="bottom"/>
            <w:hideMark/>
          </w:tcPr>
          <w:p w:rsidR="00714F5D" w:rsidRPr="001D0846" w:rsidRDefault="00714F5D" w:rsidP="008C5C6A">
            <w:pPr>
              <w:spacing w:after="0" w:line="240" w:lineRule="auto"/>
              <w:jc w:val="center"/>
              <w:rPr>
                <w:rFonts w:ascii="Times New Roman" w:eastAsia="Times New Roman" w:hAnsi="Times New Roman" w:cs="Times New Roman"/>
                <w:color w:val="000000"/>
              </w:rPr>
            </w:pPr>
            <w:r w:rsidRPr="001D0846">
              <w:rPr>
                <w:rFonts w:ascii="Times New Roman" w:eastAsia="Times New Roman" w:hAnsi="Times New Roman" w:cs="Times New Roman"/>
                <w:color w:val="000000"/>
              </w:rPr>
              <w:t>4708,7</w:t>
            </w:r>
          </w:p>
        </w:tc>
        <w:tc>
          <w:tcPr>
            <w:tcW w:w="1166" w:type="dxa"/>
            <w:tcBorders>
              <w:right w:val="single" w:sz="18" w:space="0" w:color="auto"/>
            </w:tcBorders>
            <w:shd w:val="clear" w:color="auto" w:fill="auto"/>
            <w:noWrap/>
            <w:vAlign w:val="bottom"/>
            <w:hideMark/>
          </w:tcPr>
          <w:p w:rsidR="00714F5D" w:rsidRPr="001D0846" w:rsidRDefault="00714F5D" w:rsidP="008C5C6A">
            <w:pPr>
              <w:spacing w:after="0" w:line="240" w:lineRule="auto"/>
              <w:jc w:val="center"/>
              <w:rPr>
                <w:rFonts w:ascii="Times New Roman" w:eastAsia="Times New Roman" w:hAnsi="Times New Roman" w:cs="Times New Roman"/>
                <w:bCs/>
                <w:i/>
                <w:color w:val="000000"/>
              </w:rPr>
            </w:pPr>
            <w:r w:rsidRPr="001D0846">
              <w:rPr>
                <w:rFonts w:ascii="Times New Roman" w:eastAsia="Times New Roman" w:hAnsi="Times New Roman" w:cs="Times New Roman"/>
                <w:bCs/>
                <w:i/>
                <w:color w:val="000000"/>
              </w:rPr>
              <w:t>-33,8</w:t>
            </w:r>
          </w:p>
        </w:tc>
        <w:tc>
          <w:tcPr>
            <w:tcW w:w="1109" w:type="dxa"/>
            <w:tcBorders>
              <w:left w:val="single" w:sz="18" w:space="0" w:color="auto"/>
            </w:tcBorders>
            <w:shd w:val="clear" w:color="auto" w:fill="auto"/>
            <w:noWrap/>
            <w:vAlign w:val="bottom"/>
            <w:hideMark/>
          </w:tcPr>
          <w:p w:rsidR="00714F5D" w:rsidRPr="001D0846" w:rsidRDefault="00714F5D" w:rsidP="008C5C6A">
            <w:pPr>
              <w:spacing w:after="0" w:line="240" w:lineRule="auto"/>
              <w:jc w:val="center"/>
              <w:rPr>
                <w:rFonts w:ascii="Times New Roman" w:eastAsia="Times New Roman" w:hAnsi="Times New Roman" w:cs="Times New Roman"/>
                <w:color w:val="000000"/>
              </w:rPr>
            </w:pPr>
            <w:r w:rsidRPr="001D0846">
              <w:rPr>
                <w:rFonts w:ascii="Times New Roman" w:eastAsia="Times New Roman" w:hAnsi="Times New Roman" w:cs="Times New Roman"/>
                <w:color w:val="000000"/>
              </w:rPr>
              <w:t>5667,2</w:t>
            </w:r>
          </w:p>
        </w:tc>
        <w:tc>
          <w:tcPr>
            <w:tcW w:w="1134" w:type="dxa"/>
            <w:shd w:val="clear" w:color="auto" w:fill="auto"/>
            <w:noWrap/>
            <w:vAlign w:val="bottom"/>
            <w:hideMark/>
          </w:tcPr>
          <w:p w:rsidR="00714F5D" w:rsidRPr="001D0846" w:rsidRDefault="00714F5D" w:rsidP="008C5C6A">
            <w:pPr>
              <w:spacing w:after="0" w:line="240" w:lineRule="auto"/>
              <w:jc w:val="center"/>
              <w:rPr>
                <w:rFonts w:ascii="Times New Roman" w:eastAsia="Times New Roman" w:hAnsi="Times New Roman" w:cs="Times New Roman"/>
                <w:color w:val="000000"/>
              </w:rPr>
            </w:pPr>
            <w:r w:rsidRPr="001D0846">
              <w:rPr>
                <w:rFonts w:ascii="Times New Roman" w:eastAsia="Times New Roman" w:hAnsi="Times New Roman" w:cs="Times New Roman"/>
                <w:color w:val="000000"/>
              </w:rPr>
              <w:t>5588,4</w:t>
            </w:r>
          </w:p>
        </w:tc>
        <w:tc>
          <w:tcPr>
            <w:tcW w:w="1017" w:type="dxa"/>
            <w:shd w:val="clear" w:color="auto" w:fill="auto"/>
            <w:noWrap/>
            <w:vAlign w:val="bottom"/>
            <w:hideMark/>
          </w:tcPr>
          <w:p w:rsidR="00714F5D" w:rsidRPr="001D0846" w:rsidRDefault="00714F5D" w:rsidP="008C5C6A">
            <w:pPr>
              <w:spacing w:after="0" w:line="240" w:lineRule="auto"/>
              <w:jc w:val="center"/>
              <w:rPr>
                <w:rFonts w:ascii="Times New Roman" w:eastAsia="Times New Roman" w:hAnsi="Times New Roman" w:cs="Times New Roman"/>
                <w:bCs/>
                <w:i/>
                <w:color w:val="000000"/>
              </w:rPr>
            </w:pPr>
            <w:r w:rsidRPr="001D0846">
              <w:rPr>
                <w:rFonts w:ascii="Times New Roman" w:eastAsia="Times New Roman" w:hAnsi="Times New Roman" w:cs="Times New Roman"/>
                <w:bCs/>
                <w:i/>
                <w:color w:val="000000"/>
              </w:rPr>
              <w:t>-78,8</w:t>
            </w:r>
          </w:p>
        </w:tc>
      </w:tr>
      <w:tr w:rsidR="00714F5D" w:rsidRPr="001D0846" w:rsidTr="008C5C6A">
        <w:trPr>
          <w:trHeight w:val="312"/>
        </w:trPr>
        <w:tc>
          <w:tcPr>
            <w:tcW w:w="3256" w:type="dxa"/>
            <w:shd w:val="clear" w:color="auto" w:fill="auto"/>
            <w:vAlign w:val="bottom"/>
            <w:hideMark/>
          </w:tcPr>
          <w:p w:rsidR="00714F5D" w:rsidRPr="001D0846" w:rsidRDefault="00714F5D" w:rsidP="008C5C6A">
            <w:pPr>
              <w:spacing w:after="0" w:line="240" w:lineRule="auto"/>
              <w:rPr>
                <w:rFonts w:ascii="Times New Roman" w:eastAsia="Times New Roman" w:hAnsi="Times New Roman" w:cs="Times New Roman"/>
                <w:color w:val="000000"/>
              </w:rPr>
            </w:pPr>
            <w:r w:rsidRPr="001D0846">
              <w:rPr>
                <w:rFonts w:ascii="Times New Roman" w:eastAsia="Times New Roman" w:hAnsi="Times New Roman" w:cs="Times New Roman"/>
                <w:color w:val="000000"/>
              </w:rPr>
              <w:t>TVA</w:t>
            </w:r>
          </w:p>
        </w:tc>
        <w:tc>
          <w:tcPr>
            <w:tcW w:w="1134" w:type="dxa"/>
            <w:shd w:val="clear" w:color="auto" w:fill="auto"/>
            <w:vAlign w:val="bottom"/>
            <w:hideMark/>
          </w:tcPr>
          <w:p w:rsidR="00714F5D" w:rsidRPr="001D0846" w:rsidRDefault="00714F5D" w:rsidP="008C5C6A">
            <w:pPr>
              <w:spacing w:after="0" w:line="240" w:lineRule="auto"/>
              <w:jc w:val="center"/>
              <w:rPr>
                <w:rFonts w:ascii="Times New Roman" w:eastAsia="Times New Roman" w:hAnsi="Times New Roman" w:cs="Times New Roman"/>
                <w:color w:val="000000"/>
              </w:rPr>
            </w:pPr>
            <w:r w:rsidRPr="001D0846">
              <w:rPr>
                <w:rFonts w:ascii="Times New Roman" w:eastAsia="Times New Roman" w:hAnsi="Times New Roman" w:cs="Times New Roman"/>
                <w:color w:val="000000"/>
              </w:rPr>
              <w:t>4867,0</w:t>
            </w:r>
          </w:p>
        </w:tc>
        <w:tc>
          <w:tcPr>
            <w:tcW w:w="1134" w:type="dxa"/>
            <w:shd w:val="clear" w:color="auto" w:fill="auto"/>
            <w:noWrap/>
            <w:vAlign w:val="bottom"/>
            <w:hideMark/>
          </w:tcPr>
          <w:p w:rsidR="00714F5D" w:rsidRPr="001D0846" w:rsidRDefault="00714F5D" w:rsidP="008C5C6A">
            <w:pPr>
              <w:spacing w:after="0" w:line="240" w:lineRule="auto"/>
              <w:jc w:val="center"/>
              <w:rPr>
                <w:rFonts w:ascii="Times New Roman" w:eastAsia="Times New Roman" w:hAnsi="Times New Roman" w:cs="Times New Roman"/>
                <w:color w:val="000000"/>
              </w:rPr>
            </w:pPr>
            <w:r w:rsidRPr="001D0846">
              <w:rPr>
                <w:rFonts w:ascii="Times New Roman" w:eastAsia="Times New Roman" w:hAnsi="Times New Roman" w:cs="Times New Roman"/>
                <w:color w:val="000000"/>
              </w:rPr>
              <w:t>4788,4</w:t>
            </w:r>
          </w:p>
        </w:tc>
        <w:tc>
          <w:tcPr>
            <w:tcW w:w="1134" w:type="dxa"/>
            <w:tcBorders>
              <w:right w:val="single" w:sz="18" w:space="0" w:color="auto"/>
            </w:tcBorders>
            <w:shd w:val="clear" w:color="auto" w:fill="auto"/>
            <w:noWrap/>
            <w:vAlign w:val="bottom"/>
            <w:hideMark/>
          </w:tcPr>
          <w:p w:rsidR="00714F5D" w:rsidRPr="001D0846" w:rsidRDefault="00714F5D" w:rsidP="008C5C6A">
            <w:pPr>
              <w:spacing w:after="0" w:line="240" w:lineRule="auto"/>
              <w:jc w:val="center"/>
              <w:rPr>
                <w:rFonts w:ascii="Times New Roman" w:eastAsia="Times New Roman" w:hAnsi="Times New Roman" w:cs="Times New Roman"/>
                <w:bCs/>
                <w:i/>
                <w:color w:val="000000"/>
              </w:rPr>
            </w:pPr>
            <w:r w:rsidRPr="001D0846">
              <w:rPr>
                <w:rFonts w:ascii="Times New Roman" w:eastAsia="Times New Roman" w:hAnsi="Times New Roman" w:cs="Times New Roman"/>
                <w:bCs/>
                <w:i/>
                <w:color w:val="000000"/>
              </w:rPr>
              <w:t>-78,6</w:t>
            </w:r>
          </w:p>
        </w:tc>
        <w:tc>
          <w:tcPr>
            <w:tcW w:w="1102" w:type="dxa"/>
            <w:tcBorders>
              <w:left w:val="single" w:sz="18" w:space="0" w:color="auto"/>
            </w:tcBorders>
            <w:shd w:val="clear" w:color="auto" w:fill="auto"/>
            <w:noWrap/>
            <w:vAlign w:val="bottom"/>
            <w:hideMark/>
          </w:tcPr>
          <w:p w:rsidR="00714F5D" w:rsidRPr="001D0846" w:rsidRDefault="00714F5D" w:rsidP="008C5C6A">
            <w:pPr>
              <w:spacing w:after="0" w:line="240" w:lineRule="auto"/>
              <w:jc w:val="center"/>
              <w:rPr>
                <w:rFonts w:ascii="Times New Roman" w:eastAsia="Times New Roman" w:hAnsi="Times New Roman" w:cs="Times New Roman"/>
                <w:color w:val="000000"/>
              </w:rPr>
            </w:pPr>
            <w:r w:rsidRPr="001D0846">
              <w:rPr>
                <w:rFonts w:ascii="Times New Roman" w:eastAsia="Times New Roman" w:hAnsi="Times New Roman" w:cs="Times New Roman"/>
                <w:color w:val="000000"/>
              </w:rPr>
              <w:t>5201,7</w:t>
            </w:r>
          </w:p>
        </w:tc>
        <w:tc>
          <w:tcPr>
            <w:tcW w:w="1134" w:type="dxa"/>
            <w:shd w:val="clear" w:color="auto" w:fill="auto"/>
            <w:noWrap/>
            <w:vAlign w:val="bottom"/>
            <w:hideMark/>
          </w:tcPr>
          <w:p w:rsidR="00714F5D" w:rsidRPr="001D0846" w:rsidRDefault="00714F5D" w:rsidP="008C5C6A">
            <w:pPr>
              <w:spacing w:after="0" w:line="240" w:lineRule="auto"/>
              <w:jc w:val="center"/>
              <w:rPr>
                <w:rFonts w:ascii="Times New Roman" w:eastAsia="Times New Roman" w:hAnsi="Times New Roman" w:cs="Times New Roman"/>
                <w:color w:val="000000"/>
              </w:rPr>
            </w:pPr>
            <w:r w:rsidRPr="001D0846">
              <w:rPr>
                <w:rFonts w:ascii="Times New Roman" w:eastAsia="Times New Roman" w:hAnsi="Times New Roman" w:cs="Times New Roman"/>
                <w:color w:val="000000"/>
              </w:rPr>
              <w:t>5315,4</w:t>
            </w:r>
          </w:p>
        </w:tc>
        <w:tc>
          <w:tcPr>
            <w:tcW w:w="1166" w:type="dxa"/>
            <w:tcBorders>
              <w:right w:val="single" w:sz="18" w:space="0" w:color="auto"/>
            </w:tcBorders>
            <w:shd w:val="clear" w:color="auto" w:fill="auto"/>
            <w:noWrap/>
            <w:vAlign w:val="bottom"/>
            <w:hideMark/>
          </w:tcPr>
          <w:p w:rsidR="00714F5D" w:rsidRPr="001D0846" w:rsidRDefault="00714F5D" w:rsidP="008C5C6A">
            <w:pPr>
              <w:spacing w:after="0" w:line="240" w:lineRule="auto"/>
              <w:jc w:val="center"/>
              <w:rPr>
                <w:rFonts w:ascii="Times New Roman" w:eastAsia="Times New Roman" w:hAnsi="Times New Roman" w:cs="Times New Roman"/>
                <w:bCs/>
                <w:i/>
                <w:color w:val="000000"/>
              </w:rPr>
            </w:pPr>
            <w:r w:rsidRPr="001D0846">
              <w:rPr>
                <w:rFonts w:ascii="Times New Roman" w:eastAsia="Times New Roman" w:hAnsi="Times New Roman" w:cs="Times New Roman"/>
                <w:bCs/>
                <w:i/>
                <w:color w:val="000000"/>
              </w:rPr>
              <w:t>113,8</w:t>
            </w:r>
          </w:p>
        </w:tc>
        <w:tc>
          <w:tcPr>
            <w:tcW w:w="1109" w:type="dxa"/>
            <w:tcBorders>
              <w:left w:val="single" w:sz="18" w:space="0" w:color="auto"/>
            </w:tcBorders>
            <w:shd w:val="clear" w:color="auto" w:fill="auto"/>
            <w:noWrap/>
            <w:vAlign w:val="bottom"/>
            <w:hideMark/>
          </w:tcPr>
          <w:p w:rsidR="00714F5D" w:rsidRPr="001D0846" w:rsidRDefault="00714F5D" w:rsidP="008C5C6A">
            <w:pPr>
              <w:spacing w:after="0" w:line="240" w:lineRule="auto"/>
              <w:jc w:val="center"/>
              <w:rPr>
                <w:rFonts w:ascii="Times New Roman" w:eastAsia="Times New Roman" w:hAnsi="Times New Roman" w:cs="Times New Roman"/>
                <w:color w:val="000000"/>
              </w:rPr>
            </w:pPr>
            <w:r w:rsidRPr="001D0846">
              <w:rPr>
                <w:rFonts w:ascii="Times New Roman" w:eastAsia="Times New Roman" w:hAnsi="Times New Roman" w:cs="Times New Roman"/>
                <w:color w:val="000000"/>
              </w:rPr>
              <w:t>6100,0</w:t>
            </w:r>
          </w:p>
        </w:tc>
        <w:tc>
          <w:tcPr>
            <w:tcW w:w="1134" w:type="dxa"/>
            <w:shd w:val="clear" w:color="auto" w:fill="auto"/>
            <w:noWrap/>
            <w:vAlign w:val="bottom"/>
            <w:hideMark/>
          </w:tcPr>
          <w:p w:rsidR="00714F5D" w:rsidRPr="001D0846" w:rsidRDefault="00714F5D" w:rsidP="008C5C6A">
            <w:pPr>
              <w:spacing w:after="0" w:line="240" w:lineRule="auto"/>
              <w:jc w:val="center"/>
              <w:rPr>
                <w:rFonts w:ascii="Times New Roman" w:eastAsia="Times New Roman" w:hAnsi="Times New Roman" w:cs="Times New Roman"/>
                <w:color w:val="000000"/>
              </w:rPr>
            </w:pPr>
            <w:r w:rsidRPr="001D0846">
              <w:rPr>
                <w:rFonts w:ascii="Times New Roman" w:eastAsia="Times New Roman" w:hAnsi="Times New Roman" w:cs="Times New Roman"/>
                <w:color w:val="000000"/>
              </w:rPr>
              <w:t>6205,2</w:t>
            </w:r>
          </w:p>
        </w:tc>
        <w:tc>
          <w:tcPr>
            <w:tcW w:w="1017" w:type="dxa"/>
            <w:shd w:val="clear" w:color="auto" w:fill="auto"/>
            <w:noWrap/>
            <w:vAlign w:val="bottom"/>
            <w:hideMark/>
          </w:tcPr>
          <w:p w:rsidR="00714F5D" w:rsidRPr="001D0846" w:rsidRDefault="00714F5D" w:rsidP="008C5C6A">
            <w:pPr>
              <w:spacing w:after="0" w:line="240" w:lineRule="auto"/>
              <w:jc w:val="center"/>
              <w:rPr>
                <w:rFonts w:ascii="Times New Roman" w:eastAsia="Times New Roman" w:hAnsi="Times New Roman" w:cs="Times New Roman"/>
                <w:bCs/>
                <w:i/>
                <w:color w:val="000000"/>
              </w:rPr>
            </w:pPr>
            <w:r w:rsidRPr="001D0846">
              <w:rPr>
                <w:rFonts w:ascii="Times New Roman" w:eastAsia="Times New Roman" w:hAnsi="Times New Roman" w:cs="Times New Roman"/>
                <w:bCs/>
                <w:i/>
                <w:color w:val="000000"/>
              </w:rPr>
              <w:t>105,2</w:t>
            </w:r>
          </w:p>
        </w:tc>
      </w:tr>
      <w:tr w:rsidR="00714F5D" w:rsidRPr="001D0846" w:rsidTr="008C5C6A">
        <w:trPr>
          <w:trHeight w:val="312"/>
        </w:trPr>
        <w:tc>
          <w:tcPr>
            <w:tcW w:w="3256" w:type="dxa"/>
            <w:shd w:val="clear" w:color="auto" w:fill="auto"/>
            <w:vAlign w:val="bottom"/>
            <w:hideMark/>
          </w:tcPr>
          <w:p w:rsidR="00714F5D" w:rsidRPr="001D0846" w:rsidRDefault="00714F5D" w:rsidP="008C5C6A">
            <w:pPr>
              <w:spacing w:after="0" w:line="240" w:lineRule="auto"/>
              <w:rPr>
                <w:rFonts w:ascii="Times New Roman" w:eastAsia="Times New Roman" w:hAnsi="Times New Roman" w:cs="Times New Roman"/>
                <w:color w:val="000000"/>
              </w:rPr>
            </w:pPr>
            <w:r w:rsidRPr="001D0846">
              <w:rPr>
                <w:rFonts w:ascii="Times New Roman" w:eastAsia="Times New Roman" w:hAnsi="Times New Roman" w:cs="Times New Roman"/>
                <w:color w:val="000000"/>
              </w:rPr>
              <w:t>Accize</w:t>
            </w:r>
          </w:p>
        </w:tc>
        <w:tc>
          <w:tcPr>
            <w:tcW w:w="1134" w:type="dxa"/>
            <w:shd w:val="clear" w:color="auto" w:fill="auto"/>
            <w:vAlign w:val="bottom"/>
            <w:hideMark/>
          </w:tcPr>
          <w:p w:rsidR="00714F5D" w:rsidRPr="001D0846" w:rsidRDefault="00714F5D" w:rsidP="008C5C6A">
            <w:pPr>
              <w:spacing w:after="0" w:line="240" w:lineRule="auto"/>
              <w:jc w:val="center"/>
              <w:rPr>
                <w:rFonts w:ascii="Times New Roman" w:eastAsia="Times New Roman" w:hAnsi="Times New Roman" w:cs="Times New Roman"/>
                <w:color w:val="000000"/>
              </w:rPr>
            </w:pPr>
            <w:r w:rsidRPr="001D0846">
              <w:rPr>
                <w:rFonts w:ascii="Times New Roman" w:eastAsia="Times New Roman" w:hAnsi="Times New Roman" w:cs="Times New Roman"/>
                <w:color w:val="000000"/>
              </w:rPr>
              <w:t>562,9</w:t>
            </w:r>
          </w:p>
        </w:tc>
        <w:tc>
          <w:tcPr>
            <w:tcW w:w="1134" w:type="dxa"/>
            <w:shd w:val="clear" w:color="auto" w:fill="auto"/>
            <w:noWrap/>
            <w:vAlign w:val="bottom"/>
            <w:hideMark/>
          </w:tcPr>
          <w:p w:rsidR="00714F5D" w:rsidRPr="001D0846" w:rsidRDefault="00714F5D" w:rsidP="008C5C6A">
            <w:pPr>
              <w:spacing w:after="0" w:line="240" w:lineRule="auto"/>
              <w:jc w:val="center"/>
              <w:rPr>
                <w:rFonts w:ascii="Times New Roman" w:eastAsia="Times New Roman" w:hAnsi="Times New Roman" w:cs="Times New Roman"/>
                <w:color w:val="000000"/>
              </w:rPr>
            </w:pPr>
            <w:r w:rsidRPr="001D0846">
              <w:rPr>
                <w:rFonts w:ascii="Times New Roman" w:eastAsia="Times New Roman" w:hAnsi="Times New Roman" w:cs="Times New Roman"/>
                <w:color w:val="000000"/>
              </w:rPr>
              <w:t>580,9</w:t>
            </w:r>
          </w:p>
        </w:tc>
        <w:tc>
          <w:tcPr>
            <w:tcW w:w="1134" w:type="dxa"/>
            <w:tcBorders>
              <w:right w:val="single" w:sz="18" w:space="0" w:color="auto"/>
            </w:tcBorders>
            <w:shd w:val="clear" w:color="auto" w:fill="auto"/>
            <w:noWrap/>
            <w:vAlign w:val="bottom"/>
            <w:hideMark/>
          </w:tcPr>
          <w:p w:rsidR="00714F5D" w:rsidRPr="001D0846" w:rsidRDefault="00714F5D" w:rsidP="008C5C6A">
            <w:pPr>
              <w:spacing w:after="0" w:line="240" w:lineRule="auto"/>
              <w:jc w:val="center"/>
              <w:rPr>
                <w:rFonts w:ascii="Times New Roman" w:eastAsia="Times New Roman" w:hAnsi="Times New Roman" w:cs="Times New Roman"/>
                <w:bCs/>
                <w:i/>
                <w:color w:val="000000"/>
              </w:rPr>
            </w:pPr>
            <w:r w:rsidRPr="001D0846">
              <w:rPr>
                <w:rFonts w:ascii="Times New Roman" w:eastAsia="Times New Roman" w:hAnsi="Times New Roman" w:cs="Times New Roman"/>
                <w:bCs/>
                <w:i/>
                <w:color w:val="000000"/>
              </w:rPr>
              <w:t>18,0</w:t>
            </w:r>
          </w:p>
        </w:tc>
        <w:tc>
          <w:tcPr>
            <w:tcW w:w="1102" w:type="dxa"/>
            <w:tcBorders>
              <w:left w:val="single" w:sz="18" w:space="0" w:color="auto"/>
            </w:tcBorders>
            <w:shd w:val="clear" w:color="auto" w:fill="auto"/>
            <w:noWrap/>
            <w:vAlign w:val="bottom"/>
            <w:hideMark/>
          </w:tcPr>
          <w:p w:rsidR="00714F5D" w:rsidRPr="001D0846" w:rsidRDefault="00714F5D" w:rsidP="008C5C6A">
            <w:pPr>
              <w:spacing w:after="0" w:line="240" w:lineRule="auto"/>
              <w:jc w:val="center"/>
              <w:rPr>
                <w:rFonts w:ascii="Times New Roman" w:eastAsia="Times New Roman" w:hAnsi="Times New Roman" w:cs="Times New Roman"/>
                <w:color w:val="000000"/>
              </w:rPr>
            </w:pPr>
            <w:r w:rsidRPr="001D0846">
              <w:rPr>
                <w:rFonts w:ascii="Times New Roman" w:eastAsia="Times New Roman" w:hAnsi="Times New Roman" w:cs="Times New Roman"/>
                <w:color w:val="000000"/>
              </w:rPr>
              <w:t>507,2</w:t>
            </w:r>
          </w:p>
        </w:tc>
        <w:tc>
          <w:tcPr>
            <w:tcW w:w="1134" w:type="dxa"/>
            <w:shd w:val="clear" w:color="auto" w:fill="auto"/>
            <w:noWrap/>
            <w:vAlign w:val="bottom"/>
            <w:hideMark/>
          </w:tcPr>
          <w:p w:rsidR="00714F5D" w:rsidRPr="001D0846" w:rsidRDefault="00714F5D" w:rsidP="008C5C6A">
            <w:pPr>
              <w:spacing w:after="0" w:line="240" w:lineRule="auto"/>
              <w:jc w:val="center"/>
              <w:rPr>
                <w:rFonts w:ascii="Times New Roman" w:eastAsia="Times New Roman" w:hAnsi="Times New Roman" w:cs="Times New Roman"/>
                <w:color w:val="000000"/>
              </w:rPr>
            </w:pPr>
            <w:r w:rsidRPr="001D0846">
              <w:rPr>
                <w:rFonts w:ascii="Times New Roman" w:eastAsia="Times New Roman" w:hAnsi="Times New Roman" w:cs="Times New Roman"/>
                <w:color w:val="000000"/>
              </w:rPr>
              <w:t>531,2</w:t>
            </w:r>
          </w:p>
        </w:tc>
        <w:tc>
          <w:tcPr>
            <w:tcW w:w="1166" w:type="dxa"/>
            <w:tcBorders>
              <w:right w:val="single" w:sz="18" w:space="0" w:color="auto"/>
            </w:tcBorders>
            <w:shd w:val="clear" w:color="auto" w:fill="auto"/>
            <w:noWrap/>
            <w:vAlign w:val="bottom"/>
            <w:hideMark/>
          </w:tcPr>
          <w:p w:rsidR="00714F5D" w:rsidRPr="001D0846" w:rsidRDefault="00714F5D" w:rsidP="008C5C6A">
            <w:pPr>
              <w:spacing w:after="0" w:line="240" w:lineRule="auto"/>
              <w:jc w:val="center"/>
              <w:rPr>
                <w:rFonts w:ascii="Times New Roman" w:eastAsia="Times New Roman" w:hAnsi="Times New Roman" w:cs="Times New Roman"/>
                <w:bCs/>
                <w:i/>
                <w:color w:val="000000"/>
              </w:rPr>
            </w:pPr>
            <w:r w:rsidRPr="001D0846">
              <w:rPr>
                <w:rFonts w:ascii="Times New Roman" w:eastAsia="Times New Roman" w:hAnsi="Times New Roman" w:cs="Times New Roman"/>
                <w:bCs/>
                <w:i/>
                <w:color w:val="000000"/>
              </w:rPr>
              <w:t>24,0</w:t>
            </w:r>
          </w:p>
        </w:tc>
        <w:tc>
          <w:tcPr>
            <w:tcW w:w="1109" w:type="dxa"/>
            <w:tcBorders>
              <w:left w:val="single" w:sz="18" w:space="0" w:color="auto"/>
            </w:tcBorders>
            <w:shd w:val="clear" w:color="auto" w:fill="auto"/>
            <w:noWrap/>
            <w:vAlign w:val="bottom"/>
            <w:hideMark/>
          </w:tcPr>
          <w:p w:rsidR="00714F5D" w:rsidRPr="001D0846" w:rsidRDefault="00714F5D" w:rsidP="008C5C6A">
            <w:pPr>
              <w:spacing w:after="0" w:line="240" w:lineRule="auto"/>
              <w:jc w:val="center"/>
              <w:rPr>
                <w:rFonts w:ascii="Times New Roman" w:eastAsia="Times New Roman" w:hAnsi="Times New Roman" w:cs="Times New Roman"/>
                <w:color w:val="000000"/>
              </w:rPr>
            </w:pPr>
            <w:r w:rsidRPr="001D0846">
              <w:rPr>
                <w:rFonts w:ascii="Times New Roman" w:eastAsia="Times New Roman" w:hAnsi="Times New Roman" w:cs="Times New Roman"/>
                <w:color w:val="000000"/>
              </w:rPr>
              <w:t>533,0</w:t>
            </w:r>
          </w:p>
        </w:tc>
        <w:tc>
          <w:tcPr>
            <w:tcW w:w="1134" w:type="dxa"/>
            <w:shd w:val="clear" w:color="auto" w:fill="auto"/>
            <w:noWrap/>
            <w:vAlign w:val="bottom"/>
            <w:hideMark/>
          </w:tcPr>
          <w:p w:rsidR="00714F5D" w:rsidRPr="001D0846" w:rsidRDefault="00714F5D" w:rsidP="008C5C6A">
            <w:pPr>
              <w:spacing w:after="0" w:line="240" w:lineRule="auto"/>
              <w:jc w:val="center"/>
              <w:rPr>
                <w:rFonts w:ascii="Times New Roman" w:eastAsia="Times New Roman" w:hAnsi="Times New Roman" w:cs="Times New Roman"/>
                <w:color w:val="000000"/>
              </w:rPr>
            </w:pPr>
            <w:r w:rsidRPr="001D0846">
              <w:rPr>
                <w:rFonts w:ascii="Times New Roman" w:eastAsia="Times New Roman" w:hAnsi="Times New Roman" w:cs="Times New Roman"/>
                <w:color w:val="000000"/>
              </w:rPr>
              <w:t>573,8</w:t>
            </w:r>
          </w:p>
        </w:tc>
        <w:tc>
          <w:tcPr>
            <w:tcW w:w="1017" w:type="dxa"/>
            <w:shd w:val="clear" w:color="auto" w:fill="auto"/>
            <w:noWrap/>
            <w:vAlign w:val="bottom"/>
            <w:hideMark/>
          </w:tcPr>
          <w:p w:rsidR="00714F5D" w:rsidRPr="001D0846" w:rsidRDefault="00714F5D" w:rsidP="008C5C6A">
            <w:pPr>
              <w:spacing w:after="0" w:line="240" w:lineRule="auto"/>
              <w:jc w:val="center"/>
              <w:rPr>
                <w:rFonts w:ascii="Times New Roman" w:eastAsia="Times New Roman" w:hAnsi="Times New Roman" w:cs="Times New Roman"/>
                <w:bCs/>
                <w:i/>
                <w:color w:val="000000"/>
              </w:rPr>
            </w:pPr>
            <w:r w:rsidRPr="001D0846">
              <w:rPr>
                <w:rFonts w:ascii="Times New Roman" w:eastAsia="Times New Roman" w:hAnsi="Times New Roman" w:cs="Times New Roman"/>
                <w:bCs/>
                <w:i/>
                <w:color w:val="000000"/>
              </w:rPr>
              <w:t>40,8</w:t>
            </w:r>
          </w:p>
        </w:tc>
      </w:tr>
      <w:tr w:rsidR="00714F5D" w:rsidRPr="001D0846" w:rsidTr="008C5C6A">
        <w:trPr>
          <w:trHeight w:val="292"/>
        </w:trPr>
        <w:tc>
          <w:tcPr>
            <w:tcW w:w="3256" w:type="dxa"/>
            <w:shd w:val="clear" w:color="auto" w:fill="auto"/>
            <w:vAlign w:val="bottom"/>
            <w:hideMark/>
          </w:tcPr>
          <w:p w:rsidR="00714F5D" w:rsidRPr="001D0846" w:rsidRDefault="00714F5D" w:rsidP="008C5C6A">
            <w:pPr>
              <w:spacing w:after="0" w:line="240" w:lineRule="auto"/>
              <w:rPr>
                <w:rFonts w:ascii="Times New Roman" w:eastAsia="Times New Roman" w:hAnsi="Times New Roman" w:cs="Times New Roman"/>
                <w:color w:val="000000"/>
              </w:rPr>
            </w:pPr>
            <w:r w:rsidRPr="001D0846">
              <w:rPr>
                <w:rFonts w:ascii="Times New Roman" w:eastAsia="Times New Roman" w:hAnsi="Times New Roman" w:cs="Times New Roman"/>
                <w:color w:val="000000"/>
              </w:rPr>
              <w:t>Taxe pentru folosirea drumurilor</w:t>
            </w:r>
          </w:p>
        </w:tc>
        <w:tc>
          <w:tcPr>
            <w:tcW w:w="1134" w:type="dxa"/>
            <w:shd w:val="clear" w:color="auto" w:fill="auto"/>
            <w:vAlign w:val="bottom"/>
            <w:hideMark/>
          </w:tcPr>
          <w:p w:rsidR="00714F5D" w:rsidRPr="001D0846" w:rsidRDefault="00714F5D" w:rsidP="008C5C6A">
            <w:pPr>
              <w:spacing w:after="0" w:line="240" w:lineRule="auto"/>
              <w:jc w:val="center"/>
              <w:rPr>
                <w:rFonts w:ascii="Times New Roman" w:eastAsia="Times New Roman" w:hAnsi="Times New Roman" w:cs="Times New Roman"/>
                <w:color w:val="000000"/>
              </w:rPr>
            </w:pPr>
            <w:r w:rsidRPr="001D0846">
              <w:rPr>
                <w:rFonts w:ascii="Times New Roman" w:eastAsia="Times New Roman" w:hAnsi="Times New Roman" w:cs="Times New Roman"/>
                <w:color w:val="000000"/>
              </w:rPr>
              <w:t>293,1</w:t>
            </w:r>
          </w:p>
        </w:tc>
        <w:tc>
          <w:tcPr>
            <w:tcW w:w="1134" w:type="dxa"/>
            <w:shd w:val="clear" w:color="auto" w:fill="auto"/>
            <w:noWrap/>
            <w:vAlign w:val="bottom"/>
            <w:hideMark/>
          </w:tcPr>
          <w:p w:rsidR="00714F5D" w:rsidRPr="001D0846" w:rsidRDefault="00714F5D" w:rsidP="008C5C6A">
            <w:pPr>
              <w:spacing w:after="0" w:line="240" w:lineRule="auto"/>
              <w:jc w:val="center"/>
              <w:rPr>
                <w:rFonts w:ascii="Times New Roman" w:eastAsia="Times New Roman" w:hAnsi="Times New Roman" w:cs="Times New Roman"/>
                <w:color w:val="000000"/>
              </w:rPr>
            </w:pPr>
            <w:r w:rsidRPr="001D0846">
              <w:rPr>
                <w:rFonts w:ascii="Times New Roman" w:eastAsia="Times New Roman" w:hAnsi="Times New Roman" w:cs="Times New Roman"/>
                <w:color w:val="000000"/>
              </w:rPr>
              <w:t>304,6</w:t>
            </w:r>
          </w:p>
        </w:tc>
        <w:tc>
          <w:tcPr>
            <w:tcW w:w="1134" w:type="dxa"/>
            <w:tcBorders>
              <w:right w:val="single" w:sz="18" w:space="0" w:color="auto"/>
            </w:tcBorders>
            <w:shd w:val="clear" w:color="auto" w:fill="auto"/>
            <w:noWrap/>
            <w:vAlign w:val="bottom"/>
            <w:hideMark/>
          </w:tcPr>
          <w:p w:rsidR="00714F5D" w:rsidRPr="001D0846" w:rsidRDefault="00714F5D" w:rsidP="008C5C6A">
            <w:pPr>
              <w:spacing w:after="0" w:line="240" w:lineRule="auto"/>
              <w:jc w:val="center"/>
              <w:rPr>
                <w:rFonts w:ascii="Times New Roman" w:eastAsia="Times New Roman" w:hAnsi="Times New Roman" w:cs="Times New Roman"/>
                <w:bCs/>
                <w:i/>
                <w:color w:val="000000"/>
              </w:rPr>
            </w:pPr>
            <w:r w:rsidRPr="001D0846">
              <w:rPr>
                <w:rFonts w:ascii="Times New Roman" w:eastAsia="Times New Roman" w:hAnsi="Times New Roman" w:cs="Times New Roman"/>
                <w:bCs/>
                <w:i/>
                <w:color w:val="000000"/>
              </w:rPr>
              <w:t>11,5</w:t>
            </w:r>
          </w:p>
        </w:tc>
        <w:tc>
          <w:tcPr>
            <w:tcW w:w="1102" w:type="dxa"/>
            <w:tcBorders>
              <w:left w:val="single" w:sz="18" w:space="0" w:color="auto"/>
            </w:tcBorders>
            <w:shd w:val="clear" w:color="auto" w:fill="auto"/>
            <w:noWrap/>
            <w:vAlign w:val="bottom"/>
            <w:hideMark/>
          </w:tcPr>
          <w:p w:rsidR="00714F5D" w:rsidRPr="001D0846" w:rsidRDefault="00714F5D" w:rsidP="008C5C6A">
            <w:pPr>
              <w:spacing w:after="0" w:line="240" w:lineRule="auto"/>
              <w:jc w:val="center"/>
              <w:rPr>
                <w:rFonts w:ascii="Times New Roman" w:eastAsia="Times New Roman" w:hAnsi="Times New Roman" w:cs="Times New Roman"/>
                <w:color w:val="000000"/>
              </w:rPr>
            </w:pPr>
            <w:r w:rsidRPr="001D0846">
              <w:rPr>
                <w:rFonts w:ascii="Times New Roman" w:eastAsia="Times New Roman" w:hAnsi="Times New Roman" w:cs="Times New Roman"/>
                <w:color w:val="000000"/>
              </w:rPr>
              <w:t>366,7</w:t>
            </w:r>
          </w:p>
        </w:tc>
        <w:tc>
          <w:tcPr>
            <w:tcW w:w="1134" w:type="dxa"/>
            <w:shd w:val="clear" w:color="auto" w:fill="auto"/>
            <w:noWrap/>
            <w:vAlign w:val="bottom"/>
            <w:hideMark/>
          </w:tcPr>
          <w:p w:rsidR="00714F5D" w:rsidRPr="001D0846" w:rsidRDefault="00714F5D" w:rsidP="008C5C6A">
            <w:pPr>
              <w:spacing w:after="0" w:line="240" w:lineRule="auto"/>
              <w:jc w:val="center"/>
              <w:rPr>
                <w:rFonts w:ascii="Times New Roman" w:eastAsia="Times New Roman" w:hAnsi="Times New Roman" w:cs="Times New Roman"/>
                <w:color w:val="000000"/>
              </w:rPr>
            </w:pPr>
            <w:r w:rsidRPr="001D0846">
              <w:rPr>
                <w:rFonts w:ascii="Times New Roman" w:eastAsia="Times New Roman" w:hAnsi="Times New Roman" w:cs="Times New Roman"/>
                <w:color w:val="000000"/>
              </w:rPr>
              <w:t>337,9</w:t>
            </w:r>
          </w:p>
        </w:tc>
        <w:tc>
          <w:tcPr>
            <w:tcW w:w="1166" w:type="dxa"/>
            <w:tcBorders>
              <w:right w:val="single" w:sz="18" w:space="0" w:color="auto"/>
            </w:tcBorders>
            <w:shd w:val="clear" w:color="auto" w:fill="auto"/>
            <w:noWrap/>
            <w:vAlign w:val="bottom"/>
            <w:hideMark/>
          </w:tcPr>
          <w:p w:rsidR="00714F5D" w:rsidRPr="001D0846" w:rsidRDefault="00714F5D" w:rsidP="008C5C6A">
            <w:pPr>
              <w:spacing w:after="0" w:line="240" w:lineRule="auto"/>
              <w:jc w:val="center"/>
              <w:rPr>
                <w:rFonts w:ascii="Times New Roman" w:eastAsia="Times New Roman" w:hAnsi="Times New Roman" w:cs="Times New Roman"/>
                <w:bCs/>
                <w:i/>
                <w:color w:val="000000"/>
              </w:rPr>
            </w:pPr>
            <w:r w:rsidRPr="001D0846">
              <w:rPr>
                <w:rFonts w:ascii="Times New Roman" w:eastAsia="Times New Roman" w:hAnsi="Times New Roman" w:cs="Times New Roman"/>
                <w:bCs/>
                <w:i/>
                <w:color w:val="000000"/>
              </w:rPr>
              <w:t>-28,8</w:t>
            </w:r>
          </w:p>
        </w:tc>
        <w:tc>
          <w:tcPr>
            <w:tcW w:w="1109" w:type="dxa"/>
            <w:tcBorders>
              <w:left w:val="single" w:sz="18" w:space="0" w:color="auto"/>
            </w:tcBorders>
            <w:shd w:val="clear" w:color="auto" w:fill="auto"/>
            <w:noWrap/>
            <w:vAlign w:val="bottom"/>
            <w:hideMark/>
          </w:tcPr>
          <w:p w:rsidR="00714F5D" w:rsidRPr="001D0846" w:rsidRDefault="00714F5D" w:rsidP="008C5C6A">
            <w:pPr>
              <w:spacing w:after="0" w:line="240" w:lineRule="auto"/>
              <w:jc w:val="center"/>
              <w:rPr>
                <w:rFonts w:ascii="Times New Roman" w:eastAsia="Times New Roman" w:hAnsi="Times New Roman" w:cs="Times New Roman"/>
                <w:color w:val="000000"/>
              </w:rPr>
            </w:pPr>
            <w:r w:rsidRPr="001D0846">
              <w:rPr>
                <w:rFonts w:ascii="Times New Roman" w:eastAsia="Times New Roman" w:hAnsi="Times New Roman" w:cs="Times New Roman"/>
                <w:color w:val="000000"/>
              </w:rPr>
              <w:t>851,0</w:t>
            </w:r>
          </w:p>
        </w:tc>
        <w:tc>
          <w:tcPr>
            <w:tcW w:w="1134" w:type="dxa"/>
            <w:shd w:val="clear" w:color="auto" w:fill="auto"/>
            <w:noWrap/>
            <w:vAlign w:val="bottom"/>
            <w:hideMark/>
          </w:tcPr>
          <w:p w:rsidR="00714F5D" w:rsidRPr="001D0846" w:rsidRDefault="00714F5D" w:rsidP="008C5C6A">
            <w:pPr>
              <w:spacing w:after="0" w:line="240" w:lineRule="auto"/>
              <w:jc w:val="center"/>
              <w:rPr>
                <w:rFonts w:ascii="Times New Roman" w:eastAsia="Times New Roman" w:hAnsi="Times New Roman" w:cs="Times New Roman"/>
                <w:color w:val="000000"/>
              </w:rPr>
            </w:pPr>
            <w:r w:rsidRPr="001D0846">
              <w:rPr>
                <w:rFonts w:ascii="Times New Roman" w:eastAsia="Times New Roman" w:hAnsi="Times New Roman" w:cs="Times New Roman"/>
                <w:color w:val="000000"/>
              </w:rPr>
              <w:t>835,1</w:t>
            </w:r>
          </w:p>
        </w:tc>
        <w:tc>
          <w:tcPr>
            <w:tcW w:w="1017" w:type="dxa"/>
            <w:shd w:val="clear" w:color="auto" w:fill="auto"/>
            <w:noWrap/>
            <w:vAlign w:val="bottom"/>
            <w:hideMark/>
          </w:tcPr>
          <w:p w:rsidR="00714F5D" w:rsidRPr="001D0846" w:rsidRDefault="00714F5D" w:rsidP="008C5C6A">
            <w:pPr>
              <w:spacing w:after="0" w:line="240" w:lineRule="auto"/>
              <w:jc w:val="center"/>
              <w:rPr>
                <w:rFonts w:ascii="Times New Roman" w:eastAsia="Times New Roman" w:hAnsi="Times New Roman" w:cs="Times New Roman"/>
                <w:bCs/>
                <w:i/>
                <w:color w:val="000000"/>
              </w:rPr>
            </w:pPr>
            <w:r w:rsidRPr="001D0846">
              <w:rPr>
                <w:rFonts w:ascii="Times New Roman" w:eastAsia="Times New Roman" w:hAnsi="Times New Roman" w:cs="Times New Roman"/>
                <w:bCs/>
                <w:i/>
                <w:color w:val="000000"/>
              </w:rPr>
              <w:t>-15,9</w:t>
            </w:r>
          </w:p>
        </w:tc>
      </w:tr>
      <w:tr w:rsidR="00714F5D" w:rsidRPr="001D0846" w:rsidTr="008C5C6A">
        <w:trPr>
          <w:trHeight w:val="312"/>
        </w:trPr>
        <w:tc>
          <w:tcPr>
            <w:tcW w:w="3256" w:type="dxa"/>
            <w:shd w:val="clear" w:color="auto" w:fill="auto"/>
            <w:vAlign w:val="bottom"/>
            <w:hideMark/>
          </w:tcPr>
          <w:p w:rsidR="00714F5D" w:rsidRPr="001D0846" w:rsidRDefault="00714F5D" w:rsidP="008C5C6A">
            <w:pPr>
              <w:spacing w:after="0" w:line="240" w:lineRule="auto"/>
              <w:rPr>
                <w:rFonts w:ascii="Times New Roman" w:eastAsia="Times New Roman" w:hAnsi="Times New Roman" w:cs="Times New Roman"/>
                <w:color w:val="000000"/>
              </w:rPr>
            </w:pPr>
            <w:r w:rsidRPr="001D0846">
              <w:rPr>
                <w:rFonts w:ascii="Times New Roman" w:eastAsia="Times New Roman" w:hAnsi="Times New Roman" w:cs="Times New Roman"/>
                <w:color w:val="000000"/>
              </w:rPr>
              <w:t>Amenzi și sancțiuni</w:t>
            </w:r>
          </w:p>
        </w:tc>
        <w:tc>
          <w:tcPr>
            <w:tcW w:w="1134" w:type="dxa"/>
            <w:shd w:val="clear" w:color="auto" w:fill="auto"/>
            <w:vAlign w:val="bottom"/>
            <w:hideMark/>
          </w:tcPr>
          <w:p w:rsidR="00714F5D" w:rsidRPr="001D0846" w:rsidRDefault="00714F5D" w:rsidP="008C5C6A">
            <w:pPr>
              <w:spacing w:after="0" w:line="240" w:lineRule="auto"/>
              <w:jc w:val="center"/>
              <w:rPr>
                <w:rFonts w:ascii="Times New Roman" w:eastAsia="Times New Roman" w:hAnsi="Times New Roman" w:cs="Times New Roman"/>
                <w:color w:val="000000"/>
              </w:rPr>
            </w:pPr>
            <w:r w:rsidRPr="001D0846">
              <w:rPr>
                <w:rFonts w:ascii="Times New Roman" w:eastAsia="Times New Roman" w:hAnsi="Times New Roman" w:cs="Times New Roman"/>
                <w:color w:val="000000"/>
              </w:rPr>
              <w:t>165,4</w:t>
            </w:r>
          </w:p>
        </w:tc>
        <w:tc>
          <w:tcPr>
            <w:tcW w:w="1134" w:type="dxa"/>
            <w:shd w:val="clear" w:color="auto" w:fill="auto"/>
            <w:noWrap/>
            <w:vAlign w:val="bottom"/>
            <w:hideMark/>
          </w:tcPr>
          <w:p w:rsidR="00714F5D" w:rsidRPr="001D0846" w:rsidRDefault="00714F5D" w:rsidP="008C5C6A">
            <w:pPr>
              <w:spacing w:after="0" w:line="240" w:lineRule="auto"/>
              <w:jc w:val="center"/>
              <w:rPr>
                <w:rFonts w:ascii="Times New Roman" w:eastAsia="Times New Roman" w:hAnsi="Times New Roman" w:cs="Times New Roman"/>
                <w:color w:val="000000"/>
              </w:rPr>
            </w:pPr>
            <w:r w:rsidRPr="001D0846">
              <w:rPr>
                <w:rFonts w:ascii="Times New Roman" w:eastAsia="Times New Roman" w:hAnsi="Times New Roman" w:cs="Times New Roman"/>
                <w:color w:val="000000"/>
              </w:rPr>
              <w:t>180,6</w:t>
            </w:r>
          </w:p>
        </w:tc>
        <w:tc>
          <w:tcPr>
            <w:tcW w:w="1134" w:type="dxa"/>
            <w:tcBorders>
              <w:right w:val="single" w:sz="18" w:space="0" w:color="auto"/>
            </w:tcBorders>
            <w:shd w:val="clear" w:color="auto" w:fill="auto"/>
            <w:noWrap/>
            <w:vAlign w:val="bottom"/>
            <w:hideMark/>
          </w:tcPr>
          <w:p w:rsidR="00714F5D" w:rsidRPr="001D0846" w:rsidRDefault="00714F5D" w:rsidP="008C5C6A">
            <w:pPr>
              <w:spacing w:after="0" w:line="240" w:lineRule="auto"/>
              <w:jc w:val="center"/>
              <w:rPr>
                <w:rFonts w:ascii="Times New Roman" w:eastAsia="Times New Roman" w:hAnsi="Times New Roman" w:cs="Times New Roman"/>
                <w:bCs/>
                <w:i/>
                <w:color w:val="000000"/>
              </w:rPr>
            </w:pPr>
            <w:r w:rsidRPr="001D0846">
              <w:rPr>
                <w:rFonts w:ascii="Times New Roman" w:eastAsia="Times New Roman" w:hAnsi="Times New Roman" w:cs="Times New Roman"/>
                <w:bCs/>
                <w:i/>
                <w:color w:val="000000"/>
              </w:rPr>
              <w:t>15,2</w:t>
            </w:r>
          </w:p>
        </w:tc>
        <w:tc>
          <w:tcPr>
            <w:tcW w:w="1102" w:type="dxa"/>
            <w:tcBorders>
              <w:left w:val="single" w:sz="18" w:space="0" w:color="auto"/>
            </w:tcBorders>
            <w:shd w:val="clear" w:color="auto" w:fill="auto"/>
            <w:noWrap/>
            <w:vAlign w:val="bottom"/>
            <w:hideMark/>
          </w:tcPr>
          <w:p w:rsidR="00714F5D" w:rsidRPr="001D0846" w:rsidRDefault="00714F5D" w:rsidP="008C5C6A">
            <w:pPr>
              <w:spacing w:after="0" w:line="240" w:lineRule="auto"/>
              <w:jc w:val="center"/>
              <w:rPr>
                <w:rFonts w:ascii="Times New Roman" w:eastAsia="Times New Roman" w:hAnsi="Times New Roman" w:cs="Times New Roman"/>
                <w:color w:val="000000"/>
              </w:rPr>
            </w:pPr>
            <w:r w:rsidRPr="001D0846">
              <w:rPr>
                <w:rFonts w:ascii="Times New Roman" w:eastAsia="Times New Roman" w:hAnsi="Times New Roman" w:cs="Times New Roman"/>
                <w:color w:val="000000"/>
              </w:rPr>
              <w:t>162,2</w:t>
            </w:r>
          </w:p>
        </w:tc>
        <w:tc>
          <w:tcPr>
            <w:tcW w:w="1134" w:type="dxa"/>
            <w:shd w:val="clear" w:color="auto" w:fill="auto"/>
            <w:noWrap/>
            <w:vAlign w:val="bottom"/>
            <w:hideMark/>
          </w:tcPr>
          <w:p w:rsidR="00714F5D" w:rsidRPr="001D0846" w:rsidRDefault="00714F5D" w:rsidP="008C5C6A">
            <w:pPr>
              <w:spacing w:after="0" w:line="240" w:lineRule="auto"/>
              <w:jc w:val="center"/>
              <w:rPr>
                <w:rFonts w:ascii="Times New Roman" w:eastAsia="Times New Roman" w:hAnsi="Times New Roman" w:cs="Times New Roman"/>
                <w:color w:val="000000"/>
              </w:rPr>
            </w:pPr>
            <w:r w:rsidRPr="001D0846">
              <w:rPr>
                <w:rFonts w:ascii="Times New Roman" w:eastAsia="Times New Roman" w:hAnsi="Times New Roman" w:cs="Times New Roman"/>
                <w:color w:val="000000"/>
              </w:rPr>
              <w:t>154,9</w:t>
            </w:r>
          </w:p>
        </w:tc>
        <w:tc>
          <w:tcPr>
            <w:tcW w:w="1166" w:type="dxa"/>
            <w:tcBorders>
              <w:right w:val="single" w:sz="18" w:space="0" w:color="auto"/>
            </w:tcBorders>
            <w:shd w:val="clear" w:color="auto" w:fill="auto"/>
            <w:noWrap/>
            <w:vAlign w:val="bottom"/>
            <w:hideMark/>
          </w:tcPr>
          <w:p w:rsidR="00714F5D" w:rsidRPr="001D0846" w:rsidRDefault="00714F5D" w:rsidP="008C5C6A">
            <w:pPr>
              <w:spacing w:after="0" w:line="240" w:lineRule="auto"/>
              <w:jc w:val="center"/>
              <w:rPr>
                <w:rFonts w:ascii="Times New Roman" w:eastAsia="Times New Roman" w:hAnsi="Times New Roman" w:cs="Times New Roman"/>
                <w:bCs/>
                <w:i/>
                <w:color w:val="000000"/>
              </w:rPr>
            </w:pPr>
            <w:r w:rsidRPr="001D0846">
              <w:rPr>
                <w:rFonts w:ascii="Times New Roman" w:eastAsia="Times New Roman" w:hAnsi="Times New Roman" w:cs="Times New Roman"/>
                <w:bCs/>
                <w:i/>
                <w:color w:val="000000"/>
              </w:rPr>
              <w:t>-7,4</w:t>
            </w:r>
          </w:p>
        </w:tc>
        <w:tc>
          <w:tcPr>
            <w:tcW w:w="1109" w:type="dxa"/>
            <w:tcBorders>
              <w:left w:val="single" w:sz="18" w:space="0" w:color="auto"/>
            </w:tcBorders>
            <w:shd w:val="clear" w:color="auto" w:fill="auto"/>
            <w:noWrap/>
            <w:vAlign w:val="bottom"/>
            <w:hideMark/>
          </w:tcPr>
          <w:p w:rsidR="00714F5D" w:rsidRPr="001D0846" w:rsidRDefault="00714F5D" w:rsidP="008C5C6A">
            <w:pPr>
              <w:spacing w:after="0" w:line="240" w:lineRule="auto"/>
              <w:jc w:val="center"/>
              <w:rPr>
                <w:rFonts w:ascii="Times New Roman" w:eastAsia="Times New Roman" w:hAnsi="Times New Roman" w:cs="Times New Roman"/>
                <w:color w:val="000000"/>
              </w:rPr>
            </w:pPr>
            <w:r w:rsidRPr="001D0846">
              <w:rPr>
                <w:rFonts w:ascii="Times New Roman" w:eastAsia="Times New Roman" w:hAnsi="Times New Roman" w:cs="Times New Roman"/>
                <w:color w:val="000000"/>
              </w:rPr>
              <w:t>291,4</w:t>
            </w:r>
          </w:p>
        </w:tc>
        <w:tc>
          <w:tcPr>
            <w:tcW w:w="1134" w:type="dxa"/>
            <w:shd w:val="clear" w:color="auto" w:fill="auto"/>
            <w:noWrap/>
            <w:vAlign w:val="bottom"/>
            <w:hideMark/>
          </w:tcPr>
          <w:p w:rsidR="00714F5D" w:rsidRPr="001D0846" w:rsidRDefault="00714F5D" w:rsidP="008C5C6A">
            <w:pPr>
              <w:spacing w:after="0" w:line="240" w:lineRule="auto"/>
              <w:jc w:val="center"/>
              <w:rPr>
                <w:rFonts w:ascii="Times New Roman" w:eastAsia="Times New Roman" w:hAnsi="Times New Roman" w:cs="Times New Roman"/>
                <w:color w:val="000000"/>
              </w:rPr>
            </w:pPr>
            <w:r w:rsidRPr="001D0846">
              <w:rPr>
                <w:rFonts w:ascii="Times New Roman" w:eastAsia="Times New Roman" w:hAnsi="Times New Roman" w:cs="Times New Roman"/>
                <w:color w:val="000000"/>
              </w:rPr>
              <w:t>325,3</w:t>
            </w:r>
          </w:p>
        </w:tc>
        <w:tc>
          <w:tcPr>
            <w:tcW w:w="1017" w:type="dxa"/>
            <w:shd w:val="clear" w:color="auto" w:fill="auto"/>
            <w:noWrap/>
            <w:vAlign w:val="bottom"/>
            <w:hideMark/>
          </w:tcPr>
          <w:p w:rsidR="00714F5D" w:rsidRPr="001D0846" w:rsidRDefault="00714F5D" w:rsidP="008C5C6A">
            <w:pPr>
              <w:spacing w:after="0" w:line="240" w:lineRule="auto"/>
              <w:jc w:val="center"/>
              <w:rPr>
                <w:rFonts w:ascii="Times New Roman" w:eastAsia="Times New Roman" w:hAnsi="Times New Roman" w:cs="Times New Roman"/>
                <w:bCs/>
                <w:i/>
                <w:color w:val="000000"/>
              </w:rPr>
            </w:pPr>
            <w:r w:rsidRPr="001D0846">
              <w:rPr>
                <w:rFonts w:ascii="Times New Roman" w:eastAsia="Times New Roman" w:hAnsi="Times New Roman" w:cs="Times New Roman"/>
                <w:bCs/>
                <w:i/>
                <w:color w:val="000000"/>
              </w:rPr>
              <w:t>33,9</w:t>
            </w:r>
          </w:p>
        </w:tc>
      </w:tr>
      <w:tr w:rsidR="00714F5D" w:rsidRPr="001D0846" w:rsidTr="008C5C6A">
        <w:trPr>
          <w:trHeight w:val="324"/>
        </w:trPr>
        <w:tc>
          <w:tcPr>
            <w:tcW w:w="3256" w:type="dxa"/>
            <w:shd w:val="clear" w:color="auto" w:fill="auto"/>
            <w:vAlign w:val="bottom"/>
            <w:hideMark/>
          </w:tcPr>
          <w:p w:rsidR="00714F5D" w:rsidRPr="001D0846" w:rsidRDefault="00714F5D" w:rsidP="008C5C6A">
            <w:pPr>
              <w:spacing w:after="0" w:line="240" w:lineRule="auto"/>
              <w:rPr>
                <w:rFonts w:ascii="Times New Roman" w:eastAsia="Times New Roman" w:hAnsi="Times New Roman" w:cs="Times New Roman"/>
                <w:color w:val="000000"/>
              </w:rPr>
            </w:pPr>
            <w:r w:rsidRPr="001D0846">
              <w:rPr>
                <w:rFonts w:ascii="Times New Roman" w:eastAsia="Times New Roman" w:hAnsi="Times New Roman" w:cs="Times New Roman"/>
                <w:color w:val="000000"/>
              </w:rPr>
              <w:t>Alte impozite și taxe</w:t>
            </w:r>
          </w:p>
        </w:tc>
        <w:tc>
          <w:tcPr>
            <w:tcW w:w="1134" w:type="dxa"/>
            <w:shd w:val="clear" w:color="auto" w:fill="auto"/>
            <w:vAlign w:val="bottom"/>
            <w:hideMark/>
          </w:tcPr>
          <w:p w:rsidR="00714F5D" w:rsidRPr="001D0846" w:rsidRDefault="00714F5D" w:rsidP="008C5C6A">
            <w:pPr>
              <w:spacing w:after="0" w:line="240" w:lineRule="auto"/>
              <w:jc w:val="center"/>
              <w:rPr>
                <w:rFonts w:ascii="Times New Roman" w:eastAsia="Times New Roman" w:hAnsi="Times New Roman" w:cs="Times New Roman"/>
                <w:color w:val="000000"/>
              </w:rPr>
            </w:pPr>
            <w:r w:rsidRPr="001D0846">
              <w:rPr>
                <w:rFonts w:ascii="Times New Roman" w:eastAsia="Times New Roman" w:hAnsi="Times New Roman" w:cs="Times New Roman"/>
                <w:color w:val="000000"/>
              </w:rPr>
              <w:t>700,1</w:t>
            </w:r>
          </w:p>
        </w:tc>
        <w:tc>
          <w:tcPr>
            <w:tcW w:w="1134" w:type="dxa"/>
            <w:shd w:val="clear" w:color="auto" w:fill="auto"/>
            <w:noWrap/>
            <w:vAlign w:val="bottom"/>
            <w:hideMark/>
          </w:tcPr>
          <w:p w:rsidR="00714F5D" w:rsidRPr="001D0846" w:rsidRDefault="00714F5D" w:rsidP="008C5C6A">
            <w:pPr>
              <w:spacing w:after="0" w:line="240" w:lineRule="auto"/>
              <w:jc w:val="center"/>
              <w:rPr>
                <w:rFonts w:ascii="Times New Roman" w:eastAsia="Times New Roman" w:hAnsi="Times New Roman" w:cs="Times New Roman"/>
                <w:color w:val="000000"/>
              </w:rPr>
            </w:pPr>
            <w:r w:rsidRPr="001D0846">
              <w:rPr>
                <w:rFonts w:ascii="Times New Roman" w:eastAsia="Times New Roman" w:hAnsi="Times New Roman" w:cs="Times New Roman"/>
                <w:color w:val="000000"/>
              </w:rPr>
              <w:t>704,6</w:t>
            </w:r>
          </w:p>
        </w:tc>
        <w:tc>
          <w:tcPr>
            <w:tcW w:w="1134" w:type="dxa"/>
            <w:tcBorders>
              <w:right w:val="single" w:sz="18" w:space="0" w:color="auto"/>
            </w:tcBorders>
            <w:shd w:val="clear" w:color="auto" w:fill="auto"/>
            <w:noWrap/>
            <w:vAlign w:val="bottom"/>
            <w:hideMark/>
          </w:tcPr>
          <w:p w:rsidR="00714F5D" w:rsidRPr="001D0846" w:rsidRDefault="00714F5D" w:rsidP="008C5C6A">
            <w:pPr>
              <w:spacing w:after="0" w:line="240" w:lineRule="auto"/>
              <w:jc w:val="center"/>
              <w:rPr>
                <w:rFonts w:ascii="Times New Roman" w:eastAsia="Times New Roman" w:hAnsi="Times New Roman" w:cs="Times New Roman"/>
                <w:bCs/>
                <w:i/>
                <w:color w:val="000000"/>
              </w:rPr>
            </w:pPr>
            <w:r w:rsidRPr="001D0846">
              <w:rPr>
                <w:rFonts w:ascii="Times New Roman" w:eastAsia="Times New Roman" w:hAnsi="Times New Roman" w:cs="Times New Roman"/>
                <w:bCs/>
                <w:i/>
                <w:color w:val="000000"/>
              </w:rPr>
              <w:t>4,5</w:t>
            </w:r>
          </w:p>
        </w:tc>
        <w:tc>
          <w:tcPr>
            <w:tcW w:w="1102" w:type="dxa"/>
            <w:tcBorders>
              <w:left w:val="single" w:sz="18" w:space="0" w:color="auto"/>
            </w:tcBorders>
            <w:shd w:val="clear" w:color="auto" w:fill="auto"/>
            <w:noWrap/>
            <w:vAlign w:val="bottom"/>
            <w:hideMark/>
          </w:tcPr>
          <w:p w:rsidR="00714F5D" w:rsidRPr="001D0846" w:rsidRDefault="00714F5D" w:rsidP="008C5C6A">
            <w:pPr>
              <w:spacing w:after="0" w:line="240" w:lineRule="auto"/>
              <w:jc w:val="center"/>
              <w:rPr>
                <w:rFonts w:ascii="Times New Roman" w:eastAsia="Times New Roman" w:hAnsi="Times New Roman" w:cs="Times New Roman"/>
                <w:color w:val="000000"/>
              </w:rPr>
            </w:pPr>
            <w:r w:rsidRPr="001D0846">
              <w:rPr>
                <w:rFonts w:ascii="Times New Roman" w:eastAsia="Times New Roman" w:hAnsi="Times New Roman" w:cs="Times New Roman"/>
                <w:color w:val="000000"/>
              </w:rPr>
              <w:t>532,8</w:t>
            </w:r>
          </w:p>
        </w:tc>
        <w:tc>
          <w:tcPr>
            <w:tcW w:w="1134" w:type="dxa"/>
            <w:shd w:val="clear" w:color="auto" w:fill="auto"/>
            <w:noWrap/>
            <w:vAlign w:val="bottom"/>
            <w:hideMark/>
          </w:tcPr>
          <w:p w:rsidR="00714F5D" w:rsidRPr="001D0846" w:rsidRDefault="00714F5D" w:rsidP="008C5C6A">
            <w:pPr>
              <w:spacing w:after="0" w:line="240" w:lineRule="auto"/>
              <w:jc w:val="center"/>
              <w:rPr>
                <w:rFonts w:ascii="Times New Roman" w:eastAsia="Times New Roman" w:hAnsi="Times New Roman" w:cs="Times New Roman"/>
                <w:color w:val="000000"/>
              </w:rPr>
            </w:pPr>
            <w:r w:rsidRPr="001D0846">
              <w:rPr>
                <w:rFonts w:ascii="Times New Roman" w:eastAsia="Times New Roman" w:hAnsi="Times New Roman" w:cs="Times New Roman"/>
                <w:color w:val="000000"/>
              </w:rPr>
              <w:t>500,6</w:t>
            </w:r>
          </w:p>
        </w:tc>
        <w:tc>
          <w:tcPr>
            <w:tcW w:w="1166" w:type="dxa"/>
            <w:tcBorders>
              <w:right w:val="single" w:sz="18" w:space="0" w:color="auto"/>
            </w:tcBorders>
            <w:shd w:val="clear" w:color="auto" w:fill="auto"/>
            <w:noWrap/>
            <w:vAlign w:val="bottom"/>
            <w:hideMark/>
          </w:tcPr>
          <w:p w:rsidR="00714F5D" w:rsidRPr="001D0846" w:rsidRDefault="00714F5D" w:rsidP="008C5C6A">
            <w:pPr>
              <w:spacing w:after="0" w:line="240" w:lineRule="auto"/>
              <w:jc w:val="center"/>
              <w:rPr>
                <w:rFonts w:ascii="Times New Roman" w:eastAsia="Times New Roman" w:hAnsi="Times New Roman" w:cs="Times New Roman"/>
                <w:bCs/>
                <w:i/>
                <w:color w:val="000000"/>
              </w:rPr>
            </w:pPr>
            <w:r w:rsidRPr="001D0846">
              <w:rPr>
                <w:rFonts w:ascii="Times New Roman" w:eastAsia="Times New Roman" w:hAnsi="Times New Roman" w:cs="Times New Roman"/>
                <w:bCs/>
                <w:i/>
                <w:color w:val="000000"/>
              </w:rPr>
              <w:t>-32,2</w:t>
            </w:r>
          </w:p>
        </w:tc>
        <w:tc>
          <w:tcPr>
            <w:tcW w:w="1109" w:type="dxa"/>
            <w:tcBorders>
              <w:left w:val="single" w:sz="18" w:space="0" w:color="auto"/>
            </w:tcBorders>
            <w:shd w:val="clear" w:color="auto" w:fill="auto"/>
            <w:noWrap/>
            <w:vAlign w:val="bottom"/>
            <w:hideMark/>
          </w:tcPr>
          <w:p w:rsidR="00714F5D" w:rsidRPr="001D0846" w:rsidRDefault="00714F5D" w:rsidP="008C5C6A">
            <w:pPr>
              <w:spacing w:after="0" w:line="240" w:lineRule="auto"/>
              <w:jc w:val="center"/>
              <w:rPr>
                <w:rFonts w:ascii="Times New Roman" w:eastAsia="Times New Roman" w:hAnsi="Times New Roman" w:cs="Times New Roman"/>
                <w:color w:val="000000"/>
              </w:rPr>
            </w:pPr>
            <w:r w:rsidRPr="001D0846">
              <w:rPr>
                <w:rFonts w:ascii="Times New Roman" w:eastAsia="Times New Roman" w:hAnsi="Times New Roman" w:cs="Times New Roman"/>
                <w:color w:val="000000"/>
              </w:rPr>
              <w:t>774,6</w:t>
            </w:r>
          </w:p>
        </w:tc>
        <w:tc>
          <w:tcPr>
            <w:tcW w:w="1134" w:type="dxa"/>
            <w:shd w:val="clear" w:color="auto" w:fill="auto"/>
            <w:noWrap/>
            <w:vAlign w:val="bottom"/>
            <w:hideMark/>
          </w:tcPr>
          <w:p w:rsidR="00714F5D" w:rsidRPr="001D0846" w:rsidRDefault="00714F5D" w:rsidP="008C5C6A">
            <w:pPr>
              <w:spacing w:after="0" w:line="240" w:lineRule="auto"/>
              <w:jc w:val="center"/>
              <w:rPr>
                <w:rFonts w:ascii="Times New Roman" w:eastAsia="Times New Roman" w:hAnsi="Times New Roman" w:cs="Times New Roman"/>
                <w:color w:val="000000"/>
              </w:rPr>
            </w:pPr>
            <w:r w:rsidRPr="001D0846">
              <w:rPr>
                <w:rFonts w:ascii="Times New Roman" w:eastAsia="Times New Roman" w:hAnsi="Times New Roman" w:cs="Times New Roman"/>
                <w:color w:val="000000"/>
              </w:rPr>
              <w:t>787,5</w:t>
            </w:r>
          </w:p>
        </w:tc>
        <w:tc>
          <w:tcPr>
            <w:tcW w:w="1017" w:type="dxa"/>
            <w:shd w:val="clear" w:color="auto" w:fill="auto"/>
            <w:noWrap/>
            <w:vAlign w:val="bottom"/>
            <w:hideMark/>
          </w:tcPr>
          <w:p w:rsidR="00714F5D" w:rsidRPr="001D0846" w:rsidRDefault="00714F5D" w:rsidP="008C5C6A">
            <w:pPr>
              <w:spacing w:after="0" w:line="240" w:lineRule="auto"/>
              <w:jc w:val="center"/>
              <w:rPr>
                <w:rFonts w:ascii="Times New Roman" w:eastAsia="Times New Roman" w:hAnsi="Times New Roman" w:cs="Times New Roman"/>
                <w:bCs/>
                <w:i/>
                <w:color w:val="000000"/>
              </w:rPr>
            </w:pPr>
            <w:r w:rsidRPr="001D0846">
              <w:rPr>
                <w:rFonts w:ascii="Times New Roman" w:eastAsia="Times New Roman" w:hAnsi="Times New Roman" w:cs="Times New Roman"/>
                <w:bCs/>
                <w:i/>
                <w:color w:val="000000"/>
              </w:rPr>
              <w:t>12,9</w:t>
            </w:r>
          </w:p>
        </w:tc>
      </w:tr>
      <w:tr w:rsidR="00714F5D" w:rsidRPr="001D0846" w:rsidTr="008C5C6A">
        <w:trPr>
          <w:trHeight w:val="324"/>
        </w:trPr>
        <w:tc>
          <w:tcPr>
            <w:tcW w:w="3256" w:type="dxa"/>
            <w:shd w:val="clear" w:color="auto" w:fill="auto"/>
            <w:vAlign w:val="bottom"/>
            <w:hideMark/>
          </w:tcPr>
          <w:p w:rsidR="00714F5D" w:rsidRPr="001D0846" w:rsidRDefault="00714F5D" w:rsidP="008C5C6A">
            <w:pPr>
              <w:spacing w:after="0" w:line="240" w:lineRule="auto"/>
              <w:rPr>
                <w:rFonts w:ascii="Times New Roman" w:eastAsia="Times New Roman" w:hAnsi="Times New Roman" w:cs="Times New Roman"/>
                <w:b/>
                <w:bCs/>
                <w:color w:val="000000"/>
              </w:rPr>
            </w:pPr>
            <w:r w:rsidRPr="001D0846">
              <w:rPr>
                <w:rFonts w:ascii="Times New Roman" w:eastAsia="Times New Roman" w:hAnsi="Times New Roman" w:cs="Times New Roman"/>
                <w:b/>
                <w:bCs/>
                <w:color w:val="000000"/>
              </w:rPr>
              <w:t>Total</w:t>
            </w:r>
          </w:p>
        </w:tc>
        <w:tc>
          <w:tcPr>
            <w:tcW w:w="1134" w:type="dxa"/>
            <w:shd w:val="clear" w:color="auto" w:fill="auto"/>
            <w:vAlign w:val="bottom"/>
            <w:hideMark/>
          </w:tcPr>
          <w:p w:rsidR="00714F5D" w:rsidRPr="001D0846" w:rsidRDefault="00714F5D" w:rsidP="008C5C6A">
            <w:pPr>
              <w:spacing w:after="0" w:line="240" w:lineRule="auto"/>
              <w:jc w:val="right"/>
              <w:rPr>
                <w:rFonts w:ascii="Times New Roman" w:eastAsia="Times New Roman" w:hAnsi="Times New Roman" w:cs="Times New Roman"/>
                <w:b/>
                <w:color w:val="000000"/>
              </w:rPr>
            </w:pPr>
            <w:r w:rsidRPr="001D0846">
              <w:rPr>
                <w:rFonts w:ascii="Times New Roman" w:eastAsia="Times New Roman" w:hAnsi="Times New Roman" w:cs="Times New Roman"/>
                <w:b/>
                <w:color w:val="000000"/>
              </w:rPr>
              <w:t>10508,1</w:t>
            </w:r>
          </w:p>
        </w:tc>
        <w:tc>
          <w:tcPr>
            <w:tcW w:w="1134" w:type="dxa"/>
            <w:shd w:val="clear" w:color="auto" w:fill="auto"/>
            <w:noWrap/>
            <w:vAlign w:val="bottom"/>
            <w:hideMark/>
          </w:tcPr>
          <w:p w:rsidR="00714F5D" w:rsidRPr="001D0846" w:rsidRDefault="00714F5D" w:rsidP="008C5C6A">
            <w:pPr>
              <w:spacing w:after="0" w:line="240" w:lineRule="auto"/>
              <w:jc w:val="right"/>
              <w:rPr>
                <w:rFonts w:ascii="Times New Roman" w:eastAsia="Times New Roman" w:hAnsi="Times New Roman" w:cs="Times New Roman"/>
                <w:b/>
                <w:color w:val="000000"/>
              </w:rPr>
            </w:pPr>
            <w:r w:rsidRPr="001D0846">
              <w:rPr>
                <w:rFonts w:ascii="Times New Roman" w:eastAsia="Times New Roman" w:hAnsi="Times New Roman" w:cs="Times New Roman"/>
                <w:b/>
                <w:color w:val="000000"/>
              </w:rPr>
              <w:t>10542,1</w:t>
            </w:r>
          </w:p>
        </w:tc>
        <w:tc>
          <w:tcPr>
            <w:tcW w:w="1134" w:type="dxa"/>
            <w:tcBorders>
              <w:right w:val="single" w:sz="18" w:space="0" w:color="auto"/>
            </w:tcBorders>
            <w:shd w:val="clear" w:color="auto" w:fill="auto"/>
            <w:noWrap/>
            <w:vAlign w:val="bottom"/>
            <w:hideMark/>
          </w:tcPr>
          <w:p w:rsidR="00714F5D" w:rsidRPr="001D0846" w:rsidRDefault="00714F5D" w:rsidP="008C5C6A">
            <w:pPr>
              <w:spacing w:after="0" w:line="240" w:lineRule="auto"/>
              <w:jc w:val="center"/>
              <w:rPr>
                <w:rFonts w:ascii="Times New Roman" w:eastAsia="Times New Roman" w:hAnsi="Times New Roman" w:cs="Times New Roman"/>
                <w:b/>
                <w:bCs/>
                <w:i/>
                <w:color w:val="000000"/>
              </w:rPr>
            </w:pPr>
            <w:r w:rsidRPr="001D0846">
              <w:rPr>
                <w:rFonts w:ascii="Times New Roman" w:eastAsia="Times New Roman" w:hAnsi="Times New Roman" w:cs="Times New Roman"/>
                <w:b/>
                <w:bCs/>
                <w:i/>
                <w:color w:val="000000"/>
              </w:rPr>
              <w:t>34,0</w:t>
            </w:r>
          </w:p>
        </w:tc>
        <w:tc>
          <w:tcPr>
            <w:tcW w:w="1102" w:type="dxa"/>
            <w:tcBorders>
              <w:left w:val="single" w:sz="18" w:space="0" w:color="auto"/>
            </w:tcBorders>
            <w:shd w:val="clear" w:color="auto" w:fill="auto"/>
            <w:noWrap/>
            <w:vAlign w:val="bottom"/>
            <w:hideMark/>
          </w:tcPr>
          <w:p w:rsidR="00714F5D" w:rsidRPr="001D0846" w:rsidRDefault="00714F5D" w:rsidP="008C5C6A">
            <w:pPr>
              <w:spacing w:after="0" w:line="240" w:lineRule="auto"/>
              <w:jc w:val="right"/>
              <w:rPr>
                <w:rFonts w:ascii="Times New Roman" w:eastAsia="Times New Roman" w:hAnsi="Times New Roman" w:cs="Times New Roman"/>
                <w:b/>
                <w:bCs/>
                <w:color w:val="000000"/>
              </w:rPr>
            </w:pPr>
            <w:r w:rsidRPr="001D0846">
              <w:rPr>
                <w:rFonts w:ascii="Times New Roman" w:eastAsia="Times New Roman" w:hAnsi="Times New Roman" w:cs="Times New Roman"/>
                <w:b/>
                <w:bCs/>
                <w:color w:val="000000"/>
              </w:rPr>
              <w:t>11513,0</w:t>
            </w:r>
          </w:p>
        </w:tc>
        <w:tc>
          <w:tcPr>
            <w:tcW w:w="1134" w:type="dxa"/>
            <w:shd w:val="clear" w:color="auto" w:fill="auto"/>
            <w:noWrap/>
            <w:vAlign w:val="bottom"/>
            <w:hideMark/>
          </w:tcPr>
          <w:p w:rsidR="00714F5D" w:rsidRPr="001D0846" w:rsidRDefault="00714F5D" w:rsidP="008C5C6A">
            <w:pPr>
              <w:spacing w:after="0" w:line="240" w:lineRule="auto"/>
              <w:jc w:val="right"/>
              <w:rPr>
                <w:rFonts w:ascii="Times New Roman" w:eastAsia="Times New Roman" w:hAnsi="Times New Roman" w:cs="Times New Roman"/>
                <w:b/>
                <w:bCs/>
                <w:color w:val="000000"/>
              </w:rPr>
            </w:pPr>
            <w:r w:rsidRPr="001D0846">
              <w:rPr>
                <w:rFonts w:ascii="Times New Roman" w:eastAsia="Times New Roman" w:hAnsi="Times New Roman" w:cs="Times New Roman"/>
                <w:b/>
                <w:bCs/>
                <w:color w:val="000000"/>
              </w:rPr>
              <w:t>11548,6</w:t>
            </w:r>
          </w:p>
        </w:tc>
        <w:tc>
          <w:tcPr>
            <w:tcW w:w="1166" w:type="dxa"/>
            <w:tcBorders>
              <w:right w:val="single" w:sz="18" w:space="0" w:color="auto"/>
            </w:tcBorders>
            <w:shd w:val="clear" w:color="auto" w:fill="auto"/>
            <w:noWrap/>
            <w:vAlign w:val="bottom"/>
            <w:hideMark/>
          </w:tcPr>
          <w:p w:rsidR="00714F5D" w:rsidRPr="001D0846" w:rsidRDefault="00714F5D" w:rsidP="008C5C6A">
            <w:pPr>
              <w:spacing w:after="0" w:line="240" w:lineRule="auto"/>
              <w:jc w:val="center"/>
              <w:rPr>
                <w:rFonts w:ascii="Times New Roman" w:eastAsia="Times New Roman" w:hAnsi="Times New Roman" w:cs="Times New Roman"/>
                <w:b/>
                <w:bCs/>
                <w:i/>
                <w:color w:val="000000"/>
              </w:rPr>
            </w:pPr>
            <w:r w:rsidRPr="001D0846">
              <w:rPr>
                <w:rFonts w:ascii="Times New Roman" w:eastAsia="Times New Roman" w:hAnsi="Times New Roman" w:cs="Times New Roman"/>
                <w:b/>
                <w:bCs/>
                <w:i/>
                <w:color w:val="000000"/>
              </w:rPr>
              <w:t>35,5</w:t>
            </w:r>
          </w:p>
        </w:tc>
        <w:tc>
          <w:tcPr>
            <w:tcW w:w="1109" w:type="dxa"/>
            <w:tcBorders>
              <w:left w:val="single" w:sz="18" w:space="0" w:color="auto"/>
            </w:tcBorders>
            <w:shd w:val="clear" w:color="auto" w:fill="auto"/>
            <w:noWrap/>
            <w:vAlign w:val="bottom"/>
            <w:hideMark/>
          </w:tcPr>
          <w:p w:rsidR="00714F5D" w:rsidRPr="001D0846" w:rsidRDefault="00714F5D" w:rsidP="008C5C6A">
            <w:pPr>
              <w:spacing w:after="0" w:line="240" w:lineRule="auto"/>
              <w:jc w:val="right"/>
              <w:rPr>
                <w:rFonts w:ascii="Times New Roman" w:eastAsia="Times New Roman" w:hAnsi="Times New Roman" w:cs="Times New Roman"/>
                <w:b/>
                <w:color w:val="000000"/>
              </w:rPr>
            </w:pPr>
            <w:r w:rsidRPr="001D0846">
              <w:rPr>
                <w:rFonts w:ascii="Times New Roman" w:eastAsia="Times New Roman" w:hAnsi="Times New Roman" w:cs="Times New Roman"/>
                <w:b/>
                <w:color w:val="000000"/>
              </w:rPr>
              <w:t>14217,1</w:t>
            </w:r>
          </w:p>
        </w:tc>
        <w:tc>
          <w:tcPr>
            <w:tcW w:w="1134" w:type="dxa"/>
            <w:shd w:val="clear" w:color="auto" w:fill="auto"/>
            <w:noWrap/>
            <w:vAlign w:val="bottom"/>
            <w:hideMark/>
          </w:tcPr>
          <w:p w:rsidR="00714F5D" w:rsidRPr="001D0846" w:rsidRDefault="00714F5D" w:rsidP="008C5C6A">
            <w:pPr>
              <w:spacing w:after="0" w:line="240" w:lineRule="auto"/>
              <w:jc w:val="right"/>
              <w:rPr>
                <w:rFonts w:ascii="Times New Roman" w:eastAsia="Times New Roman" w:hAnsi="Times New Roman" w:cs="Times New Roman"/>
                <w:b/>
                <w:color w:val="000000"/>
              </w:rPr>
            </w:pPr>
            <w:r w:rsidRPr="001D0846">
              <w:rPr>
                <w:rFonts w:ascii="Times New Roman" w:eastAsia="Times New Roman" w:hAnsi="Times New Roman" w:cs="Times New Roman"/>
                <w:b/>
                <w:color w:val="000000"/>
              </w:rPr>
              <w:t>14315,4</w:t>
            </w:r>
          </w:p>
        </w:tc>
        <w:tc>
          <w:tcPr>
            <w:tcW w:w="1017" w:type="dxa"/>
            <w:shd w:val="clear" w:color="auto" w:fill="auto"/>
            <w:noWrap/>
            <w:vAlign w:val="bottom"/>
            <w:hideMark/>
          </w:tcPr>
          <w:p w:rsidR="00714F5D" w:rsidRPr="001D0846" w:rsidRDefault="00714F5D" w:rsidP="008C5C6A">
            <w:pPr>
              <w:spacing w:after="0" w:line="240" w:lineRule="auto"/>
              <w:jc w:val="center"/>
              <w:rPr>
                <w:rFonts w:ascii="Times New Roman" w:eastAsia="Times New Roman" w:hAnsi="Times New Roman" w:cs="Times New Roman"/>
                <w:b/>
                <w:bCs/>
                <w:i/>
                <w:color w:val="000000"/>
              </w:rPr>
            </w:pPr>
            <w:r w:rsidRPr="001D0846">
              <w:rPr>
                <w:rFonts w:ascii="Times New Roman" w:eastAsia="Times New Roman" w:hAnsi="Times New Roman" w:cs="Times New Roman"/>
                <w:b/>
                <w:bCs/>
                <w:i/>
                <w:color w:val="000000"/>
              </w:rPr>
              <w:t>98,3</w:t>
            </w:r>
          </w:p>
        </w:tc>
      </w:tr>
    </w:tbl>
    <w:p w:rsidR="00714F5D" w:rsidRPr="001D0846" w:rsidRDefault="00714F5D" w:rsidP="00714F5D">
      <w:pPr>
        <w:tabs>
          <w:tab w:val="left" w:pos="7896"/>
          <w:tab w:val="left" w:pos="8680"/>
        </w:tabs>
        <w:spacing w:after="0" w:line="276" w:lineRule="auto"/>
        <w:ind w:right="-334"/>
        <w:jc w:val="both"/>
        <w:rPr>
          <w:rFonts w:ascii="Times New Roman" w:hAnsi="Times New Roman" w:cs="Times New Roman"/>
          <w:i/>
          <w:sz w:val="20"/>
          <w:szCs w:val="20"/>
        </w:rPr>
      </w:pPr>
      <w:r w:rsidRPr="001D0846">
        <w:rPr>
          <w:rFonts w:ascii="Times New Roman" w:hAnsi="Times New Roman" w:cs="Times New Roman"/>
          <w:b/>
          <w:i/>
          <w:sz w:val="20"/>
          <w:szCs w:val="20"/>
        </w:rPr>
        <w:t>Sursă:</w:t>
      </w:r>
      <w:r w:rsidRPr="001D0846">
        <w:rPr>
          <w:rFonts w:ascii="Times New Roman" w:hAnsi="Times New Roman" w:cs="Times New Roman"/>
          <w:i/>
          <w:sz w:val="20"/>
          <w:szCs w:val="20"/>
        </w:rPr>
        <w:t xml:space="preserve"> Dările de seamă privind încasările la B</w:t>
      </w:r>
      <w:r>
        <w:rPr>
          <w:rFonts w:ascii="Times New Roman" w:hAnsi="Times New Roman" w:cs="Times New Roman"/>
          <w:i/>
          <w:sz w:val="20"/>
          <w:szCs w:val="20"/>
        </w:rPr>
        <w:t>PN</w:t>
      </w:r>
      <w:r w:rsidRPr="001D0846">
        <w:rPr>
          <w:rFonts w:ascii="Times New Roman" w:hAnsi="Times New Roman" w:cs="Times New Roman"/>
          <w:i/>
          <w:sz w:val="20"/>
          <w:szCs w:val="20"/>
        </w:rPr>
        <w:t xml:space="preserve"> administrate de SFS corespunzător clasificației veniturilor bugetare pentru anii 2015-2017.</w:t>
      </w:r>
    </w:p>
    <w:p w:rsidR="00714F5D" w:rsidRPr="001D0846" w:rsidRDefault="00714F5D" w:rsidP="00714F5D">
      <w:pPr>
        <w:spacing w:after="0" w:line="276" w:lineRule="auto"/>
        <w:ind w:firstLine="720"/>
        <w:jc w:val="both"/>
        <w:rPr>
          <w:rFonts w:ascii="Times New Roman" w:hAnsi="Times New Roman" w:cs="Times New Roman"/>
          <w:i/>
          <w:sz w:val="20"/>
          <w:szCs w:val="20"/>
        </w:rPr>
      </w:pPr>
    </w:p>
    <w:p w:rsidR="00714F5D" w:rsidRDefault="00714F5D" w:rsidP="00714F5D">
      <w:pPr>
        <w:tabs>
          <w:tab w:val="left" w:pos="284"/>
          <w:tab w:val="left" w:pos="851"/>
          <w:tab w:val="left" w:pos="1134"/>
        </w:tabs>
        <w:spacing w:after="0" w:line="240" w:lineRule="auto"/>
        <w:ind w:right="-29"/>
        <w:jc w:val="right"/>
        <w:rPr>
          <w:rFonts w:ascii="Times New Roman" w:hAnsi="Times New Roman" w:cs="Times New Roman"/>
          <w:b/>
          <w:i/>
          <w:sz w:val="28"/>
          <w:szCs w:val="28"/>
        </w:rPr>
      </w:pPr>
      <w:r>
        <w:rPr>
          <w:rFonts w:ascii="Times New Roman" w:hAnsi="Times New Roman" w:cs="Times New Roman"/>
          <w:b/>
          <w:i/>
          <w:sz w:val="28"/>
          <w:szCs w:val="28"/>
        </w:rPr>
        <w:t>Tabelul nr.7</w:t>
      </w:r>
    </w:p>
    <w:p w:rsidR="00714F5D" w:rsidRDefault="00714F5D" w:rsidP="00714F5D">
      <w:pPr>
        <w:tabs>
          <w:tab w:val="left" w:pos="284"/>
          <w:tab w:val="left" w:pos="851"/>
          <w:tab w:val="left" w:pos="1134"/>
        </w:tabs>
        <w:spacing w:after="0" w:line="240" w:lineRule="auto"/>
        <w:ind w:right="-29"/>
        <w:jc w:val="right"/>
        <w:rPr>
          <w:rFonts w:ascii="Times New Roman" w:hAnsi="Times New Roman" w:cs="Times New Roman"/>
          <w:b/>
          <w:i/>
          <w:sz w:val="28"/>
          <w:szCs w:val="28"/>
        </w:rPr>
      </w:pPr>
    </w:p>
    <w:p w:rsidR="00714F5D" w:rsidRDefault="00714F5D" w:rsidP="00714F5D">
      <w:pPr>
        <w:tabs>
          <w:tab w:val="left" w:pos="284"/>
          <w:tab w:val="left" w:pos="851"/>
          <w:tab w:val="left" w:pos="1134"/>
        </w:tabs>
        <w:spacing w:after="0" w:line="240" w:lineRule="auto"/>
        <w:ind w:right="-29"/>
        <w:jc w:val="center"/>
        <w:rPr>
          <w:rFonts w:ascii="Times New Roman" w:hAnsi="Times New Roman" w:cs="Times New Roman"/>
          <w:i/>
          <w:sz w:val="28"/>
          <w:szCs w:val="28"/>
        </w:rPr>
      </w:pPr>
      <w:r w:rsidRPr="00DC5522">
        <w:rPr>
          <w:rFonts w:ascii="Times New Roman" w:hAnsi="Times New Roman" w:cs="Times New Roman"/>
          <w:i/>
          <w:sz w:val="28"/>
          <w:szCs w:val="28"/>
        </w:rPr>
        <w:t>Informația privind sumele calculate și încasate de către SFS</w:t>
      </w:r>
      <w:r>
        <w:rPr>
          <w:rFonts w:ascii="Times New Roman" w:hAnsi="Times New Roman" w:cs="Times New Roman"/>
          <w:i/>
          <w:sz w:val="28"/>
          <w:szCs w:val="28"/>
        </w:rPr>
        <w:t xml:space="preserve"> în BS la principalele</w:t>
      </w:r>
      <w:r w:rsidRPr="00DC5522">
        <w:rPr>
          <w:rFonts w:ascii="Times New Roman" w:hAnsi="Times New Roman" w:cs="Times New Roman"/>
          <w:i/>
          <w:sz w:val="28"/>
          <w:szCs w:val="28"/>
        </w:rPr>
        <w:t xml:space="preserve"> tipuri de impozite și taxe</w:t>
      </w:r>
    </w:p>
    <w:p w:rsidR="00714F5D" w:rsidRPr="00074794" w:rsidRDefault="00714F5D" w:rsidP="00714F5D">
      <w:pPr>
        <w:tabs>
          <w:tab w:val="left" w:pos="284"/>
          <w:tab w:val="left" w:pos="851"/>
          <w:tab w:val="left" w:pos="1134"/>
        </w:tabs>
        <w:spacing w:after="0" w:line="240" w:lineRule="auto"/>
        <w:ind w:right="-29"/>
        <w:jc w:val="center"/>
        <w:rPr>
          <w:rFonts w:ascii="Times New Roman" w:hAnsi="Times New Roman" w:cs="Times New Roman"/>
          <w:b/>
          <w:i/>
          <w:sz w:val="28"/>
          <w:szCs w:val="28"/>
        </w:rPr>
      </w:pPr>
      <w:r w:rsidRPr="001D0846">
        <w:rPr>
          <w:rFonts w:ascii="Times New Roman" w:hAnsi="Times New Roman" w:cs="Times New Roman"/>
          <w:i/>
          <w:sz w:val="28"/>
          <w:szCs w:val="28"/>
        </w:rPr>
        <w:t>pentru anii 2015-2017</w:t>
      </w:r>
    </w:p>
    <w:p w:rsidR="00714F5D" w:rsidRPr="00074794" w:rsidRDefault="00714F5D" w:rsidP="00714F5D">
      <w:pPr>
        <w:spacing w:after="0" w:line="240" w:lineRule="auto"/>
        <w:ind w:right="-29"/>
        <w:jc w:val="right"/>
        <w:rPr>
          <w:rFonts w:ascii="Times New Roman" w:hAnsi="Times New Roman" w:cs="Times New Roman"/>
          <w:i/>
          <w:sz w:val="28"/>
          <w:szCs w:val="28"/>
        </w:rPr>
      </w:pPr>
      <w:r w:rsidRPr="00074794">
        <w:rPr>
          <w:rFonts w:ascii="Times New Roman" w:hAnsi="Times New Roman" w:cs="Times New Roman"/>
          <w:i/>
          <w:sz w:val="28"/>
          <w:szCs w:val="28"/>
        </w:rPr>
        <w:t>(mil.lei)</w:t>
      </w:r>
    </w:p>
    <w:tbl>
      <w:tblPr>
        <w:tblStyle w:val="TableGrid2"/>
        <w:tblW w:w="13281" w:type="dxa"/>
        <w:tblInd w:w="-5" w:type="dxa"/>
        <w:tblLayout w:type="fixed"/>
        <w:tblLook w:val="04A0"/>
      </w:tblPr>
      <w:tblGrid>
        <w:gridCol w:w="3510"/>
        <w:gridCol w:w="990"/>
        <w:gridCol w:w="1260"/>
        <w:gridCol w:w="1170"/>
        <w:gridCol w:w="990"/>
        <w:gridCol w:w="990"/>
        <w:gridCol w:w="1080"/>
        <w:gridCol w:w="900"/>
        <w:gridCol w:w="1260"/>
        <w:gridCol w:w="1131"/>
      </w:tblGrid>
      <w:tr w:rsidR="00714F5D" w:rsidRPr="00074794" w:rsidTr="008C5C6A">
        <w:tc>
          <w:tcPr>
            <w:tcW w:w="3510" w:type="dxa"/>
            <w:vMerge w:val="restart"/>
          </w:tcPr>
          <w:p w:rsidR="00714F5D" w:rsidRPr="00074794" w:rsidRDefault="00714F5D" w:rsidP="008C5C6A">
            <w:pPr>
              <w:spacing w:line="276" w:lineRule="auto"/>
              <w:ind w:right="-334"/>
              <w:rPr>
                <w:rFonts w:ascii="Times New Roman" w:hAnsi="Times New Roman" w:cs="Times New Roman"/>
                <w:b/>
                <w:sz w:val="20"/>
                <w:szCs w:val="20"/>
              </w:rPr>
            </w:pPr>
            <w:r w:rsidRPr="00074794">
              <w:rPr>
                <w:rFonts w:ascii="Times New Roman" w:eastAsia="Times New Roman" w:hAnsi="Times New Roman" w:cs="Times New Roman"/>
                <w:b/>
                <w:bCs/>
                <w:color w:val="000000"/>
                <w:sz w:val="20"/>
                <w:szCs w:val="20"/>
                <w:lang w:eastAsia="ru-RU"/>
              </w:rPr>
              <w:t>Denumirea impozitului/taxei</w:t>
            </w:r>
          </w:p>
        </w:tc>
        <w:tc>
          <w:tcPr>
            <w:tcW w:w="3420" w:type="dxa"/>
            <w:gridSpan w:val="3"/>
          </w:tcPr>
          <w:p w:rsidR="00714F5D" w:rsidRPr="00074794" w:rsidRDefault="00714F5D" w:rsidP="008C5C6A">
            <w:pPr>
              <w:spacing w:line="276" w:lineRule="auto"/>
              <w:ind w:right="-334"/>
              <w:jc w:val="center"/>
              <w:rPr>
                <w:rFonts w:ascii="Times New Roman" w:hAnsi="Times New Roman" w:cs="Times New Roman"/>
                <w:b/>
                <w:sz w:val="20"/>
                <w:szCs w:val="20"/>
              </w:rPr>
            </w:pPr>
            <w:r w:rsidRPr="00074794">
              <w:rPr>
                <w:rFonts w:ascii="Times New Roman" w:eastAsia="Times New Roman" w:hAnsi="Times New Roman" w:cs="Times New Roman"/>
                <w:b/>
                <w:bCs/>
                <w:color w:val="000000"/>
                <w:sz w:val="20"/>
                <w:szCs w:val="20"/>
                <w:lang w:eastAsia="ru-RU"/>
              </w:rPr>
              <w:t>Anul 2015</w:t>
            </w:r>
          </w:p>
        </w:tc>
        <w:tc>
          <w:tcPr>
            <w:tcW w:w="3060" w:type="dxa"/>
            <w:gridSpan w:val="3"/>
          </w:tcPr>
          <w:p w:rsidR="00714F5D" w:rsidRPr="00074794" w:rsidRDefault="00714F5D" w:rsidP="008C5C6A">
            <w:pPr>
              <w:spacing w:line="276" w:lineRule="auto"/>
              <w:ind w:right="-334"/>
              <w:jc w:val="center"/>
              <w:rPr>
                <w:rFonts w:ascii="Times New Roman" w:hAnsi="Times New Roman" w:cs="Times New Roman"/>
                <w:b/>
                <w:sz w:val="20"/>
                <w:szCs w:val="20"/>
              </w:rPr>
            </w:pPr>
            <w:r w:rsidRPr="00074794">
              <w:rPr>
                <w:rFonts w:ascii="Times New Roman" w:eastAsia="Times New Roman" w:hAnsi="Times New Roman" w:cs="Times New Roman"/>
                <w:b/>
                <w:bCs/>
                <w:color w:val="000000"/>
                <w:sz w:val="20"/>
                <w:szCs w:val="20"/>
                <w:lang w:eastAsia="ru-RU"/>
              </w:rPr>
              <w:t>Anul 2016</w:t>
            </w:r>
          </w:p>
        </w:tc>
        <w:tc>
          <w:tcPr>
            <w:tcW w:w="3291" w:type="dxa"/>
            <w:gridSpan w:val="3"/>
          </w:tcPr>
          <w:p w:rsidR="00714F5D" w:rsidRPr="00074794" w:rsidRDefault="00714F5D" w:rsidP="008C5C6A">
            <w:pPr>
              <w:spacing w:line="276" w:lineRule="auto"/>
              <w:ind w:right="-334"/>
              <w:jc w:val="center"/>
              <w:rPr>
                <w:rFonts w:ascii="Times New Roman" w:hAnsi="Times New Roman" w:cs="Times New Roman"/>
                <w:b/>
                <w:sz w:val="20"/>
                <w:szCs w:val="20"/>
              </w:rPr>
            </w:pPr>
            <w:r w:rsidRPr="00074794">
              <w:rPr>
                <w:rFonts w:ascii="Times New Roman" w:eastAsia="Times New Roman" w:hAnsi="Times New Roman" w:cs="Times New Roman"/>
                <w:b/>
                <w:bCs/>
                <w:color w:val="000000"/>
                <w:sz w:val="20"/>
                <w:szCs w:val="20"/>
                <w:lang w:eastAsia="ru-RU"/>
              </w:rPr>
              <w:t>Anul 2017</w:t>
            </w:r>
          </w:p>
        </w:tc>
      </w:tr>
      <w:tr w:rsidR="00714F5D" w:rsidRPr="00074794" w:rsidTr="008C5C6A">
        <w:tc>
          <w:tcPr>
            <w:tcW w:w="3510" w:type="dxa"/>
            <w:vMerge/>
          </w:tcPr>
          <w:p w:rsidR="00714F5D" w:rsidRPr="00074794" w:rsidRDefault="00714F5D" w:rsidP="008C5C6A">
            <w:pPr>
              <w:spacing w:line="276" w:lineRule="auto"/>
              <w:ind w:right="-334"/>
              <w:rPr>
                <w:rFonts w:ascii="Times New Roman" w:hAnsi="Times New Roman" w:cs="Times New Roman"/>
                <w:b/>
                <w:sz w:val="20"/>
                <w:szCs w:val="20"/>
              </w:rPr>
            </w:pPr>
          </w:p>
        </w:tc>
        <w:tc>
          <w:tcPr>
            <w:tcW w:w="990" w:type="dxa"/>
          </w:tcPr>
          <w:p w:rsidR="00714F5D" w:rsidRPr="00074794" w:rsidRDefault="00714F5D" w:rsidP="008C5C6A">
            <w:pPr>
              <w:spacing w:line="276" w:lineRule="auto"/>
              <w:ind w:right="-334"/>
              <w:rPr>
                <w:rFonts w:ascii="Times New Roman" w:hAnsi="Times New Roman" w:cs="Times New Roman"/>
                <w:b/>
                <w:sz w:val="20"/>
                <w:szCs w:val="20"/>
              </w:rPr>
            </w:pPr>
            <w:r w:rsidRPr="00074794">
              <w:rPr>
                <w:rFonts w:ascii="Times New Roman" w:eastAsia="Times New Roman" w:hAnsi="Times New Roman" w:cs="Times New Roman"/>
                <w:b/>
                <w:bCs/>
                <w:color w:val="000000"/>
                <w:sz w:val="20"/>
                <w:szCs w:val="20"/>
                <w:lang w:eastAsia="ru-RU"/>
              </w:rPr>
              <w:t>Calculat</w:t>
            </w:r>
          </w:p>
        </w:tc>
        <w:tc>
          <w:tcPr>
            <w:tcW w:w="1260" w:type="dxa"/>
          </w:tcPr>
          <w:p w:rsidR="00714F5D" w:rsidRPr="00074794" w:rsidRDefault="00714F5D" w:rsidP="008C5C6A">
            <w:pPr>
              <w:spacing w:line="276" w:lineRule="auto"/>
              <w:ind w:right="-334"/>
              <w:rPr>
                <w:rFonts w:ascii="Times New Roman" w:hAnsi="Times New Roman" w:cs="Times New Roman"/>
                <w:b/>
                <w:sz w:val="20"/>
                <w:szCs w:val="20"/>
              </w:rPr>
            </w:pPr>
            <w:r>
              <w:rPr>
                <w:rFonts w:ascii="Times New Roman" w:eastAsia="Times New Roman" w:hAnsi="Times New Roman" w:cs="Times New Roman"/>
                <w:b/>
                <w:bCs/>
                <w:color w:val="000000"/>
                <w:sz w:val="20"/>
                <w:szCs w:val="20"/>
                <w:lang w:eastAsia="ru-RU"/>
              </w:rPr>
              <w:t>Încasat</w:t>
            </w:r>
          </w:p>
        </w:tc>
        <w:tc>
          <w:tcPr>
            <w:tcW w:w="1170" w:type="dxa"/>
            <w:vAlign w:val="center"/>
          </w:tcPr>
          <w:p w:rsidR="00714F5D" w:rsidRPr="00074794" w:rsidRDefault="00714F5D" w:rsidP="008C5C6A">
            <w:pPr>
              <w:spacing w:line="276" w:lineRule="auto"/>
              <w:ind w:right="-334"/>
              <w:rPr>
                <w:rFonts w:ascii="Times New Roman" w:eastAsia="Times New Roman" w:hAnsi="Times New Roman" w:cs="Times New Roman"/>
                <w:b/>
                <w:bCs/>
                <w:color w:val="000000"/>
                <w:sz w:val="20"/>
                <w:szCs w:val="20"/>
                <w:lang w:eastAsia="ru-RU"/>
              </w:rPr>
            </w:pPr>
            <w:r w:rsidRPr="00074794">
              <w:rPr>
                <w:rFonts w:ascii="Times New Roman" w:eastAsia="Times New Roman" w:hAnsi="Times New Roman" w:cs="Times New Roman"/>
                <w:b/>
                <w:bCs/>
                <w:color w:val="000000"/>
                <w:sz w:val="20"/>
                <w:szCs w:val="20"/>
                <w:lang w:eastAsia="ru-RU"/>
              </w:rPr>
              <w:t>Devieri</w:t>
            </w:r>
          </w:p>
          <w:p w:rsidR="00714F5D" w:rsidRPr="00074794" w:rsidRDefault="00714F5D" w:rsidP="008C5C6A">
            <w:pPr>
              <w:spacing w:line="276" w:lineRule="auto"/>
              <w:ind w:right="-334"/>
              <w:rPr>
                <w:rFonts w:ascii="Times New Roman" w:eastAsia="Times New Roman" w:hAnsi="Times New Roman" w:cs="Times New Roman"/>
                <w:b/>
                <w:bCs/>
                <w:color w:val="000000"/>
                <w:sz w:val="20"/>
                <w:szCs w:val="20"/>
                <w:lang w:eastAsia="ru-RU"/>
              </w:rPr>
            </w:pPr>
            <w:r w:rsidRPr="00074794">
              <w:rPr>
                <w:rFonts w:ascii="Times New Roman" w:eastAsia="Times New Roman" w:hAnsi="Times New Roman" w:cs="Times New Roman"/>
                <w:b/>
                <w:bCs/>
                <w:color w:val="000000"/>
                <w:sz w:val="20"/>
                <w:szCs w:val="20"/>
                <w:lang w:eastAsia="ru-RU"/>
              </w:rPr>
              <w:t>(+, -)</w:t>
            </w:r>
          </w:p>
        </w:tc>
        <w:tc>
          <w:tcPr>
            <w:tcW w:w="990" w:type="dxa"/>
          </w:tcPr>
          <w:p w:rsidR="00714F5D" w:rsidRPr="00074794" w:rsidRDefault="00714F5D" w:rsidP="008C5C6A">
            <w:pPr>
              <w:spacing w:line="276" w:lineRule="auto"/>
              <w:ind w:right="-334"/>
              <w:rPr>
                <w:rFonts w:ascii="Times New Roman" w:hAnsi="Times New Roman" w:cs="Times New Roman"/>
                <w:b/>
                <w:sz w:val="20"/>
                <w:szCs w:val="20"/>
              </w:rPr>
            </w:pPr>
            <w:r w:rsidRPr="00074794">
              <w:rPr>
                <w:rFonts w:ascii="Times New Roman" w:eastAsia="Times New Roman" w:hAnsi="Times New Roman" w:cs="Times New Roman"/>
                <w:b/>
                <w:bCs/>
                <w:color w:val="000000"/>
                <w:sz w:val="20"/>
                <w:szCs w:val="20"/>
                <w:lang w:eastAsia="ru-RU"/>
              </w:rPr>
              <w:t>Calculat</w:t>
            </w:r>
          </w:p>
        </w:tc>
        <w:tc>
          <w:tcPr>
            <w:tcW w:w="990" w:type="dxa"/>
          </w:tcPr>
          <w:p w:rsidR="00714F5D" w:rsidRPr="00074794" w:rsidRDefault="00714F5D" w:rsidP="008C5C6A">
            <w:pPr>
              <w:spacing w:line="276" w:lineRule="auto"/>
              <w:ind w:right="-334"/>
              <w:rPr>
                <w:rFonts w:ascii="Times New Roman" w:hAnsi="Times New Roman" w:cs="Times New Roman"/>
                <w:b/>
                <w:sz w:val="20"/>
                <w:szCs w:val="20"/>
              </w:rPr>
            </w:pPr>
            <w:r>
              <w:rPr>
                <w:rFonts w:ascii="Times New Roman" w:eastAsia="Times New Roman" w:hAnsi="Times New Roman" w:cs="Times New Roman"/>
                <w:b/>
                <w:bCs/>
                <w:color w:val="000000"/>
                <w:sz w:val="20"/>
                <w:szCs w:val="20"/>
                <w:lang w:eastAsia="ru-RU"/>
              </w:rPr>
              <w:t>Încasat</w:t>
            </w:r>
          </w:p>
        </w:tc>
        <w:tc>
          <w:tcPr>
            <w:tcW w:w="1080" w:type="dxa"/>
            <w:vAlign w:val="center"/>
          </w:tcPr>
          <w:p w:rsidR="00714F5D" w:rsidRPr="00074794" w:rsidRDefault="00714F5D" w:rsidP="008C5C6A">
            <w:pPr>
              <w:spacing w:line="276" w:lineRule="auto"/>
              <w:ind w:right="-334"/>
              <w:rPr>
                <w:rFonts w:ascii="Times New Roman" w:eastAsia="Times New Roman" w:hAnsi="Times New Roman" w:cs="Times New Roman"/>
                <w:b/>
                <w:bCs/>
                <w:color w:val="000000"/>
                <w:sz w:val="20"/>
                <w:szCs w:val="20"/>
                <w:lang w:eastAsia="ru-RU"/>
              </w:rPr>
            </w:pPr>
            <w:r w:rsidRPr="00074794">
              <w:rPr>
                <w:rFonts w:ascii="Times New Roman" w:eastAsia="Times New Roman" w:hAnsi="Times New Roman" w:cs="Times New Roman"/>
                <w:b/>
                <w:bCs/>
                <w:color w:val="000000"/>
                <w:sz w:val="20"/>
                <w:szCs w:val="20"/>
                <w:lang w:eastAsia="ru-RU"/>
              </w:rPr>
              <w:t>Devieri</w:t>
            </w:r>
          </w:p>
          <w:p w:rsidR="00714F5D" w:rsidRPr="00074794" w:rsidRDefault="00714F5D" w:rsidP="008C5C6A">
            <w:pPr>
              <w:spacing w:line="276" w:lineRule="auto"/>
              <w:ind w:right="-334"/>
              <w:rPr>
                <w:rFonts w:ascii="Times New Roman" w:eastAsia="Times New Roman" w:hAnsi="Times New Roman" w:cs="Times New Roman"/>
                <w:b/>
                <w:bCs/>
                <w:color w:val="000000"/>
                <w:sz w:val="20"/>
                <w:szCs w:val="20"/>
                <w:lang w:eastAsia="ru-RU"/>
              </w:rPr>
            </w:pPr>
            <w:r w:rsidRPr="00074794">
              <w:rPr>
                <w:rFonts w:ascii="Times New Roman" w:eastAsia="Times New Roman" w:hAnsi="Times New Roman" w:cs="Times New Roman"/>
                <w:b/>
                <w:bCs/>
                <w:color w:val="000000"/>
                <w:sz w:val="20"/>
                <w:szCs w:val="20"/>
                <w:lang w:eastAsia="ru-RU"/>
              </w:rPr>
              <w:t>(+, -)</w:t>
            </w:r>
          </w:p>
        </w:tc>
        <w:tc>
          <w:tcPr>
            <w:tcW w:w="900" w:type="dxa"/>
          </w:tcPr>
          <w:p w:rsidR="00714F5D" w:rsidRPr="00074794" w:rsidRDefault="00714F5D" w:rsidP="008C5C6A">
            <w:pPr>
              <w:spacing w:line="276" w:lineRule="auto"/>
              <w:ind w:right="-334"/>
              <w:rPr>
                <w:rFonts w:ascii="Times New Roman" w:hAnsi="Times New Roman" w:cs="Times New Roman"/>
                <w:b/>
                <w:sz w:val="20"/>
                <w:szCs w:val="20"/>
              </w:rPr>
            </w:pPr>
            <w:r w:rsidRPr="00074794">
              <w:rPr>
                <w:rFonts w:ascii="Times New Roman" w:eastAsia="Times New Roman" w:hAnsi="Times New Roman" w:cs="Times New Roman"/>
                <w:b/>
                <w:bCs/>
                <w:color w:val="000000"/>
                <w:sz w:val="20"/>
                <w:szCs w:val="20"/>
                <w:lang w:eastAsia="ru-RU"/>
              </w:rPr>
              <w:t>Calculat</w:t>
            </w:r>
          </w:p>
        </w:tc>
        <w:tc>
          <w:tcPr>
            <w:tcW w:w="1260" w:type="dxa"/>
          </w:tcPr>
          <w:p w:rsidR="00714F5D" w:rsidRPr="00074794" w:rsidRDefault="00714F5D" w:rsidP="008C5C6A">
            <w:pPr>
              <w:spacing w:line="276" w:lineRule="auto"/>
              <w:ind w:right="-334"/>
              <w:rPr>
                <w:rFonts w:ascii="Times New Roman" w:hAnsi="Times New Roman" w:cs="Times New Roman"/>
                <w:b/>
                <w:sz w:val="20"/>
                <w:szCs w:val="20"/>
              </w:rPr>
            </w:pPr>
            <w:r>
              <w:rPr>
                <w:rFonts w:ascii="Times New Roman" w:eastAsia="Times New Roman" w:hAnsi="Times New Roman" w:cs="Times New Roman"/>
                <w:b/>
                <w:bCs/>
                <w:color w:val="000000"/>
                <w:sz w:val="20"/>
                <w:szCs w:val="20"/>
                <w:lang w:eastAsia="ru-RU"/>
              </w:rPr>
              <w:t>Încas</w:t>
            </w:r>
            <w:r w:rsidRPr="00074794">
              <w:rPr>
                <w:rFonts w:ascii="Times New Roman" w:eastAsia="Times New Roman" w:hAnsi="Times New Roman" w:cs="Times New Roman"/>
                <w:b/>
                <w:bCs/>
                <w:color w:val="000000"/>
                <w:sz w:val="20"/>
                <w:szCs w:val="20"/>
                <w:lang w:eastAsia="ru-RU"/>
              </w:rPr>
              <w:t>at</w:t>
            </w:r>
          </w:p>
        </w:tc>
        <w:tc>
          <w:tcPr>
            <w:tcW w:w="1131" w:type="dxa"/>
            <w:vAlign w:val="center"/>
          </w:tcPr>
          <w:p w:rsidR="00714F5D" w:rsidRPr="00074794" w:rsidRDefault="00714F5D" w:rsidP="008C5C6A">
            <w:pPr>
              <w:spacing w:line="276" w:lineRule="auto"/>
              <w:ind w:right="-334"/>
              <w:rPr>
                <w:rFonts w:ascii="Times New Roman" w:eastAsia="Times New Roman" w:hAnsi="Times New Roman" w:cs="Times New Roman"/>
                <w:b/>
                <w:bCs/>
                <w:color w:val="000000"/>
                <w:sz w:val="20"/>
                <w:szCs w:val="20"/>
                <w:lang w:eastAsia="ru-RU"/>
              </w:rPr>
            </w:pPr>
            <w:r w:rsidRPr="00074794">
              <w:rPr>
                <w:rFonts w:ascii="Times New Roman" w:eastAsia="Times New Roman" w:hAnsi="Times New Roman" w:cs="Times New Roman"/>
                <w:b/>
                <w:bCs/>
                <w:color w:val="000000"/>
                <w:sz w:val="20"/>
                <w:szCs w:val="20"/>
                <w:lang w:eastAsia="ru-RU"/>
              </w:rPr>
              <w:t>Devieri</w:t>
            </w:r>
          </w:p>
          <w:p w:rsidR="00714F5D" w:rsidRPr="00074794" w:rsidRDefault="00714F5D" w:rsidP="008C5C6A">
            <w:pPr>
              <w:spacing w:line="276" w:lineRule="auto"/>
              <w:ind w:right="-334"/>
              <w:rPr>
                <w:rFonts w:ascii="Times New Roman" w:eastAsia="Times New Roman" w:hAnsi="Times New Roman" w:cs="Times New Roman"/>
                <w:b/>
                <w:bCs/>
                <w:color w:val="000000"/>
                <w:sz w:val="20"/>
                <w:szCs w:val="20"/>
                <w:lang w:eastAsia="ru-RU"/>
              </w:rPr>
            </w:pPr>
            <w:r w:rsidRPr="00074794">
              <w:rPr>
                <w:rFonts w:ascii="Times New Roman" w:eastAsia="Times New Roman" w:hAnsi="Times New Roman" w:cs="Times New Roman"/>
                <w:b/>
                <w:bCs/>
                <w:color w:val="000000"/>
                <w:sz w:val="20"/>
                <w:szCs w:val="20"/>
                <w:lang w:eastAsia="ru-RU"/>
              </w:rPr>
              <w:t>(+, -)</w:t>
            </w:r>
          </w:p>
        </w:tc>
      </w:tr>
      <w:tr w:rsidR="00714F5D" w:rsidRPr="00074794" w:rsidTr="008C5C6A">
        <w:tc>
          <w:tcPr>
            <w:tcW w:w="3510" w:type="dxa"/>
          </w:tcPr>
          <w:p w:rsidR="00714F5D" w:rsidRPr="00074794" w:rsidRDefault="00714F5D" w:rsidP="008C5C6A">
            <w:pPr>
              <w:spacing w:line="276" w:lineRule="auto"/>
              <w:ind w:right="-334"/>
              <w:rPr>
                <w:rFonts w:ascii="Times New Roman" w:hAnsi="Times New Roman" w:cs="Times New Roman"/>
                <w:b/>
                <w:i/>
                <w:sz w:val="20"/>
                <w:szCs w:val="20"/>
              </w:rPr>
            </w:pPr>
            <w:r w:rsidRPr="00074794">
              <w:rPr>
                <w:rFonts w:ascii="Times New Roman" w:hAnsi="Times New Roman" w:cs="Times New Roman"/>
                <w:b/>
                <w:i/>
                <w:sz w:val="20"/>
                <w:szCs w:val="20"/>
              </w:rPr>
              <w:t>1</w:t>
            </w:r>
          </w:p>
        </w:tc>
        <w:tc>
          <w:tcPr>
            <w:tcW w:w="990" w:type="dxa"/>
          </w:tcPr>
          <w:p w:rsidR="00714F5D" w:rsidRPr="00074794" w:rsidRDefault="00714F5D" w:rsidP="008C5C6A">
            <w:pPr>
              <w:spacing w:line="276" w:lineRule="auto"/>
              <w:ind w:right="-334"/>
              <w:rPr>
                <w:rFonts w:ascii="Times New Roman" w:hAnsi="Times New Roman" w:cs="Times New Roman"/>
                <w:b/>
                <w:i/>
                <w:sz w:val="20"/>
                <w:szCs w:val="20"/>
              </w:rPr>
            </w:pPr>
            <w:r w:rsidRPr="00074794">
              <w:rPr>
                <w:rFonts w:ascii="Times New Roman" w:hAnsi="Times New Roman" w:cs="Times New Roman"/>
                <w:b/>
                <w:i/>
                <w:sz w:val="20"/>
                <w:szCs w:val="20"/>
              </w:rPr>
              <w:t>2</w:t>
            </w:r>
          </w:p>
        </w:tc>
        <w:tc>
          <w:tcPr>
            <w:tcW w:w="1260" w:type="dxa"/>
          </w:tcPr>
          <w:p w:rsidR="00714F5D" w:rsidRPr="00074794" w:rsidRDefault="00714F5D" w:rsidP="008C5C6A">
            <w:pPr>
              <w:spacing w:line="276" w:lineRule="auto"/>
              <w:ind w:right="-334"/>
              <w:rPr>
                <w:rFonts w:ascii="Times New Roman" w:hAnsi="Times New Roman" w:cs="Times New Roman"/>
                <w:b/>
                <w:i/>
                <w:sz w:val="20"/>
                <w:szCs w:val="20"/>
              </w:rPr>
            </w:pPr>
            <w:r w:rsidRPr="00074794">
              <w:rPr>
                <w:rFonts w:ascii="Times New Roman" w:hAnsi="Times New Roman" w:cs="Times New Roman"/>
                <w:b/>
                <w:i/>
                <w:sz w:val="20"/>
                <w:szCs w:val="20"/>
              </w:rPr>
              <w:t>3</w:t>
            </w:r>
          </w:p>
        </w:tc>
        <w:tc>
          <w:tcPr>
            <w:tcW w:w="1170" w:type="dxa"/>
          </w:tcPr>
          <w:p w:rsidR="00714F5D" w:rsidRPr="00074794" w:rsidRDefault="00714F5D" w:rsidP="008C5C6A">
            <w:pPr>
              <w:spacing w:line="276" w:lineRule="auto"/>
              <w:ind w:right="-334"/>
              <w:rPr>
                <w:rFonts w:ascii="Times New Roman" w:hAnsi="Times New Roman" w:cs="Times New Roman"/>
                <w:b/>
                <w:i/>
                <w:sz w:val="20"/>
                <w:szCs w:val="20"/>
              </w:rPr>
            </w:pPr>
            <w:r w:rsidRPr="00074794">
              <w:rPr>
                <w:rFonts w:ascii="Times New Roman" w:eastAsia="Times New Roman" w:hAnsi="Times New Roman" w:cs="Times New Roman"/>
                <w:b/>
                <w:i/>
                <w:iCs/>
                <w:color w:val="000000"/>
                <w:sz w:val="20"/>
                <w:szCs w:val="20"/>
                <w:lang w:eastAsia="ru-RU"/>
              </w:rPr>
              <w:t>4=3-2</w:t>
            </w:r>
          </w:p>
        </w:tc>
        <w:tc>
          <w:tcPr>
            <w:tcW w:w="990" w:type="dxa"/>
          </w:tcPr>
          <w:p w:rsidR="00714F5D" w:rsidRPr="00074794" w:rsidRDefault="00714F5D" w:rsidP="008C5C6A">
            <w:pPr>
              <w:spacing w:line="276" w:lineRule="auto"/>
              <w:ind w:right="-334"/>
              <w:rPr>
                <w:rFonts w:ascii="Times New Roman" w:hAnsi="Times New Roman" w:cs="Times New Roman"/>
                <w:b/>
                <w:i/>
                <w:sz w:val="20"/>
                <w:szCs w:val="20"/>
              </w:rPr>
            </w:pPr>
            <w:r w:rsidRPr="00074794">
              <w:rPr>
                <w:rFonts w:ascii="Times New Roman" w:hAnsi="Times New Roman" w:cs="Times New Roman"/>
                <w:b/>
                <w:i/>
                <w:sz w:val="20"/>
                <w:szCs w:val="20"/>
              </w:rPr>
              <w:t>5</w:t>
            </w:r>
          </w:p>
        </w:tc>
        <w:tc>
          <w:tcPr>
            <w:tcW w:w="990" w:type="dxa"/>
          </w:tcPr>
          <w:p w:rsidR="00714F5D" w:rsidRPr="00074794" w:rsidRDefault="00714F5D" w:rsidP="008C5C6A">
            <w:pPr>
              <w:spacing w:line="276" w:lineRule="auto"/>
              <w:ind w:right="-334"/>
              <w:rPr>
                <w:rFonts w:ascii="Times New Roman" w:hAnsi="Times New Roman" w:cs="Times New Roman"/>
                <w:b/>
                <w:i/>
                <w:sz w:val="20"/>
                <w:szCs w:val="20"/>
              </w:rPr>
            </w:pPr>
            <w:r w:rsidRPr="00074794">
              <w:rPr>
                <w:rFonts w:ascii="Times New Roman" w:hAnsi="Times New Roman" w:cs="Times New Roman"/>
                <w:b/>
                <w:i/>
                <w:sz w:val="20"/>
                <w:szCs w:val="20"/>
              </w:rPr>
              <w:t>6</w:t>
            </w:r>
          </w:p>
        </w:tc>
        <w:tc>
          <w:tcPr>
            <w:tcW w:w="1080" w:type="dxa"/>
            <w:vAlign w:val="center"/>
          </w:tcPr>
          <w:p w:rsidR="00714F5D" w:rsidRPr="00074794" w:rsidRDefault="00714F5D" w:rsidP="008C5C6A">
            <w:pPr>
              <w:spacing w:line="276" w:lineRule="auto"/>
              <w:ind w:right="-334"/>
              <w:rPr>
                <w:rFonts w:ascii="Times New Roman" w:eastAsia="Times New Roman" w:hAnsi="Times New Roman" w:cs="Times New Roman"/>
                <w:b/>
                <w:i/>
                <w:iCs/>
                <w:color w:val="000000"/>
                <w:sz w:val="20"/>
                <w:szCs w:val="20"/>
                <w:lang w:eastAsia="ru-RU"/>
              </w:rPr>
            </w:pPr>
            <w:r w:rsidRPr="00074794">
              <w:rPr>
                <w:rFonts w:ascii="Times New Roman" w:eastAsia="Times New Roman" w:hAnsi="Times New Roman" w:cs="Times New Roman"/>
                <w:b/>
                <w:i/>
                <w:iCs/>
                <w:color w:val="000000"/>
                <w:sz w:val="20"/>
                <w:szCs w:val="20"/>
                <w:lang w:eastAsia="ru-RU"/>
              </w:rPr>
              <w:t>7=6-5</w:t>
            </w:r>
          </w:p>
        </w:tc>
        <w:tc>
          <w:tcPr>
            <w:tcW w:w="900" w:type="dxa"/>
          </w:tcPr>
          <w:p w:rsidR="00714F5D" w:rsidRPr="00074794" w:rsidRDefault="00714F5D" w:rsidP="008C5C6A">
            <w:pPr>
              <w:spacing w:line="276" w:lineRule="auto"/>
              <w:ind w:right="-334"/>
              <w:rPr>
                <w:rFonts w:ascii="Times New Roman" w:hAnsi="Times New Roman" w:cs="Times New Roman"/>
                <w:b/>
                <w:i/>
                <w:sz w:val="20"/>
                <w:szCs w:val="20"/>
              </w:rPr>
            </w:pPr>
            <w:r w:rsidRPr="00074794">
              <w:rPr>
                <w:rFonts w:ascii="Times New Roman" w:hAnsi="Times New Roman" w:cs="Times New Roman"/>
                <w:b/>
                <w:i/>
                <w:sz w:val="20"/>
                <w:szCs w:val="20"/>
              </w:rPr>
              <w:t>8</w:t>
            </w:r>
          </w:p>
        </w:tc>
        <w:tc>
          <w:tcPr>
            <w:tcW w:w="1260" w:type="dxa"/>
          </w:tcPr>
          <w:p w:rsidR="00714F5D" w:rsidRPr="00074794" w:rsidRDefault="00714F5D" w:rsidP="008C5C6A">
            <w:pPr>
              <w:spacing w:line="276" w:lineRule="auto"/>
              <w:ind w:right="-334"/>
              <w:rPr>
                <w:rFonts w:ascii="Times New Roman" w:hAnsi="Times New Roman" w:cs="Times New Roman"/>
                <w:b/>
                <w:i/>
                <w:sz w:val="20"/>
                <w:szCs w:val="20"/>
              </w:rPr>
            </w:pPr>
            <w:r w:rsidRPr="00074794">
              <w:rPr>
                <w:rFonts w:ascii="Times New Roman" w:hAnsi="Times New Roman" w:cs="Times New Roman"/>
                <w:b/>
                <w:i/>
                <w:sz w:val="20"/>
                <w:szCs w:val="20"/>
              </w:rPr>
              <w:t>9</w:t>
            </w:r>
          </w:p>
        </w:tc>
        <w:tc>
          <w:tcPr>
            <w:tcW w:w="1131" w:type="dxa"/>
          </w:tcPr>
          <w:p w:rsidR="00714F5D" w:rsidRPr="00074794" w:rsidRDefault="00714F5D" w:rsidP="008C5C6A">
            <w:pPr>
              <w:spacing w:line="276" w:lineRule="auto"/>
              <w:ind w:right="-334"/>
              <w:rPr>
                <w:rFonts w:ascii="Times New Roman" w:hAnsi="Times New Roman" w:cs="Times New Roman"/>
                <w:b/>
                <w:i/>
                <w:sz w:val="20"/>
                <w:szCs w:val="20"/>
              </w:rPr>
            </w:pPr>
            <w:r w:rsidRPr="00074794">
              <w:rPr>
                <w:rFonts w:ascii="Times New Roman" w:hAnsi="Times New Roman" w:cs="Times New Roman"/>
                <w:b/>
                <w:i/>
                <w:sz w:val="20"/>
                <w:szCs w:val="20"/>
              </w:rPr>
              <w:t>10=9-8</w:t>
            </w:r>
          </w:p>
        </w:tc>
      </w:tr>
      <w:tr w:rsidR="00714F5D" w:rsidRPr="00074794" w:rsidTr="008C5C6A">
        <w:tc>
          <w:tcPr>
            <w:tcW w:w="3510" w:type="dxa"/>
            <w:vAlign w:val="bottom"/>
          </w:tcPr>
          <w:p w:rsidR="00714F5D" w:rsidRPr="00074794" w:rsidRDefault="00714F5D" w:rsidP="008C5C6A">
            <w:pPr>
              <w:spacing w:line="276" w:lineRule="auto"/>
              <w:ind w:right="-334"/>
              <w:rPr>
                <w:rFonts w:ascii="Times New Roman" w:eastAsia="Times New Roman" w:hAnsi="Times New Roman" w:cs="Times New Roman"/>
                <w:color w:val="000000"/>
                <w:sz w:val="20"/>
                <w:szCs w:val="20"/>
                <w:lang w:eastAsia="ru-RU"/>
              </w:rPr>
            </w:pPr>
            <w:r w:rsidRPr="00074794">
              <w:rPr>
                <w:rFonts w:ascii="Times New Roman" w:eastAsia="Times New Roman" w:hAnsi="Times New Roman" w:cs="Times New Roman"/>
                <w:color w:val="000000"/>
                <w:sz w:val="20"/>
                <w:szCs w:val="20"/>
                <w:lang w:eastAsia="ru-RU"/>
              </w:rPr>
              <w:t xml:space="preserve">Impozit pe venit </w:t>
            </w:r>
          </w:p>
        </w:tc>
        <w:tc>
          <w:tcPr>
            <w:tcW w:w="990" w:type="dxa"/>
            <w:vAlign w:val="bottom"/>
          </w:tcPr>
          <w:p w:rsidR="00714F5D" w:rsidRPr="00074794" w:rsidRDefault="00714F5D" w:rsidP="008C5C6A">
            <w:pPr>
              <w:spacing w:line="276" w:lineRule="auto"/>
              <w:ind w:right="-334"/>
              <w:rPr>
                <w:rFonts w:ascii="Times New Roman" w:eastAsia="Times New Roman" w:hAnsi="Times New Roman" w:cs="Times New Roman"/>
                <w:color w:val="000000"/>
                <w:sz w:val="20"/>
                <w:szCs w:val="20"/>
                <w:lang w:eastAsia="ru-RU"/>
              </w:rPr>
            </w:pPr>
            <w:r w:rsidRPr="00074794">
              <w:rPr>
                <w:rFonts w:ascii="Times New Roman" w:eastAsia="Times New Roman" w:hAnsi="Times New Roman" w:cs="Times New Roman"/>
                <w:color w:val="000000"/>
                <w:sz w:val="20"/>
                <w:szCs w:val="20"/>
                <w:lang w:eastAsia="ru-RU"/>
              </w:rPr>
              <w:t>5482,1</w:t>
            </w:r>
          </w:p>
        </w:tc>
        <w:tc>
          <w:tcPr>
            <w:tcW w:w="1260" w:type="dxa"/>
            <w:vAlign w:val="bottom"/>
          </w:tcPr>
          <w:p w:rsidR="00714F5D" w:rsidRPr="00074794" w:rsidRDefault="00714F5D" w:rsidP="008C5C6A">
            <w:pPr>
              <w:spacing w:line="276" w:lineRule="auto"/>
              <w:ind w:right="-334"/>
              <w:rPr>
                <w:rFonts w:ascii="Times New Roman" w:eastAsia="Times New Roman" w:hAnsi="Times New Roman" w:cs="Times New Roman"/>
                <w:color w:val="000000"/>
                <w:sz w:val="20"/>
                <w:szCs w:val="20"/>
                <w:lang w:eastAsia="ru-RU"/>
              </w:rPr>
            </w:pPr>
            <w:r w:rsidRPr="00074794">
              <w:rPr>
                <w:rFonts w:ascii="Times New Roman" w:eastAsia="Times New Roman" w:hAnsi="Times New Roman" w:cs="Times New Roman"/>
                <w:color w:val="000000"/>
                <w:sz w:val="20"/>
                <w:szCs w:val="20"/>
                <w:lang w:eastAsia="ru-RU"/>
              </w:rPr>
              <w:t>5553,6</w:t>
            </w:r>
          </w:p>
        </w:tc>
        <w:tc>
          <w:tcPr>
            <w:tcW w:w="1170" w:type="dxa"/>
            <w:vAlign w:val="bottom"/>
          </w:tcPr>
          <w:p w:rsidR="00714F5D" w:rsidRPr="00074794" w:rsidRDefault="00714F5D" w:rsidP="008C5C6A">
            <w:pPr>
              <w:spacing w:line="276" w:lineRule="auto"/>
              <w:ind w:right="-334"/>
              <w:rPr>
                <w:rFonts w:ascii="Times New Roman" w:eastAsia="Times New Roman" w:hAnsi="Times New Roman" w:cs="Times New Roman"/>
                <w:bCs/>
                <w:color w:val="000000"/>
                <w:sz w:val="20"/>
                <w:szCs w:val="20"/>
                <w:lang w:eastAsia="ru-RU"/>
              </w:rPr>
            </w:pPr>
            <w:r w:rsidRPr="00074794">
              <w:rPr>
                <w:rFonts w:ascii="Times New Roman" w:eastAsia="Times New Roman" w:hAnsi="Times New Roman" w:cs="Times New Roman"/>
                <w:bCs/>
                <w:color w:val="000000"/>
                <w:sz w:val="20"/>
                <w:szCs w:val="20"/>
                <w:lang w:eastAsia="ru-RU"/>
              </w:rPr>
              <w:t>71,5</w:t>
            </w:r>
          </w:p>
        </w:tc>
        <w:tc>
          <w:tcPr>
            <w:tcW w:w="990" w:type="dxa"/>
            <w:vAlign w:val="bottom"/>
          </w:tcPr>
          <w:p w:rsidR="00714F5D" w:rsidRPr="00074794" w:rsidRDefault="00714F5D" w:rsidP="008C5C6A">
            <w:pPr>
              <w:spacing w:line="276" w:lineRule="auto"/>
              <w:ind w:right="-334"/>
              <w:rPr>
                <w:rFonts w:ascii="Times New Roman" w:eastAsia="Times New Roman" w:hAnsi="Times New Roman" w:cs="Times New Roman"/>
                <w:color w:val="000000"/>
                <w:sz w:val="20"/>
                <w:szCs w:val="20"/>
                <w:lang w:eastAsia="ru-RU"/>
              </w:rPr>
            </w:pPr>
            <w:r w:rsidRPr="00074794">
              <w:rPr>
                <w:rFonts w:ascii="Times New Roman" w:eastAsia="Times New Roman" w:hAnsi="Times New Roman" w:cs="Times New Roman"/>
                <w:color w:val="000000"/>
                <w:sz w:val="20"/>
                <w:szCs w:val="20"/>
                <w:lang w:eastAsia="ru-RU"/>
              </w:rPr>
              <w:t>6342,8</w:t>
            </w:r>
          </w:p>
        </w:tc>
        <w:tc>
          <w:tcPr>
            <w:tcW w:w="990" w:type="dxa"/>
            <w:vAlign w:val="bottom"/>
          </w:tcPr>
          <w:p w:rsidR="00714F5D" w:rsidRPr="00074794" w:rsidRDefault="00714F5D" w:rsidP="008C5C6A">
            <w:pPr>
              <w:spacing w:line="276" w:lineRule="auto"/>
              <w:ind w:right="-334"/>
              <w:rPr>
                <w:rFonts w:ascii="Times New Roman" w:eastAsia="Times New Roman" w:hAnsi="Times New Roman" w:cs="Times New Roman"/>
                <w:color w:val="000000"/>
                <w:sz w:val="20"/>
                <w:szCs w:val="20"/>
                <w:lang w:eastAsia="ru-RU"/>
              </w:rPr>
            </w:pPr>
            <w:r w:rsidRPr="00074794">
              <w:rPr>
                <w:rFonts w:ascii="Times New Roman" w:eastAsia="Times New Roman" w:hAnsi="Times New Roman" w:cs="Times New Roman"/>
                <w:color w:val="000000"/>
                <w:sz w:val="20"/>
                <w:szCs w:val="20"/>
                <w:lang w:eastAsia="ru-RU"/>
              </w:rPr>
              <w:t>6589,4</w:t>
            </w:r>
          </w:p>
        </w:tc>
        <w:tc>
          <w:tcPr>
            <w:tcW w:w="1080" w:type="dxa"/>
            <w:vAlign w:val="bottom"/>
          </w:tcPr>
          <w:p w:rsidR="00714F5D" w:rsidRPr="00074794" w:rsidRDefault="00714F5D" w:rsidP="008C5C6A">
            <w:pPr>
              <w:spacing w:line="276" w:lineRule="auto"/>
              <w:ind w:right="-334"/>
              <w:rPr>
                <w:rFonts w:ascii="Times New Roman" w:eastAsia="Times New Roman" w:hAnsi="Times New Roman" w:cs="Times New Roman"/>
                <w:bCs/>
                <w:color w:val="000000"/>
                <w:sz w:val="20"/>
                <w:szCs w:val="20"/>
                <w:lang w:eastAsia="ru-RU"/>
              </w:rPr>
            </w:pPr>
            <w:r w:rsidRPr="00074794">
              <w:rPr>
                <w:rFonts w:ascii="Times New Roman" w:eastAsia="Times New Roman" w:hAnsi="Times New Roman" w:cs="Times New Roman"/>
                <w:bCs/>
                <w:color w:val="000000"/>
                <w:sz w:val="20"/>
                <w:szCs w:val="20"/>
                <w:lang w:eastAsia="ru-RU"/>
              </w:rPr>
              <w:t>246,6</w:t>
            </w:r>
          </w:p>
        </w:tc>
        <w:tc>
          <w:tcPr>
            <w:tcW w:w="900" w:type="dxa"/>
            <w:vAlign w:val="bottom"/>
          </w:tcPr>
          <w:p w:rsidR="00714F5D" w:rsidRPr="00074794" w:rsidRDefault="00714F5D" w:rsidP="008C5C6A">
            <w:pPr>
              <w:spacing w:line="276" w:lineRule="auto"/>
              <w:ind w:right="-334"/>
              <w:rPr>
                <w:rFonts w:ascii="Times New Roman" w:eastAsia="Times New Roman" w:hAnsi="Times New Roman" w:cs="Times New Roman"/>
                <w:color w:val="000000"/>
                <w:sz w:val="20"/>
                <w:szCs w:val="20"/>
                <w:lang w:eastAsia="ru-RU"/>
              </w:rPr>
            </w:pPr>
            <w:r w:rsidRPr="00074794">
              <w:rPr>
                <w:rFonts w:ascii="Times New Roman" w:eastAsia="Times New Roman" w:hAnsi="Times New Roman" w:cs="Times New Roman"/>
                <w:color w:val="000000"/>
                <w:sz w:val="20"/>
                <w:szCs w:val="20"/>
                <w:lang w:eastAsia="ru-RU"/>
              </w:rPr>
              <w:t>7531,7</w:t>
            </w:r>
          </w:p>
        </w:tc>
        <w:tc>
          <w:tcPr>
            <w:tcW w:w="1260" w:type="dxa"/>
            <w:vAlign w:val="bottom"/>
          </w:tcPr>
          <w:p w:rsidR="00714F5D" w:rsidRPr="00074794" w:rsidRDefault="00714F5D" w:rsidP="008C5C6A">
            <w:pPr>
              <w:spacing w:line="276" w:lineRule="auto"/>
              <w:ind w:right="-334"/>
              <w:rPr>
                <w:rFonts w:ascii="Times New Roman" w:eastAsia="Times New Roman" w:hAnsi="Times New Roman" w:cs="Times New Roman"/>
                <w:color w:val="000000"/>
                <w:sz w:val="20"/>
                <w:szCs w:val="20"/>
                <w:lang w:eastAsia="ru-RU"/>
              </w:rPr>
            </w:pPr>
            <w:r w:rsidRPr="00074794">
              <w:rPr>
                <w:rFonts w:ascii="Times New Roman" w:eastAsia="Times New Roman" w:hAnsi="Times New Roman" w:cs="Times New Roman"/>
                <w:color w:val="000000"/>
                <w:sz w:val="20"/>
                <w:szCs w:val="20"/>
                <w:lang w:eastAsia="ru-RU"/>
              </w:rPr>
              <w:t>7769,8</w:t>
            </w:r>
          </w:p>
        </w:tc>
        <w:tc>
          <w:tcPr>
            <w:tcW w:w="1131" w:type="dxa"/>
            <w:vAlign w:val="bottom"/>
          </w:tcPr>
          <w:p w:rsidR="00714F5D" w:rsidRPr="00074794" w:rsidRDefault="00714F5D" w:rsidP="008C5C6A">
            <w:pPr>
              <w:spacing w:line="276" w:lineRule="auto"/>
              <w:ind w:right="-334"/>
              <w:rPr>
                <w:rFonts w:ascii="Times New Roman" w:eastAsia="Times New Roman" w:hAnsi="Times New Roman" w:cs="Times New Roman"/>
                <w:bCs/>
                <w:color w:val="000000"/>
                <w:sz w:val="20"/>
                <w:szCs w:val="20"/>
                <w:lang w:eastAsia="ru-RU"/>
              </w:rPr>
            </w:pPr>
            <w:r w:rsidRPr="00074794">
              <w:rPr>
                <w:rFonts w:ascii="Times New Roman" w:eastAsia="Times New Roman" w:hAnsi="Times New Roman" w:cs="Times New Roman"/>
                <w:bCs/>
                <w:color w:val="000000"/>
                <w:sz w:val="20"/>
                <w:szCs w:val="20"/>
                <w:lang w:eastAsia="ru-RU"/>
              </w:rPr>
              <w:t>238,1</w:t>
            </w:r>
          </w:p>
        </w:tc>
      </w:tr>
      <w:tr w:rsidR="00714F5D" w:rsidRPr="00074794" w:rsidTr="008C5C6A">
        <w:tc>
          <w:tcPr>
            <w:tcW w:w="3510" w:type="dxa"/>
            <w:vAlign w:val="bottom"/>
          </w:tcPr>
          <w:p w:rsidR="00714F5D" w:rsidRPr="00074794" w:rsidRDefault="00714F5D" w:rsidP="008C5C6A">
            <w:pPr>
              <w:spacing w:line="276" w:lineRule="auto"/>
              <w:ind w:right="-334"/>
              <w:rPr>
                <w:rFonts w:ascii="Times New Roman" w:eastAsia="Times New Roman" w:hAnsi="Times New Roman" w:cs="Times New Roman"/>
                <w:color w:val="000000"/>
                <w:sz w:val="20"/>
                <w:szCs w:val="20"/>
                <w:lang w:eastAsia="ru-RU"/>
              </w:rPr>
            </w:pPr>
            <w:r w:rsidRPr="00074794">
              <w:rPr>
                <w:rFonts w:ascii="Times New Roman" w:eastAsia="Times New Roman" w:hAnsi="Times New Roman" w:cs="Times New Roman"/>
                <w:color w:val="000000"/>
                <w:sz w:val="20"/>
                <w:szCs w:val="20"/>
                <w:lang w:eastAsia="ru-RU"/>
              </w:rPr>
              <w:t xml:space="preserve">Impozit pe proprietate </w:t>
            </w:r>
          </w:p>
        </w:tc>
        <w:tc>
          <w:tcPr>
            <w:tcW w:w="990" w:type="dxa"/>
            <w:vAlign w:val="bottom"/>
          </w:tcPr>
          <w:p w:rsidR="00714F5D" w:rsidRPr="00074794" w:rsidRDefault="00714F5D" w:rsidP="008C5C6A">
            <w:pPr>
              <w:spacing w:line="276" w:lineRule="auto"/>
              <w:ind w:right="-334"/>
              <w:rPr>
                <w:rFonts w:ascii="Times New Roman" w:eastAsia="Times New Roman" w:hAnsi="Times New Roman" w:cs="Times New Roman"/>
                <w:color w:val="000000"/>
                <w:sz w:val="20"/>
                <w:szCs w:val="20"/>
                <w:lang w:eastAsia="ru-RU"/>
              </w:rPr>
            </w:pPr>
            <w:r w:rsidRPr="00074794">
              <w:rPr>
                <w:rFonts w:ascii="Times New Roman" w:eastAsia="Times New Roman" w:hAnsi="Times New Roman" w:cs="Times New Roman"/>
                <w:color w:val="000000"/>
                <w:sz w:val="20"/>
                <w:szCs w:val="20"/>
                <w:lang w:eastAsia="ru-RU"/>
              </w:rPr>
              <w:t>353,8</w:t>
            </w:r>
          </w:p>
        </w:tc>
        <w:tc>
          <w:tcPr>
            <w:tcW w:w="1260" w:type="dxa"/>
            <w:vAlign w:val="bottom"/>
          </w:tcPr>
          <w:p w:rsidR="00714F5D" w:rsidRPr="00074794" w:rsidRDefault="00714F5D" w:rsidP="008C5C6A">
            <w:pPr>
              <w:spacing w:line="276" w:lineRule="auto"/>
              <w:ind w:right="-334"/>
              <w:rPr>
                <w:rFonts w:ascii="Times New Roman" w:eastAsia="Times New Roman" w:hAnsi="Times New Roman" w:cs="Times New Roman"/>
                <w:color w:val="000000"/>
                <w:sz w:val="20"/>
                <w:szCs w:val="20"/>
                <w:lang w:eastAsia="ru-RU"/>
              </w:rPr>
            </w:pPr>
            <w:r w:rsidRPr="00074794">
              <w:rPr>
                <w:rFonts w:ascii="Times New Roman" w:eastAsia="Times New Roman" w:hAnsi="Times New Roman" w:cs="Times New Roman"/>
                <w:color w:val="000000"/>
                <w:sz w:val="20"/>
                <w:szCs w:val="20"/>
                <w:lang w:eastAsia="ru-RU"/>
              </w:rPr>
              <w:t>359,2</w:t>
            </w:r>
          </w:p>
        </w:tc>
        <w:tc>
          <w:tcPr>
            <w:tcW w:w="1170" w:type="dxa"/>
            <w:vAlign w:val="bottom"/>
          </w:tcPr>
          <w:p w:rsidR="00714F5D" w:rsidRPr="00074794" w:rsidRDefault="00714F5D" w:rsidP="008C5C6A">
            <w:pPr>
              <w:spacing w:line="276" w:lineRule="auto"/>
              <w:ind w:right="-334"/>
              <w:rPr>
                <w:rFonts w:ascii="Times New Roman" w:eastAsia="Times New Roman" w:hAnsi="Times New Roman" w:cs="Times New Roman"/>
                <w:bCs/>
                <w:color w:val="000000"/>
                <w:sz w:val="20"/>
                <w:szCs w:val="20"/>
                <w:lang w:eastAsia="ru-RU"/>
              </w:rPr>
            </w:pPr>
            <w:r w:rsidRPr="00074794">
              <w:rPr>
                <w:rFonts w:ascii="Times New Roman" w:eastAsia="Times New Roman" w:hAnsi="Times New Roman" w:cs="Times New Roman"/>
                <w:bCs/>
                <w:color w:val="000000"/>
                <w:sz w:val="20"/>
                <w:szCs w:val="20"/>
                <w:lang w:eastAsia="ru-RU"/>
              </w:rPr>
              <w:t>5,4</w:t>
            </w:r>
          </w:p>
        </w:tc>
        <w:tc>
          <w:tcPr>
            <w:tcW w:w="990" w:type="dxa"/>
            <w:vAlign w:val="bottom"/>
          </w:tcPr>
          <w:p w:rsidR="00714F5D" w:rsidRPr="00074794" w:rsidRDefault="00714F5D" w:rsidP="008C5C6A">
            <w:pPr>
              <w:spacing w:line="276" w:lineRule="auto"/>
              <w:ind w:right="-334"/>
              <w:rPr>
                <w:rFonts w:ascii="Times New Roman" w:eastAsia="Times New Roman" w:hAnsi="Times New Roman" w:cs="Times New Roman"/>
                <w:color w:val="000000"/>
                <w:sz w:val="20"/>
                <w:szCs w:val="20"/>
                <w:lang w:eastAsia="ru-RU"/>
              </w:rPr>
            </w:pPr>
            <w:r w:rsidRPr="00074794">
              <w:rPr>
                <w:rFonts w:ascii="Times New Roman" w:eastAsia="Times New Roman" w:hAnsi="Times New Roman" w:cs="Times New Roman"/>
                <w:color w:val="000000"/>
                <w:sz w:val="20"/>
                <w:szCs w:val="20"/>
                <w:lang w:eastAsia="ru-RU"/>
              </w:rPr>
              <w:t>400,2</w:t>
            </w:r>
          </w:p>
        </w:tc>
        <w:tc>
          <w:tcPr>
            <w:tcW w:w="990" w:type="dxa"/>
            <w:vAlign w:val="bottom"/>
          </w:tcPr>
          <w:p w:rsidR="00714F5D" w:rsidRPr="00074794" w:rsidRDefault="00714F5D" w:rsidP="008C5C6A">
            <w:pPr>
              <w:spacing w:line="276" w:lineRule="auto"/>
              <w:ind w:right="-334"/>
              <w:rPr>
                <w:rFonts w:ascii="Times New Roman" w:eastAsia="Times New Roman" w:hAnsi="Times New Roman" w:cs="Times New Roman"/>
                <w:color w:val="000000"/>
                <w:sz w:val="20"/>
                <w:szCs w:val="20"/>
                <w:lang w:eastAsia="ru-RU"/>
              </w:rPr>
            </w:pPr>
            <w:r w:rsidRPr="00074794">
              <w:rPr>
                <w:rFonts w:ascii="Times New Roman" w:eastAsia="Times New Roman" w:hAnsi="Times New Roman" w:cs="Times New Roman"/>
                <w:color w:val="000000"/>
                <w:sz w:val="20"/>
                <w:szCs w:val="20"/>
                <w:lang w:eastAsia="ru-RU"/>
              </w:rPr>
              <w:t>403,5</w:t>
            </w:r>
          </w:p>
        </w:tc>
        <w:tc>
          <w:tcPr>
            <w:tcW w:w="1080" w:type="dxa"/>
            <w:vAlign w:val="bottom"/>
          </w:tcPr>
          <w:p w:rsidR="00714F5D" w:rsidRPr="00074794" w:rsidRDefault="00714F5D" w:rsidP="008C5C6A">
            <w:pPr>
              <w:spacing w:line="276" w:lineRule="auto"/>
              <w:ind w:right="-334"/>
              <w:rPr>
                <w:rFonts w:ascii="Times New Roman" w:eastAsia="Times New Roman" w:hAnsi="Times New Roman" w:cs="Times New Roman"/>
                <w:bCs/>
                <w:color w:val="000000"/>
                <w:sz w:val="20"/>
                <w:szCs w:val="20"/>
                <w:lang w:eastAsia="ru-RU"/>
              </w:rPr>
            </w:pPr>
            <w:r w:rsidRPr="00074794">
              <w:rPr>
                <w:rFonts w:ascii="Times New Roman" w:eastAsia="Times New Roman" w:hAnsi="Times New Roman" w:cs="Times New Roman"/>
                <w:bCs/>
                <w:color w:val="000000"/>
                <w:sz w:val="20"/>
                <w:szCs w:val="20"/>
                <w:lang w:eastAsia="ru-RU"/>
              </w:rPr>
              <w:t>3,3</w:t>
            </w:r>
          </w:p>
        </w:tc>
        <w:tc>
          <w:tcPr>
            <w:tcW w:w="900" w:type="dxa"/>
            <w:vAlign w:val="bottom"/>
          </w:tcPr>
          <w:p w:rsidR="00714F5D" w:rsidRPr="00074794" w:rsidRDefault="00714F5D" w:rsidP="008C5C6A">
            <w:pPr>
              <w:spacing w:line="276" w:lineRule="auto"/>
              <w:ind w:right="-334"/>
              <w:rPr>
                <w:rFonts w:ascii="Times New Roman" w:eastAsia="Times New Roman" w:hAnsi="Times New Roman" w:cs="Times New Roman"/>
                <w:color w:val="000000"/>
                <w:sz w:val="20"/>
                <w:szCs w:val="20"/>
                <w:lang w:eastAsia="ru-RU"/>
              </w:rPr>
            </w:pPr>
            <w:r w:rsidRPr="00074794">
              <w:rPr>
                <w:rFonts w:ascii="Times New Roman" w:eastAsia="Times New Roman" w:hAnsi="Times New Roman" w:cs="Times New Roman"/>
                <w:color w:val="000000"/>
                <w:sz w:val="20"/>
                <w:szCs w:val="20"/>
                <w:lang w:eastAsia="ru-RU"/>
              </w:rPr>
              <w:t>517,1</w:t>
            </w:r>
          </w:p>
        </w:tc>
        <w:tc>
          <w:tcPr>
            <w:tcW w:w="1260" w:type="dxa"/>
            <w:vAlign w:val="bottom"/>
          </w:tcPr>
          <w:p w:rsidR="00714F5D" w:rsidRPr="00074794" w:rsidRDefault="00714F5D" w:rsidP="008C5C6A">
            <w:pPr>
              <w:spacing w:line="276" w:lineRule="auto"/>
              <w:ind w:right="-334"/>
              <w:rPr>
                <w:rFonts w:ascii="Times New Roman" w:eastAsia="Times New Roman" w:hAnsi="Times New Roman" w:cs="Times New Roman"/>
                <w:color w:val="000000"/>
                <w:sz w:val="20"/>
                <w:szCs w:val="20"/>
                <w:lang w:eastAsia="ru-RU"/>
              </w:rPr>
            </w:pPr>
            <w:r w:rsidRPr="00074794">
              <w:rPr>
                <w:rFonts w:ascii="Times New Roman" w:eastAsia="Times New Roman" w:hAnsi="Times New Roman" w:cs="Times New Roman"/>
                <w:color w:val="000000"/>
                <w:sz w:val="20"/>
                <w:szCs w:val="20"/>
                <w:lang w:eastAsia="ru-RU"/>
              </w:rPr>
              <w:t>546,2</w:t>
            </w:r>
          </w:p>
        </w:tc>
        <w:tc>
          <w:tcPr>
            <w:tcW w:w="1131" w:type="dxa"/>
            <w:vAlign w:val="bottom"/>
          </w:tcPr>
          <w:p w:rsidR="00714F5D" w:rsidRPr="00074794" w:rsidRDefault="00714F5D" w:rsidP="008C5C6A">
            <w:pPr>
              <w:spacing w:line="276" w:lineRule="auto"/>
              <w:ind w:right="-334"/>
              <w:rPr>
                <w:rFonts w:ascii="Times New Roman" w:eastAsia="Times New Roman" w:hAnsi="Times New Roman" w:cs="Times New Roman"/>
                <w:bCs/>
                <w:color w:val="000000"/>
                <w:sz w:val="20"/>
                <w:szCs w:val="20"/>
                <w:lang w:eastAsia="ru-RU"/>
              </w:rPr>
            </w:pPr>
            <w:r w:rsidRPr="00074794">
              <w:rPr>
                <w:rFonts w:ascii="Times New Roman" w:eastAsia="Times New Roman" w:hAnsi="Times New Roman" w:cs="Times New Roman"/>
                <w:bCs/>
                <w:color w:val="000000"/>
                <w:sz w:val="20"/>
                <w:szCs w:val="20"/>
                <w:lang w:eastAsia="ru-RU"/>
              </w:rPr>
              <w:t>29,1</w:t>
            </w:r>
          </w:p>
        </w:tc>
      </w:tr>
      <w:tr w:rsidR="00714F5D" w:rsidRPr="00074794" w:rsidTr="008C5C6A">
        <w:tc>
          <w:tcPr>
            <w:tcW w:w="3510" w:type="dxa"/>
            <w:vAlign w:val="bottom"/>
          </w:tcPr>
          <w:p w:rsidR="00714F5D" w:rsidRPr="00074794" w:rsidRDefault="00714F5D" w:rsidP="008C5C6A">
            <w:pPr>
              <w:spacing w:line="276" w:lineRule="auto"/>
              <w:ind w:right="-334"/>
              <w:rPr>
                <w:rFonts w:ascii="Times New Roman" w:eastAsia="Times New Roman" w:hAnsi="Times New Roman" w:cs="Times New Roman"/>
                <w:color w:val="000000"/>
                <w:sz w:val="20"/>
                <w:szCs w:val="20"/>
                <w:lang w:eastAsia="ru-RU"/>
              </w:rPr>
            </w:pPr>
            <w:r w:rsidRPr="00074794">
              <w:rPr>
                <w:rFonts w:ascii="Times New Roman" w:eastAsia="Times New Roman" w:hAnsi="Times New Roman" w:cs="Times New Roman"/>
                <w:color w:val="000000"/>
                <w:sz w:val="20"/>
                <w:szCs w:val="20"/>
                <w:lang w:eastAsia="ru-RU"/>
              </w:rPr>
              <w:t>TVA</w:t>
            </w:r>
          </w:p>
        </w:tc>
        <w:tc>
          <w:tcPr>
            <w:tcW w:w="990" w:type="dxa"/>
            <w:vAlign w:val="bottom"/>
          </w:tcPr>
          <w:p w:rsidR="00714F5D" w:rsidRPr="00074794" w:rsidRDefault="00714F5D" w:rsidP="008C5C6A">
            <w:pPr>
              <w:spacing w:line="276" w:lineRule="auto"/>
              <w:ind w:right="-334"/>
              <w:rPr>
                <w:rFonts w:ascii="Times New Roman" w:eastAsia="Times New Roman" w:hAnsi="Times New Roman" w:cs="Times New Roman"/>
                <w:color w:val="000000"/>
                <w:sz w:val="20"/>
                <w:szCs w:val="20"/>
                <w:lang w:eastAsia="ru-RU"/>
              </w:rPr>
            </w:pPr>
            <w:r w:rsidRPr="00074794">
              <w:rPr>
                <w:rFonts w:ascii="Times New Roman" w:eastAsia="Times New Roman" w:hAnsi="Times New Roman" w:cs="Times New Roman"/>
                <w:color w:val="000000"/>
                <w:sz w:val="20"/>
                <w:szCs w:val="20"/>
                <w:lang w:eastAsia="ru-RU"/>
              </w:rPr>
              <w:t>5174,3</w:t>
            </w:r>
          </w:p>
        </w:tc>
        <w:tc>
          <w:tcPr>
            <w:tcW w:w="1260" w:type="dxa"/>
            <w:vAlign w:val="bottom"/>
          </w:tcPr>
          <w:p w:rsidR="00714F5D" w:rsidRPr="00074794" w:rsidRDefault="00714F5D" w:rsidP="008C5C6A">
            <w:pPr>
              <w:spacing w:line="276" w:lineRule="auto"/>
              <w:ind w:right="-334"/>
              <w:rPr>
                <w:rFonts w:ascii="Times New Roman" w:eastAsia="Times New Roman" w:hAnsi="Times New Roman" w:cs="Times New Roman"/>
                <w:color w:val="000000"/>
                <w:sz w:val="20"/>
                <w:szCs w:val="20"/>
                <w:lang w:eastAsia="ru-RU"/>
              </w:rPr>
            </w:pPr>
            <w:r w:rsidRPr="00074794">
              <w:rPr>
                <w:rFonts w:ascii="Times New Roman" w:eastAsia="Times New Roman" w:hAnsi="Times New Roman" w:cs="Times New Roman"/>
                <w:color w:val="000000"/>
                <w:sz w:val="20"/>
                <w:szCs w:val="20"/>
                <w:lang w:eastAsia="ru-RU"/>
              </w:rPr>
              <w:t>4830,4</w:t>
            </w:r>
          </w:p>
        </w:tc>
        <w:tc>
          <w:tcPr>
            <w:tcW w:w="1170" w:type="dxa"/>
            <w:vAlign w:val="bottom"/>
          </w:tcPr>
          <w:p w:rsidR="00714F5D" w:rsidRPr="00074794" w:rsidRDefault="00714F5D" w:rsidP="008C5C6A">
            <w:pPr>
              <w:spacing w:line="276" w:lineRule="auto"/>
              <w:ind w:right="-334"/>
              <w:rPr>
                <w:rFonts w:ascii="Times New Roman" w:eastAsia="Times New Roman" w:hAnsi="Times New Roman" w:cs="Times New Roman"/>
                <w:bCs/>
                <w:color w:val="000000"/>
                <w:sz w:val="20"/>
                <w:szCs w:val="20"/>
                <w:lang w:eastAsia="ru-RU"/>
              </w:rPr>
            </w:pPr>
            <w:r w:rsidRPr="00074794">
              <w:rPr>
                <w:rFonts w:ascii="Times New Roman" w:eastAsia="Times New Roman" w:hAnsi="Times New Roman" w:cs="Times New Roman"/>
                <w:bCs/>
                <w:color w:val="000000"/>
                <w:sz w:val="20"/>
                <w:szCs w:val="20"/>
                <w:lang w:eastAsia="ru-RU"/>
              </w:rPr>
              <w:t>-343,9</w:t>
            </w:r>
          </w:p>
        </w:tc>
        <w:tc>
          <w:tcPr>
            <w:tcW w:w="990" w:type="dxa"/>
            <w:vAlign w:val="bottom"/>
          </w:tcPr>
          <w:p w:rsidR="00714F5D" w:rsidRPr="00074794" w:rsidRDefault="00714F5D" w:rsidP="008C5C6A">
            <w:pPr>
              <w:spacing w:line="276" w:lineRule="auto"/>
              <w:ind w:right="-334"/>
              <w:rPr>
                <w:rFonts w:ascii="Times New Roman" w:eastAsia="Times New Roman" w:hAnsi="Times New Roman" w:cs="Times New Roman"/>
                <w:color w:val="000000"/>
                <w:sz w:val="20"/>
                <w:szCs w:val="20"/>
                <w:lang w:eastAsia="ru-RU"/>
              </w:rPr>
            </w:pPr>
            <w:r w:rsidRPr="00074794">
              <w:rPr>
                <w:rFonts w:ascii="Times New Roman" w:eastAsia="Times New Roman" w:hAnsi="Times New Roman" w:cs="Times New Roman"/>
                <w:color w:val="000000"/>
                <w:sz w:val="20"/>
                <w:szCs w:val="20"/>
                <w:lang w:eastAsia="ru-RU"/>
              </w:rPr>
              <w:t>5680,0</w:t>
            </w:r>
          </w:p>
        </w:tc>
        <w:tc>
          <w:tcPr>
            <w:tcW w:w="990" w:type="dxa"/>
            <w:vAlign w:val="bottom"/>
          </w:tcPr>
          <w:p w:rsidR="00714F5D" w:rsidRPr="00074794" w:rsidRDefault="00714F5D" w:rsidP="008C5C6A">
            <w:pPr>
              <w:spacing w:line="276" w:lineRule="auto"/>
              <w:ind w:right="-334"/>
              <w:rPr>
                <w:rFonts w:ascii="Times New Roman" w:eastAsia="Times New Roman" w:hAnsi="Times New Roman" w:cs="Times New Roman"/>
                <w:color w:val="000000"/>
                <w:sz w:val="20"/>
                <w:szCs w:val="20"/>
                <w:lang w:eastAsia="ru-RU"/>
              </w:rPr>
            </w:pPr>
            <w:r w:rsidRPr="00074794">
              <w:rPr>
                <w:rFonts w:ascii="Times New Roman" w:eastAsia="Times New Roman" w:hAnsi="Times New Roman" w:cs="Times New Roman"/>
                <w:color w:val="000000"/>
                <w:sz w:val="20"/>
                <w:szCs w:val="20"/>
                <w:lang w:eastAsia="ru-RU"/>
              </w:rPr>
              <w:t>5374,2</w:t>
            </w:r>
          </w:p>
        </w:tc>
        <w:tc>
          <w:tcPr>
            <w:tcW w:w="1080" w:type="dxa"/>
            <w:vAlign w:val="bottom"/>
          </w:tcPr>
          <w:p w:rsidR="00714F5D" w:rsidRPr="00074794" w:rsidRDefault="00714F5D" w:rsidP="008C5C6A">
            <w:pPr>
              <w:spacing w:line="276" w:lineRule="auto"/>
              <w:ind w:right="-334"/>
              <w:rPr>
                <w:rFonts w:ascii="Times New Roman" w:eastAsia="Times New Roman" w:hAnsi="Times New Roman" w:cs="Times New Roman"/>
                <w:bCs/>
                <w:color w:val="000000"/>
                <w:sz w:val="20"/>
                <w:szCs w:val="20"/>
                <w:lang w:eastAsia="ru-RU"/>
              </w:rPr>
            </w:pPr>
            <w:r w:rsidRPr="00074794">
              <w:rPr>
                <w:rFonts w:ascii="Times New Roman" w:eastAsia="Times New Roman" w:hAnsi="Times New Roman" w:cs="Times New Roman"/>
                <w:bCs/>
                <w:color w:val="000000"/>
                <w:sz w:val="20"/>
                <w:szCs w:val="20"/>
                <w:lang w:eastAsia="ru-RU"/>
              </w:rPr>
              <w:t>-305,8</w:t>
            </w:r>
          </w:p>
        </w:tc>
        <w:tc>
          <w:tcPr>
            <w:tcW w:w="900" w:type="dxa"/>
            <w:vAlign w:val="bottom"/>
          </w:tcPr>
          <w:p w:rsidR="00714F5D" w:rsidRPr="00074794" w:rsidRDefault="00714F5D" w:rsidP="008C5C6A">
            <w:pPr>
              <w:spacing w:line="276" w:lineRule="auto"/>
              <w:ind w:right="-334"/>
              <w:rPr>
                <w:rFonts w:ascii="Times New Roman" w:eastAsia="Times New Roman" w:hAnsi="Times New Roman" w:cs="Times New Roman"/>
                <w:color w:val="000000"/>
                <w:sz w:val="20"/>
                <w:szCs w:val="20"/>
                <w:lang w:eastAsia="ru-RU"/>
              </w:rPr>
            </w:pPr>
            <w:r w:rsidRPr="00074794">
              <w:rPr>
                <w:rFonts w:ascii="Times New Roman" w:eastAsia="Times New Roman" w:hAnsi="Times New Roman" w:cs="Times New Roman"/>
                <w:color w:val="000000"/>
                <w:sz w:val="20"/>
                <w:szCs w:val="20"/>
                <w:lang w:eastAsia="ru-RU"/>
              </w:rPr>
              <w:t>6706,8</w:t>
            </w:r>
          </w:p>
        </w:tc>
        <w:tc>
          <w:tcPr>
            <w:tcW w:w="1260" w:type="dxa"/>
            <w:vAlign w:val="bottom"/>
          </w:tcPr>
          <w:p w:rsidR="00714F5D" w:rsidRPr="00074794" w:rsidRDefault="00714F5D" w:rsidP="008C5C6A">
            <w:pPr>
              <w:spacing w:line="276" w:lineRule="auto"/>
              <w:ind w:right="-334"/>
              <w:rPr>
                <w:rFonts w:ascii="Times New Roman" w:eastAsia="Times New Roman" w:hAnsi="Times New Roman" w:cs="Times New Roman"/>
                <w:color w:val="000000"/>
                <w:sz w:val="20"/>
                <w:szCs w:val="20"/>
                <w:lang w:eastAsia="ru-RU"/>
              </w:rPr>
            </w:pPr>
            <w:r w:rsidRPr="00074794">
              <w:rPr>
                <w:rFonts w:ascii="Times New Roman" w:eastAsia="Times New Roman" w:hAnsi="Times New Roman" w:cs="Times New Roman"/>
                <w:color w:val="000000"/>
                <w:sz w:val="20"/>
                <w:szCs w:val="20"/>
                <w:lang w:eastAsia="ru-RU"/>
              </w:rPr>
              <w:t>6286,6</w:t>
            </w:r>
          </w:p>
        </w:tc>
        <w:tc>
          <w:tcPr>
            <w:tcW w:w="1131" w:type="dxa"/>
            <w:vAlign w:val="bottom"/>
          </w:tcPr>
          <w:p w:rsidR="00714F5D" w:rsidRPr="00074794" w:rsidRDefault="00714F5D" w:rsidP="008C5C6A">
            <w:pPr>
              <w:spacing w:line="276" w:lineRule="auto"/>
              <w:ind w:right="-334"/>
              <w:rPr>
                <w:rFonts w:ascii="Times New Roman" w:eastAsia="Times New Roman" w:hAnsi="Times New Roman" w:cs="Times New Roman"/>
                <w:bCs/>
                <w:color w:val="000000"/>
                <w:sz w:val="20"/>
                <w:szCs w:val="20"/>
                <w:lang w:eastAsia="ru-RU"/>
              </w:rPr>
            </w:pPr>
            <w:r w:rsidRPr="00074794">
              <w:rPr>
                <w:rFonts w:ascii="Times New Roman" w:eastAsia="Times New Roman" w:hAnsi="Times New Roman" w:cs="Times New Roman"/>
                <w:bCs/>
                <w:color w:val="000000"/>
                <w:sz w:val="20"/>
                <w:szCs w:val="20"/>
                <w:lang w:eastAsia="ru-RU"/>
              </w:rPr>
              <w:t>-420,2</w:t>
            </w:r>
          </w:p>
        </w:tc>
      </w:tr>
      <w:tr w:rsidR="00714F5D" w:rsidRPr="00074794" w:rsidTr="008C5C6A">
        <w:tc>
          <w:tcPr>
            <w:tcW w:w="3510" w:type="dxa"/>
            <w:vAlign w:val="bottom"/>
          </w:tcPr>
          <w:p w:rsidR="00714F5D" w:rsidRPr="00074794" w:rsidRDefault="00714F5D" w:rsidP="008C5C6A">
            <w:pPr>
              <w:spacing w:line="276" w:lineRule="auto"/>
              <w:ind w:right="-334"/>
              <w:rPr>
                <w:rFonts w:ascii="Times New Roman" w:eastAsia="Times New Roman" w:hAnsi="Times New Roman" w:cs="Times New Roman"/>
                <w:color w:val="000000"/>
                <w:sz w:val="20"/>
                <w:szCs w:val="20"/>
                <w:lang w:eastAsia="ru-RU"/>
              </w:rPr>
            </w:pPr>
            <w:r w:rsidRPr="00074794">
              <w:rPr>
                <w:rFonts w:ascii="Times New Roman" w:eastAsia="Times New Roman" w:hAnsi="Times New Roman" w:cs="Times New Roman"/>
                <w:color w:val="000000"/>
                <w:sz w:val="20"/>
                <w:szCs w:val="20"/>
                <w:lang w:eastAsia="ru-RU"/>
              </w:rPr>
              <w:t>Accize</w:t>
            </w:r>
          </w:p>
        </w:tc>
        <w:tc>
          <w:tcPr>
            <w:tcW w:w="990" w:type="dxa"/>
            <w:vAlign w:val="bottom"/>
          </w:tcPr>
          <w:p w:rsidR="00714F5D" w:rsidRPr="00074794" w:rsidRDefault="00714F5D" w:rsidP="008C5C6A">
            <w:pPr>
              <w:spacing w:line="276" w:lineRule="auto"/>
              <w:ind w:right="-334"/>
              <w:rPr>
                <w:rFonts w:ascii="Times New Roman" w:eastAsia="Times New Roman" w:hAnsi="Times New Roman" w:cs="Times New Roman"/>
                <w:color w:val="000000"/>
                <w:sz w:val="20"/>
                <w:szCs w:val="20"/>
                <w:lang w:eastAsia="ru-RU"/>
              </w:rPr>
            </w:pPr>
            <w:r w:rsidRPr="00074794">
              <w:rPr>
                <w:rFonts w:ascii="Times New Roman" w:eastAsia="Times New Roman" w:hAnsi="Times New Roman" w:cs="Times New Roman"/>
                <w:color w:val="000000"/>
                <w:sz w:val="20"/>
                <w:szCs w:val="20"/>
                <w:lang w:eastAsia="ru-RU"/>
              </w:rPr>
              <w:t>635,3</w:t>
            </w:r>
          </w:p>
        </w:tc>
        <w:tc>
          <w:tcPr>
            <w:tcW w:w="1260" w:type="dxa"/>
            <w:vAlign w:val="bottom"/>
          </w:tcPr>
          <w:p w:rsidR="00714F5D" w:rsidRPr="00074794" w:rsidRDefault="00714F5D" w:rsidP="008C5C6A">
            <w:pPr>
              <w:spacing w:line="276" w:lineRule="auto"/>
              <w:ind w:right="-334"/>
              <w:rPr>
                <w:rFonts w:ascii="Times New Roman" w:eastAsia="Times New Roman" w:hAnsi="Times New Roman" w:cs="Times New Roman"/>
                <w:color w:val="000000"/>
                <w:sz w:val="20"/>
                <w:szCs w:val="20"/>
                <w:lang w:eastAsia="ru-RU"/>
              </w:rPr>
            </w:pPr>
            <w:r w:rsidRPr="00074794">
              <w:rPr>
                <w:rFonts w:ascii="Times New Roman" w:eastAsia="Times New Roman" w:hAnsi="Times New Roman" w:cs="Times New Roman"/>
                <w:color w:val="000000"/>
                <w:sz w:val="20"/>
                <w:szCs w:val="20"/>
                <w:lang w:eastAsia="ru-RU"/>
              </w:rPr>
              <w:t>580,8</w:t>
            </w:r>
          </w:p>
        </w:tc>
        <w:tc>
          <w:tcPr>
            <w:tcW w:w="1170" w:type="dxa"/>
            <w:vAlign w:val="bottom"/>
          </w:tcPr>
          <w:p w:rsidR="00714F5D" w:rsidRPr="00074794" w:rsidRDefault="00714F5D" w:rsidP="008C5C6A">
            <w:pPr>
              <w:spacing w:line="276" w:lineRule="auto"/>
              <w:ind w:right="-334"/>
              <w:rPr>
                <w:rFonts w:ascii="Times New Roman" w:eastAsia="Times New Roman" w:hAnsi="Times New Roman" w:cs="Times New Roman"/>
                <w:bCs/>
                <w:color w:val="000000"/>
                <w:sz w:val="20"/>
                <w:szCs w:val="20"/>
                <w:lang w:eastAsia="ru-RU"/>
              </w:rPr>
            </w:pPr>
            <w:r w:rsidRPr="00074794">
              <w:rPr>
                <w:rFonts w:ascii="Times New Roman" w:eastAsia="Times New Roman" w:hAnsi="Times New Roman" w:cs="Times New Roman"/>
                <w:bCs/>
                <w:color w:val="000000"/>
                <w:sz w:val="20"/>
                <w:szCs w:val="20"/>
                <w:lang w:eastAsia="ru-RU"/>
              </w:rPr>
              <w:t>-54,5</w:t>
            </w:r>
          </w:p>
        </w:tc>
        <w:tc>
          <w:tcPr>
            <w:tcW w:w="990" w:type="dxa"/>
            <w:vAlign w:val="bottom"/>
          </w:tcPr>
          <w:p w:rsidR="00714F5D" w:rsidRPr="00074794" w:rsidRDefault="00714F5D" w:rsidP="008C5C6A">
            <w:pPr>
              <w:spacing w:line="276" w:lineRule="auto"/>
              <w:ind w:right="-334"/>
              <w:rPr>
                <w:rFonts w:ascii="Times New Roman" w:eastAsia="Times New Roman" w:hAnsi="Times New Roman" w:cs="Times New Roman"/>
                <w:color w:val="000000"/>
                <w:sz w:val="20"/>
                <w:szCs w:val="20"/>
                <w:lang w:eastAsia="ru-RU"/>
              </w:rPr>
            </w:pPr>
            <w:r w:rsidRPr="00074794">
              <w:rPr>
                <w:rFonts w:ascii="Times New Roman" w:eastAsia="Times New Roman" w:hAnsi="Times New Roman" w:cs="Times New Roman"/>
                <w:color w:val="000000"/>
                <w:sz w:val="20"/>
                <w:szCs w:val="20"/>
                <w:lang w:eastAsia="ru-RU"/>
              </w:rPr>
              <w:t>643,1</w:t>
            </w:r>
          </w:p>
        </w:tc>
        <w:tc>
          <w:tcPr>
            <w:tcW w:w="990" w:type="dxa"/>
            <w:vAlign w:val="bottom"/>
          </w:tcPr>
          <w:p w:rsidR="00714F5D" w:rsidRPr="00074794" w:rsidRDefault="00714F5D" w:rsidP="008C5C6A">
            <w:pPr>
              <w:spacing w:line="276" w:lineRule="auto"/>
              <w:ind w:right="-334"/>
              <w:rPr>
                <w:rFonts w:ascii="Times New Roman" w:eastAsia="Times New Roman" w:hAnsi="Times New Roman" w:cs="Times New Roman"/>
                <w:color w:val="000000"/>
                <w:sz w:val="20"/>
                <w:szCs w:val="20"/>
                <w:lang w:eastAsia="ru-RU"/>
              </w:rPr>
            </w:pPr>
            <w:r w:rsidRPr="00074794">
              <w:rPr>
                <w:rFonts w:ascii="Times New Roman" w:eastAsia="Times New Roman" w:hAnsi="Times New Roman" w:cs="Times New Roman"/>
                <w:color w:val="000000"/>
                <w:sz w:val="20"/>
                <w:szCs w:val="20"/>
                <w:lang w:eastAsia="ru-RU"/>
              </w:rPr>
              <w:t>531,8</w:t>
            </w:r>
          </w:p>
        </w:tc>
        <w:tc>
          <w:tcPr>
            <w:tcW w:w="1080" w:type="dxa"/>
            <w:vAlign w:val="bottom"/>
          </w:tcPr>
          <w:p w:rsidR="00714F5D" w:rsidRPr="00074794" w:rsidRDefault="00714F5D" w:rsidP="008C5C6A">
            <w:pPr>
              <w:spacing w:line="276" w:lineRule="auto"/>
              <w:ind w:right="-334"/>
              <w:rPr>
                <w:rFonts w:ascii="Times New Roman" w:eastAsia="Times New Roman" w:hAnsi="Times New Roman" w:cs="Times New Roman"/>
                <w:bCs/>
                <w:color w:val="000000"/>
                <w:sz w:val="20"/>
                <w:szCs w:val="20"/>
                <w:lang w:eastAsia="ru-RU"/>
              </w:rPr>
            </w:pPr>
            <w:r w:rsidRPr="00074794">
              <w:rPr>
                <w:rFonts w:ascii="Times New Roman" w:eastAsia="Times New Roman" w:hAnsi="Times New Roman" w:cs="Times New Roman"/>
                <w:bCs/>
                <w:color w:val="000000"/>
                <w:sz w:val="20"/>
                <w:szCs w:val="20"/>
                <w:lang w:eastAsia="ru-RU"/>
              </w:rPr>
              <w:t>-111,3</w:t>
            </w:r>
          </w:p>
        </w:tc>
        <w:tc>
          <w:tcPr>
            <w:tcW w:w="900" w:type="dxa"/>
            <w:vAlign w:val="bottom"/>
          </w:tcPr>
          <w:p w:rsidR="00714F5D" w:rsidRPr="00074794" w:rsidRDefault="00714F5D" w:rsidP="008C5C6A">
            <w:pPr>
              <w:spacing w:line="276" w:lineRule="auto"/>
              <w:ind w:right="-334"/>
              <w:rPr>
                <w:rFonts w:ascii="Times New Roman" w:eastAsia="Times New Roman" w:hAnsi="Times New Roman" w:cs="Times New Roman"/>
                <w:color w:val="000000"/>
                <w:sz w:val="20"/>
                <w:szCs w:val="20"/>
                <w:lang w:eastAsia="ru-RU"/>
              </w:rPr>
            </w:pPr>
            <w:r w:rsidRPr="00074794">
              <w:rPr>
                <w:rFonts w:ascii="Times New Roman" w:eastAsia="Times New Roman" w:hAnsi="Times New Roman" w:cs="Times New Roman"/>
                <w:color w:val="000000"/>
                <w:sz w:val="20"/>
                <w:szCs w:val="20"/>
                <w:lang w:eastAsia="ru-RU"/>
              </w:rPr>
              <w:t>619,2</w:t>
            </w:r>
          </w:p>
        </w:tc>
        <w:tc>
          <w:tcPr>
            <w:tcW w:w="1260" w:type="dxa"/>
            <w:vAlign w:val="bottom"/>
          </w:tcPr>
          <w:p w:rsidR="00714F5D" w:rsidRPr="00074794" w:rsidRDefault="00714F5D" w:rsidP="008C5C6A">
            <w:pPr>
              <w:spacing w:line="276" w:lineRule="auto"/>
              <w:ind w:right="-334"/>
              <w:rPr>
                <w:rFonts w:ascii="Times New Roman" w:eastAsia="Times New Roman" w:hAnsi="Times New Roman" w:cs="Times New Roman"/>
                <w:color w:val="000000"/>
                <w:sz w:val="20"/>
                <w:szCs w:val="20"/>
                <w:lang w:eastAsia="ru-RU"/>
              </w:rPr>
            </w:pPr>
            <w:r w:rsidRPr="00074794">
              <w:rPr>
                <w:rFonts w:ascii="Times New Roman" w:eastAsia="Times New Roman" w:hAnsi="Times New Roman" w:cs="Times New Roman"/>
                <w:color w:val="000000"/>
                <w:sz w:val="20"/>
                <w:szCs w:val="20"/>
                <w:lang w:eastAsia="ru-RU"/>
              </w:rPr>
              <w:t>576,8</w:t>
            </w:r>
          </w:p>
        </w:tc>
        <w:tc>
          <w:tcPr>
            <w:tcW w:w="1131" w:type="dxa"/>
            <w:vAlign w:val="bottom"/>
          </w:tcPr>
          <w:p w:rsidR="00714F5D" w:rsidRPr="00074794" w:rsidRDefault="00714F5D" w:rsidP="008C5C6A">
            <w:pPr>
              <w:spacing w:line="276" w:lineRule="auto"/>
              <w:ind w:right="-334"/>
              <w:rPr>
                <w:rFonts w:ascii="Times New Roman" w:eastAsia="Times New Roman" w:hAnsi="Times New Roman" w:cs="Times New Roman"/>
                <w:bCs/>
                <w:color w:val="000000"/>
                <w:sz w:val="20"/>
                <w:szCs w:val="20"/>
                <w:lang w:eastAsia="ru-RU"/>
              </w:rPr>
            </w:pPr>
            <w:r w:rsidRPr="00074794">
              <w:rPr>
                <w:rFonts w:ascii="Times New Roman" w:eastAsia="Times New Roman" w:hAnsi="Times New Roman" w:cs="Times New Roman"/>
                <w:bCs/>
                <w:color w:val="000000"/>
                <w:sz w:val="20"/>
                <w:szCs w:val="20"/>
                <w:lang w:eastAsia="ru-RU"/>
              </w:rPr>
              <w:t>-42,4</w:t>
            </w:r>
          </w:p>
        </w:tc>
      </w:tr>
      <w:tr w:rsidR="00714F5D" w:rsidRPr="00074794" w:rsidTr="008C5C6A">
        <w:tc>
          <w:tcPr>
            <w:tcW w:w="3510" w:type="dxa"/>
            <w:vAlign w:val="bottom"/>
          </w:tcPr>
          <w:p w:rsidR="00714F5D" w:rsidRPr="00074794" w:rsidRDefault="00714F5D" w:rsidP="008C5C6A">
            <w:pPr>
              <w:spacing w:line="276" w:lineRule="auto"/>
              <w:ind w:right="-334"/>
              <w:rPr>
                <w:rFonts w:ascii="Times New Roman" w:eastAsia="Times New Roman" w:hAnsi="Times New Roman" w:cs="Times New Roman"/>
                <w:color w:val="000000"/>
                <w:sz w:val="20"/>
                <w:szCs w:val="20"/>
                <w:lang w:eastAsia="ru-RU"/>
              </w:rPr>
            </w:pPr>
            <w:r w:rsidRPr="00074794">
              <w:rPr>
                <w:rFonts w:ascii="Times New Roman" w:eastAsia="Times New Roman" w:hAnsi="Times New Roman" w:cs="Times New Roman"/>
                <w:color w:val="000000"/>
                <w:sz w:val="20"/>
                <w:szCs w:val="20"/>
                <w:lang w:eastAsia="ru-RU"/>
              </w:rPr>
              <w:t>Taxe pentru folosirea drumurilor</w:t>
            </w:r>
          </w:p>
        </w:tc>
        <w:tc>
          <w:tcPr>
            <w:tcW w:w="990" w:type="dxa"/>
            <w:vAlign w:val="bottom"/>
          </w:tcPr>
          <w:p w:rsidR="00714F5D" w:rsidRPr="00074794" w:rsidRDefault="00714F5D" w:rsidP="008C5C6A">
            <w:pPr>
              <w:spacing w:line="276" w:lineRule="auto"/>
              <w:ind w:right="-334"/>
              <w:rPr>
                <w:rFonts w:ascii="Times New Roman" w:eastAsia="Times New Roman" w:hAnsi="Times New Roman" w:cs="Times New Roman"/>
                <w:color w:val="000000"/>
                <w:sz w:val="20"/>
                <w:szCs w:val="20"/>
                <w:lang w:eastAsia="ru-RU"/>
              </w:rPr>
            </w:pPr>
            <w:r w:rsidRPr="00074794">
              <w:rPr>
                <w:rFonts w:ascii="Times New Roman" w:eastAsia="Times New Roman" w:hAnsi="Times New Roman" w:cs="Times New Roman"/>
                <w:color w:val="000000"/>
                <w:sz w:val="20"/>
                <w:szCs w:val="20"/>
                <w:lang w:eastAsia="ru-RU"/>
              </w:rPr>
              <w:t>133,7</w:t>
            </w:r>
          </w:p>
        </w:tc>
        <w:tc>
          <w:tcPr>
            <w:tcW w:w="1260" w:type="dxa"/>
            <w:vAlign w:val="bottom"/>
          </w:tcPr>
          <w:p w:rsidR="00714F5D" w:rsidRPr="00074794" w:rsidRDefault="00714F5D" w:rsidP="008C5C6A">
            <w:pPr>
              <w:spacing w:line="276" w:lineRule="auto"/>
              <w:ind w:right="-334"/>
              <w:rPr>
                <w:rFonts w:ascii="Times New Roman" w:eastAsia="Times New Roman" w:hAnsi="Times New Roman" w:cs="Times New Roman"/>
                <w:color w:val="000000"/>
                <w:sz w:val="20"/>
                <w:szCs w:val="20"/>
                <w:lang w:eastAsia="ru-RU"/>
              </w:rPr>
            </w:pPr>
            <w:r w:rsidRPr="00074794">
              <w:rPr>
                <w:rFonts w:ascii="Times New Roman" w:eastAsia="Times New Roman" w:hAnsi="Times New Roman" w:cs="Times New Roman"/>
                <w:color w:val="000000"/>
                <w:sz w:val="20"/>
                <w:szCs w:val="20"/>
                <w:lang w:eastAsia="ru-RU"/>
              </w:rPr>
              <w:t>597,5</w:t>
            </w:r>
          </w:p>
        </w:tc>
        <w:tc>
          <w:tcPr>
            <w:tcW w:w="1170" w:type="dxa"/>
            <w:vAlign w:val="bottom"/>
          </w:tcPr>
          <w:p w:rsidR="00714F5D" w:rsidRPr="00074794" w:rsidRDefault="00714F5D" w:rsidP="008C5C6A">
            <w:pPr>
              <w:spacing w:line="276" w:lineRule="auto"/>
              <w:ind w:right="-334"/>
              <w:rPr>
                <w:rFonts w:ascii="Times New Roman" w:eastAsia="Times New Roman" w:hAnsi="Times New Roman" w:cs="Times New Roman"/>
                <w:bCs/>
                <w:color w:val="000000"/>
                <w:sz w:val="20"/>
                <w:szCs w:val="20"/>
                <w:lang w:eastAsia="ru-RU"/>
              </w:rPr>
            </w:pPr>
            <w:r w:rsidRPr="00074794">
              <w:rPr>
                <w:rFonts w:ascii="Times New Roman" w:eastAsia="Times New Roman" w:hAnsi="Times New Roman" w:cs="Times New Roman"/>
                <w:bCs/>
                <w:color w:val="000000"/>
                <w:sz w:val="20"/>
                <w:szCs w:val="20"/>
                <w:lang w:eastAsia="ru-RU"/>
              </w:rPr>
              <w:t>463,8</w:t>
            </w:r>
          </w:p>
        </w:tc>
        <w:tc>
          <w:tcPr>
            <w:tcW w:w="990" w:type="dxa"/>
            <w:vAlign w:val="bottom"/>
          </w:tcPr>
          <w:p w:rsidR="00714F5D" w:rsidRPr="00074794" w:rsidRDefault="00714F5D" w:rsidP="008C5C6A">
            <w:pPr>
              <w:spacing w:line="276" w:lineRule="auto"/>
              <w:ind w:right="-334"/>
              <w:rPr>
                <w:rFonts w:ascii="Times New Roman" w:eastAsia="Times New Roman" w:hAnsi="Times New Roman" w:cs="Times New Roman"/>
                <w:color w:val="000000"/>
                <w:sz w:val="20"/>
                <w:szCs w:val="20"/>
                <w:lang w:eastAsia="ru-RU"/>
              </w:rPr>
            </w:pPr>
            <w:r w:rsidRPr="00074794">
              <w:rPr>
                <w:rFonts w:ascii="Times New Roman" w:eastAsia="Times New Roman" w:hAnsi="Times New Roman" w:cs="Times New Roman"/>
                <w:color w:val="000000"/>
                <w:sz w:val="20"/>
                <w:szCs w:val="20"/>
                <w:lang w:eastAsia="ru-RU"/>
              </w:rPr>
              <w:t>58,0</w:t>
            </w:r>
          </w:p>
        </w:tc>
        <w:tc>
          <w:tcPr>
            <w:tcW w:w="990" w:type="dxa"/>
            <w:vAlign w:val="bottom"/>
          </w:tcPr>
          <w:p w:rsidR="00714F5D" w:rsidRPr="00074794" w:rsidRDefault="00714F5D" w:rsidP="008C5C6A">
            <w:pPr>
              <w:spacing w:line="276" w:lineRule="auto"/>
              <w:ind w:right="-334"/>
              <w:rPr>
                <w:rFonts w:ascii="Times New Roman" w:eastAsia="Times New Roman" w:hAnsi="Times New Roman" w:cs="Times New Roman"/>
                <w:color w:val="000000"/>
                <w:sz w:val="20"/>
                <w:szCs w:val="20"/>
                <w:lang w:eastAsia="ru-RU"/>
              </w:rPr>
            </w:pPr>
            <w:r w:rsidRPr="00074794">
              <w:rPr>
                <w:rFonts w:ascii="Times New Roman" w:eastAsia="Times New Roman" w:hAnsi="Times New Roman" w:cs="Times New Roman"/>
                <w:color w:val="000000"/>
                <w:sz w:val="20"/>
                <w:szCs w:val="20"/>
                <w:lang w:eastAsia="ru-RU"/>
              </w:rPr>
              <w:t>669,7</w:t>
            </w:r>
          </w:p>
        </w:tc>
        <w:tc>
          <w:tcPr>
            <w:tcW w:w="1080" w:type="dxa"/>
            <w:vAlign w:val="bottom"/>
          </w:tcPr>
          <w:p w:rsidR="00714F5D" w:rsidRPr="00074794" w:rsidRDefault="00714F5D" w:rsidP="008C5C6A">
            <w:pPr>
              <w:spacing w:line="276" w:lineRule="auto"/>
              <w:ind w:right="-334"/>
              <w:rPr>
                <w:rFonts w:ascii="Times New Roman" w:eastAsia="Times New Roman" w:hAnsi="Times New Roman" w:cs="Times New Roman"/>
                <w:bCs/>
                <w:color w:val="000000"/>
                <w:sz w:val="20"/>
                <w:szCs w:val="20"/>
                <w:lang w:eastAsia="ru-RU"/>
              </w:rPr>
            </w:pPr>
            <w:r w:rsidRPr="00074794">
              <w:rPr>
                <w:rFonts w:ascii="Times New Roman" w:eastAsia="Times New Roman" w:hAnsi="Times New Roman" w:cs="Times New Roman"/>
                <w:bCs/>
                <w:color w:val="000000"/>
                <w:sz w:val="20"/>
                <w:szCs w:val="20"/>
                <w:lang w:eastAsia="ru-RU"/>
              </w:rPr>
              <w:t>611,7</w:t>
            </w:r>
          </w:p>
        </w:tc>
        <w:tc>
          <w:tcPr>
            <w:tcW w:w="900" w:type="dxa"/>
            <w:vAlign w:val="bottom"/>
          </w:tcPr>
          <w:p w:rsidR="00714F5D" w:rsidRPr="00074794" w:rsidRDefault="00714F5D" w:rsidP="008C5C6A">
            <w:pPr>
              <w:spacing w:line="276" w:lineRule="auto"/>
              <w:ind w:right="-334"/>
              <w:rPr>
                <w:rFonts w:ascii="Times New Roman" w:eastAsia="Times New Roman" w:hAnsi="Times New Roman" w:cs="Times New Roman"/>
                <w:color w:val="000000"/>
                <w:sz w:val="20"/>
                <w:szCs w:val="20"/>
                <w:lang w:eastAsia="ru-RU"/>
              </w:rPr>
            </w:pPr>
            <w:r w:rsidRPr="00074794">
              <w:rPr>
                <w:rFonts w:ascii="Times New Roman" w:eastAsia="Times New Roman" w:hAnsi="Times New Roman" w:cs="Times New Roman"/>
                <w:color w:val="000000"/>
                <w:sz w:val="20"/>
                <w:szCs w:val="20"/>
                <w:lang w:eastAsia="ru-RU"/>
              </w:rPr>
              <w:t>54,5</w:t>
            </w:r>
          </w:p>
        </w:tc>
        <w:tc>
          <w:tcPr>
            <w:tcW w:w="1260" w:type="dxa"/>
            <w:vAlign w:val="bottom"/>
          </w:tcPr>
          <w:p w:rsidR="00714F5D" w:rsidRPr="00074794" w:rsidRDefault="00714F5D" w:rsidP="008C5C6A">
            <w:pPr>
              <w:spacing w:line="276" w:lineRule="auto"/>
              <w:ind w:right="-334"/>
              <w:rPr>
                <w:rFonts w:ascii="Times New Roman" w:eastAsia="Times New Roman" w:hAnsi="Times New Roman" w:cs="Times New Roman"/>
                <w:color w:val="000000"/>
                <w:sz w:val="20"/>
                <w:szCs w:val="20"/>
                <w:lang w:eastAsia="ru-RU"/>
              </w:rPr>
            </w:pPr>
            <w:r w:rsidRPr="00074794">
              <w:rPr>
                <w:rFonts w:ascii="Times New Roman" w:eastAsia="Times New Roman" w:hAnsi="Times New Roman" w:cs="Times New Roman"/>
                <w:color w:val="000000"/>
                <w:sz w:val="20"/>
                <w:szCs w:val="20"/>
                <w:lang w:eastAsia="ru-RU"/>
              </w:rPr>
              <w:t>835,1</w:t>
            </w:r>
          </w:p>
        </w:tc>
        <w:tc>
          <w:tcPr>
            <w:tcW w:w="1131" w:type="dxa"/>
            <w:vAlign w:val="bottom"/>
          </w:tcPr>
          <w:p w:rsidR="00714F5D" w:rsidRPr="00074794" w:rsidRDefault="00714F5D" w:rsidP="008C5C6A">
            <w:pPr>
              <w:spacing w:line="276" w:lineRule="auto"/>
              <w:ind w:right="-334"/>
              <w:rPr>
                <w:rFonts w:ascii="Times New Roman" w:eastAsia="Times New Roman" w:hAnsi="Times New Roman" w:cs="Times New Roman"/>
                <w:bCs/>
                <w:color w:val="000000"/>
                <w:sz w:val="20"/>
                <w:szCs w:val="20"/>
                <w:lang w:eastAsia="ru-RU"/>
              </w:rPr>
            </w:pPr>
            <w:r w:rsidRPr="00074794">
              <w:rPr>
                <w:rFonts w:ascii="Times New Roman" w:eastAsia="Times New Roman" w:hAnsi="Times New Roman" w:cs="Times New Roman"/>
                <w:bCs/>
                <w:color w:val="000000"/>
                <w:sz w:val="20"/>
                <w:szCs w:val="20"/>
                <w:lang w:eastAsia="ru-RU"/>
              </w:rPr>
              <w:t>780,6</w:t>
            </w:r>
          </w:p>
        </w:tc>
      </w:tr>
      <w:tr w:rsidR="00714F5D" w:rsidRPr="00074794" w:rsidTr="008C5C6A">
        <w:tc>
          <w:tcPr>
            <w:tcW w:w="3510" w:type="dxa"/>
            <w:vAlign w:val="bottom"/>
          </w:tcPr>
          <w:p w:rsidR="00714F5D" w:rsidRPr="00074794" w:rsidRDefault="00714F5D" w:rsidP="008C5C6A">
            <w:pPr>
              <w:spacing w:line="276" w:lineRule="auto"/>
              <w:ind w:right="-334"/>
              <w:rPr>
                <w:rFonts w:ascii="Times New Roman" w:eastAsia="Times New Roman" w:hAnsi="Times New Roman" w:cs="Times New Roman"/>
                <w:b/>
                <w:color w:val="000000"/>
                <w:sz w:val="20"/>
                <w:szCs w:val="20"/>
                <w:lang w:eastAsia="ru-RU"/>
              </w:rPr>
            </w:pPr>
            <w:r w:rsidRPr="00074794">
              <w:rPr>
                <w:rFonts w:ascii="Times New Roman" w:eastAsia="Times New Roman" w:hAnsi="Times New Roman" w:cs="Times New Roman"/>
                <w:b/>
                <w:bCs/>
                <w:color w:val="000000"/>
                <w:sz w:val="20"/>
                <w:szCs w:val="20"/>
                <w:lang w:eastAsia="ru-RU"/>
              </w:rPr>
              <w:t>Total</w:t>
            </w:r>
          </w:p>
        </w:tc>
        <w:tc>
          <w:tcPr>
            <w:tcW w:w="990" w:type="dxa"/>
            <w:vAlign w:val="bottom"/>
          </w:tcPr>
          <w:p w:rsidR="00714F5D" w:rsidRPr="00074794" w:rsidRDefault="00714F5D" w:rsidP="008C5C6A">
            <w:pPr>
              <w:spacing w:line="276" w:lineRule="auto"/>
              <w:ind w:right="-334"/>
              <w:rPr>
                <w:rFonts w:ascii="Times New Roman" w:eastAsia="Times New Roman" w:hAnsi="Times New Roman" w:cs="Times New Roman"/>
                <w:b/>
                <w:color w:val="000000"/>
                <w:sz w:val="20"/>
                <w:szCs w:val="20"/>
                <w:lang w:eastAsia="ru-RU"/>
              </w:rPr>
            </w:pPr>
            <w:r w:rsidRPr="00074794">
              <w:rPr>
                <w:rFonts w:ascii="Times New Roman" w:eastAsia="Times New Roman" w:hAnsi="Times New Roman" w:cs="Times New Roman"/>
                <w:b/>
                <w:color w:val="000000"/>
                <w:sz w:val="20"/>
                <w:szCs w:val="20"/>
                <w:lang w:eastAsia="ru-RU"/>
              </w:rPr>
              <w:t>11779,2</w:t>
            </w:r>
          </w:p>
        </w:tc>
        <w:tc>
          <w:tcPr>
            <w:tcW w:w="1260" w:type="dxa"/>
            <w:vAlign w:val="bottom"/>
          </w:tcPr>
          <w:p w:rsidR="00714F5D" w:rsidRPr="00074794" w:rsidRDefault="00714F5D" w:rsidP="008C5C6A">
            <w:pPr>
              <w:spacing w:line="276" w:lineRule="auto"/>
              <w:ind w:right="-334"/>
              <w:rPr>
                <w:rFonts w:ascii="Times New Roman" w:eastAsia="Times New Roman" w:hAnsi="Times New Roman" w:cs="Times New Roman"/>
                <w:b/>
                <w:color w:val="000000"/>
                <w:sz w:val="20"/>
                <w:szCs w:val="20"/>
                <w:lang w:eastAsia="ru-RU"/>
              </w:rPr>
            </w:pPr>
            <w:r w:rsidRPr="00074794">
              <w:rPr>
                <w:rFonts w:ascii="Times New Roman" w:eastAsia="Times New Roman" w:hAnsi="Times New Roman" w:cs="Times New Roman"/>
                <w:b/>
                <w:color w:val="000000"/>
                <w:sz w:val="20"/>
                <w:szCs w:val="20"/>
                <w:lang w:eastAsia="ru-RU"/>
              </w:rPr>
              <w:t>11921,5</w:t>
            </w:r>
          </w:p>
        </w:tc>
        <w:tc>
          <w:tcPr>
            <w:tcW w:w="1170" w:type="dxa"/>
            <w:vAlign w:val="bottom"/>
          </w:tcPr>
          <w:p w:rsidR="00714F5D" w:rsidRPr="00074794" w:rsidRDefault="00714F5D" w:rsidP="008C5C6A">
            <w:pPr>
              <w:spacing w:line="276" w:lineRule="auto"/>
              <w:ind w:right="-334"/>
              <w:rPr>
                <w:rFonts w:ascii="Times New Roman" w:eastAsia="Times New Roman" w:hAnsi="Times New Roman" w:cs="Times New Roman"/>
                <w:b/>
                <w:color w:val="000000"/>
                <w:sz w:val="20"/>
                <w:szCs w:val="20"/>
                <w:lang w:eastAsia="ru-RU"/>
              </w:rPr>
            </w:pPr>
            <w:r w:rsidRPr="00074794">
              <w:rPr>
                <w:rFonts w:ascii="Times New Roman" w:eastAsia="Times New Roman" w:hAnsi="Times New Roman" w:cs="Times New Roman"/>
                <w:b/>
                <w:color w:val="000000"/>
                <w:sz w:val="20"/>
                <w:szCs w:val="20"/>
                <w:lang w:eastAsia="ru-RU"/>
              </w:rPr>
              <w:t>142,3</w:t>
            </w:r>
          </w:p>
        </w:tc>
        <w:tc>
          <w:tcPr>
            <w:tcW w:w="990" w:type="dxa"/>
            <w:vAlign w:val="bottom"/>
          </w:tcPr>
          <w:p w:rsidR="00714F5D" w:rsidRPr="00074794" w:rsidRDefault="00714F5D" w:rsidP="008C5C6A">
            <w:pPr>
              <w:spacing w:line="276" w:lineRule="auto"/>
              <w:ind w:right="-334"/>
              <w:rPr>
                <w:rFonts w:ascii="Times New Roman" w:eastAsia="Times New Roman" w:hAnsi="Times New Roman" w:cs="Times New Roman"/>
                <w:b/>
                <w:color w:val="000000"/>
                <w:sz w:val="20"/>
                <w:szCs w:val="20"/>
                <w:lang w:eastAsia="ru-RU"/>
              </w:rPr>
            </w:pPr>
            <w:r w:rsidRPr="00074794">
              <w:rPr>
                <w:rFonts w:ascii="Times New Roman" w:eastAsia="Times New Roman" w:hAnsi="Times New Roman" w:cs="Times New Roman"/>
                <w:b/>
                <w:color w:val="000000"/>
                <w:sz w:val="20"/>
                <w:szCs w:val="20"/>
                <w:lang w:eastAsia="ru-RU"/>
              </w:rPr>
              <w:t>13124,1</w:t>
            </w:r>
          </w:p>
        </w:tc>
        <w:tc>
          <w:tcPr>
            <w:tcW w:w="990" w:type="dxa"/>
            <w:vAlign w:val="bottom"/>
          </w:tcPr>
          <w:p w:rsidR="00714F5D" w:rsidRPr="00074794" w:rsidRDefault="00714F5D" w:rsidP="008C5C6A">
            <w:pPr>
              <w:spacing w:line="276" w:lineRule="auto"/>
              <w:ind w:right="-334"/>
              <w:rPr>
                <w:rFonts w:ascii="Times New Roman" w:eastAsia="Times New Roman" w:hAnsi="Times New Roman" w:cs="Times New Roman"/>
                <w:b/>
                <w:color w:val="000000"/>
                <w:sz w:val="20"/>
                <w:szCs w:val="20"/>
                <w:lang w:eastAsia="ru-RU"/>
              </w:rPr>
            </w:pPr>
            <w:r w:rsidRPr="00074794">
              <w:rPr>
                <w:rFonts w:ascii="Times New Roman" w:eastAsia="Times New Roman" w:hAnsi="Times New Roman" w:cs="Times New Roman"/>
                <w:b/>
                <w:color w:val="000000"/>
                <w:sz w:val="20"/>
                <w:szCs w:val="20"/>
                <w:lang w:eastAsia="ru-RU"/>
              </w:rPr>
              <w:t>13568,6</w:t>
            </w:r>
          </w:p>
        </w:tc>
        <w:tc>
          <w:tcPr>
            <w:tcW w:w="1080" w:type="dxa"/>
            <w:vAlign w:val="bottom"/>
          </w:tcPr>
          <w:p w:rsidR="00714F5D" w:rsidRPr="00074794" w:rsidRDefault="00714F5D" w:rsidP="008C5C6A">
            <w:pPr>
              <w:spacing w:line="276" w:lineRule="auto"/>
              <w:ind w:right="-334"/>
              <w:rPr>
                <w:rFonts w:ascii="Times New Roman" w:eastAsia="Times New Roman" w:hAnsi="Times New Roman" w:cs="Times New Roman"/>
                <w:b/>
                <w:color w:val="000000"/>
                <w:sz w:val="20"/>
                <w:szCs w:val="20"/>
                <w:lang w:eastAsia="ru-RU"/>
              </w:rPr>
            </w:pPr>
            <w:r w:rsidRPr="00074794">
              <w:rPr>
                <w:rFonts w:ascii="Times New Roman" w:eastAsia="Times New Roman" w:hAnsi="Times New Roman" w:cs="Times New Roman"/>
                <w:b/>
                <w:color w:val="000000"/>
                <w:sz w:val="20"/>
                <w:szCs w:val="20"/>
                <w:lang w:eastAsia="ru-RU"/>
              </w:rPr>
              <w:t>444,5</w:t>
            </w:r>
          </w:p>
        </w:tc>
        <w:tc>
          <w:tcPr>
            <w:tcW w:w="900" w:type="dxa"/>
            <w:vAlign w:val="bottom"/>
          </w:tcPr>
          <w:p w:rsidR="00714F5D" w:rsidRPr="00074794" w:rsidRDefault="00714F5D" w:rsidP="008C5C6A">
            <w:pPr>
              <w:spacing w:line="276" w:lineRule="auto"/>
              <w:ind w:right="-334"/>
              <w:rPr>
                <w:rFonts w:ascii="Times New Roman" w:eastAsia="Times New Roman" w:hAnsi="Times New Roman" w:cs="Times New Roman"/>
                <w:b/>
                <w:color w:val="000000"/>
                <w:sz w:val="20"/>
                <w:szCs w:val="20"/>
                <w:lang w:eastAsia="ru-RU"/>
              </w:rPr>
            </w:pPr>
            <w:r w:rsidRPr="00074794">
              <w:rPr>
                <w:rFonts w:ascii="Times New Roman" w:eastAsia="Times New Roman" w:hAnsi="Times New Roman" w:cs="Times New Roman"/>
                <w:b/>
                <w:color w:val="000000"/>
                <w:sz w:val="20"/>
                <w:szCs w:val="20"/>
                <w:lang w:eastAsia="ru-RU"/>
              </w:rPr>
              <w:t>15429,3</w:t>
            </w:r>
          </w:p>
        </w:tc>
        <w:tc>
          <w:tcPr>
            <w:tcW w:w="1260" w:type="dxa"/>
            <w:vAlign w:val="bottom"/>
          </w:tcPr>
          <w:p w:rsidR="00714F5D" w:rsidRPr="00074794" w:rsidRDefault="00714F5D" w:rsidP="008C5C6A">
            <w:pPr>
              <w:spacing w:line="276" w:lineRule="auto"/>
              <w:ind w:right="-334"/>
              <w:rPr>
                <w:rFonts w:ascii="Times New Roman" w:eastAsia="Times New Roman" w:hAnsi="Times New Roman" w:cs="Times New Roman"/>
                <w:b/>
                <w:color w:val="000000"/>
                <w:sz w:val="20"/>
                <w:szCs w:val="20"/>
                <w:lang w:eastAsia="ru-RU"/>
              </w:rPr>
            </w:pPr>
            <w:r w:rsidRPr="00074794">
              <w:rPr>
                <w:rFonts w:ascii="Times New Roman" w:eastAsia="Times New Roman" w:hAnsi="Times New Roman" w:cs="Times New Roman"/>
                <w:b/>
                <w:color w:val="000000"/>
                <w:sz w:val="20"/>
                <w:szCs w:val="20"/>
                <w:lang w:eastAsia="ru-RU"/>
              </w:rPr>
              <w:t>16014,5</w:t>
            </w:r>
          </w:p>
        </w:tc>
        <w:tc>
          <w:tcPr>
            <w:tcW w:w="1131" w:type="dxa"/>
            <w:vAlign w:val="bottom"/>
          </w:tcPr>
          <w:p w:rsidR="00714F5D" w:rsidRPr="00074794" w:rsidRDefault="00714F5D" w:rsidP="008C5C6A">
            <w:pPr>
              <w:spacing w:line="276" w:lineRule="auto"/>
              <w:ind w:right="-334"/>
              <w:rPr>
                <w:rFonts w:ascii="Times New Roman" w:eastAsia="Times New Roman" w:hAnsi="Times New Roman" w:cs="Times New Roman"/>
                <w:b/>
                <w:color w:val="000000"/>
                <w:sz w:val="20"/>
                <w:szCs w:val="20"/>
                <w:lang w:eastAsia="ru-RU"/>
              </w:rPr>
            </w:pPr>
            <w:r w:rsidRPr="00074794">
              <w:rPr>
                <w:rFonts w:ascii="Times New Roman" w:eastAsia="Times New Roman" w:hAnsi="Times New Roman" w:cs="Times New Roman"/>
                <w:b/>
                <w:color w:val="000000"/>
                <w:sz w:val="20"/>
                <w:szCs w:val="20"/>
                <w:lang w:eastAsia="ru-RU"/>
              </w:rPr>
              <w:t>585,2</w:t>
            </w:r>
          </w:p>
        </w:tc>
      </w:tr>
    </w:tbl>
    <w:p w:rsidR="00714F5D" w:rsidRPr="00074794" w:rsidRDefault="00714F5D" w:rsidP="00714F5D">
      <w:pPr>
        <w:tabs>
          <w:tab w:val="left" w:pos="7896"/>
          <w:tab w:val="left" w:pos="8680"/>
        </w:tabs>
        <w:spacing w:after="0" w:line="276" w:lineRule="auto"/>
        <w:ind w:right="-334"/>
        <w:rPr>
          <w:rFonts w:ascii="Times New Roman" w:hAnsi="Times New Roman" w:cs="Times New Roman"/>
          <w:i/>
          <w:sz w:val="20"/>
          <w:szCs w:val="20"/>
        </w:rPr>
      </w:pPr>
      <w:r w:rsidRPr="00074794">
        <w:rPr>
          <w:rFonts w:ascii="Times New Roman" w:hAnsi="Times New Roman" w:cs="Times New Roman"/>
          <w:b/>
          <w:i/>
          <w:sz w:val="20"/>
          <w:szCs w:val="20"/>
        </w:rPr>
        <w:t>Sursă:</w:t>
      </w:r>
      <w:r w:rsidRPr="00074794">
        <w:rPr>
          <w:rFonts w:ascii="Times New Roman" w:hAnsi="Times New Roman" w:cs="Times New Roman"/>
          <w:i/>
          <w:sz w:val="20"/>
          <w:szCs w:val="20"/>
        </w:rPr>
        <w:t xml:space="preserve"> Dările de seamă privind încasările la B</w:t>
      </w:r>
      <w:r>
        <w:rPr>
          <w:rFonts w:ascii="Times New Roman" w:hAnsi="Times New Roman" w:cs="Times New Roman"/>
          <w:i/>
          <w:sz w:val="20"/>
          <w:szCs w:val="20"/>
        </w:rPr>
        <w:t>PN</w:t>
      </w:r>
      <w:r w:rsidRPr="00074794">
        <w:rPr>
          <w:rFonts w:ascii="Times New Roman" w:hAnsi="Times New Roman" w:cs="Times New Roman"/>
          <w:i/>
          <w:sz w:val="20"/>
          <w:szCs w:val="20"/>
        </w:rPr>
        <w:t xml:space="preserve"> administrate de SFS corespunzător clasificației veniturilor bugetare pentru anii 2015-2017.</w:t>
      </w:r>
    </w:p>
    <w:p w:rsidR="00714F5D" w:rsidRDefault="00714F5D" w:rsidP="00714F5D">
      <w:pPr>
        <w:tabs>
          <w:tab w:val="left" w:pos="284"/>
          <w:tab w:val="left" w:pos="851"/>
          <w:tab w:val="left" w:pos="1134"/>
        </w:tabs>
        <w:spacing w:after="0" w:line="240" w:lineRule="auto"/>
        <w:ind w:right="-37"/>
        <w:jc w:val="right"/>
        <w:rPr>
          <w:rFonts w:ascii="Times New Roman" w:hAnsi="Times New Roman" w:cs="Times New Roman"/>
          <w:b/>
          <w:i/>
          <w:sz w:val="28"/>
          <w:szCs w:val="28"/>
        </w:rPr>
      </w:pPr>
    </w:p>
    <w:p w:rsidR="00714F5D" w:rsidRDefault="00714F5D" w:rsidP="00714F5D">
      <w:pPr>
        <w:spacing w:after="0" w:line="240" w:lineRule="auto"/>
        <w:ind w:right="105"/>
        <w:jc w:val="right"/>
        <w:rPr>
          <w:rFonts w:ascii="Times New Roman" w:hAnsi="Times New Roman" w:cs="Times New Roman"/>
          <w:b/>
          <w:i/>
          <w:sz w:val="28"/>
          <w:szCs w:val="28"/>
          <w:lang w:eastAsia="ru-RU"/>
        </w:rPr>
      </w:pPr>
      <w:r w:rsidRPr="001D0846">
        <w:rPr>
          <w:rFonts w:ascii="Times New Roman" w:hAnsi="Times New Roman" w:cs="Times New Roman"/>
          <w:b/>
          <w:i/>
          <w:sz w:val="28"/>
          <w:szCs w:val="28"/>
          <w:lang w:eastAsia="ru-RU"/>
        </w:rPr>
        <w:t>Tabelul nr.8</w:t>
      </w:r>
    </w:p>
    <w:p w:rsidR="00714F5D" w:rsidRPr="001D0846" w:rsidRDefault="00714F5D" w:rsidP="00714F5D">
      <w:pPr>
        <w:spacing w:after="0" w:line="240" w:lineRule="auto"/>
        <w:ind w:right="105"/>
        <w:jc w:val="right"/>
        <w:rPr>
          <w:rFonts w:ascii="Times New Roman" w:hAnsi="Times New Roman" w:cs="Times New Roman"/>
          <w:b/>
          <w:i/>
          <w:sz w:val="28"/>
          <w:szCs w:val="28"/>
          <w:lang w:eastAsia="ru-RU"/>
        </w:rPr>
      </w:pPr>
    </w:p>
    <w:p w:rsidR="00714F5D" w:rsidRDefault="00714F5D" w:rsidP="00714F5D">
      <w:pPr>
        <w:spacing w:after="0" w:line="240" w:lineRule="auto"/>
        <w:ind w:right="-334"/>
        <w:jc w:val="center"/>
        <w:rPr>
          <w:rFonts w:ascii="Times New Roman" w:hAnsi="Times New Roman" w:cs="Times New Roman"/>
          <w:i/>
          <w:sz w:val="28"/>
          <w:szCs w:val="28"/>
          <w:lang w:eastAsia="ru-RU"/>
        </w:rPr>
      </w:pPr>
      <w:r w:rsidRPr="001D0846">
        <w:rPr>
          <w:rFonts w:ascii="Times New Roman" w:hAnsi="Times New Roman" w:cs="Times New Roman"/>
          <w:i/>
          <w:sz w:val="28"/>
          <w:szCs w:val="28"/>
          <w:lang w:eastAsia="ru-RU"/>
        </w:rPr>
        <w:t>Analiza nivelului de realizare a sarcinii de colectare în aspectul tipurilor de impozite și taxe de către SV</w:t>
      </w:r>
    </w:p>
    <w:p w:rsidR="00714F5D" w:rsidRPr="001D0846" w:rsidRDefault="00714F5D" w:rsidP="00714F5D">
      <w:pPr>
        <w:spacing w:after="0" w:line="240" w:lineRule="auto"/>
        <w:ind w:right="-334"/>
        <w:jc w:val="center"/>
        <w:rPr>
          <w:rFonts w:ascii="Times New Roman" w:hAnsi="Times New Roman" w:cs="Times New Roman"/>
          <w:i/>
          <w:sz w:val="28"/>
          <w:szCs w:val="28"/>
          <w:lang w:eastAsia="ru-RU"/>
        </w:rPr>
      </w:pPr>
      <w:r w:rsidRPr="001D0846">
        <w:rPr>
          <w:rFonts w:ascii="Times New Roman" w:hAnsi="Times New Roman" w:cs="Times New Roman"/>
          <w:i/>
          <w:sz w:val="28"/>
          <w:szCs w:val="28"/>
          <w:lang w:eastAsia="ru-RU"/>
        </w:rPr>
        <w:t xml:space="preserve"> pentru anii 2015-2017</w:t>
      </w:r>
    </w:p>
    <w:p w:rsidR="00714F5D" w:rsidRPr="00EE570A" w:rsidRDefault="00714F5D" w:rsidP="00714F5D">
      <w:pPr>
        <w:spacing w:after="0" w:line="240" w:lineRule="auto"/>
        <w:ind w:right="-37"/>
        <w:jc w:val="right"/>
        <w:rPr>
          <w:rFonts w:ascii="Times New Roman" w:hAnsi="Times New Roman" w:cs="Times New Roman"/>
          <w:i/>
          <w:sz w:val="28"/>
          <w:szCs w:val="28"/>
        </w:rPr>
      </w:pPr>
      <w:r w:rsidRPr="00EE570A">
        <w:rPr>
          <w:rFonts w:ascii="Times New Roman" w:hAnsi="Times New Roman" w:cs="Times New Roman"/>
          <w:i/>
          <w:sz w:val="28"/>
          <w:szCs w:val="28"/>
        </w:rPr>
        <w:t>(mil.lei)</w:t>
      </w:r>
    </w:p>
    <w:tbl>
      <w:tblPr>
        <w:tblStyle w:val="TableGrid"/>
        <w:tblW w:w="13320" w:type="dxa"/>
        <w:tblLook w:val="04A0"/>
      </w:tblPr>
      <w:tblGrid>
        <w:gridCol w:w="3108"/>
        <w:gridCol w:w="1274"/>
        <w:gridCol w:w="1052"/>
        <w:gridCol w:w="1216"/>
        <w:gridCol w:w="1163"/>
        <w:gridCol w:w="1052"/>
        <w:gridCol w:w="1187"/>
        <w:gridCol w:w="1163"/>
        <w:gridCol w:w="1052"/>
        <w:gridCol w:w="1053"/>
      </w:tblGrid>
      <w:tr w:rsidR="0075307B" w:rsidRPr="001D0846" w:rsidTr="008C5C6A">
        <w:tc>
          <w:tcPr>
            <w:tcW w:w="3114" w:type="dxa"/>
            <w:vMerge w:val="restart"/>
          </w:tcPr>
          <w:p w:rsidR="00714F5D" w:rsidRPr="001D0846" w:rsidRDefault="00714F5D" w:rsidP="008C5C6A">
            <w:pPr>
              <w:ind w:right="30"/>
              <w:jc w:val="center"/>
              <w:rPr>
                <w:rFonts w:ascii="Times New Roman" w:hAnsi="Times New Roman" w:cs="Times New Roman"/>
                <w:b/>
              </w:rPr>
            </w:pPr>
            <w:r w:rsidRPr="001D0846">
              <w:rPr>
                <w:rFonts w:ascii="Times New Roman" w:hAnsi="Times New Roman" w:cs="Times New Roman"/>
                <w:b/>
              </w:rPr>
              <w:t>Denumirea</w:t>
            </w:r>
          </w:p>
        </w:tc>
        <w:tc>
          <w:tcPr>
            <w:tcW w:w="3544" w:type="dxa"/>
            <w:gridSpan w:val="3"/>
          </w:tcPr>
          <w:p w:rsidR="00714F5D" w:rsidRPr="001D0846" w:rsidRDefault="00714F5D" w:rsidP="008C5C6A">
            <w:pPr>
              <w:ind w:right="48"/>
              <w:jc w:val="center"/>
              <w:rPr>
                <w:rFonts w:ascii="Times New Roman" w:hAnsi="Times New Roman" w:cs="Times New Roman"/>
                <w:b/>
              </w:rPr>
            </w:pPr>
            <w:r w:rsidRPr="001D0846">
              <w:rPr>
                <w:rFonts w:ascii="Times New Roman" w:hAnsi="Times New Roman" w:cs="Times New Roman"/>
                <w:b/>
              </w:rPr>
              <w:t>Anul 2015</w:t>
            </w:r>
          </w:p>
        </w:tc>
        <w:tc>
          <w:tcPr>
            <w:tcW w:w="3402" w:type="dxa"/>
            <w:gridSpan w:val="3"/>
          </w:tcPr>
          <w:p w:rsidR="00714F5D" w:rsidRPr="001D0846" w:rsidRDefault="00714F5D" w:rsidP="008C5C6A">
            <w:pPr>
              <w:ind w:right="55"/>
              <w:jc w:val="center"/>
              <w:rPr>
                <w:rFonts w:ascii="Times New Roman" w:hAnsi="Times New Roman" w:cs="Times New Roman"/>
                <w:b/>
              </w:rPr>
            </w:pPr>
            <w:r w:rsidRPr="001D0846">
              <w:rPr>
                <w:rFonts w:ascii="Times New Roman" w:hAnsi="Times New Roman" w:cs="Times New Roman"/>
                <w:b/>
              </w:rPr>
              <w:t>Anul 2016</w:t>
            </w:r>
          </w:p>
        </w:tc>
        <w:tc>
          <w:tcPr>
            <w:tcW w:w="3260" w:type="dxa"/>
            <w:gridSpan w:val="3"/>
          </w:tcPr>
          <w:p w:rsidR="00714F5D" w:rsidRPr="001D0846" w:rsidRDefault="00714F5D" w:rsidP="008C5C6A">
            <w:pPr>
              <w:ind w:right="50"/>
              <w:jc w:val="center"/>
              <w:rPr>
                <w:rFonts w:ascii="Times New Roman" w:hAnsi="Times New Roman" w:cs="Times New Roman"/>
                <w:b/>
              </w:rPr>
            </w:pPr>
            <w:r w:rsidRPr="001D0846">
              <w:rPr>
                <w:rFonts w:ascii="Times New Roman" w:hAnsi="Times New Roman" w:cs="Times New Roman"/>
                <w:b/>
              </w:rPr>
              <w:t>Anul 2017</w:t>
            </w:r>
          </w:p>
        </w:tc>
      </w:tr>
      <w:tr w:rsidR="0075307B" w:rsidRPr="001D0846" w:rsidTr="008C5C6A">
        <w:tc>
          <w:tcPr>
            <w:tcW w:w="3114" w:type="dxa"/>
            <w:vMerge/>
          </w:tcPr>
          <w:p w:rsidR="00714F5D" w:rsidRPr="001D0846" w:rsidRDefault="00714F5D" w:rsidP="008C5C6A">
            <w:pPr>
              <w:ind w:right="54"/>
              <w:jc w:val="center"/>
              <w:rPr>
                <w:rFonts w:ascii="Times New Roman" w:hAnsi="Times New Roman" w:cs="Times New Roman"/>
              </w:rPr>
            </w:pPr>
          </w:p>
        </w:tc>
        <w:tc>
          <w:tcPr>
            <w:tcW w:w="1276" w:type="dxa"/>
          </w:tcPr>
          <w:p w:rsidR="00714F5D" w:rsidRPr="001D0846" w:rsidRDefault="0075307B" w:rsidP="0075307B">
            <w:pPr>
              <w:ind w:right="54"/>
              <w:jc w:val="center"/>
              <w:rPr>
                <w:rFonts w:ascii="Times New Roman" w:hAnsi="Times New Roman" w:cs="Times New Roman"/>
                <w:b/>
              </w:rPr>
            </w:pPr>
            <w:r>
              <w:rPr>
                <w:rFonts w:ascii="Times New Roman" w:hAnsi="Times New Roman" w:cs="Times New Roman"/>
                <w:b/>
              </w:rPr>
              <w:t>aprobat</w:t>
            </w:r>
          </w:p>
        </w:tc>
        <w:tc>
          <w:tcPr>
            <w:tcW w:w="1052" w:type="dxa"/>
          </w:tcPr>
          <w:p w:rsidR="00714F5D" w:rsidRPr="001D0846" w:rsidRDefault="00714F5D" w:rsidP="008C5C6A">
            <w:pPr>
              <w:ind w:right="54"/>
              <w:jc w:val="center"/>
              <w:rPr>
                <w:rFonts w:ascii="Times New Roman" w:hAnsi="Times New Roman" w:cs="Times New Roman"/>
                <w:b/>
              </w:rPr>
            </w:pPr>
            <w:r w:rsidRPr="001D0846">
              <w:rPr>
                <w:rFonts w:ascii="Times New Roman" w:hAnsi="Times New Roman" w:cs="Times New Roman"/>
                <w:b/>
              </w:rPr>
              <w:t>executat</w:t>
            </w:r>
          </w:p>
        </w:tc>
        <w:tc>
          <w:tcPr>
            <w:tcW w:w="1216" w:type="dxa"/>
          </w:tcPr>
          <w:p w:rsidR="00714F5D" w:rsidRPr="001D0846" w:rsidRDefault="00714F5D" w:rsidP="008C5C6A">
            <w:pPr>
              <w:ind w:right="54"/>
              <w:jc w:val="center"/>
              <w:rPr>
                <w:rFonts w:ascii="Times New Roman" w:hAnsi="Times New Roman" w:cs="Times New Roman"/>
                <w:b/>
              </w:rPr>
            </w:pPr>
            <w:r w:rsidRPr="001D0846">
              <w:rPr>
                <w:rFonts w:ascii="Times New Roman" w:hAnsi="Times New Roman" w:cs="Times New Roman"/>
                <w:b/>
              </w:rPr>
              <w:t>Nivelul de încasare (%)</w:t>
            </w:r>
          </w:p>
        </w:tc>
        <w:tc>
          <w:tcPr>
            <w:tcW w:w="1163" w:type="dxa"/>
          </w:tcPr>
          <w:p w:rsidR="00714F5D" w:rsidRPr="001D0846" w:rsidRDefault="0075307B" w:rsidP="0075307B">
            <w:pPr>
              <w:ind w:right="54"/>
              <w:jc w:val="center"/>
              <w:rPr>
                <w:rFonts w:ascii="Times New Roman" w:hAnsi="Times New Roman" w:cs="Times New Roman"/>
                <w:b/>
              </w:rPr>
            </w:pPr>
            <w:r>
              <w:rPr>
                <w:rFonts w:ascii="Times New Roman" w:hAnsi="Times New Roman" w:cs="Times New Roman"/>
                <w:b/>
              </w:rPr>
              <w:t>aprobat</w:t>
            </w:r>
          </w:p>
        </w:tc>
        <w:tc>
          <w:tcPr>
            <w:tcW w:w="1052" w:type="dxa"/>
          </w:tcPr>
          <w:p w:rsidR="00714F5D" w:rsidRPr="001D0846" w:rsidRDefault="00714F5D" w:rsidP="008C5C6A">
            <w:pPr>
              <w:ind w:right="54"/>
              <w:jc w:val="center"/>
              <w:rPr>
                <w:rFonts w:ascii="Times New Roman" w:hAnsi="Times New Roman" w:cs="Times New Roman"/>
                <w:b/>
              </w:rPr>
            </w:pPr>
            <w:r w:rsidRPr="001D0846">
              <w:rPr>
                <w:rFonts w:ascii="Times New Roman" w:hAnsi="Times New Roman" w:cs="Times New Roman"/>
                <w:b/>
              </w:rPr>
              <w:t>executat</w:t>
            </w:r>
          </w:p>
        </w:tc>
        <w:tc>
          <w:tcPr>
            <w:tcW w:w="1187" w:type="dxa"/>
          </w:tcPr>
          <w:p w:rsidR="00714F5D" w:rsidRPr="001D0846" w:rsidRDefault="00714F5D" w:rsidP="008C5C6A">
            <w:pPr>
              <w:ind w:right="54"/>
              <w:jc w:val="center"/>
              <w:rPr>
                <w:rFonts w:ascii="Times New Roman" w:hAnsi="Times New Roman" w:cs="Times New Roman"/>
                <w:b/>
              </w:rPr>
            </w:pPr>
            <w:r w:rsidRPr="001D0846">
              <w:rPr>
                <w:rFonts w:ascii="Times New Roman" w:hAnsi="Times New Roman" w:cs="Times New Roman"/>
                <w:b/>
              </w:rPr>
              <w:t>Nivelul de încasare (%)</w:t>
            </w:r>
          </w:p>
        </w:tc>
        <w:tc>
          <w:tcPr>
            <w:tcW w:w="1163" w:type="dxa"/>
          </w:tcPr>
          <w:p w:rsidR="00714F5D" w:rsidRPr="001D0846" w:rsidRDefault="0075307B" w:rsidP="0075307B">
            <w:pPr>
              <w:ind w:right="54"/>
              <w:jc w:val="center"/>
              <w:rPr>
                <w:rFonts w:ascii="Times New Roman" w:hAnsi="Times New Roman" w:cs="Times New Roman"/>
                <w:b/>
              </w:rPr>
            </w:pPr>
            <w:r>
              <w:rPr>
                <w:rFonts w:ascii="Times New Roman" w:hAnsi="Times New Roman" w:cs="Times New Roman"/>
                <w:b/>
              </w:rPr>
              <w:t>aprobat</w:t>
            </w:r>
          </w:p>
        </w:tc>
        <w:tc>
          <w:tcPr>
            <w:tcW w:w="1052" w:type="dxa"/>
          </w:tcPr>
          <w:p w:rsidR="00714F5D" w:rsidRPr="001D0846" w:rsidRDefault="00714F5D" w:rsidP="008C5C6A">
            <w:pPr>
              <w:ind w:right="54"/>
              <w:jc w:val="center"/>
              <w:rPr>
                <w:rFonts w:ascii="Times New Roman" w:hAnsi="Times New Roman" w:cs="Times New Roman"/>
                <w:b/>
              </w:rPr>
            </w:pPr>
            <w:r w:rsidRPr="001D0846">
              <w:rPr>
                <w:rFonts w:ascii="Times New Roman" w:hAnsi="Times New Roman" w:cs="Times New Roman"/>
                <w:b/>
              </w:rPr>
              <w:t>executat</w:t>
            </w:r>
          </w:p>
        </w:tc>
        <w:tc>
          <w:tcPr>
            <w:tcW w:w="1045" w:type="dxa"/>
          </w:tcPr>
          <w:p w:rsidR="00714F5D" w:rsidRPr="001D0846" w:rsidRDefault="00714F5D" w:rsidP="008C5C6A">
            <w:pPr>
              <w:ind w:right="54"/>
              <w:jc w:val="center"/>
              <w:rPr>
                <w:rFonts w:ascii="Times New Roman" w:hAnsi="Times New Roman" w:cs="Times New Roman"/>
                <w:b/>
              </w:rPr>
            </w:pPr>
            <w:r w:rsidRPr="001D0846">
              <w:rPr>
                <w:rFonts w:ascii="Times New Roman" w:hAnsi="Times New Roman" w:cs="Times New Roman"/>
                <w:b/>
              </w:rPr>
              <w:t>Nivelul de încasare (%)</w:t>
            </w:r>
          </w:p>
        </w:tc>
      </w:tr>
      <w:tr w:rsidR="0075307B" w:rsidRPr="001D0846" w:rsidTr="008C5C6A">
        <w:tc>
          <w:tcPr>
            <w:tcW w:w="3114" w:type="dxa"/>
          </w:tcPr>
          <w:p w:rsidR="00714F5D" w:rsidRPr="001D0846" w:rsidRDefault="00714F5D" w:rsidP="008C5C6A">
            <w:pPr>
              <w:ind w:right="54"/>
              <w:jc w:val="center"/>
              <w:rPr>
                <w:rFonts w:ascii="Times New Roman" w:hAnsi="Times New Roman" w:cs="Times New Roman"/>
                <w:i/>
                <w:sz w:val="18"/>
                <w:szCs w:val="18"/>
              </w:rPr>
            </w:pPr>
            <w:r w:rsidRPr="001D0846">
              <w:rPr>
                <w:rFonts w:ascii="Times New Roman" w:hAnsi="Times New Roman" w:cs="Times New Roman"/>
                <w:i/>
                <w:sz w:val="18"/>
                <w:szCs w:val="18"/>
              </w:rPr>
              <w:t>1</w:t>
            </w:r>
          </w:p>
        </w:tc>
        <w:tc>
          <w:tcPr>
            <w:tcW w:w="1276" w:type="dxa"/>
          </w:tcPr>
          <w:p w:rsidR="00714F5D" w:rsidRPr="001D0846" w:rsidRDefault="00714F5D" w:rsidP="008C5C6A">
            <w:pPr>
              <w:ind w:right="54"/>
              <w:jc w:val="center"/>
              <w:rPr>
                <w:rFonts w:ascii="Times New Roman" w:hAnsi="Times New Roman" w:cs="Times New Roman"/>
                <w:i/>
                <w:sz w:val="18"/>
                <w:szCs w:val="18"/>
              </w:rPr>
            </w:pPr>
            <w:r w:rsidRPr="001D0846">
              <w:rPr>
                <w:rFonts w:ascii="Times New Roman" w:hAnsi="Times New Roman" w:cs="Times New Roman"/>
                <w:i/>
                <w:sz w:val="18"/>
                <w:szCs w:val="18"/>
              </w:rPr>
              <w:t>2</w:t>
            </w:r>
          </w:p>
        </w:tc>
        <w:tc>
          <w:tcPr>
            <w:tcW w:w="1052" w:type="dxa"/>
          </w:tcPr>
          <w:p w:rsidR="00714F5D" w:rsidRPr="001D0846" w:rsidRDefault="00714F5D" w:rsidP="008C5C6A">
            <w:pPr>
              <w:ind w:right="54"/>
              <w:jc w:val="center"/>
              <w:rPr>
                <w:rFonts w:ascii="Times New Roman" w:hAnsi="Times New Roman" w:cs="Times New Roman"/>
                <w:i/>
                <w:sz w:val="18"/>
                <w:szCs w:val="18"/>
              </w:rPr>
            </w:pPr>
            <w:r w:rsidRPr="001D0846">
              <w:rPr>
                <w:rFonts w:ascii="Times New Roman" w:hAnsi="Times New Roman" w:cs="Times New Roman"/>
                <w:i/>
                <w:sz w:val="18"/>
                <w:szCs w:val="18"/>
              </w:rPr>
              <w:t>3</w:t>
            </w:r>
          </w:p>
        </w:tc>
        <w:tc>
          <w:tcPr>
            <w:tcW w:w="1216" w:type="dxa"/>
          </w:tcPr>
          <w:p w:rsidR="00714F5D" w:rsidRPr="001D0846" w:rsidRDefault="00714F5D" w:rsidP="008C5C6A">
            <w:pPr>
              <w:ind w:right="54"/>
              <w:jc w:val="center"/>
              <w:rPr>
                <w:rFonts w:ascii="Times New Roman" w:hAnsi="Times New Roman" w:cs="Times New Roman"/>
                <w:i/>
                <w:sz w:val="18"/>
                <w:szCs w:val="18"/>
              </w:rPr>
            </w:pPr>
            <w:r w:rsidRPr="001D0846">
              <w:rPr>
                <w:rFonts w:ascii="Times New Roman" w:hAnsi="Times New Roman" w:cs="Times New Roman"/>
                <w:i/>
                <w:sz w:val="18"/>
                <w:szCs w:val="18"/>
              </w:rPr>
              <w:t>4</w:t>
            </w:r>
          </w:p>
        </w:tc>
        <w:tc>
          <w:tcPr>
            <w:tcW w:w="1163" w:type="dxa"/>
          </w:tcPr>
          <w:p w:rsidR="00714F5D" w:rsidRPr="001D0846" w:rsidRDefault="00714F5D" w:rsidP="008C5C6A">
            <w:pPr>
              <w:ind w:right="54"/>
              <w:jc w:val="center"/>
              <w:rPr>
                <w:rFonts w:ascii="Times New Roman" w:hAnsi="Times New Roman" w:cs="Times New Roman"/>
                <w:i/>
                <w:sz w:val="18"/>
                <w:szCs w:val="18"/>
              </w:rPr>
            </w:pPr>
            <w:r w:rsidRPr="001D0846">
              <w:rPr>
                <w:rFonts w:ascii="Times New Roman" w:hAnsi="Times New Roman" w:cs="Times New Roman"/>
                <w:i/>
                <w:sz w:val="18"/>
                <w:szCs w:val="18"/>
              </w:rPr>
              <w:t>5</w:t>
            </w:r>
          </w:p>
        </w:tc>
        <w:tc>
          <w:tcPr>
            <w:tcW w:w="1052" w:type="dxa"/>
          </w:tcPr>
          <w:p w:rsidR="00714F5D" w:rsidRPr="001D0846" w:rsidRDefault="00714F5D" w:rsidP="008C5C6A">
            <w:pPr>
              <w:ind w:right="54"/>
              <w:jc w:val="center"/>
              <w:rPr>
                <w:rFonts w:ascii="Times New Roman" w:hAnsi="Times New Roman" w:cs="Times New Roman"/>
                <w:i/>
                <w:sz w:val="18"/>
                <w:szCs w:val="18"/>
              </w:rPr>
            </w:pPr>
            <w:r w:rsidRPr="001D0846">
              <w:rPr>
                <w:rFonts w:ascii="Times New Roman" w:hAnsi="Times New Roman" w:cs="Times New Roman"/>
                <w:i/>
                <w:sz w:val="18"/>
                <w:szCs w:val="18"/>
              </w:rPr>
              <w:t>6</w:t>
            </w:r>
          </w:p>
        </w:tc>
        <w:tc>
          <w:tcPr>
            <w:tcW w:w="1187" w:type="dxa"/>
          </w:tcPr>
          <w:p w:rsidR="00714F5D" w:rsidRPr="001D0846" w:rsidRDefault="00714F5D" w:rsidP="008C5C6A">
            <w:pPr>
              <w:ind w:right="54"/>
              <w:jc w:val="center"/>
              <w:rPr>
                <w:rFonts w:ascii="Times New Roman" w:hAnsi="Times New Roman" w:cs="Times New Roman"/>
                <w:i/>
                <w:sz w:val="18"/>
                <w:szCs w:val="18"/>
              </w:rPr>
            </w:pPr>
            <w:r w:rsidRPr="001D0846">
              <w:rPr>
                <w:rFonts w:ascii="Times New Roman" w:hAnsi="Times New Roman" w:cs="Times New Roman"/>
                <w:i/>
                <w:sz w:val="18"/>
                <w:szCs w:val="18"/>
              </w:rPr>
              <w:t>7</w:t>
            </w:r>
          </w:p>
        </w:tc>
        <w:tc>
          <w:tcPr>
            <w:tcW w:w="1163" w:type="dxa"/>
          </w:tcPr>
          <w:p w:rsidR="00714F5D" w:rsidRPr="001D0846" w:rsidRDefault="00714F5D" w:rsidP="008C5C6A">
            <w:pPr>
              <w:ind w:right="54"/>
              <w:jc w:val="center"/>
              <w:rPr>
                <w:rFonts w:ascii="Times New Roman" w:hAnsi="Times New Roman" w:cs="Times New Roman"/>
                <w:i/>
                <w:sz w:val="18"/>
                <w:szCs w:val="18"/>
              </w:rPr>
            </w:pPr>
            <w:r w:rsidRPr="001D0846">
              <w:rPr>
                <w:rFonts w:ascii="Times New Roman" w:hAnsi="Times New Roman" w:cs="Times New Roman"/>
                <w:i/>
                <w:sz w:val="18"/>
                <w:szCs w:val="18"/>
              </w:rPr>
              <w:t>8</w:t>
            </w:r>
          </w:p>
        </w:tc>
        <w:tc>
          <w:tcPr>
            <w:tcW w:w="1052" w:type="dxa"/>
          </w:tcPr>
          <w:p w:rsidR="00714F5D" w:rsidRPr="001D0846" w:rsidRDefault="00714F5D" w:rsidP="008C5C6A">
            <w:pPr>
              <w:ind w:right="54"/>
              <w:jc w:val="center"/>
              <w:rPr>
                <w:rFonts w:ascii="Times New Roman" w:hAnsi="Times New Roman" w:cs="Times New Roman"/>
                <w:i/>
                <w:sz w:val="18"/>
                <w:szCs w:val="18"/>
              </w:rPr>
            </w:pPr>
            <w:r w:rsidRPr="001D0846">
              <w:rPr>
                <w:rFonts w:ascii="Times New Roman" w:hAnsi="Times New Roman" w:cs="Times New Roman"/>
                <w:i/>
                <w:sz w:val="18"/>
                <w:szCs w:val="18"/>
              </w:rPr>
              <w:t>9</w:t>
            </w:r>
          </w:p>
        </w:tc>
        <w:tc>
          <w:tcPr>
            <w:tcW w:w="1045" w:type="dxa"/>
          </w:tcPr>
          <w:p w:rsidR="00714F5D" w:rsidRPr="001D0846" w:rsidRDefault="00714F5D" w:rsidP="008C5C6A">
            <w:pPr>
              <w:ind w:right="54"/>
              <w:jc w:val="center"/>
              <w:rPr>
                <w:rFonts w:ascii="Times New Roman" w:hAnsi="Times New Roman" w:cs="Times New Roman"/>
                <w:i/>
                <w:sz w:val="18"/>
                <w:szCs w:val="18"/>
              </w:rPr>
            </w:pPr>
            <w:r w:rsidRPr="001D0846">
              <w:rPr>
                <w:rFonts w:ascii="Times New Roman" w:hAnsi="Times New Roman" w:cs="Times New Roman"/>
                <w:i/>
                <w:sz w:val="18"/>
                <w:szCs w:val="18"/>
              </w:rPr>
              <w:t>10</w:t>
            </w:r>
          </w:p>
        </w:tc>
      </w:tr>
      <w:tr w:rsidR="0075307B" w:rsidRPr="001D0846" w:rsidTr="008C5C6A">
        <w:tc>
          <w:tcPr>
            <w:tcW w:w="3114" w:type="dxa"/>
          </w:tcPr>
          <w:p w:rsidR="00714F5D" w:rsidRPr="001D0846" w:rsidRDefault="00714F5D" w:rsidP="008C5C6A">
            <w:pPr>
              <w:ind w:right="35"/>
              <w:jc w:val="both"/>
              <w:rPr>
                <w:rFonts w:ascii="Times New Roman" w:hAnsi="Times New Roman" w:cs="Times New Roman"/>
              </w:rPr>
            </w:pPr>
            <w:r w:rsidRPr="001D0846">
              <w:rPr>
                <w:rFonts w:ascii="Times New Roman" w:hAnsi="Times New Roman" w:cs="Times New Roman"/>
              </w:rPr>
              <w:t>TVA</w:t>
            </w:r>
          </w:p>
        </w:tc>
        <w:tc>
          <w:tcPr>
            <w:tcW w:w="1276" w:type="dxa"/>
          </w:tcPr>
          <w:p w:rsidR="00714F5D" w:rsidRPr="001D0846" w:rsidRDefault="00714F5D" w:rsidP="008C5C6A">
            <w:pPr>
              <w:ind w:right="35"/>
              <w:jc w:val="center"/>
              <w:rPr>
                <w:rFonts w:ascii="Times New Roman" w:hAnsi="Times New Roman" w:cs="Times New Roman"/>
              </w:rPr>
            </w:pPr>
            <w:r w:rsidRPr="001D0846">
              <w:rPr>
                <w:rFonts w:ascii="Times New Roman" w:hAnsi="Times New Roman" w:cs="Times New Roman"/>
              </w:rPr>
              <w:t>11339,5</w:t>
            </w:r>
          </w:p>
        </w:tc>
        <w:tc>
          <w:tcPr>
            <w:tcW w:w="1052" w:type="dxa"/>
          </w:tcPr>
          <w:p w:rsidR="00714F5D" w:rsidRPr="001D0846" w:rsidRDefault="00714F5D" w:rsidP="008C5C6A">
            <w:pPr>
              <w:ind w:right="35"/>
              <w:jc w:val="center"/>
              <w:rPr>
                <w:rFonts w:ascii="Times New Roman" w:hAnsi="Times New Roman" w:cs="Times New Roman"/>
              </w:rPr>
            </w:pPr>
            <w:r w:rsidRPr="001D0846">
              <w:rPr>
                <w:rFonts w:ascii="Times New Roman" w:hAnsi="Times New Roman" w:cs="Times New Roman"/>
              </w:rPr>
              <w:t>10952,4</w:t>
            </w:r>
          </w:p>
        </w:tc>
        <w:tc>
          <w:tcPr>
            <w:tcW w:w="1216" w:type="dxa"/>
          </w:tcPr>
          <w:p w:rsidR="00714F5D" w:rsidRPr="001D0846" w:rsidRDefault="00714F5D" w:rsidP="008C5C6A">
            <w:pPr>
              <w:ind w:right="35"/>
              <w:jc w:val="center"/>
              <w:rPr>
                <w:rFonts w:ascii="Times New Roman" w:hAnsi="Times New Roman" w:cs="Times New Roman"/>
                <w:i/>
              </w:rPr>
            </w:pPr>
            <w:r w:rsidRPr="001D0846">
              <w:rPr>
                <w:rFonts w:ascii="Times New Roman" w:hAnsi="Times New Roman" w:cs="Times New Roman"/>
                <w:i/>
              </w:rPr>
              <w:t>96,6</w:t>
            </w:r>
          </w:p>
        </w:tc>
        <w:tc>
          <w:tcPr>
            <w:tcW w:w="1163" w:type="dxa"/>
          </w:tcPr>
          <w:p w:rsidR="00714F5D" w:rsidRPr="001D0846" w:rsidRDefault="00714F5D" w:rsidP="008C5C6A">
            <w:pPr>
              <w:ind w:right="35"/>
              <w:jc w:val="center"/>
              <w:rPr>
                <w:rFonts w:ascii="Times New Roman" w:hAnsi="Times New Roman" w:cs="Times New Roman"/>
              </w:rPr>
            </w:pPr>
            <w:r w:rsidRPr="001D0846">
              <w:rPr>
                <w:rFonts w:ascii="Times New Roman" w:hAnsi="Times New Roman" w:cs="Times New Roman"/>
              </w:rPr>
              <w:t>11697,1</w:t>
            </w:r>
          </w:p>
        </w:tc>
        <w:tc>
          <w:tcPr>
            <w:tcW w:w="1052" w:type="dxa"/>
          </w:tcPr>
          <w:p w:rsidR="00714F5D" w:rsidRPr="001D0846" w:rsidRDefault="00714F5D" w:rsidP="008C5C6A">
            <w:pPr>
              <w:ind w:right="35"/>
              <w:jc w:val="center"/>
              <w:rPr>
                <w:rFonts w:ascii="Times New Roman" w:hAnsi="Times New Roman" w:cs="Times New Roman"/>
              </w:rPr>
            </w:pPr>
            <w:r w:rsidRPr="001D0846">
              <w:rPr>
                <w:rFonts w:ascii="Times New Roman" w:hAnsi="Times New Roman" w:cs="Times New Roman"/>
              </w:rPr>
              <w:t>11761,0</w:t>
            </w:r>
          </w:p>
        </w:tc>
        <w:tc>
          <w:tcPr>
            <w:tcW w:w="1187" w:type="dxa"/>
          </w:tcPr>
          <w:p w:rsidR="00714F5D" w:rsidRPr="001D0846" w:rsidRDefault="00714F5D" w:rsidP="008C5C6A">
            <w:pPr>
              <w:ind w:right="35"/>
              <w:jc w:val="center"/>
              <w:rPr>
                <w:rFonts w:ascii="Times New Roman" w:hAnsi="Times New Roman" w:cs="Times New Roman"/>
                <w:i/>
              </w:rPr>
            </w:pPr>
            <w:r w:rsidRPr="001D0846">
              <w:rPr>
                <w:rFonts w:ascii="Times New Roman" w:hAnsi="Times New Roman" w:cs="Times New Roman"/>
                <w:i/>
              </w:rPr>
              <w:t>100,5</w:t>
            </w:r>
          </w:p>
        </w:tc>
        <w:tc>
          <w:tcPr>
            <w:tcW w:w="1163" w:type="dxa"/>
          </w:tcPr>
          <w:p w:rsidR="00714F5D" w:rsidRPr="001D0846" w:rsidRDefault="00714F5D" w:rsidP="008C5C6A">
            <w:pPr>
              <w:ind w:right="35"/>
              <w:jc w:val="center"/>
              <w:rPr>
                <w:rFonts w:ascii="Times New Roman" w:hAnsi="Times New Roman" w:cs="Times New Roman"/>
              </w:rPr>
            </w:pPr>
            <w:r w:rsidRPr="001D0846">
              <w:rPr>
                <w:rFonts w:ascii="Times New Roman" w:hAnsi="Times New Roman" w:cs="Times New Roman"/>
              </w:rPr>
              <w:t>13270,9</w:t>
            </w:r>
          </w:p>
        </w:tc>
        <w:tc>
          <w:tcPr>
            <w:tcW w:w="1052" w:type="dxa"/>
          </w:tcPr>
          <w:p w:rsidR="00714F5D" w:rsidRPr="001D0846" w:rsidRDefault="00714F5D" w:rsidP="008C5C6A">
            <w:pPr>
              <w:ind w:right="35"/>
              <w:jc w:val="center"/>
              <w:rPr>
                <w:rFonts w:ascii="Times New Roman" w:hAnsi="Times New Roman" w:cs="Times New Roman"/>
              </w:rPr>
            </w:pPr>
            <w:r w:rsidRPr="001D0846">
              <w:rPr>
                <w:rFonts w:ascii="Times New Roman" w:hAnsi="Times New Roman" w:cs="Times New Roman"/>
              </w:rPr>
              <w:t>13226,2</w:t>
            </w:r>
          </w:p>
        </w:tc>
        <w:tc>
          <w:tcPr>
            <w:tcW w:w="1045" w:type="dxa"/>
          </w:tcPr>
          <w:p w:rsidR="00714F5D" w:rsidRPr="001D0846" w:rsidRDefault="00714F5D" w:rsidP="008C5C6A">
            <w:pPr>
              <w:ind w:right="35"/>
              <w:jc w:val="center"/>
              <w:rPr>
                <w:rFonts w:ascii="Times New Roman" w:hAnsi="Times New Roman" w:cs="Times New Roman"/>
                <w:i/>
              </w:rPr>
            </w:pPr>
            <w:r w:rsidRPr="001D0846">
              <w:rPr>
                <w:rFonts w:ascii="Times New Roman" w:hAnsi="Times New Roman" w:cs="Times New Roman"/>
                <w:i/>
              </w:rPr>
              <w:t>99,7</w:t>
            </w:r>
          </w:p>
        </w:tc>
      </w:tr>
      <w:tr w:rsidR="0075307B" w:rsidRPr="001D0846" w:rsidTr="008C5C6A">
        <w:tc>
          <w:tcPr>
            <w:tcW w:w="3114" w:type="dxa"/>
          </w:tcPr>
          <w:p w:rsidR="00714F5D" w:rsidRPr="001D0846" w:rsidRDefault="00714F5D" w:rsidP="008C5C6A">
            <w:pPr>
              <w:ind w:right="35"/>
              <w:jc w:val="both"/>
              <w:rPr>
                <w:rFonts w:ascii="Times New Roman" w:hAnsi="Times New Roman" w:cs="Times New Roman"/>
              </w:rPr>
            </w:pPr>
            <w:r w:rsidRPr="001D0846">
              <w:rPr>
                <w:rFonts w:ascii="Times New Roman" w:hAnsi="Times New Roman" w:cs="Times New Roman"/>
              </w:rPr>
              <w:t>Accize</w:t>
            </w:r>
          </w:p>
        </w:tc>
        <w:tc>
          <w:tcPr>
            <w:tcW w:w="1276" w:type="dxa"/>
          </w:tcPr>
          <w:p w:rsidR="00714F5D" w:rsidRPr="001D0846" w:rsidRDefault="00714F5D" w:rsidP="008C5C6A">
            <w:pPr>
              <w:ind w:right="35"/>
              <w:jc w:val="center"/>
              <w:rPr>
                <w:rFonts w:ascii="Times New Roman" w:hAnsi="Times New Roman" w:cs="Times New Roman"/>
              </w:rPr>
            </w:pPr>
            <w:r w:rsidRPr="001D0846">
              <w:rPr>
                <w:rFonts w:ascii="Times New Roman" w:hAnsi="Times New Roman" w:cs="Times New Roman"/>
              </w:rPr>
              <w:t>3385,1</w:t>
            </w:r>
          </w:p>
        </w:tc>
        <w:tc>
          <w:tcPr>
            <w:tcW w:w="1052" w:type="dxa"/>
          </w:tcPr>
          <w:p w:rsidR="00714F5D" w:rsidRPr="001D0846" w:rsidRDefault="00714F5D" w:rsidP="008C5C6A">
            <w:pPr>
              <w:ind w:right="35"/>
              <w:jc w:val="center"/>
              <w:rPr>
                <w:rFonts w:ascii="Times New Roman" w:hAnsi="Times New Roman" w:cs="Times New Roman"/>
              </w:rPr>
            </w:pPr>
            <w:r w:rsidRPr="001D0846">
              <w:rPr>
                <w:rFonts w:ascii="Times New Roman" w:hAnsi="Times New Roman" w:cs="Times New Roman"/>
              </w:rPr>
              <w:t>3483,8</w:t>
            </w:r>
          </w:p>
        </w:tc>
        <w:tc>
          <w:tcPr>
            <w:tcW w:w="1216" w:type="dxa"/>
          </w:tcPr>
          <w:p w:rsidR="00714F5D" w:rsidRPr="001D0846" w:rsidRDefault="00714F5D" w:rsidP="008C5C6A">
            <w:pPr>
              <w:ind w:right="35"/>
              <w:jc w:val="center"/>
              <w:rPr>
                <w:rFonts w:ascii="Times New Roman" w:hAnsi="Times New Roman" w:cs="Times New Roman"/>
                <w:i/>
              </w:rPr>
            </w:pPr>
            <w:r w:rsidRPr="001D0846">
              <w:rPr>
                <w:rFonts w:ascii="Times New Roman" w:hAnsi="Times New Roman" w:cs="Times New Roman"/>
                <w:i/>
              </w:rPr>
              <w:t>102,9</w:t>
            </w:r>
          </w:p>
        </w:tc>
        <w:tc>
          <w:tcPr>
            <w:tcW w:w="1163" w:type="dxa"/>
          </w:tcPr>
          <w:p w:rsidR="00714F5D" w:rsidRPr="001D0846" w:rsidRDefault="00714F5D" w:rsidP="008C5C6A">
            <w:pPr>
              <w:ind w:right="35"/>
              <w:jc w:val="center"/>
              <w:rPr>
                <w:rFonts w:ascii="Times New Roman" w:hAnsi="Times New Roman" w:cs="Times New Roman"/>
              </w:rPr>
            </w:pPr>
            <w:r w:rsidRPr="001D0846">
              <w:rPr>
                <w:rFonts w:ascii="Times New Roman" w:hAnsi="Times New Roman" w:cs="Times New Roman"/>
              </w:rPr>
              <w:t>3924,0</w:t>
            </w:r>
          </w:p>
        </w:tc>
        <w:tc>
          <w:tcPr>
            <w:tcW w:w="1052" w:type="dxa"/>
          </w:tcPr>
          <w:p w:rsidR="00714F5D" w:rsidRPr="001D0846" w:rsidRDefault="00714F5D" w:rsidP="008C5C6A">
            <w:pPr>
              <w:ind w:right="35"/>
              <w:jc w:val="center"/>
              <w:rPr>
                <w:rFonts w:ascii="Times New Roman" w:hAnsi="Times New Roman" w:cs="Times New Roman"/>
              </w:rPr>
            </w:pPr>
            <w:r w:rsidRPr="001D0846">
              <w:rPr>
                <w:rFonts w:ascii="Times New Roman" w:hAnsi="Times New Roman" w:cs="Times New Roman"/>
              </w:rPr>
              <w:t>4181,6</w:t>
            </w:r>
          </w:p>
        </w:tc>
        <w:tc>
          <w:tcPr>
            <w:tcW w:w="1187" w:type="dxa"/>
          </w:tcPr>
          <w:p w:rsidR="00714F5D" w:rsidRPr="001D0846" w:rsidRDefault="00714F5D" w:rsidP="008C5C6A">
            <w:pPr>
              <w:ind w:right="35"/>
              <w:jc w:val="center"/>
              <w:rPr>
                <w:rFonts w:ascii="Times New Roman" w:hAnsi="Times New Roman" w:cs="Times New Roman"/>
                <w:i/>
              </w:rPr>
            </w:pPr>
            <w:r w:rsidRPr="001D0846">
              <w:rPr>
                <w:rFonts w:ascii="Times New Roman" w:hAnsi="Times New Roman" w:cs="Times New Roman"/>
                <w:i/>
              </w:rPr>
              <w:t>106,6</w:t>
            </w:r>
          </w:p>
        </w:tc>
        <w:tc>
          <w:tcPr>
            <w:tcW w:w="1163" w:type="dxa"/>
          </w:tcPr>
          <w:p w:rsidR="00714F5D" w:rsidRPr="001D0846" w:rsidRDefault="00714F5D" w:rsidP="008C5C6A">
            <w:pPr>
              <w:ind w:right="35"/>
              <w:jc w:val="center"/>
              <w:rPr>
                <w:rFonts w:ascii="Times New Roman" w:hAnsi="Times New Roman" w:cs="Times New Roman"/>
              </w:rPr>
            </w:pPr>
            <w:r w:rsidRPr="001D0846">
              <w:rPr>
                <w:rFonts w:ascii="Times New Roman" w:hAnsi="Times New Roman" w:cs="Times New Roman"/>
              </w:rPr>
              <w:t>5324,7</w:t>
            </w:r>
          </w:p>
        </w:tc>
        <w:tc>
          <w:tcPr>
            <w:tcW w:w="1052" w:type="dxa"/>
          </w:tcPr>
          <w:p w:rsidR="00714F5D" w:rsidRPr="001D0846" w:rsidRDefault="00714F5D" w:rsidP="008C5C6A">
            <w:pPr>
              <w:ind w:right="35"/>
              <w:jc w:val="center"/>
              <w:rPr>
                <w:rFonts w:ascii="Times New Roman" w:hAnsi="Times New Roman" w:cs="Times New Roman"/>
              </w:rPr>
            </w:pPr>
            <w:r w:rsidRPr="001D0846">
              <w:rPr>
                <w:rFonts w:ascii="Times New Roman" w:hAnsi="Times New Roman" w:cs="Times New Roman"/>
              </w:rPr>
              <w:t>5585,7</w:t>
            </w:r>
          </w:p>
        </w:tc>
        <w:tc>
          <w:tcPr>
            <w:tcW w:w="1045" w:type="dxa"/>
          </w:tcPr>
          <w:p w:rsidR="00714F5D" w:rsidRPr="001D0846" w:rsidRDefault="00714F5D" w:rsidP="008C5C6A">
            <w:pPr>
              <w:ind w:right="35"/>
              <w:jc w:val="center"/>
              <w:rPr>
                <w:rFonts w:ascii="Times New Roman" w:hAnsi="Times New Roman" w:cs="Times New Roman"/>
                <w:i/>
              </w:rPr>
            </w:pPr>
            <w:r w:rsidRPr="001D0846">
              <w:rPr>
                <w:rFonts w:ascii="Times New Roman" w:hAnsi="Times New Roman" w:cs="Times New Roman"/>
                <w:i/>
              </w:rPr>
              <w:t>104,9</w:t>
            </w:r>
          </w:p>
        </w:tc>
      </w:tr>
      <w:tr w:rsidR="0075307B" w:rsidRPr="001D0846" w:rsidTr="008C5C6A">
        <w:tc>
          <w:tcPr>
            <w:tcW w:w="3114" w:type="dxa"/>
          </w:tcPr>
          <w:p w:rsidR="00714F5D" w:rsidRPr="001D0846" w:rsidRDefault="00714F5D" w:rsidP="008C5C6A">
            <w:pPr>
              <w:ind w:right="35"/>
              <w:jc w:val="both"/>
              <w:rPr>
                <w:rFonts w:ascii="Times New Roman" w:hAnsi="Times New Roman" w:cs="Times New Roman"/>
              </w:rPr>
            </w:pPr>
            <w:r w:rsidRPr="001D0846">
              <w:rPr>
                <w:rFonts w:ascii="Times New Roman" w:hAnsi="Times New Roman" w:cs="Times New Roman"/>
              </w:rPr>
              <w:t>Taxe și impozite</w:t>
            </w:r>
          </w:p>
        </w:tc>
        <w:tc>
          <w:tcPr>
            <w:tcW w:w="1276" w:type="dxa"/>
          </w:tcPr>
          <w:p w:rsidR="00714F5D" w:rsidRPr="001D0846" w:rsidRDefault="00714F5D" w:rsidP="008C5C6A">
            <w:pPr>
              <w:ind w:right="35"/>
              <w:jc w:val="center"/>
              <w:rPr>
                <w:rFonts w:ascii="Times New Roman" w:hAnsi="Times New Roman" w:cs="Times New Roman"/>
              </w:rPr>
            </w:pPr>
            <w:r w:rsidRPr="001D0846">
              <w:rPr>
                <w:rFonts w:ascii="Times New Roman" w:hAnsi="Times New Roman" w:cs="Times New Roman"/>
              </w:rPr>
              <w:t>1213,0</w:t>
            </w:r>
          </w:p>
        </w:tc>
        <w:tc>
          <w:tcPr>
            <w:tcW w:w="1052" w:type="dxa"/>
          </w:tcPr>
          <w:p w:rsidR="00714F5D" w:rsidRPr="001D0846" w:rsidRDefault="00714F5D" w:rsidP="008C5C6A">
            <w:pPr>
              <w:ind w:right="35"/>
              <w:jc w:val="center"/>
              <w:rPr>
                <w:rFonts w:ascii="Times New Roman" w:hAnsi="Times New Roman" w:cs="Times New Roman"/>
              </w:rPr>
            </w:pPr>
            <w:r w:rsidRPr="001D0846">
              <w:rPr>
                <w:rFonts w:ascii="Times New Roman" w:hAnsi="Times New Roman" w:cs="Times New Roman"/>
              </w:rPr>
              <w:t>1285,3</w:t>
            </w:r>
          </w:p>
        </w:tc>
        <w:tc>
          <w:tcPr>
            <w:tcW w:w="1216" w:type="dxa"/>
          </w:tcPr>
          <w:p w:rsidR="00714F5D" w:rsidRPr="001D0846" w:rsidRDefault="00714F5D" w:rsidP="008C5C6A">
            <w:pPr>
              <w:ind w:right="35"/>
              <w:jc w:val="center"/>
              <w:rPr>
                <w:rFonts w:ascii="Times New Roman" w:hAnsi="Times New Roman" w:cs="Times New Roman"/>
                <w:i/>
              </w:rPr>
            </w:pPr>
            <w:r w:rsidRPr="001D0846">
              <w:rPr>
                <w:rFonts w:ascii="Times New Roman" w:hAnsi="Times New Roman" w:cs="Times New Roman"/>
                <w:i/>
              </w:rPr>
              <w:t>106,0</w:t>
            </w:r>
          </w:p>
        </w:tc>
        <w:tc>
          <w:tcPr>
            <w:tcW w:w="1163" w:type="dxa"/>
          </w:tcPr>
          <w:p w:rsidR="00714F5D" w:rsidRPr="001D0846" w:rsidRDefault="00714F5D" w:rsidP="008C5C6A">
            <w:pPr>
              <w:ind w:right="35"/>
              <w:jc w:val="center"/>
              <w:rPr>
                <w:rFonts w:ascii="Times New Roman" w:hAnsi="Times New Roman" w:cs="Times New Roman"/>
              </w:rPr>
            </w:pPr>
            <w:r w:rsidRPr="001D0846">
              <w:rPr>
                <w:rFonts w:ascii="Times New Roman" w:hAnsi="Times New Roman" w:cs="Times New Roman"/>
              </w:rPr>
              <w:t>1383,0</w:t>
            </w:r>
          </w:p>
        </w:tc>
        <w:tc>
          <w:tcPr>
            <w:tcW w:w="1052" w:type="dxa"/>
          </w:tcPr>
          <w:p w:rsidR="00714F5D" w:rsidRPr="001D0846" w:rsidRDefault="00714F5D" w:rsidP="008C5C6A">
            <w:pPr>
              <w:ind w:right="35"/>
              <w:jc w:val="center"/>
              <w:rPr>
                <w:rFonts w:ascii="Times New Roman" w:hAnsi="Times New Roman" w:cs="Times New Roman"/>
              </w:rPr>
            </w:pPr>
            <w:r w:rsidRPr="001D0846">
              <w:rPr>
                <w:rFonts w:ascii="Times New Roman" w:hAnsi="Times New Roman" w:cs="Times New Roman"/>
              </w:rPr>
              <w:t>1400,2</w:t>
            </w:r>
          </w:p>
        </w:tc>
        <w:tc>
          <w:tcPr>
            <w:tcW w:w="1187" w:type="dxa"/>
          </w:tcPr>
          <w:p w:rsidR="00714F5D" w:rsidRPr="001D0846" w:rsidRDefault="00714F5D" w:rsidP="008C5C6A">
            <w:pPr>
              <w:ind w:right="35"/>
              <w:jc w:val="center"/>
              <w:rPr>
                <w:rFonts w:ascii="Times New Roman" w:hAnsi="Times New Roman" w:cs="Times New Roman"/>
                <w:i/>
              </w:rPr>
            </w:pPr>
            <w:r w:rsidRPr="001D0846">
              <w:rPr>
                <w:rFonts w:ascii="Times New Roman" w:hAnsi="Times New Roman" w:cs="Times New Roman"/>
                <w:i/>
              </w:rPr>
              <w:t>101,2</w:t>
            </w:r>
          </w:p>
        </w:tc>
        <w:tc>
          <w:tcPr>
            <w:tcW w:w="1163" w:type="dxa"/>
          </w:tcPr>
          <w:p w:rsidR="00714F5D" w:rsidRPr="001D0846" w:rsidRDefault="00714F5D" w:rsidP="008C5C6A">
            <w:pPr>
              <w:ind w:right="35"/>
              <w:jc w:val="center"/>
              <w:rPr>
                <w:rFonts w:ascii="Times New Roman" w:hAnsi="Times New Roman" w:cs="Times New Roman"/>
              </w:rPr>
            </w:pPr>
            <w:r w:rsidRPr="001D0846">
              <w:rPr>
                <w:rFonts w:ascii="Times New Roman" w:hAnsi="Times New Roman" w:cs="Times New Roman"/>
              </w:rPr>
              <w:t>1427,8</w:t>
            </w:r>
          </w:p>
        </w:tc>
        <w:tc>
          <w:tcPr>
            <w:tcW w:w="1052" w:type="dxa"/>
          </w:tcPr>
          <w:p w:rsidR="00714F5D" w:rsidRPr="001D0846" w:rsidRDefault="00714F5D" w:rsidP="008C5C6A">
            <w:pPr>
              <w:ind w:right="35"/>
              <w:jc w:val="center"/>
              <w:rPr>
                <w:rFonts w:ascii="Times New Roman" w:hAnsi="Times New Roman" w:cs="Times New Roman"/>
              </w:rPr>
            </w:pPr>
            <w:r w:rsidRPr="001D0846">
              <w:rPr>
                <w:rFonts w:ascii="Times New Roman" w:hAnsi="Times New Roman" w:cs="Times New Roman"/>
              </w:rPr>
              <w:t>1536,0</w:t>
            </w:r>
          </w:p>
        </w:tc>
        <w:tc>
          <w:tcPr>
            <w:tcW w:w="1045" w:type="dxa"/>
          </w:tcPr>
          <w:p w:rsidR="00714F5D" w:rsidRPr="001D0846" w:rsidRDefault="00714F5D" w:rsidP="008C5C6A">
            <w:pPr>
              <w:ind w:right="35"/>
              <w:jc w:val="center"/>
              <w:rPr>
                <w:rFonts w:ascii="Times New Roman" w:hAnsi="Times New Roman" w:cs="Times New Roman"/>
                <w:i/>
              </w:rPr>
            </w:pPr>
            <w:r w:rsidRPr="001D0846">
              <w:rPr>
                <w:rFonts w:ascii="Times New Roman" w:hAnsi="Times New Roman" w:cs="Times New Roman"/>
                <w:i/>
              </w:rPr>
              <w:t>107,6</w:t>
            </w:r>
          </w:p>
        </w:tc>
      </w:tr>
      <w:tr w:rsidR="0075307B" w:rsidRPr="001D0846" w:rsidTr="008C5C6A">
        <w:tc>
          <w:tcPr>
            <w:tcW w:w="3114" w:type="dxa"/>
            <w:shd w:val="clear" w:color="auto" w:fill="D9D9D9" w:themeFill="background1" w:themeFillShade="D9"/>
          </w:tcPr>
          <w:p w:rsidR="00714F5D" w:rsidRPr="001D0846" w:rsidRDefault="00714F5D" w:rsidP="008C5C6A">
            <w:pPr>
              <w:ind w:right="35"/>
              <w:jc w:val="both"/>
              <w:rPr>
                <w:rFonts w:ascii="Times New Roman" w:hAnsi="Times New Roman" w:cs="Times New Roman"/>
              </w:rPr>
            </w:pPr>
            <w:r w:rsidRPr="001D0846">
              <w:rPr>
                <w:rFonts w:ascii="Times New Roman" w:hAnsi="Times New Roman" w:cs="Times New Roman"/>
              </w:rPr>
              <w:t>Total</w:t>
            </w:r>
            <w:r>
              <w:rPr>
                <w:rFonts w:ascii="Times New Roman" w:hAnsi="Times New Roman" w:cs="Times New Roman"/>
              </w:rPr>
              <w:t>,</w:t>
            </w:r>
            <w:r w:rsidRPr="001D0846">
              <w:rPr>
                <w:rFonts w:ascii="Times New Roman" w:hAnsi="Times New Roman" w:cs="Times New Roman"/>
              </w:rPr>
              <w:t xml:space="preserve"> drepturi de import-export</w:t>
            </w:r>
          </w:p>
        </w:tc>
        <w:tc>
          <w:tcPr>
            <w:tcW w:w="1276" w:type="dxa"/>
            <w:shd w:val="clear" w:color="auto" w:fill="D9D9D9" w:themeFill="background1" w:themeFillShade="D9"/>
          </w:tcPr>
          <w:p w:rsidR="00714F5D" w:rsidRPr="001D0846" w:rsidRDefault="00714F5D" w:rsidP="008C5C6A">
            <w:pPr>
              <w:ind w:right="35"/>
              <w:jc w:val="center"/>
              <w:rPr>
                <w:rFonts w:ascii="Times New Roman" w:hAnsi="Times New Roman" w:cs="Times New Roman"/>
                <w:b/>
              </w:rPr>
            </w:pPr>
            <w:r w:rsidRPr="001D0846">
              <w:rPr>
                <w:rFonts w:ascii="Times New Roman" w:hAnsi="Times New Roman" w:cs="Times New Roman"/>
                <w:b/>
              </w:rPr>
              <w:t>15937,6</w:t>
            </w:r>
          </w:p>
        </w:tc>
        <w:tc>
          <w:tcPr>
            <w:tcW w:w="1052" w:type="dxa"/>
            <w:shd w:val="clear" w:color="auto" w:fill="D9D9D9" w:themeFill="background1" w:themeFillShade="D9"/>
          </w:tcPr>
          <w:p w:rsidR="00714F5D" w:rsidRPr="001D0846" w:rsidRDefault="00714F5D" w:rsidP="008C5C6A">
            <w:pPr>
              <w:ind w:right="35"/>
              <w:jc w:val="center"/>
              <w:rPr>
                <w:rFonts w:ascii="Times New Roman" w:hAnsi="Times New Roman" w:cs="Times New Roman"/>
                <w:b/>
              </w:rPr>
            </w:pPr>
            <w:r w:rsidRPr="001D0846">
              <w:rPr>
                <w:rFonts w:ascii="Times New Roman" w:hAnsi="Times New Roman" w:cs="Times New Roman"/>
                <w:b/>
              </w:rPr>
              <w:t>15721,5</w:t>
            </w:r>
          </w:p>
        </w:tc>
        <w:tc>
          <w:tcPr>
            <w:tcW w:w="1216" w:type="dxa"/>
            <w:shd w:val="clear" w:color="auto" w:fill="D9D9D9" w:themeFill="background1" w:themeFillShade="D9"/>
          </w:tcPr>
          <w:p w:rsidR="00714F5D" w:rsidRPr="001D0846" w:rsidRDefault="00714F5D" w:rsidP="008C5C6A">
            <w:pPr>
              <w:ind w:right="35"/>
              <w:jc w:val="center"/>
              <w:rPr>
                <w:rFonts w:ascii="Times New Roman" w:hAnsi="Times New Roman" w:cs="Times New Roman"/>
                <w:i/>
              </w:rPr>
            </w:pPr>
            <w:r w:rsidRPr="001D0846">
              <w:rPr>
                <w:rFonts w:ascii="Times New Roman" w:hAnsi="Times New Roman" w:cs="Times New Roman"/>
                <w:i/>
              </w:rPr>
              <w:t>98,6</w:t>
            </w:r>
          </w:p>
        </w:tc>
        <w:tc>
          <w:tcPr>
            <w:tcW w:w="1163" w:type="dxa"/>
            <w:shd w:val="clear" w:color="auto" w:fill="D9D9D9" w:themeFill="background1" w:themeFillShade="D9"/>
          </w:tcPr>
          <w:p w:rsidR="00714F5D" w:rsidRPr="001D0846" w:rsidRDefault="00714F5D" w:rsidP="008C5C6A">
            <w:pPr>
              <w:ind w:right="35"/>
              <w:jc w:val="center"/>
              <w:rPr>
                <w:rFonts w:ascii="Times New Roman" w:hAnsi="Times New Roman" w:cs="Times New Roman"/>
                <w:b/>
              </w:rPr>
            </w:pPr>
            <w:r w:rsidRPr="001D0846">
              <w:rPr>
                <w:rFonts w:ascii="Times New Roman" w:hAnsi="Times New Roman" w:cs="Times New Roman"/>
                <w:b/>
              </w:rPr>
              <w:t>17004,1</w:t>
            </w:r>
          </w:p>
        </w:tc>
        <w:tc>
          <w:tcPr>
            <w:tcW w:w="1052" w:type="dxa"/>
            <w:shd w:val="clear" w:color="auto" w:fill="D9D9D9" w:themeFill="background1" w:themeFillShade="D9"/>
          </w:tcPr>
          <w:p w:rsidR="00714F5D" w:rsidRPr="001D0846" w:rsidRDefault="00714F5D" w:rsidP="008C5C6A">
            <w:pPr>
              <w:ind w:right="35"/>
              <w:jc w:val="center"/>
              <w:rPr>
                <w:rFonts w:ascii="Times New Roman" w:hAnsi="Times New Roman" w:cs="Times New Roman"/>
                <w:b/>
              </w:rPr>
            </w:pPr>
            <w:r w:rsidRPr="001D0846">
              <w:rPr>
                <w:rFonts w:ascii="Times New Roman" w:hAnsi="Times New Roman" w:cs="Times New Roman"/>
                <w:b/>
              </w:rPr>
              <w:t>17342,8</w:t>
            </w:r>
          </w:p>
        </w:tc>
        <w:tc>
          <w:tcPr>
            <w:tcW w:w="1187" w:type="dxa"/>
            <w:shd w:val="clear" w:color="auto" w:fill="D9D9D9" w:themeFill="background1" w:themeFillShade="D9"/>
          </w:tcPr>
          <w:p w:rsidR="00714F5D" w:rsidRPr="001D0846" w:rsidRDefault="00714F5D" w:rsidP="008C5C6A">
            <w:pPr>
              <w:ind w:right="35"/>
              <w:jc w:val="center"/>
              <w:rPr>
                <w:rFonts w:ascii="Times New Roman" w:hAnsi="Times New Roman" w:cs="Times New Roman"/>
                <w:i/>
              </w:rPr>
            </w:pPr>
            <w:r w:rsidRPr="001D0846">
              <w:rPr>
                <w:rFonts w:ascii="Times New Roman" w:hAnsi="Times New Roman" w:cs="Times New Roman"/>
                <w:i/>
              </w:rPr>
              <w:t>102,0</w:t>
            </w:r>
          </w:p>
        </w:tc>
        <w:tc>
          <w:tcPr>
            <w:tcW w:w="1163" w:type="dxa"/>
            <w:shd w:val="clear" w:color="auto" w:fill="D9D9D9" w:themeFill="background1" w:themeFillShade="D9"/>
          </w:tcPr>
          <w:p w:rsidR="00714F5D" w:rsidRPr="001D0846" w:rsidRDefault="00714F5D" w:rsidP="008C5C6A">
            <w:pPr>
              <w:ind w:right="35"/>
              <w:jc w:val="center"/>
              <w:rPr>
                <w:rFonts w:ascii="Times New Roman" w:hAnsi="Times New Roman" w:cs="Times New Roman"/>
                <w:b/>
              </w:rPr>
            </w:pPr>
            <w:r w:rsidRPr="001D0846">
              <w:rPr>
                <w:rFonts w:ascii="Times New Roman" w:hAnsi="Times New Roman" w:cs="Times New Roman"/>
                <w:b/>
              </w:rPr>
              <w:t>20023,4</w:t>
            </w:r>
          </w:p>
        </w:tc>
        <w:tc>
          <w:tcPr>
            <w:tcW w:w="1052" w:type="dxa"/>
            <w:shd w:val="clear" w:color="auto" w:fill="D9D9D9" w:themeFill="background1" w:themeFillShade="D9"/>
          </w:tcPr>
          <w:p w:rsidR="00714F5D" w:rsidRPr="001D0846" w:rsidRDefault="00714F5D" w:rsidP="008C5C6A">
            <w:pPr>
              <w:ind w:right="35"/>
              <w:jc w:val="center"/>
              <w:rPr>
                <w:rFonts w:ascii="Times New Roman" w:hAnsi="Times New Roman" w:cs="Times New Roman"/>
                <w:b/>
              </w:rPr>
            </w:pPr>
            <w:r w:rsidRPr="001D0846">
              <w:rPr>
                <w:rFonts w:ascii="Times New Roman" w:hAnsi="Times New Roman" w:cs="Times New Roman"/>
                <w:b/>
              </w:rPr>
              <w:t>20347,9</w:t>
            </w:r>
          </w:p>
        </w:tc>
        <w:tc>
          <w:tcPr>
            <w:tcW w:w="1045" w:type="dxa"/>
            <w:shd w:val="clear" w:color="auto" w:fill="D9D9D9" w:themeFill="background1" w:themeFillShade="D9"/>
          </w:tcPr>
          <w:p w:rsidR="00714F5D" w:rsidRPr="001D0846" w:rsidRDefault="00714F5D" w:rsidP="008C5C6A">
            <w:pPr>
              <w:ind w:right="35"/>
              <w:jc w:val="center"/>
              <w:rPr>
                <w:rFonts w:ascii="Times New Roman" w:hAnsi="Times New Roman" w:cs="Times New Roman"/>
                <w:i/>
              </w:rPr>
            </w:pPr>
            <w:r w:rsidRPr="001D0846">
              <w:rPr>
                <w:rFonts w:ascii="Times New Roman" w:hAnsi="Times New Roman" w:cs="Times New Roman"/>
                <w:i/>
              </w:rPr>
              <w:t>101,6</w:t>
            </w:r>
          </w:p>
        </w:tc>
      </w:tr>
      <w:tr w:rsidR="0075307B" w:rsidRPr="001D0846" w:rsidTr="008C5C6A">
        <w:tc>
          <w:tcPr>
            <w:tcW w:w="3114" w:type="dxa"/>
          </w:tcPr>
          <w:p w:rsidR="00714F5D" w:rsidRPr="001D0846" w:rsidRDefault="00714F5D" w:rsidP="008C5C6A">
            <w:pPr>
              <w:ind w:right="35"/>
              <w:jc w:val="both"/>
              <w:rPr>
                <w:rFonts w:ascii="Times New Roman" w:hAnsi="Times New Roman" w:cs="Times New Roman"/>
              </w:rPr>
            </w:pPr>
            <w:r w:rsidRPr="001D0846">
              <w:rPr>
                <w:rFonts w:ascii="Times New Roman" w:hAnsi="Times New Roman" w:cs="Times New Roman"/>
              </w:rPr>
              <w:t>Taxe pentru folosirea drumurilor</w:t>
            </w:r>
          </w:p>
        </w:tc>
        <w:tc>
          <w:tcPr>
            <w:tcW w:w="1276" w:type="dxa"/>
          </w:tcPr>
          <w:p w:rsidR="00714F5D" w:rsidRPr="001D0846" w:rsidRDefault="00714F5D" w:rsidP="008C5C6A">
            <w:pPr>
              <w:ind w:right="35"/>
              <w:jc w:val="center"/>
              <w:rPr>
                <w:rFonts w:ascii="Times New Roman" w:hAnsi="Times New Roman" w:cs="Times New Roman"/>
              </w:rPr>
            </w:pPr>
            <w:r w:rsidRPr="001D0846">
              <w:rPr>
                <w:rFonts w:ascii="Times New Roman" w:hAnsi="Times New Roman" w:cs="Times New Roman"/>
              </w:rPr>
              <w:t>5,3</w:t>
            </w:r>
          </w:p>
        </w:tc>
        <w:tc>
          <w:tcPr>
            <w:tcW w:w="1052" w:type="dxa"/>
          </w:tcPr>
          <w:p w:rsidR="00714F5D" w:rsidRPr="001D0846" w:rsidRDefault="00714F5D" w:rsidP="008C5C6A">
            <w:pPr>
              <w:ind w:right="35"/>
              <w:jc w:val="center"/>
              <w:rPr>
                <w:rFonts w:ascii="Times New Roman" w:hAnsi="Times New Roman" w:cs="Times New Roman"/>
              </w:rPr>
            </w:pPr>
            <w:r w:rsidRPr="001D0846">
              <w:rPr>
                <w:rFonts w:ascii="Times New Roman" w:hAnsi="Times New Roman" w:cs="Times New Roman"/>
              </w:rPr>
              <w:t>7,1</w:t>
            </w:r>
          </w:p>
        </w:tc>
        <w:tc>
          <w:tcPr>
            <w:tcW w:w="1216" w:type="dxa"/>
          </w:tcPr>
          <w:p w:rsidR="00714F5D" w:rsidRPr="001D0846" w:rsidRDefault="00714F5D" w:rsidP="008C5C6A">
            <w:pPr>
              <w:ind w:right="35"/>
              <w:jc w:val="center"/>
              <w:rPr>
                <w:rFonts w:ascii="Times New Roman" w:hAnsi="Times New Roman" w:cs="Times New Roman"/>
                <w:i/>
              </w:rPr>
            </w:pPr>
            <w:r w:rsidRPr="001D0846">
              <w:rPr>
                <w:rFonts w:ascii="Times New Roman" w:hAnsi="Times New Roman" w:cs="Times New Roman"/>
                <w:i/>
              </w:rPr>
              <w:t>134,0</w:t>
            </w:r>
          </w:p>
        </w:tc>
        <w:tc>
          <w:tcPr>
            <w:tcW w:w="1163" w:type="dxa"/>
          </w:tcPr>
          <w:p w:rsidR="00714F5D" w:rsidRPr="001D0846" w:rsidRDefault="00714F5D" w:rsidP="008C5C6A">
            <w:pPr>
              <w:ind w:right="35"/>
              <w:jc w:val="center"/>
              <w:rPr>
                <w:rFonts w:ascii="Times New Roman" w:hAnsi="Times New Roman" w:cs="Times New Roman"/>
              </w:rPr>
            </w:pPr>
            <w:r w:rsidRPr="001D0846">
              <w:rPr>
                <w:rFonts w:ascii="Times New Roman" w:hAnsi="Times New Roman" w:cs="Times New Roman"/>
              </w:rPr>
              <w:t>7,2</w:t>
            </w:r>
          </w:p>
        </w:tc>
        <w:tc>
          <w:tcPr>
            <w:tcW w:w="1052" w:type="dxa"/>
          </w:tcPr>
          <w:p w:rsidR="00714F5D" w:rsidRPr="001D0846" w:rsidRDefault="00714F5D" w:rsidP="008C5C6A">
            <w:pPr>
              <w:ind w:right="35"/>
              <w:jc w:val="center"/>
              <w:rPr>
                <w:rFonts w:ascii="Times New Roman" w:hAnsi="Times New Roman" w:cs="Times New Roman"/>
              </w:rPr>
            </w:pPr>
            <w:r w:rsidRPr="001D0846">
              <w:rPr>
                <w:rFonts w:ascii="Times New Roman" w:hAnsi="Times New Roman" w:cs="Times New Roman"/>
              </w:rPr>
              <w:t>9,9</w:t>
            </w:r>
          </w:p>
        </w:tc>
        <w:tc>
          <w:tcPr>
            <w:tcW w:w="1187" w:type="dxa"/>
          </w:tcPr>
          <w:p w:rsidR="00714F5D" w:rsidRPr="001D0846" w:rsidRDefault="00714F5D" w:rsidP="008C5C6A">
            <w:pPr>
              <w:ind w:right="35"/>
              <w:jc w:val="center"/>
              <w:rPr>
                <w:rFonts w:ascii="Times New Roman" w:hAnsi="Times New Roman" w:cs="Times New Roman"/>
                <w:i/>
              </w:rPr>
            </w:pPr>
            <w:r w:rsidRPr="001D0846">
              <w:rPr>
                <w:rFonts w:ascii="Times New Roman" w:hAnsi="Times New Roman" w:cs="Times New Roman"/>
                <w:i/>
              </w:rPr>
              <w:t>137,5</w:t>
            </w:r>
          </w:p>
        </w:tc>
        <w:tc>
          <w:tcPr>
            <w:tcW w:w="1163" w:type="dxa"/>
          </w:tcPr>
          <w:p w:rsidR="00714F5D" w:rsidRPr="001D0846" w:rsidRDefault="00714F5D" w:rsidP="008C5C6A">
            <w:pPr>
              <w:ind w:right="35"/>
              <w:jc w:val="center"/>
              <w:rPr>
                <w:rFonts w:ascii="Times New Roman" w:hAnsi="Times New Roman" w:cs="Times New Roman"/>
              </w:rPr>
            </w:pPr>
            <w:r w:rsidRPr="001D0846">
              <w:rPr>
                <w:rFonts w:ascii="Times New Roman" w:hAnsi="Times New Roman" w:cs="Times New Roman"/>
              </w:rPr>
              <w:t>8,1</w:t>
            </w:r>
          </w:p>
        </w:tc>
        <w:tc>
          <w:tcPr>
            <w:tcW w:w="1052" w:type="dxa"/>
          </w:tcPr>
          <w:p w:rsidR="00714F5D" w:rsidRPr="001D0846" w:rsidRDefault="00714F5D" w:rsidP="008C5C6A">
            <w:pPr>
              <w:ind w:right="35"/>
              <w:jc w:val="center"/>
              <w:rPr>
                <w:rFonts w:ascii="Times New Roman" w:hAnsi="Times New Roman" w:cs="Times New Roman"/>
              </w:rPr>
            </w:pPr>
            <w:r w:rsidRPr="001D0846">
              <w:rPr>
                <w:rFonts w:ascii="Times New Roman" w:hAnsi="Times New Roman" w:cs="Times New Roman"/>
              </w:rPr>
              <w:t>10,1</w:t>
            </w:r>
          </w:p>
        </w:tc>
        <w:tc>
          <w:tcPr>
            <w:tcW w:w="1045" w:type="dxa"/>
          </w:tcPr>
          <w:p w:rsidR="00714F5D" w:rsidRPr="001D0846" w:rsidRDefault="00714F5D" w:rsidP="008C5C6A">
            <w:pPr>
              <w:ind w:right="35"/>
              <w:jc w:val="center"/>
              <w:rPr>
                <w:rFonts w:ascii="Times New Roman" w:hAnsi="Times New Roman" w:cs="Times New Roman"/>
                <w:i/>
              </w:rPr>
            </w:pPr>
            <w:r w:rsidRPr="001D0846">
              <w:rPr>
                <w:rFonts w:ascii="Times New Roman" w:hAnsi="Times New Roman" w:cs="Times New Roman"/>
                <w:i/>
              </w:rPr>
              <w:t>124,7</w:t>
            </w:r>
          </w:p>
        </w:tc>
      </w:tr>
      <w:tr w:rsidR="0075307B" w:rsidRPr="001D0846" w:rsidTr="008C5C6A">
        <w:tc>
          <w:tcPr>
            <w:tcW w:w="3114" w:type="dxa"/>
          </w:tcPr>
          <w:p w:rsidR="00714F5D" w:rsidRPr="001D0846" w:rsidRDefault="00714F5D" w:rsidP="008C5C6A">
            <w:pPr>
              <w:ind w:right="35"/>
              <w:jc w:val="both"/>
              <w:rPr>
                <w:rFonts w:ascii="Times New Roman" w:hAnsi="Times New Roman" w:cs="Times New Roman"/>
              </w:rPr>
            </w:pPr>
            <w:r w:rsidRPr="001D0846">
              <w:rPr>
                <w:rFonts w:ascii="Times New Roman" w:hAnsi="Times New Roman" w:cs="Times New Roman"/>
              </w:rPr>
              <w:t>Vinieta și amenzi pentru achitare</w:t>
            </w:r>
            <w:r>
              <w:rPr>
                <w:rFonts w:ascii="Times New Roman" w:hAnsi="Times New Roman" w:cs="Times New Roman"/>
              </w:rPr>
              <w:t>a</w:t>
            </w:r>
            <w:r w:rsidRPr="001D0846">
              <w:rPr>
                <w:rFonts w:ascii="Times New Roman" w:hAnsi="Times New Roman" w:cs="Times New Roman"/>
              </w:rPr>
              <w:t xml:space="preserve"> vinietei</w:t>
            </w:r>
          </w:p>
        </w:tc>
        <w:tc>
          <w:tcPr>
            <w:tcW w:w="1276" w:type="dxa"/>
          </w:tcPr>
          <w:p w:rsidR="00714F5D" w:rsidRPr="001D0846" w:rsidRDefault="00714F5D" w:rsidP="008C5C6A">
            <w:pPr>
              <w:ind w:right="35"/>
              <w:jc w:val="center"/>
              <w:rPr>
                <w:rFonts w:ascii="Times New Roman" w:hAnsi="Times New Roman" w:cs="Times New Roman"/>
              </w:rPr>
            </w:pPr>
            <w:r w:rsidRPr="001D0846">
              <w:rPr>
                <w:rFonts w:ascii="Times New Roman" w:hAnsi="Times New Roman" w:cs="Times New Roman"/>
              </w:rPr>
              <w:t>83,2</w:t>
            </w:r>
          </w:p>
        </w:tc>
        <w:tc>
          <w:tcPr>
            <w:tcW w:w="1052" w:type="dxa"/>
          </w:tcPr>
          <w:p w:rsidR="00714F5D" w:rsidRPr="001D0846" w:rsidRDefault="00714F5D" w:rsidP="008C5C6A">
            <w:pPr>
              <w:ind w:right="35"/>
              <w:jc w:val="center"/>
              <w:rPr>
                <w:rFonts w:ascii="Times New Roman" w:hAnsi="Times New Roman" w:cs="Times New Roman"/>
              </w:rPr>
            </w:pPr>
            <w:r w:rsidRPr="001D0846">
              <w:rPr>
                <w:rFonts w:ascii="Times New Roman" w:hAnsi="Times New Roman" w:cs="Times New Roman"/>
              </w:rPr>
              <w:t>100,1</w:t>
            </w:r>
          </w:p>
        </w:tc>
        <w:tc>
          <w:tcPr>
            <w:tcW w:w="1216" w:type="dxa"/>
          </w:tcPr>
          <w:p w:rsidR="00714F5D" w:rsidRPr="001D0846" w:rsidRDefault="00714F5D" w:rsidP="008C5C6A">
            <w:pPr>
              <w:ind w:right="35"/>
              <w:jc w:val="center"/>
              <w:rPr>
                <w:rFonts w:ascii="Times New Roman" w:hAnsi="Times New Roman" w:cs="Times New Roman"/>
                <w:i/>
              </w:rPr>
            </w:pPr>
            <w:r w:rsidRPr="001D0846">
              <w:rPr>
                <w:rFonts w:ascii="Times New Roman" w:hAnsi="Times New Roman" w:cs="Times New Roman"/>
                <w:i/>
              </w:rPr>
              <w:t>120,3</w:t>
            </w:r>
          </w:p>
        </w:tc>
        <w:tc>
          <w:tcPr>
            <w:tcW w:w="1163" w:type="dxa"/>
          </w:tcPr>
          <w:p w:rsidR="00714F5D" w:rsidRPr="001D0846" w:rsidRDefault="00714F5D" w:rsidP="008C5C6A">
            <w:pPr>
              <w:ind w:right="35"/>
              <w:jc w:val="center"/>
              <w:rPr>
                <w:rFonts w:ascii="Times New Roman" w:hAnsi="Times New Roman" w:cs="Times New Roman"/>
              </w:rPr>
            </w:pPr>
            <w:r w:rsidRPr="001D0846">
              <w:rPr>
                <w:rFonts w:ascii="Times New Roman" w:hAnsi="Times New Roman" w:cs="Times New Roman"/>
              </w:rPr>
              <w:t>126,0</w:t>
            </w:r>
          </w:p>
        </w:tc>
        <w:tc>
          <w:tcPr>
            <w:tcW w:w="1052" w:type="dxa"/>
          </w:tcPr>
          <w:p w:rsidR="00714F5D" w:rsidRPr="001D0846" w:rsidRDefault="00714F5D" w:rsidP="008C5C6A">
            <w:pPr>
              <w:ind w:right="35"/>
              <w:jc w:val="center"/>
              <w:rPr>
                <w:rFonts w:ascii="Times New Roman" w:hAnsi="Times New Roman" w:cs="Times New Roman"/>
              </w:rPr>
            </w:pPr>
            <w:r w:rsidRPr="001D0846">
              <w:rPr>
                <w:rFonts w:ascii="Times New Roman" w:hAnsi="Times New Roman" w:cs="Times New Roman"/>
              </w:rPr>
              <w:t>122,3</w:t>
            </w:r>
          </w:p>
        </w:tc>
        <w:tc>
          <w:tcPr>
            <w:tcW w:w="1187" w:type="dxa"/>
          </w:tcPr>
          <w:p w:rsidR="00714F5D" w:rsidRPr="001D0846" w:rsidRDefault="00714F5D" w:rsidP="008C5C6A">
            <w:pPr>
              <w:ind w:right="35"/>
              <w:jc w:val="center"/>
              <w:rPr>
                <w:rFonts w:ascii="Times New Roman" w:hAnsi="Times New Roman" w:cs="Times New Roman"/>
                <w:i/>
              </w:rPr>
            </w:pPr>
            <w:r w:rsidRPr="001D0846">
              <w:rPr>
                <w:rFonts w:ascii="Times New Roman" w:hAnsi="Times New Roman" w:cs="Times New Roman"/>
                <w:i/>
              </w:rPr>
              <w:t>97,1</w:t>
            </w:r>
          </w:p>
        </w:tc>
        <w:tc>
          <w:tcPr>
            <w:tcW w:w="1163" w:type="dxa"/>
          </w:tcPr>
          <w:p w:rsidR="00714F5D" w:rsidRPr="001D0846" w:rsidRDefault="00714F5D" w:rsidP="008C5C6A">
            <w:pPr>
              <w:ind w:right="35"/>
              <w:jc w:val="center"/>
              <w:rPr>
                <w:rFonts w:ascii="Times New Roman" w:hAnsi="Times New Roman" w:cs="Times New Roman"/>
              </w:rPr>
            </w:pPr>
            <w:r w:rsidRPr="001D0846">
              <w:rPr>
                <w:rFonts w:ascii="Times New Roman" w:hAnsi="Times New Roman" w:cs="Times New Roman"/>
              </w:rPr>
              <w:t>12,9</w:t>
            </w:r>
          </w:p>
        </w:tc>
        <w:tc>
          <w:tcPr>
            <w:tcW w:w="1052" w:type="dxa"/>
          </w:tcPr>
          <w:p w:rsidR="00714F5D" w:rsidRPr="001D0846" w:rsidRDefault="00714F5D" w:rsidP="008C5C6A">
            <w:pPr>
              <w:ind w:right="35"/>
              <w:jc w:val="center"/>
              <w:rPr>
                <w:rFonts w:ascii="Times New Roman" w:hAnsi="Times New Roman" w:cs="Times New Roman"/>
              </w:rPr>
            </w:pPr>
            <w:r w:rsidRPr="001D0846">
              <w:rPr>
                <w:rFonts w:ascii="Times New Roman" w:hAnsi="Times New Roman" w:cs="Times New Roman"/>
              </w:rPr>
              <w:t>13,5</w:t>
            </w:r>
          </w:p>
        </w:tc>
        <w:tc>
          <w:tcPr>
            <w:tcW w:w="1045" w:type="dxa"/>
          </w:tcPr>
          <w:p w:rsidR="00714F5D" w:rsidRPr="001D0846" w:rsidRDefault="00714F5D" w:rsidP="008C5C6A">
            <w:pPr>
              <w:ind w:right="35"/>
              <w:jc w:val="center"/>
              <w:rPr>
                <w:rFonts w:ascii="Times New Roman" w:hAnsi="Times New Roman" w:cs="Times New Roman"/>
                <w:i/>
              </w:rPr>
            </w:pPr>
            <w:r w:rsidRPr="001D0846">
              <w:rPr>
                <w:rFonts w:ascii="Times New Roman" w:hAnsi="Times New Roman" w:cs="Times New Roman"/>
                <w:i/>
              </w:rPr>
              <w:t>104,7</w:t>
            </w:r>
          </w:p>
        </w:tc>
      </w:tr>
      <w:tr w:rsidR="0075307B" w:rsidRPr="001D0846" w:rsidTr="008C5C6A">
        <w:tc>
          <w:tcPr>
            <w:tcW w:w="3114" w:type="dxa"/>
          </w:tcPr>
          <w:p w:rsidR="00714F5D" w:rsidRPr="001D0846" w:rsidRDefault="00714F5D" w:rsidP="008C5C6A">
            <w:pPr>
              <w:ind w:right="35"/>
              <w:jc w:val="both"/>
              <w:rPr>
                <w:rFonts w:ascii="Times New Roman" w:hAnsi="Times New Roman" w:cs="Times New Roman"/>
              </w:rPr>
            </w:pPr>
            <w:r w:rsidRPr="001D0846">
              <w:rPr>
                <w:rFonts w:ascii="Times New Roman" w:hAnsi="Times New Roman" w:cs="Times New Roman"/>
              </w:rPr>
              <w:t>Alte venituri</w:t>
            </w:r>
          </w:p>
        </w:tc>
        <w:tc>
          <w:tcPr>
            <w:tcW w:w="1276" w:type="dxa"/>
          </w:tcPr>
          <w:p w:rsidR="00714F5D" w:rsidRPr="001D0846" w:rsidRDefault="00714F5D" w:rsidP="008C5C6A">
            <w:pPr>
              <w:ind w:right="35"/>
              <w:jc w:val="center"/>
              <w:rPr>
                <w:rFonts w:ascii="Times New Roman" w:hAnsi="Times New Roman" w:cs="Times New Roman"/>
              </w:rPr>
            </w:pPr>
            <w:r w:rsidRPr="001D0846">
              <w:rPr>
                <w:rFonts w:ascii="Times New Roman" w:hAnsi="Times New Roman" w:cs="Times New Roman"/>
              </w:rPr>
              <w:t>1,0</w:t>
            </w:r>
          </w:p>
        </w:tc>
        <w:tc>
          <w:tcPr>
            <w:tcW w:w="1052" w:type="dxa"/>
          </w:tcPr>
          <w:p w:rsidR="00714F5D" w:rsidRPr="001D0846" w:rsidRDefault="00714F5D" w:rsidP="008C5C6A">
            <w:pPr>
              <w:ind w:right="35"/>
              <w:jc w:val="center"/>
              <w:rPr>
                <w:rFonts w:ascii="Times New Roman" w:hAnsi="Times New Roman" w:cs="Times New Roman"/>
              </w:rPr>
            </w:pPr>
            <w:r w:rsidRPr="001D0846">
              <w:rPr>
                <w:rFonts w:ascii="Times New Roman" w:hAnsi="Times New Roman" w:cs="Times New Roman"/>
              </w:rPr>
              <w:t>1,2</w:t>
            </w:r>
          </w:p>
        </w:tc>
        <w:tc>
          <w:tcPr>
            <w:tcW w:w="1216" w:type="dxa"/>
          </w:tcPr>
          <w:p w:rsidR="00714F5D" w:rsidRPr="001D0846" w:rsidRDefault="00714F5D" w:rsidP="008C5C6A">
            <w:pPr>
              <w:ind w:right="35"/>
              <w:jc w:val="center"/>
              <w:rPr>
                <w:rFonts w:ascii="Times New Roman" w:hAnsi="Times New Roman" w:cs="Times New Roman"/>
                <w:i/>
              </w:rPr>
            </w:pPr>
            <w:r w:rsidRPr="001D0846">
              <w:rPr>
                <w:rFonts w:ascii="Times New Roman" w:hAnsi="Times New Roman" w:cs="Times New Roman"/>
                <w:i/>
              </w:rPr>
              <w:t>120,0</w:t>
            </w:r>
          </w:p>
        </w:tc>
        <w:tc>
          <w:tcPr>
            <w:tcW w:w="1163" w:type="dxa"/>
          </w:tcPr>
          <w:p w:rsidR="00714F5D" w:rsidRPr="001D0846" w:rsidRDefault="00714F5D" w:rsidP="008C5C6A">
            <w:pPr>
              <w:ind w:right="35"/>
              <w:jc w:val="center"/>
              <w:rPr>
                <w:rFonts w:ascii="Times New Roman" w:hAnsi="Times New Roman" w:cs="Times New Roman"/>
              </w:rPr>
            </w:pPr>
            <w:r w:rsidRPr="001D0846">
              <w:rPr>
                <w:rFonts w:ascii="Times New Roman" w:hAnsi="Times New Roman" w:cs="Times New Roman"/>
              </w:rPr>
              <w:t>1,2</w:t>
            </w:r>
          </w:p>
        </w:tc>
        <w:tc>
          <w:tcPr>
            <w:tcW w:w="1052" w:type="dxa"/>
          </w:tcPr>
          <w:p w:rsidR="00714F5D" w:rsidRPr="001D0846" w:rsidRDefault="00714F5D" w:rsidP="008C5C6A">
            <w:pPr>
              <w:ind w:right="35"/>
              <w:jc w:val="center"/>
              <w:rPr>
                <w:rFonts w:ascii="Times New Roman" w:hAnsi="Times New Roman" w:cs="Times New Roman"/>
              </w:rPr>
            </w:pPr>
            <w:r w:rsidRPr="001D0846">
              <w:rPr>
                <w:rFonts w:ascii="Times New Roman" w:hAnsi="Times New Roman" w:cs="Times New Roman"/>
              </w:rPr>
              <w:t>1,1</w:t>
            </w:r>
          </w:p>
        </w:tc>
        <w:tc>
          <w:tcPr>
            <w:tcW w:w="1187" w:type="dxa"/>
          </w:tcPr>
          <w:p w:rsidR="00714F5D" w:rsidRPr="001D0846" w:rsidRDefault="00714F5D" w:rsidP="008C5C6A">
            <w:pPr>
              <w:ind w:right="35"/>
              <w:jc w:val="center"/>
              <w:rPr>
                <w:rFonts w:ascii="Times New Roman" w:hAnsi="Times New Roman" w:cs="Times New Roman"/>
                <w:i/>
              </w:rPr>
            </w:pPr>
            <w:r w:rsidRPr="001D0846">
              <w:rPr>
                <w:rFonts w:ascii="Times New Roman" w:hAnsi="Times New Roman" w:cs="Times New Roman"/>
                <w:i/>
              </w:rPr>
              <w:t>91,7</w:t>
            </w:r>
          </w:p>
        </w:tc>
        <w:tc>
          <w:tcPr>
            <w:tcW w:w="1163" w:type="dxa"/>
          </w:tcPr>
          <w:p w:rsidR="00714F5D" w:rsidRPr="001D0846" w:rsidRDefault="00714F5D" w:rsidP="008C5C6A">
            <w:pPr>
              <w:ind w:right="35"/>
              <w:jc w:val="center"/>
              <w:rPr>
                <w:rFonts w:ascii="Times New Roman" w:hAnsi="Times New Roman" w:cs="Times New Roman"/>
              </w:rPr>
            </w:pPr>
            <w:r w:rsidRPr="001D0846">
              <w:rPr>
                <w:rFonts w:ascii="Times New Roman" w:hAnsi="Times New Roman" w:cs="Times New Roman"/>
              </w:rPr>
              <w:t>1,0</w:t>
            </w:r>
          </w:p>
        </w:tc>
        <w:tc>
          <w:tcPr>
            <w:tcW w:w="1052" w:type="dxa"/>
          </w:tcPr>
          <w:p w:rsidR="00714F5D" w:rsidRPr="001D0846" w:rsidRDefault="00714F5D" w:rsidP="008C5C6A">
            <w:pPr>
              <w:ind w:right="35"/>
              <w:jc w:val="center"/>
              <w:rPr>
                <w:rFonts w:ascii="Times New Roman" w:hAnsi="Times New Roman" w:cs="Times New Roman"/>
              </w:rPr>
            </w:pPr>
            <w:r w:rsidRPr="001D0846">
              <w:rPr>
                <w:rFonts w:ascii="Times New Roman" w:hAnsi="Times New Roman" w:cs="Times New Roman"/>
              </w:rPr>
              <w:t>1,0</w:t>
            </w:r>
          </w:p>
        </w:tc>
        <w:tc>
          <w:tcPr>
            <w:tcW w:w="1045" w:type="dxa"/>
          </w:tcPr>
          <w:p w:rsidR="00714F5D" w:rsidRPr="001D0846" w:rsidRDefault="00714F5D" w:rsidP="008C5C6A">
            <w:pPr>
              <w:ind w:right="35"/>
              <w:jc w:val="center"/>
              <w:rPr>
                <w:rFonts w:ascii="Times New Roman" w:hAnsi="Times New Roman" w:cs="Times New Roman"/>
                <w:i/>
              </w:rPr>
            </w:pPr>
            <w:r w:rsidRPr="001D0846">
              <w:rPr>
                <w:rFonts w:ascii="Times New Roman" w:hAnsi="Times New Roman" w:cs="Times New Roman"/>
                <w:i/>
              </w:rPr>
              <w:t>100,0</w:t>
            </w:r>
          </w:p>
        </w:tc>
      </w:tr>
      <w:tr w:rsidR="0075307B" w:rsidRPr="001D0846" w:rsidTr="008C5C6A">
        <w:tc>
          <w:tcPr>
            <w:tcW w:w="3114" w:type="dxa"/>
            <w:shd w:val="clear" w:color="auto" w:fill="D9D9D9" w:themeFill="background1" w:themeFillShade="D9"/>
          </w:tcPr>
          <w:p w:rsidR="00714F5D" w:rsidRPr="001D0846" w:rsidRDefault="00714F5D" w:rsidP="008C5C6A">
            <w:pPr>
              <w:ind w:right="35"/>
              <w:jc w:val="both"/>
              <w:rPr>
                <w:rFonts w:ascii="Times New Roman" w:hAnsi="Times New Roman" w:cs="Times New Roman"/>
              </w:rPr>
            </w:pPr>
            <w:r w:rsidRPr="001D0846">
              <w:rPr>
                <w:rFonts w:ascii="Times New Roman" w:hAnsi="Times New Roman" w:cs="Times New Roman"/>
              </w:rPr>
              <w:t>Total plăți administrate de organele vamale</w:t>
            </w:r>
          </w:p>
        </w:tc>
        <w:tc>
          <w:tcPr>
            <w:tcW w:w="1276" w:type="dxa"/>
            <w:shd w:val="clear" w:color="auto" w:fill="D9D9D9" w:themeFill="background1" w:themeFillShade="D9"/>
          </w:tcPr>
          <w:p w:rsidR="00714F5D" w:rsidRPr="001D0846" w:rsidRDefault="00714F5D" w:rsidP="008C5C6A">
            <w:pPr>
              <w:ind w:right="35"/>
              <w:jc w:val="center"/>
              <w:rPr>
                <w:rFonts w:ascii="Times New Roman" w:hAnsi="Times New Roman" w:cs="Times New Roman"/>
                <w:b/>
              </w:rPr>
            </w:pPr>
            <w:r w:rsidRPr="001D0846">
              <w:rPr>
                <w:rFonts w:ascii="Times New Roman" w:hAnsi="Times New Roman" w:cs="Times New Roman"/>
                <w:b/>
              </w:rPr>
              <w:t>16027,1</w:t>
            </w:r>
          </w:p>
        </w:tc>
        <w:tc>
          <w:tcPr>
            <w:tcW w:w="1052" w:type="dxa"/>
            <w:shd w:val="clear" w:color="auto" w:fill="D9D9D9" w:themeFill="background1" w:themeFillShade="D9"/>
          </w:tcPr>
          <w:p w:rsidR="00714F5D" w:rsidRPr="001D0846" w:rsidRDefault="00714F5D" w:rsidP="008C5C6A">
            <w:pPr>
              <w:ind w:right="35"/>
              <w:jc w:val="center"/>
              <w:rPr>
                <w:rFonts w:ascii="Times New Roman" w:hAnsi="Times New Roman" w:cs="Times New Roman"/>
                <w:b/>
              </w:rPr>
            </w:pPr>
            <w:r w:rsidRPr="001D0846">
              <w:rPr>
                <w:rFonts w:ascii="Times New Roman" w:hAnsi="Times New Roman" w:cs="Times New Roman"/>
                <w:b/>
              </w:rPr>
              <w:t>15829,9</w:t>
            </w:r>
          </w:p>
        </w:tc>
        <w:tc>
          <w:tcPr>
            <w:tcW w:w="1216" w:type="dxa"/>
            <w:shd w:val="clear" w:color="auto" w:fill="D9D9D9" w:themeFill="background1" w:themeFillShade="D9"/>
          </w:tcPr>
          <w:p w:rsidR="00714F5D" w:rsidRPr="001D0846" w:rsidRDefault="00714F5D" w:rsidP="008C5C6A">
            <w:pPr>
              <w:ind w:right="35"/>
              <w:jc w:val="center"/>
              <w:rPr>
                <w:rFonts w:ascii="Times New Roman" w:hAnsi="Times New Roman" w:cs="Times New Roman"/>
                <w:i/>
              </w:rPr>
            </w:pPr>
            <w:r w:rsidRPr="001D0846">
              <w:rPr>
                <w:rFonts w:ascii="Times New Roman" w:hAnsi="Times New Roman" w:cs="Times New Roman"/>
                <w:i/>
              </w:rPr>
              <w:t>98,8</w:t>
            </w:r>
          </w:p>
        </w:tc>
        <w:tc>
          <w:tcPr>
            <w:tcW w:w="1163" w:type="dxa"/>
            <w:shd w:val="clear" w:color="auto" w:fill="D9D9D9" w:themeFill="background1" w:themeFillShade="D9"/>
          </w:tcPr>
          <w:p w:rsidR="00714F5D" w:rsidRPr="001D0846" w:rsidRDefault="00714F5D" w:rsidP="008C5C6A">
            <w:pPr>
              <w:ind w:right="35"/>
              <w:jc w:val="center"/>
              <w:rPr>
                <w:rFonts w:ascii="Times New Roman" w:hAnsi="Times New Roman" w:cs="Times New Roman"/>
                <w:b/>
              </w:rPr>
            </w:pPr>
            <w:r w:rsidRPr="001D0846">
              <w:rPr>
                <w:rFonts w:ascii="Times New Roman" w:hAnsi="Times New Roman" w:cs="Times New Roman"/>
                <w:b/>
              </w:rPr>
              <w:t>17138,5</w:t>
            </w:r>
          </w:p>
        </w:tc>
        <w:tc>
          <w:tcPr>
            <w:tcW w:w="1052" w:type="dxa"/>
            <w:shd w:val="clear" w:color="auto" w:fill="D9D9D9" w:themeFill="background1" w:themeFillShade="D9"/>
          </w:tcPr>
          <w:p w:rsidR="00714F5D" w:rsidRPr="001D0846" w:rsidRDefault="00714F5D" w:rsidP="008C5C6A">
            <w:pPr>
              <w:ind w:right="35"/>
              <w:jc w:val="center"/>
              <w:rPr>
                <w:rFonts w:ascii="Times New Roman" w:hAnsi="Times New Roman" w:cs="Times New Roman"/>
                <w:b/>
              </w:rPr>
            </w:pPr>
            <w:r w:rsidRPr="001D0846">
              <w:rPr>
                <w:rFonts w:ascii="Times New Roman" w:hAnsi="Times New Roman" w:cs="Times New Roman"/>
                <w:b/>
              </w:rPr>
              <w:t>17476,1</w:t>
            </w:r>
          </w:p>
        </w:tc>
        <w:tc>
          <w:tcPr>
            <w:tcW w:w="1187" w:type="dxa"/>
            <w:shd w:val="clear" w:color="auto" w:fill="D9D9D9" w:themeFill="background1" w:themeFillShade="D9"/>
          </w:tcPr>
          <w:p w:rsidR="00714F5D" w:rsidRPr="001D0846" w:rsidRDefault="00714F5D" w:rsidP="008C5C6A">
            <w:pPr>
              <w:ind w:right="35"/>
              <w:jc w:val="center"/>
              <w:rPr>
                <w:rFonts w:ascii="Times New Roman" w:hAnsi="Times New Roman" w:cs="Times New Roman"/>
                <w:i/>
              </w:rPr>
            </w:pPr>
            <w:r w:rsidRPr="001D0846">
              <w:rPr>
                <w:rFonts w:ascii="Times New Roman" w:hAnsi="Times New Roman" w:cs="Times New Roman"/>
                <w:i/>
              </w:rPr>
              <w:t>102,0</w:t>
            </w:r>
          </w:p>
        </w:tc>
        <w:tc>
          <w:tcPr>
            <w:tcW w:w="1163" w:type="dxa"/>
            <w:shd w:val="clear" w:color="auto" w:fill="D9D9D9" w:themeFill="background1" w:themeFillShade="D9"/>
          </w:tcPr>
          <w:p w:rsidR="00714F5D" w:rsidRPr="001D0846" w:rsidRDefault="00714F5D" w:rsidP="008C5C6A">
            <w:pPr>
              <w:ind w:right="35"/>
              <w:jc w:val="center"/>
              <w:rPr>
                <w:rFonts w:ascii="Times New Roman" w:hAnsi="Times New Roman" w:cs="Times New Roman"/>
                <w:b/>
              </w:rPr>
            </w:pPr>
            <w:r w:rsidRPr="001D0846">
              <w:rPr>
                <w:rFonts w:ascii="Times New Roman" w:hAnsi="Times New Roman" w:cs="Times New Roman"/>
                <w:b/>
              </w:rPr>
              <w:t>20045,4</w:t>
            </w:r>
          </w:p>
        </w:tc>
        <w:tc>
          <w:tcPr>
            <w:tcW w:w="1052" w:type="dxa"/>
            <w:shd w:val="clear" w:color="auto" w:fill="D9D9D9" w:themeFill="background1" w:themeFillShade="D9"/>
          </w:tcPr>
          <w:p w:rsidR="00714F5D" w:rsidRPr="001D0846" w:rsidRDefault="00714F5D" w:rsidP="008C5C6A">
            <w:pPr>
              <w:ind w:right="35"/>
              <w:jc w:val="center"/>
              <w:rPr>
                <w:rFonts w:ascii="Times New Roman" w:hAnsi="Times New Roman" w:cs="Times New Roman"/>
                <w:b/>
              </w:rPr>
            </w:pPr>
            <w:r w:rsidRPr="001D0846">
              <w:rPr>
                <w:rFonts w:ascii="Times New Roman" w:hAnsi="Times New Roman" w:cs="Times New Roman"/>
                <w:b/>
              </w:rPr>
              <w:t>20372,5</w:t>
            </w:r>
          </w:p>
        </w:tc>
        <w:tc>
          <w:tcPr>
            <w:tcW w:w="1045" w:type="dxa"/>
            <w:shd w:val="clear" w:color="auto" w:fill="D9D9D9" w:themeFill="background1" w:themeFillShade="D9"/>
          </w:tcPr>
          <w:p w:rsidR="00714F5D" w:rsidRPr="001D0846" w:rsidRDefault="00714F5D" w:rsidP="008C5C6A">
            <w:pPr>
              <w:ind w:right="35"/>
              <w:jc w:val="center"/>
              <w:rPr>
                <w:rFonts w:ascii="Times New Roman" w:hAnsi="Times New Roman" w:cs="Times New Roman"/>
                <w:i/>
              </w:rPr>
            </w:pPr>
            <w:r w:rsidRPr="001D0846">
              <w:rPr>
                <w:rFonts w:ascii="Times New Roman" w:hAnsi="Times New Roman" w:cs="Times New Roman"/>
                <w:i/>
              </w:rPr>
              <w:t>101,6</w:t>
            </w:r>
          </w:p>
        </w:tc>
      </w:tr>
    </w:tbl>
    <w:p w:rsidR="00714F5D" w:rsidRPr="001D0846" w:rsidRDefault="00714F5D" w:rsidP="00714F5D">
      <w:pPr>
        <w:spacing w:after="0" w:line="240" w:lineRule="auto"/>
        <w:ind w:right="-334"/>
        <w:jc w:val="both"/>
        <w:rPr>
          <w:rFonts w:ascii="Times New Roman" w:hAnsi="Times New Roman" w:cs="Times New Roman"/>
          <w:b/>
          <w:i/>
          <w:sz w:val="20"/>
          <w:szCs w:val="20"/>
        </w:rPr>
      </w:pPr>
      <w:r w:rsidRPr="001D0846">
        <w:rPr>
          <w:rFonts w:ascii="Times New Roman" w:hAnsi="Times New Roman" w:cs="Times New Roman"/>
          <w:b/>
          <w:i/>
          <w:sz w:val="20"/>
          <w:szCs w:val="20"/>
        </w:rPr>
        <w:t xml:space="preserve">Sursă: </w:t>
      </w:r>
      <w:r w:rsidRPr="001D0846">
        <w:rPr>
          <w:rFonts w:ascii="Times New Roman" w:hAnsi="Times New Roman" w:cs="Times New Roman"/>
          <w:i/>
          <w:sz w:val="20"/>
          <w:szCs w:val="20"/>
        </w:rPr>
        <w:t>Datele generalizate de către echipa de audit din informațiile și dările de seamă a</w:t>
      </w:r>
      <w:r>
        <w:rPr>
          <w:rFonts w:ascii="Times New Roman" w:hAnsi="Times New Roman" w:cs="Times New Roman"/>
          <w:i/>
          <w:sz w:val="20"/>
          <w:szCs w:val="20"/>
        </w:rPr>
        <w:t>le</w:t>
      </w:r>
      <w:r w:rsidRPr="001D0846">
        <w:rPr>
          <w:rFonts w:ascii="Times New Roman" w:hAnsi="Times New Roman" w:cs="Times New Roman"/>
          <w:i/>
          <w:sz w:val="20"/>
          <w:szCs w:val="20"/>
        </w:rPr>
        <w:t xml:space="preserve"> SV.</w:t>
      </w:r>
    </w:p>
    <w:p w:rsidR="00714F5D" w:rsidRPr="001D0846" w:rsidRDefault="00714F5D" w:rsidP="00714F5D">
      <w:pPr>
        <w:spacing w:after="0" w:line="276" w:lineRule="auto"/>
        <w:jc w:val="right"/>
        <w:rPr>
          <w:rFonts w:ascii="Times New Roman" w:hAnsi="Times New Roman" w:cs="Times New Roman"/>
          <w:b/>
          <w:i/>
          <w:sz w:val="28"/>
          <w:szCs w:val="28"/>
        </w:rPr>
      </w:pPr>
    </w:p>
    <w:p w:rsidR="00714F5D" w:rsidRPr="001D0846" w:rsidRDefault="00714F5D" w:rsidP="00714F5D">
      <w:pPr>
        <w:spacing w:after="0" w:line="276" w:lineRule="auto"/>
        <w:jc w:val="right"/>
        <w:rPr>
          <w:rFonts w:ascii="Times New Roman" w:hAnsi="Times New Roman" w:cs="Times New Roman"/>
          <w:b/>
          <w:i/>
          <w:sz w:val="28"/>
          <w:szCs w:val="28"/>
        </w:rPr>
      </w:pPr>
    </w:p>
    <w:p w:rsidR="00714F5D" w:rsidRDefault="00714F5D" w:rsidP="00714F5D">
      <w:pPr>
        <w:tabs>
          <w:tab w:val="left" w:pos="284"/>
          <w:tab w:val="left" w:pos="851"/>
          <w:tab w:val="left" w:pos="1134"/>
        </w:tabs>
        <w:spacing w:after="0" w:line="276" w:lineRule="auto"/>
        <w:ind w:right="-37"/>
        <w:jc w:val="right"/>
        <w:rPr>
          <w:rFonts w:ascii="Times New Roman" w:hAnsi="Times New Roman" w:cs="Times New Roman"/>
          <w:b/>
          <w:i/>
          <w:sz w:val="28"/>
          <w:szCs w:val="28"/>
        </w:rPr>
        <w:sectPr w:rsidR="00714F5D" w:rsidSect="00703842">
          <w:pgSz w:w="15840" w:h="12240" w:orient="landscape"/>
          <w:pgMar w:top="1699" w:right="1440" w:bottom="1166" w:left="1138" w:header="706" w:footer="706" w:gutter="0"/>
          <w:cols w:space="708"/>
          <w:docGrid w:linePitch="360"/>
        </w:sectPr>
      </w:pPr>
    </w:p>
    <w:p w:rsidR="00714F5D" w:rsidRPr="001D0846" w:rsidRDefault="00714F5D" w:rsidP="00714F5D">
      <w:pPr>
        <w:spacing w:after="0" w:line="276" w:lineRule="auto"/>
        <w:ind w:right="-331"/>
        <w:jc w:val="right"/>
        <w:rPr>
          <w:rFonts w:ascii="Times New Roman" w:hAnsi="Times New Roman" w:cs="Times New Roman"/>
          <w:b/>
          <w:i/>
          <w:sz w:val="28"/>
          <w:szCs w:val="28"/>
        </w:rPr>
      </w:pPr>
      <w:r w:rsidRPr="001D0846">
        <w:rPr>
          <w:rFonts w:ascii="Times New Roman" w:hAnsi="Times New Roman" w:cs="Times New Roman"/>
          <w:b/>
          <w:i/>
          <w:sz w:val="28"/>
          <w:szCs w:val="28"/>
        </w:rPr>
        <w:lastRenderedPageBreak/>
        <w:t>Tabelul nr.9</w:t>
      </w:r>
    </w:p>
    <w:p w:rsidR="00714F5D" w:rsidRPr="001D0846" w:rsidRDefault="00714F5D" w:rsidP="00714F5D">
      <w:pPr>
        <w:spacing w:after="0" w:line="276" w:lineRule="auto"/>
        <w:ind w:right="-331"/>
        <w:jc w:val="center"/>
        <w:rPr>
          <w:rFonts w:ascii="Times New Roman" w:hAnsi="Times New Roman" w:cs="Times New Roman"/>
          <w:i/>
          <w:sz w:val="28"/>
          <w:szCs w:val="28"/>
        </w:rPr>
      </w:pPr>
      <w:r w:rsidRPr="001D0846">
        <w:rPr>
          <w:rFonts w:ascii="Times New Roman" w:hAnsi="Times New Roman" w:cs="Times New Roman"/>
          <w:i/>
          <w:sz w:val="28"/>
          <w:szCs w:val="28"/>
        </w:rPr>
        <w:t xml:space="preserve">Informația privind încasările realizate și costurile suportate în perioada </w:t>
      </w:r>
      <w:r>
        <w:rPr>
          <w:rFonts w:ascii="Times New Roman" w:hAnsi="Times New Roman" w:cs="Times New Roman"/>
          <w:i/>
          <w:sz w:val="28"/>
          <w:szCs w:val="28"/>
        </w:rPr>
        <w:t xml:space="preserve">anilor </w:t>
      </w:r>
      <w:r w:rsidRPr="001D0846">
        <w:rPr>
          <w:rFonts w:ascii="Times New Roman" w:hAnsi="Times New Roman" w:cs="Times New Roman"/>
          <w:i/>
          <w:sz w:val="28"/>
          <w:szCs w:val="28"/>
        </w:rPr>
        <w:t xml:space="preserve">2015-2017 de către SFS în activitatea de administrare, raportată la numărul de personal și </w:t>
      </w:r>
      <w:r>
        <w:rPr>
          <w:rFonts w:ascii="Times New Roman" w:hAnsi="Times New Roman" w:cs="Times New Roman"/>
          <w:i/>
          <w:sz w:val="28"/>
          <w:szCs w:val="28"/>
        </w:rPr>
        <w:t xml:space="preserve">la </w:t>
      </w:r>
      <w:r w:rsidRPr="001D0846">
        <w:rPr>
          <w:rFonts w:ascii="Times New Roman" w:hAnsi="Times New Roman" w:cs="Times New Roman"/>
          <w:i/>
          <w:sz w:val="28"/>
          <w:szCs w:val="28"/>
        </w:rPr>
        <w:t>numărul de contribuabili administrați</w:t>
      </w:r>
    </w:p>
    <w:tbl>
      <w:tblPr>
        <w:tblStyle w:val="TableGrid"/>
        <w:tblW w:w="10349" w:type="dxa"/>
        <w:tblInd w:w="-762" w:type="dxa"/>
        <w:tblLayout w:type="fixed"/>
        <w:tblLook w:val="04A0"/>
      </w:tblPr>
      <w:tblGrid>
        <w:gridCol w:w="710"/>
        <w:gridCol w:w="3827"/>
        <w:gridCol w:w="1134"/>
        <w:gridCol w:w="1134"/>
        <w:gridCol w:w="1134"/>
        <w:gridCol w:w="1134"/>
        <w:gridCol w:w="1276"/>
      </w:tblGrid>
      <w:tr w:rsidR="00714F5D" w:rsidRPr="001D0846" w:rsidTr="008C5C6A">
        <w:trPr>
          <w:trHeight w:val="58"/>
        </w:trPr>
        <w:tc>
          <w:tcPr>
            <w:tcW w:w="710" w:type="dxa"/>
            <w:vMerge w:val="restart"/>
          </w:tcPr>
          <w:p w:rsidR="00714F5D" w:rsidRPr="001D0846" w:rsidRDefault="00714F5D" w:rsidP="008C5C6A">
            <w:pPr>
              <w:spacing w:line="276" w:lineRule="auto"/>
              <w:ind w:right="-334"/>
              <w:rPr>
                <w:rFonts w:ascii="Times New Roman" w:hAnsi="Times New Roman" w:cs="Times New Roman"/>
                <w:b/>
              </w:rPr>
            </w:pPr>
            <w:r w:rsidRPr="001D0846">
              <w:rPr>
                <w:rFonts w:ascii="Times New Roman" w:hAnsi="Times New Roman" w:cs="Times New Roman"/>
                <w:b/>
              </w:rPr>
              <w:t xml:space="preserve">Nr. </w:t>
            </w:r>
          </w:p>
          <w:p w:rsidR="00714F5D" w:rsidRPr="001D0846" w:rsidRDefault="00714F5D" w:rsidP="008C5C6A">
            <w:pPr>
              <w:spacing w:line="276" w:lineRule="auto"/>
              <w:ind w:right="-334"/>
              <w:rPr>
                <w:rFonts w:ascii="Times New Roman" w:hAnsi="Times New Roman" w:cs="Times New Roman"/>
                <w:b/>
              </w:rPr>
            </w:pPr>
            <w:r w:rsidRPr="001D0846">
              <w:rPr>
                <w:rFonts w:ascii="Times New Roman" w:hAnsi="Times New Roman" w:cs="Times New Roman"/>
                <w:b/>
              </w:rPr>
              <w:t>d/o</w:t>
            </w:r>
          </w:p>
        </w:tc>
        <w:tc>
          <w:tcPr>
            <w:tcW w:w="3827" w:type="dxa"/>
            <w:vMerge w:val="restart"/>
          </w:tcPr>
          <w:p w:rsidR="00714F5D" w:rsidRPr="001D0846" w:rsidRDefault="00714F5D" w:rsidP="008C5C6A">
            <w:pPr>
              <w:spacing w:line="276" w:lineRule="auto"/>
              <w:ind w:right="-334"/>
              <w:jc w:val="center"/>
              <w:rPr>
                <w:rFonts w:ascii="Times New Roman" w:hAnsi="Times New Roman" w:cs="Times New Roman"/>
                <w:b/>
              </w:rPr>
            </w:pPr>
            <w:r w:rsidRPr="001D0846">
              <w:rPr>
                <w:rFonts w:ascii="Times New Roman" w:hAnsi="Times New Roman" w:cs="Times New Roman"/>
                <w:b/>
              </w:rPr>
              <w:t>Indicatori</w:t>
            </w:r>
          </w:p>
        </w:tc>
        <w:tc>
          <w:tcPr>
            <w:tcW w:w="3402" w:type="dxa"/>
            <w:gridSpan w:val="3"/>
          </w:tcPr>
          <w:p w:rsidR="00714F5D" w:rsidRPr="001D0846" w:rsidRDefault="00714F5D" w:rsidP="008C5C6A">
            <w:pPr>
              <w:spacing w:line="276" w:lineRule="auto"/>
              <w:ind w:right="-334"/>
              <w:jc w:val="center"/>
              <w:rPr>
                <w:rFonts w:ascii="Times New Roman" w:hAnsi="Times New Roman" w:cs="Times New Roman"/>
                <w:b/>
              </w:rPr>
            </w:pPr>
            <w:r w:rsidRPr="001D0846">
              <w:rPr>
                <w:rFonts w:ascii="Times New Roman" w:hAnsi="Times New Roman" w:cs="Times New Roman"/>
                <w:b/>
              </w:rPr>
              <w:t>Anul</w:t>
            </w:r>
          </w:p>
        </w:tc>
        <w:tc>
          <w:tcPr>
            <w:tcW w:w="2410" w:type="dxa"/>
            <w:gridSpan w:val="2"/>
          </w:tcPr>
          <w:p w:rsidR="00714F5D" w:rsidRPr="001D0846" w:rsidRDefault="00714F5D" w:rsidP="008C5C6A">
            <w:pPr>
              <w:spacing w:line="276" w:lineRule="auto"/>
              <w:ind w:right="-102"/>
              <w:jc w:val="center"/>
              <w:rPr>
                <w:rFonts w:ascii="Times New Roman" w:hAnsi="Times New Roman" w:cs="Times New Roman"/>
                <w:b/>
              </w:rPr>
            </w:pPr>
            <w:r w:rsidRPr="001D0846">
              <w:rPr>
                <w:rFonts w:ascii="Times New Roman" w:hAnsi="Times New Roman" w:cs="Times New Roman"/>
                <w:b/>
              </w:rPr>
              <w:t>Ritmul de creștere</w:t>
            </w:r>
          </w:p>
        </w:tc>
      </w:tr>
      <w:tr w:rsidR="00714F5D" w:rsidRPr="001D0846" w:rsidTr="008C5C6A">
        <w:trPr>
          <w:trHeight w:val="58"/>
        </w:trPr>
        <w:tc>
          <w:tcPr>
            <w:tcW w:w="710" w:type="dxa"/>
            <w:vMerge/>
          </w:tcPr>
          <w:p w:rsidR="00714F5D" w:rsidRPr="001D0846" w:rsidRDefault="00714F5D" w:rsidP="008C5C6A">
            <w:pPr>
              <w:spacing w:line="276" w:lineRule="auto"/>
              <w:ind w:right="-334"/>
              <w:jc w:val="center"/>
              <w:rPr>
                <w:rFonts w:ascii="Times New Roman" w:hAnsi="Times New Roman" w:cs="Times New Roman"/>
              </w:rPr>
            </w:pPr>
          </w:p>
        </w:tc>
        <w:tc>
          <w:tcPr>
            <w:tcW w:w="3827" w:type="dxa"/>
            <w:vMerge/>
          </w:tcPr>
          <w:p w:rsidR="00714F5D" w:rsidRPr="001D0846" w:rsidRDefault="00714F5D" w:rsidP="008C5C6A">
            <w:pPr>
              <w:spacing w:line="276" w:lineRule="auto"/>
              <w:ind w:right="-334"/>
              <w:jc w:val="center"/>
              <w:rPr>
                <w:rFonts w:ascii="Times New Roman" w:hAnsi="Times New Roman" w:cs="Times New Roman"/>
              </w:rPr>
            </w:pPr>
          </w:p>
        </w:tc>
        <w:tc>
          <w:tcPr>
            <w:tcW w:w="1134" w:type="dxa"/>
          </w:tcPr>
          <w:p w:rsidR="00714F5D" w:rsidRPr="001D0846" w:rsidRDefault="00714F5D" w:rsidP="008C5C6A">
            <w:pPr>
              <w:spacing w:line="276" w:lineRule="auto"/>
              <w:ind w:right="-334"/>
              <w:jc w:val="center"/>
              <w:rPr>
                <w:rFonts w:ascii="Times New Roman" w:hAnsi="Times New Roman" w:cs="Times New Roman"/>
                <w:b/>
              </w:rPr>
            </w:pPr>
            <w:r w:rsidRPr="001D0846">
              <w:rPr>
                <w:rFonts w:ascii="Times New Roman" w:hAnsi="Times New Roman" w:cs="Times New Roman"/>
                <w:b/>
              </w:rPr>
              <w:t>2015</w:t>
            </w:r>
          </w:p>
        </w:tc>
        <w:tc>
          <w:tcPr>
            <w:tcW w:w="1134" w:type="dxa"/>
          </w:tcPr>
          <w:p w:rsidR="00714F5D" w:rsidRPr="001D0846" w:rsidRDefault="00714F5D" w:rsidP="008C5C6A">
            <w:pPr>
              <w:spacing w:line="276" w:lineRule="auto"/>
              <w:ind w:right="-334"/>
              <w:jc w:val="center"/>
              <w:rPr>
                <w:rFonts w:ascii="Times New Roman" w:hAnsi="Times New Roman" w:cs="Times New Roman"/>
                <w:b/>
              </w:rPr>
            </w:pPr>
            <w:r w:rsidRPr="001D0846">
              <w:rPr>
                <w:rFonts w:ascii="Times New Roman" w:hAnsi="Times New Roman" w:cs="Times New Roman"/>
                <w:b/>
              </w:rPr>
              <w:t>2016</w:t>
            </w:r>
          </w:p>
        </w:tc>
        <w:tc>
          <w:tcPr>
            <w:tcW w:w="1134" w:type="dxa"/>
          </w:tcPr>
          <w:p w:rsidR="00714F5D" w:rsidRPr="001D0846" w:rsidRDefault="00714F5D" w:rsidP="008C5C6A">
            <w:pPr>
              <w:spacing w:line="276" w:lineRule="auto"/>
              <w:ind w:right="-334"/>
              <w:jc w:val="center"/>
              <w:rPr>
                <w:rFonts w:ascii="Times New Roman" w:hAnsi="Times New Roman" w:cs="Times New Roman"/>
                <w:b/>
              </w:rPr>
            </w:pPr>
            <w:r w:rsidRPr="001D0846">
              <w:rPr>
                <w:rFonts w:ascii="Times New Roman" w:hAnsi="Times New Roman" w:cs="Times New Roman"/>
                <w:b/>
              </w:rPr>
              <w:t>2017</w:t>
            </w:r>
          </w:p>
        </w:tc>
        <w:tc>
          <w:tcPr>
            <w:tcW w:w="1134" w:type="dxa"/>
          </w:tcPr>
          <w:p w:rsidR="00714F5D" w:rsidRPr="001D0846" w:rsidRDefault="00714F5D" w:rsidP="008C5C6A">
            <w:pPr>
              <w:spacing w:line="276" w:lineRule="auto"/>
              <w:ind w:right="-40"/>
              <w:jc w:val="center"/>
              <w:rPr>
                <w:rFonts w:ascii="Times New Roman" w:hAnsi="Times New Roman" w:cs="Times New Roman"/>
                <w:b/>
              </w:rPr>
            </w:pPr>
            <w:r w:rsidRPr="001D0846">
              <w:rPr>
                <w:rFonts w:ascii="Times New Roman" w:hAnsi="Times New Roman" w:cs="Times New Roman"/>
                <w:b/>
              </w:rPr>
              <w:t>2015/2016</w:t>
            </w:r>
          </w:p>
        </w:tc>
        <w:tc>
          <w:tcPr>
            <w:tcW w:w="1276" w:type="dxa"/>
          </w:tcPr>
          <w:p w:rsidR="00714F5D" w:rsidRPr="001D0846" w:rsidRDefault="00714F5D" w:rsidP="008C5C6A">
            <w:pPr>
              <w:spacing w:line="276" w:lineRule="auto"/>
              <w:ind w:right="-40"/>
              <w:jc w:val="center"/>
              <w:rPr>
                <w:rFonts w:ascii="Times New Roman" w:hAnsi="Times New Roman" w:cs="Times New Roman"/>
                <w:b/>
              </w:rPr>
            </w:pPr>
            <w:r w:rsidRPr="001D0846">
              <w:rPr>
                <w:rFonts w:ascii="Times New Roman" w:hAnsi="Times New Roman" w:cs="Times New Roman"/>
                <w:b/>
              </w:rPr>
              <w:t>2016/2017</w:t>
            </w:r>
          </w:p>
        </w:tc>
      </w:tr>
      <w:tr w:rsidR="00714F5D" w:rsidRPr="001D0846" w:rsidTr="008C5C6A">
        <w:tc>
          <w:tcPr>
            <w:tcW w:w="710" w:type="dxa"/>
          </w:tcPr>
          <w:p w:rsidR="00714F5D" w:rsidRPr="001D0846" w:rsidRDefault="00714F5D" w:rsidP="008C5C6A">
            <w:pPr>
              <w:spacing w:line="276" w:lineRule="auto"/>
              <w:ind w:right="-334"/>
              <w:jc w:val="center"/>
              <w:rPr>
                <w:rFonts w:ascii="Times New Roman" w:hAnsi="Times New Roman" w:cs="Times New Roman"/>
                <w:b/>
              </w:rPr>
            </w:pPr>
            <w:r w:rsidRPr="001D0846">
              <w:rPr>
                <w:rFonts w:ascii="Times New Roman" w:hAnsi="Times New Roman" w:cs="Times New Roman"/>
                <w:b/>
              </w:rPr>
              <w:t>1</w:t>
            </w:r>
            <w:r>
              <w:rPr>
                <w:rFonts w:ascii="Times New Roman" w:hAnsi="Times New Roman" w:cs="Times New Roman"/>
                <w:b/>
              </w:rPr>
              <w:t>.</w:t>
            </w:r>
          </w:p>
        </w:tc>
        <w:tc>
          <w:tcPr>
            <w:tcW w:w="3827" w:type="dxa"/>
          </w:tcPr>
          <w:p w:rsidR="00714F5D" w:rsidRPr="001D0846" w:rsidRDefault="00714F5D" w:rsidP="008C5C6A">
            <w:pPr>
              <w:spacing w:line="276" w:lineRule="auto"/>
              <w:ind w:right="-334"/>
              <w:jc w:val="both"/>
              <w:rPr>
                <w:rFonts w:ascii="Times New Roman" w:hAnsi="Times New Roman" w:cs="Times New Roman"/>
              </w:rPr>
            </w:pPr>
            <w:r w:rsidRPr="001D0846">
              <w:rPr>
                <w:rFonts w:ascii="Times New Roman" w:hAnsi="Times New Roman" w:cs="Times New Roman"/>
              </w:rPr>
              <w:t>Venituri încasate  (mil.lei)</w:t>
            </w:r>
          </w:p>
        </w:tc>
        <w:tc>
          <w:tcPr>
            <w:tcW w:w="1134" w:type="dxa"/>
            <w:vAlign w:val="center"/>
          </w:tcPr>
          <w:p w:rsidR="00714F5D" w:rsidRPr="001D0846" w:rsidRDefault="00714F5D" w:rsidP="008C5C6A">
            <w:pPr>
              <w:spacing w:line="276" w:lineRule="auto"/>
              <w:ind w:right="33"/>
              <w:jc w:val="center"/>
              <w:rPr>
                <w:rFonts w:ascii="Times New Roman" w:hAnsi="Times New Roman" w:cs="Times New Roman"/>
              </w:rPr>
            </w:pPr>
            <w:r w:rsidRPr="001D0846">
              <w:rPr>
                <w:rFonts w:ascii="Times New Roman" w:hAnsi="Times New Roman" w:cs="Times New Roman"/>
              </w:rPr>
              <w:t>25129,8</w:t>
            </w:r>
          </w:p>
        </w:tc>
        <w:tc>
          <w:tcPr>
            <w:tcW w:w="1134" w:type="dxa"/>
            <w:vAlign w:val="center"/>
          </w:tcPr>
          <w:p w:rsidR="00714F5D" w:rsidRPr="001D0846" w:rsidRDefault="00714F5D" w:rsidP="008C5C6A">
            <w:pPr>
              <w:spacing w:line="276" w:lineRule="auto"/>
              <w:ind w:right="33"/>
              <w:jc w:val="center"/>
              <w:rPr>
                <w:rFonts w:ascii="Times New Roman" w:hAnsi="Times New Roman" w:cs="Times New Roman"/>
              </w:rPr>
            </w:pPr>
            <w:r w:rsidRPr="001D0846">
              <w:rPr>
                <w:rFonts w:ascii="Times New Roman" w:hAnsi="Times New Roman" w:cs="Times New Roman"/>
              </w:rPr>
              <w:t>27622,1</w:t>
            </w:r>
          </w:p>
        </w:tc>
        <w:tc>
          <w:tcPr>
            <w:tcW w:w="1134" w:type="dxa"/>
            <w:vAlign w:val="center"/>
          </w:tcPr>
          <w:p w:rsidR="00714F5D" w:rsidRPr="001D0846" w:rsidRDefault="00714F5D" w:rsidP="008C5C6A">
            <w:pPr>
              <w:spacing w:line="276" w:lineRule="auto"/>
              <w:ind w:right="33"/>
              <w:jc w:val="center"/>
              <w:rPr>
                <w:rFonts w:ascii="Times New Roman" w:hAnsi="Times New Roman" w:cs="Times New Roman"/>
              </w:rPr>
            </w:pPr>
            <w:r w:rsidRPr="001D0846">
              <w:rPr>
                <w:rFonts w:ascii="Times New Roman" w:hAnsi="Times New Roman" w:cs="Times New Roman"/>
              </w:rPr>
              <w:t>32714,2</w:t>
            </w:r>
          </w:p>
        </w:tc>
        <w:tc>
          <w:tcPr>
            <w:tcW w:w="1134" w:type="dxa"/>
            <w:vAlign w:val="center"/>
          </w:tcPr>
          <w:p w:rsidR="00714F5D" w:rsidRPr="001D0846" w:rsidRDefault="00714F5D" w:rsidP="008C5C6A">
            <w:pPr>
              <w:spacing w:line="276" w:lineRule="auto"/>
              <w:ind w:right="-103"/>
              <w:jc w:val="center"/>
              <w:rPr>
                <w:rFonts w:ascii="Times New Roman" w:hAnsi="Times New Roman" w:cs="Times New Roman"/>
              </w:rPr>
            </w:pPr>
            <w:r w:rsidRPr="001D0846">
              <w:rPr>
                <w:rFonts w:ascii="Times New Roman" w:hAnsi="Times New Roman" w:cs="Times New Roman"/>
              </w:rPr>
              <w:t>+9,02</w:t>
            </w:r>
          </w:p>
        </w:tc>
        <w:tc>
          <w:tcPr>
            <w:tcW w:w="1276" w:type="dxa"/>
            <w:vAlign w:val="center"/>
          </w:tcPr>
          <w:p w:rsidR="00714F5D" w:rsidRPr="001D0846" w:rsidRDefault="00714F5D" w:rsidP="008C5C6A">
            <w:pPr>
              <w:spacing w:line="276" w:lineRule="auto"/>
              <w:jc w:val="center"/>
              <w:rPr>
                <w:rFonts w:ascii="Times New Roman" w:hAnsi="Times New Roman" w:cs="Times New Roman"/>
              </w:rPr>
            </w:pPr>
            <w:r w:rsidRPr="001D0846">
              <w:rPr>
                <w:rFonts w:ascii="Times New Roman" w:hAnsi="Times New Roman" w:cs="Times New Roman"/>
              </w:rPr>
              <w:t>+15,56</w:t>
            </w:r>
          </w:p>
        </w:tc>
      </w:tr>
      <w:tr w:rsidR="00714F5D" w:rsidRPr="001D0846" w:rsidTr="008C5C6A">
        <w:tc>
          <w:tcPr>
            <w:tcW w:w="710" w:type="dxa"/>
          </w:tcPr>
          <w:p w:rsidR="00714F5D" w:rsidRPr="001D0846" w:rsidRDefault="00714F5D" w:rsidP="008C5C6A">
            <w:pPr>
              <w:spacing w:line="276" w:lineRule="auto"/>
              <w:ind w:right="-334"/>
              <w:jc w:val="center"/>
              <w:rPr>
                <w:rFonts w:ascii="Times New Roman" w:hAnsi="Times New Roman" w:cs="Times New Roman"/>
                <w:b/>
              </w:rPr>
            </w:pPr>
            <w:r w:rsidRPr="001D0846">
              <w:rPr>
                <w:rFonts w:ascii="Times New Roman" w:hAnsi="Times New Roman" w:cs="Times New Roman"/>
                <w:b/>
              </w:rPr>
              <w:t>2</w:t>
            </w:r>
            <w:r>
              <w:rPr>
                <w:rFonts w:ascii="Times New Roman" w:hAnsi="Times New Roman" w:cs="Times New Roman"/>
                <w:b/>
              </w:rPr>
              <w:t>.</w:t>
            </w:r>
          </w:p>
        </w:tc>
        <w:tc>
          <w:tcPr>
            <w:tcW w:w="3827" w:type="dxa"/>
          </w:tcPr>
          <w:p w:rsidR="00714F5D" w:rsidRPr="001D0846" w:rsidRDefault="00714F5D" w:rsidP="008C5C6A">
            <w:pPr>
              <w:spacing w:line="276" w:lineRule="auto"/>
              <w:ind w:right="39"/>
              <w:jc w:val="both"/>
              <w:rPr>
                <w:rFonts w:ascii="Times New Roman" w:hAnsi="Times New Roman" w:cs="Times New Roman"/>
              </w:rPr>
            </w:pPr>
            <w:r w:rsidRPr="001D0846">
              <w:rPr>
                <w:rFonts w:ascii="Times New Roman" w:hAnsi="Times New Roman" w:cs="Times New Roman"/>
              </w:rPr>
              <w:t xml:space="preserve">Cheltuieli de întreținere executate de </w:t>
            </w:r>
            <w:r>
              <w:rPr>
                <w:rFonts w:ascii="Times New Roman" w:hAnsi="Times New Roman" w:cs="Times New Roman"/>
              </w:rPr>
              <w:t xml:space="preserve">către </w:t>
            </w:r>
            <w:r w:rsidRPr="001D0846">
              <w:rPr>
                <w:rFonts w:ascii="Times New Roman" w:hAnsi="Times New Roman" w:cs="Times New Roman"/>
              </w:rPr>
              <w:t>SFS (mii. lei)</w:t>
            </w:r>
            <w:r>
              <w:rPr>
                <w:rFonts w:ascii="Times New Roman" w:hAnsi="Times New Roman" w:cs="Times New Roman"/>
              </w:rPr>
              <w:t>,</w:t>
            </w:r>
            <w:r w:rsidRPr="001D0846">
              <w:rPr>
                <w:rFonts w:ascii="Times New Roman" w:hAnsi="Times New Roman" w:cs="Times New Roman"/>
              </w:rPr>
              <w:t xml:space="preserve"> dintre care:</w:t>
            </w:r>
          </w:p>
        </w:tc>
        <w:tc>
          <w:tcPr>
            <w:tcW w:w="1134" w:type="dxa"/>
            <w:vAlign w:val="center"/>
          </w:tcPr>
          <w:p w:rsidR="00714F5D" w:rsidRPr="001D0846" w:rsidRDefault="00714F5D" w:rsidP="008C5C6A">
            <w:pPr>
              <w:spacing w:line="276" w:lineRule="auto"/>
              <w:ind w:right="33"/>
              <w:jc w:val="center"/>
              <w:rPr>
                <w:rFonts w:ascii="Times New Roman" w:hAnsi="Times New Roman" w:cs="Times New Roman"/>
              </w:rPr>
            </w:pPr>
            <w:r w:rsidRPr="001D0846">
              <w:rPr>
                <w:rFonts w:ascii="Times New Roman" w:hAnsi="Times New Roman" w:cs="Times New Roman"/>
              </w:rPr>
              <w:t>217882,0</w:t>
            </w:r>
          </w:p>
        </w:tc>
        <w:tc>
          <w:tcPr>
            <w:tcW w:w="1134" w:type="dxa"/>
            <w:vAlign w:val="center"/>
          </w:tcPr>
          <w:p w:rsidR="00714F5D" w:rsidRPr="001D0846" w:rsidRDefault="00714F5D" w:rsidP="008C5C6A">
            <w:pPr>
              <w:spacing w:line="276" w:lineRule="auto"/>
              <w:ind w:right="33"/>
              <w:jc w:val="center"/>
              <w:rPr>
                <w:rFonts w:ascii="Times New Roman" w:hAnsi="Times New Roman" w:cs="Times New Roman"/>
              </w:rPr>
            </w:pPr>
            <w:r w:rsidRPr="001D0846">
              <w:rPr>
                <w:rFonts w:ascii="Times New Roman" w:hAnsi="Times New Roman" w:cs="Times New Roman"/>
              </w:rPr>
              <w:t>270125,8</w:t>
            </w:r>
          </w:p>
        </w:tc>
        <w:tc>
          <w:tcPr>
            <w:tcW w:w="1134" w:type="dxa"/>
            <w:vAlign w:val="center"/>
          </w:tcPr>
          <w:p w:rsidR="00714F5D" w:rsidRPr="001D0846" w:rsidRDefault="00714F5D" w:rsidP="008C5C6A">
            <w:pPr>
              <w:spacing w:line="276" w:lineRule="auto"/>
              <w:ind w:right="33"/>
              <w:jc w:val="center"/>
              <w:rPr>
                <w:rFonts w:ascii="Times New Roman" w:hAnsi="Times New Roman" w:cs="Times New Roman"/>
              </w:rPr>
            </w:pPr>
            <w:r w:rsidRPr="001D0846">
              <w:rPr>
                <w:rFonts w:ascii="Times New Roman" w:hAnsi="Times New Roman" w:cs="Times New Roman"/>
              </w:rPr>
              <w:t>442278,3</w:t>
            </w:r>
          </w:p>
        </w:tc>
        <w:tc>
          <w:tcPr>
            <w:tcW w:w="1134" w:type="dxa"/>
            <w:vAlign w:val="center"/>
          </w:tcPr>
          <w:p w:rsidR="00714F5D" w:rsidRPr="001D0846" w:rsidRDefault="00714F5D" w:rsidP="008C5C6A">
            <w:pPr>
              <w:spacing w:line="276" w:lineRule="auto"/>
              <w:ind w:right="-103"/>
              <w:jc w:val="center"/>
              <w:rPr>
                <w:rFonts w:ascii="Times New Roman" w:hAnsi="Times New Roman" w:cs="Times New Roman"/>
              </w:rPr>
            </w:pPr>
            <w:r w:rsidRPr="001D0846">
              <w:rPr>
                <w:rFonts w:ascii="Times New Roman" w:hAnsi="Times New Roman" w:cs="Times New Roman"/>
              </w:rPr>
              <w:t>+19,34</w:t>
            </w:r>
          </w:p>
        </w:tc>
        <w:tc>
          <w:tcPr>
            <w:tcW w:w="1276" w:type="dxa"/>
            <w:vAlign w:val="center"/>
          </w:tcPr>
          <w:p w:rsidR="00714F5D" w:rsidRPr="001D0846" w:rsidRDefault="00714F5D" w:rsidP="008C5C6A">
            <w:pPr>
              <w:spacing w:line="276" w:lineRule="auto"/>
              <w:jc w:val="center"/>
              <w:rPr>
                <w:rFonts w:ascii="Times New Roman" w:hAnsi="Times New Roman" w:cs="Times New Roman"/>
              </w:rPr>
            </w:pPr>
            <w:r w:rsidRPr="001D0846">
              <w:rPr>
                <w:rFonts w:ascii="Times New Roman" w:hAnsi="Times New Roman" w:cs="Times New Roman"/>
              </w:rPr>
              <w:t>+38,92</w:t>
            </w:r>
          </w:p>
        </w:tc>
      </w:tr>
      <w:tr w:rsidR="00714F5D" w:rsidRPr="001D0846" w:rsidTr="008C5C6A">
        <w:tc>
          <w:tcPr>
            <w:tcW w:w="710" w:type="dxa"/>
          </w:tcPr>
          <w:p w:rsidR="00714F5D" w:rsidRPr="001D0846" w:rsidRDefault="00714F5D" w:rsidP="008C5C6A">
            <w:pPr>
              <w:spacing w:line="276" w:lineRule="auto"/>
              <w:ind w:right="-334"/>
              <w:jc w:val="center"/>
              <w:rPr>
                <w:rFonts w:ascii="Times New Roman" w:hAnsi="Times New Roman" w:cs="Times New Roman"/>
                <w:b/>
              </w:rPr>
            </w:pPr>
          </w:p>
        </w:tc>
        <w:tc>
          <w:tcPr>
            <w:tcW w:w="3827" w:type="dxa"/>
          </w:tcPr>
          <w:p w:rsidR="00714F5D" w:rsidRPr="001D0846" w:rsidRDefault="00714F5D" w:rsidP="008C5C6A">
            <w:pPr>
              <w:pStyle w:val="ListParagraph"/>
              <w:numPr>
                <w:ilvl w:val="0"/>
                <w:numId w:val="11"/>
              </w:numPr>
              <w:spacing w:line="276" w:lineRule="auto"/>
              <w:ind w:right="-334"/>
              <w:jc w:val="both"/>
              <w:rPr>
                <w:rFonts w:ascii="Times New Roman" w:hAnsi="Times New Roman" w:cs="Times New Roman"/>
              </w:rPr>
            </w:pPr>
            <w:r w:rsidRPr="001D0846">
              <w:rPr>
                <w:rFonts w:ascii="Times New Roman" w:hAnsi="Times New Roman" w:cs="Times New Roman"/>
              </w:rPr>
              <w:t>cheltuieli de personal (mii. lei)</w:t>
            </w:r>
          </w:p>
        </w:tc>
        <w:tc>
          <w:tcPr>
            <w:tcW w:w="1134" w:type="dxa"/>
            <w:vAlign w:val="center"/>
          </w:tcPr>
          <w:p w:rsidR="00714F5D" w:rsidRPr="001D0846" w:rsidRDefault="00714F5D" w:rsidP="008C5C6A">
            <w:pPr>
              <w:spacing w:line="276" w:lineRule="auto"/>
              <w:ind w:right="33"/>
              <w:jc w:val="center"/>
              <w:rPr>
                <w:rFonts w:ascii="Times New Roman" w:hAnsi="Times New Roman" w:cs="Times New Roman"/>
              </w:rPr>
            </w:pPr>
            <w:r w:rsidRPr="001D0846">
              <w:rPr>
                <w:rFonts w:ascii="Times New Roman" w:hAnsi="Times New Roman" w:cs="Times New Roman"/>
              </w:rPr>
              <w:t>158229,3</w:t>
            </w:r>
          </w:p>
        </w:tc>
        <w:tc>
          <w:tcPr>
            <w:tcW w:w="1134" w:type="dxa"/>
            <w:vAlign w:val="center"/>
          </w:tcPr>
          <w:p w:rsidR="00714F5D" w:rsidRPr="001D0846" w:rsidRDefault="00714F5D" w:rsidP="008C5C6A">
            <w:pPr>
              <w:spacing w:line="276" w:lineRule="auto"/>
              <w:ind w:right="33"/>
              <w:jc w:val="center"/>
              <w:rPr>
                <w:rFonts w:ascii="Times New Roman" w:hAnsi="Times New Roman" w:cs="Times New Roman"/>
              </w:rPr>
            </w:pPr>
            <w:r w:rsidRPr="001D0846">
              <w:rPr>
                <w:rFonts w:ascii="Times New Roman" w:hAnsi="Times New Roman" w:cs="Times New Roman"/>
              </w:rPr>
              <w:t>177663,1</w:t>
            </w:r>
          </w:p>
        </w:tc>
        <w:tc>
          <w:tcPr>
            <w:tcW w:w="1134" w:type="dxa"/>
            <w:tcBorders>
              <w:right w:val="single" w:sz="4" w:space="0" w:color="auto"/>
            </w:tcBorders>
            <w:vAlign w:val="center"/>
          </w:tcPr>
          <w:p w:rsidR="00714F5D" w:rsidRPr="001D0846" w:rsidRDefault="00714F5D" w:rsidP="008C5C6A">
            <w:pPr>
              <w:spacing w:line="276" w:lineRule="auto"/>
              <w:ind w:right="33"/>
              <w:jc w:val="center"/>
              <w:rPr>
                <w:rFonts w:ascii="Times New Roman" w:hAnsi="Times New Roman" w:cs="Times New Roman"/>
              </w:rPr>
            </w:pPr>
            <w:r w:rsidRPr="001D0846">
              <w:rPr>
                <w:rFonts w:ascii="Times New Roman" w:hAnsi="Times New Roman" w:cs="Times New Roman"/>
              </w:rPr>
              <w:t>328442,9</w:t>
            </w:r>
          </w:p>
        </w:tc>
        <w:tc>
          <w:tcPr>
            <w:tcW w:w="1134" w:type="dxa"/>
            <w:tcBorders>
              <w:right w:val="single" w:sz="4" w:space="0" w:color="auto"/>
            </w:tcBorders>
            <w:vAlign w:val="center"/>
          </w:tcPr>
          <w:p w:rsidR="00714F5D" w:rsidRPr="001D0846" w:rsidRDefault="00714F5D" w:rsidP="008C5C6A">
            <w:pPr>
              <w:spacing w:line="276" w:lineRule="auto"/>
              <w:ind w:right="-103"/>
              <w:jc w:val="center"/>
              <w:rPr>
                <w:rFonts w:ascii="Times New Roman" w:hAnsi="Times New Roman" w:cs="Times New Roman"/>
              </w:rPr>
            </w:pPr>
            <w:r w:rsidRPr="001D0846">
              <w:rPr>
                <w:rFonts w:ascii="Times New Roman" w:hAnsi="Times New Roman" w:cs="Times New Roman"/>
              </w:rPr>
              <w:t>+10,94</w:t>
            </w:r>
          </w:p>
        </w:tc>
        <w:tc>
          <w:tcPr>
            <w:tcW w:w="1276" w:type="dxa"/>
            <w:tcBorders>
              <w:right w:val="single" w:sz="4" w:space="0" w:color="auto"/>
            </w:tcBorders>
            <w:vAlign w:val="center"/>
          </w:tcPr>
          <w:p w:rsidR="00714F5D" w:rsidRPr="001D0846" w:rsidRDefault="00714F5D" w:rsidP="008C5C6A">
            <w:pPr>
              <w:spacing w:line="276" w:lineRule="auto"/>
              <w:jc w:val="center"/>
              <w:rPr>
                <w:rFonts w:ascii="Times New Roman" w:hAnsi="Times New Roman" w:cs="Times New Roman"/>
              </w:rPr>
            </w:pPr>
            <w:r w:rsidRPr="001D0846">
              <w:rPr>
                <w:rFonts w:ascii="Times New Roman" w:hAnsi="Times New Roman" w:cs="Times New Roman"/>
              </w:rPr>
              <w:t>+45,91</w:t>
            </w:r>
          </w:p>
        </w:tc>
      </w:tr>
      <w:tr w:rsidR="00714F5D" w:rsidRPr="001D0846" w:rsidTr="008C5C6A">
        <w:tc>
          <w:tcPr>
            <w:tcW w:w="710" w:type="dxa"/>
          </w:tcPr>
          <w:p w:rsidR="00714F5D" w:rsidRPr="001D0846" w:rsidRDefault="00714F5D" w:rsidP="008C5C6A">
            <w:pPr>
              <w:spacing w:line="276" w:lineRule="auto"/>
              <w:ind w:right="-334"/>
              <w:jc w:val="center"/>
              <w:rPr>
                <w:rFonts w:ascii="Times New Roman" w:hAnsi="Times New Roman" w:cs="Times New Roman"/>
                <w:b/>
              </w:rPr>
            </w:pPr>
            <w:r w:rsidRPr="001D0846">
              <w:rPr>
                <w:rFonts w:ascii="Times New Roman" w:hAnsi="Times New Roman" w:cs="Times New Roman"/>
                <w:b/>
              </w:rPr>
              <w:t>3</w:t>
            </w:r>
            <w:r>
              <w:rPr>
                <w:rFonts w:ascii="Times New Roman" w:hAnsi="Times New Roman" w:cs="Times New Roman"/>
                <w:b/>
              </w:rPr>
              <w:t>.</w:t>
            </w:r>
          </w:p>
        </w:tc>
        <w:tc>
          <w:tcPr>
            <w:tcW w:w="3827" w:type="dxa"/>
          </w:tcPr>
          <w:p w:rsidR="00714F5D" w:rsidRPr="001D0846" w:rsidRDefault="00714F5D" w:rsidP="008C5C6A">
            <w:pPr>
              <w:spacing w:line="276" w:lineRule="auto"/>
              <w:ind w:right="-334"/>
              <w:jc w:val="both"/>
              <w:rPr>
                <w:rFonts w:ascii="Times New Roman" w:hAnsi="Times New Roman" w:cs="Times New Roman"/>
              </w:rPr>
            </w:pPr>
            <w:r w:rsidRPr="001D0846">
              <w:rPr>
                <w:rFonts w:ascii="Times New Roman" w:hAnsi="Times New Roman" w:cs="Times New Roman"/>
              </w:rPr>
              <w:t>Numărul mediu de personal</w:t>
            </w:r>
          </w:p>
        </w:tc>
        <w:tc>
          <w:tcPr>
            <w:tcW w:w="1134" w:type="dxa"/>
            <w:vAlign w:val="center"/>
          </w:tcPr>
          <w:p w:rsidR="00714F5D" w:rsidRPr="001D0846" w:rsidRDefault="00714F5D" w:rsidP="008C5C6A">
            <w:pPr>
              <w:spacing w:line="276" w:lineRule="auto"/>
              <w:ind w:right="33"/>
              <w:jc w:val="center"/>
              <w:rPr>
                <w:rFonts w:ascii="Times New Roman" w:hAnsi="Times New Roman" w:cs="Times New Roman"/>
              </w:rPr>
            </w:pPr>
            <w:r w:rsidRPr="001D0846">
              <w:rPr>
                <w:rFonts w:ascii="Times New Roman" w:hAnsi="Times New Roman" w:cs="Times New Roman"/>
              </w:rPr>
              <w:t>1774</w:t>
            </w:r>
          </w:p>
        </w:tc>
        <w:tc>
          <w:tcPr>
            <w:tcW w:w="1134" w:type="dxa"/>
            <w:vAlign w:val="center"/>
          </w:tcPr>
          <w:p w:rsidR="00714F5D" w:rsidRPr="001D0846" w:rsidRDefault="00714F5D" w:rsidP="008C5C6A">
            <w:pPr>
              <w:spacing w:line="276" w:lineRule="auto"/>
              <w:ind w:right="33"/>
              <w:jc w:val="center"/>
              <w:rPr>
                <w:rFonts w:ascii="Times New Roman" w:hAnsi="Times New Roman" w:cs="Times New Roman"/>
              </w:rPr>
            </w:pPr>
            <w:r w:rsidRPr="001D0846">
              <w:rPr>
                <w:rFonts w:ascii="Times New Roman" w:hAnsi="Times New Roman" w:cs="Times New Roman"/>
              </w:rPr>
              <w:t>1706</w:t>
            </w:r>
          </w:p>
        </w:tc>
        <w:tc>
          <w:tcPr>
            <w:tcW w:w="1134" w:type="dxa"/>
            <w:tcBorders>
              <w:right w:val="single" w:sz="4" w:space="0" w:color="auto"/>
            </w:tcBorders>
            <w:vAlign w:val="center"/>
          </w:tcPr>
          <w:p w:rsidR="00714F5D" w:rsidRPr="001D0846" w:rsidRDefault="00714F5D" w:rsidP="008C5C6A">
            <w:pPr>
              <w:spacing w:line="276" w:lineRule="auto"/>
              <w:ind w:right="33"/>
              <w:jc w:val="center"/>
              <w:rPr>
                <w:rFonts w:ascii="Times New Roman" w:hAnsi="Times New Roman" w:cs="Times New Roman"/>
              </w:rPr>
            </w:pPr>
            <w:r w:rsidRPr="001D0846">
              <w:rPr>
                <w:rFonts w:ascii="Times New Roman" w:hAnsi="Times New Roman" w:cs="Times New Roman"/>
              </w:rPr>
              <w:t>1666</w:t>
            </w:r>
          </w:p>
        </w:tc>
        <w:tc>
          <w:tcPr>
            <w:tcW w:w="1134" w:type="dxa"/>
            <w:tcBorders>
              <w:right w:val="single" w:sz="4" w:space="0" w:color="auto"/>
            </w:tcBorders>
            <w:vAlign w:val="center"/>
          </w:tcPr>
          <w:p w:rsidR="00714F5D" w:rsidRPr="001D0846" w:rsidRDefault="00714F5D" w:rsidP="008C5C6A">
            <w:pPr>
              <w:spacing w:line="276" w:lineRule="auto"/>
              <w:ind w:right="-103"/>
              <w:jc w:val="center"/>
              <w:rPr>
                <w:rFonts w:ascii="Times New Roman" w:hAnsi="Times New Roman" w:cs="Times New Roman"/>
              </w:rPr>
            </w:pPr>
            <w:r w:rsidRPr="001D0846">
              <w:rPr>
                <w:rFonts w:ascii="Times New Roman" w:hAnsi="Times New Roman" w:cs="Times New Roman"/>
              </w:rPr>
              <w:t>-3,99</w:t>
            </w:r>
          </w:p>
        </w:tc>
        <w:tc>
          <w:tcPr>
            <w:tcW w:w="1276" w:type="dxa"/>
            <w:tcBorders>
              <w:right w:val="single" w:sz="4" w:space="0" w:color="auto"/>
            </w:tcBorders>
            <w:vAlign w:val="center"/>
          </w:tcPr>
          <w:p w:rsidR="00714F5D" w:rsidRPr="001D0846" w:rsidRDefault="00714F5D" w:rsidP="008C5C6A">
            <w:pPr>
              <w:spacing w:line="276" w:lineRule="auto"/>
              <w:jc w:val="center"/>
              <w:rPr>
                <w:rFonts w:ascii="Times New Roman" w:hAnsi="Times New Roman" w:cs="Times New Roman"/>
              </w:rPr>
            </w:pPr>
            <w:r w:rsidRPr="001D0846">
              <w:rPr>
                <w:rFonts w:ascii="Times New Roman" w:hAnsi="Times New Roman" w:cs="Times New Roman"/>
              </w:rPr>
              <w:t>-2,4</w:t>
            </w:r>
          </w:p>
        </w:tc>
      </w:tr>
      <w:tr w:rsidR="00714F5D" w:rsidRPr="001D0846" w:rsidTr="008C5C6A">
        <w:tc>
          <w:tcPr>
            <w:tcW w:w="710" w:type="dxa"/>
          </w:tcPr>
          <w:p w:rsidR="00714F5D" w:rsidRPr="001D0846" w:rsidRDefault="00714F5D" w:rsidP="008C5C6A">
            <w:pPr>
              <w:spacing w:line="276" w:lineRule="auto"/>
              <w:ind w:right="-334"/>
              <w:jc w:val="center"/>
              <w:rPr>
                <w:rFonts w:ascii="Times New Roman" w:hAnsi="Times New Roman" w:cs="Times New Roman"/>
                <w:b/>
              </w:rPr>
            </w:pPr>
            <w:r w:rsidRPr="001D0846">
              <w:rPr>
                <w:rFonts w:ascii="Times New Roman" w:hAnsi="Times New Roman" w:cs="Times New Roman"/>
                <w:b/>
              </w:rPr>
              <w:t>4</w:t>
            </w:r>
            <w:r>
              <w:rPr>
                <w:rFonts w:ascii="Times New Roman" w:hAnsi="Times New Roman" w:cs="Times New Roman"/>
                <w:b/>
              </w:rPr>
              <w:t>.</w:t>
            </w:r>
          </w:p>
        </w:tc>
        <w:tc>
          <w:tcPr>
            <w:tcW w:w="3827" w:type="dxa"/>
          </w:tcPr>
          <w:p w:rsidR="00714F5D" w:rsidRPr="001D0846" w:rsidRDefault="00714F5D" w:rsidP="008C5C6A">
            <w:pPr>
              <w:spacing w:line="276" w:lineRule="auto"/>
              <w:ind w:right="-334"/>
              <w:jc w:val="both"/>
              <w:rPr>
                <w:rFonts w:ascii="Times New Roman" w:hAnsi="Times New Roman" w:cs="Times New Roman"/>
              </w:rPr>
            </w:pPr>
            <w:r w:rsidRPr="001D0846">
              <w:rPr>
                <w:rFonts w:ascii="Times New Roman" w:hAnsi="Times New Roman" w:cs="Times New Roman"/>
              </w:rPr>
              <w:t>Numărul de contribuabili</w:t>
            </w:r>
          </w:p>
        </w:tc>
        <w:tc>
          <w:tcPr>
            <w:tcW w:w="1134" w:type="dxa"/>
            <w:vAlign w:val="center"/>
          </w:tcPr>
          <w:p w:rsidR="00714F5D" w:rsidRPr="001D0846" w:rsidRDefault="00714F5D" w:rsidP="008C5C6A">
            <w:pPr>
              <w:spacing w:line="276" w:lineRule="auto"/>
              <w:ind w:right="33"/>
              <w:jc w:val="center"/>
              <w:rPr>
                <w:rFonts w:ascii="Times New Roman" w:hAnsi="Times New Roman" w:cs="Times New Roman"/>
              </w:rPr>
            </w:pPr>
            <w:r w:rsidRPr="001D0846">
              <w:rPr>
                <w:rFonts w:ascii="Times New Roman" w:hAnsi="Times New Roman" w:cs="Times New Roman"/>
              </w:rPr>
              <w:t>457097</w:t>
            </w:r>
          </w:p>
        </w:tc>
        <w:tc>
          <w:tcPr>
            <w:tcW w:w="1134" w:type="dxa"/>
            <w:vAlign w:val="center"/>
          </w:tcPr>
          <w:p w:rsidR="00714F5D" w:rsidRPr="001D0846" w:rsidRDefault="00714F5D" w:rsidP="008C5C6A">
            <w:pPr>
              <w:spacing w:line="276" w:lineRule="auto"/>
              <w:ind w:right="33"/>
              <w:jc w:val="center"/>
              <w:rPr>
                <w:rFonts w:ascii="Times New Roman" w:hAnsi="Times New Roman" w:cs="Times New Roman"/>
              </w:rPr>
            </w:pPr>
            <w:r w:rsidRPr="001D0846">
              <w:rPr>
                <w:rFonts w:ascii="Times New Roman" w:hAnsi="Times New Roman" w:cs="Times New Roman"/>
              </w:rPr>
              <w:t>378148</w:t>
            </w:r>
          </w:p>
        </w:tc>
        <w:tc>
          <w:tcPr>
            <w:tcW w:w="1134" w:type="dxa"/>
            <w:vAlign w:val="center"/>
          </w:tcPr>
          <w:p w:rsidR="00714F5D" w:rsidRPr="001D0846" w:rsidRDefault="00714F5D" w:rsidP="008C5C6A">
            <w:pPr>
              <w:spacing w:line="276" w:lineRule="auto"/>
              <w:ind w:right="33"/>
              <w:jc w:val="center"/>
              <w:rPr>
                <w:rFonts w:ascii="Times New Roman" w:hAnsi="Times New Roman" w:cs="Times New Roman"/>
              </w:rPr>
            </w:pPr>
            <w:r w:rsidRPr="001D0846">
              <w:rPr>
                <w:rFonts w:ascii="Times New Roman" w:hAnsi="Times New Roman" w:cs="Times New Roman"/>
              </w:rPr>
              <w:t>351110</w:t>
            </w:r>
          </w:p>
        </w:tc>
        <w:tc>
          <w:tcPr>
            <w:tcW w:w="1134" w:type="dxa"/>
            <w:vAlign w:val="center"/>
          </w:tcPr>
          <w:p w:rsidR="00714F5D" w:rsidRPr="001D0846" w:rsidRDefault="00714F5D" w:rsidP="008C5C6A">
            <w:pPr>
              <w:spacing w:line="276" w:lineRule="auto"/>
              <w:ind w:right="-103"/>
              <w:jc w:val="center"/>
              <w:rPr>
                <w:rFonts w:ascii="Times New Roman" w:hAnsi="Times New Roman" w:cs="Times New Roman"/>
              </w:rPr>
            </w:pPr>
            <w:r w:rsidRPr="001D0846">
              <w:rPr>
                <w:rFonts w:ascii="Times New Roman" w:hAnsi="Times New Roman" w:cs="Times New Roman"/>
              </w:rPr>
              <w:t>-20,88</w:t>
            </w:r>
          </w:p>
        </w:tc>
        <w:tc>
          <w:tcPr>
            <w:tcW w:w="1276" w:type="dxa"/>
            <w:vAlign w:val="center"/>
          </w:tcPr>
          <w:p w:rsidR="00714F5D" w:rsidRPr="001D0846" w:rsidRDefault="00714F5D" w:rsidP="008C5C6A">
            <w:pPr>
              <w:spacing w:line="276" w:lineRule="auto"/>
              <w:jc w:val="center"/>
              <w:rPr>
                <w:rFonts w:ascii="Times New Roman" w:hAnsi="Times New Roman" w:cs="Times New Roman"/>
              </w:rPr>
            </w:pPr>
            <w:r w:rsidRPr="001D0846">
              <w:rPr>
                <w:rFonts w:ascii="Times New Roman" w:hAnsi="Times New Roman" w:cs="Times New Roman"/>
              </w:rPr>
              <w:t>-7,7</w:t>
            </w:r>
          </w:p>
        </w:tc>
      </w:tr>
      <w:tr w:rsidR="00714F5D" w:rsidRPr="001D0846" w:rsidTr="008C5C6A">
        <w:tc>
          <w:tcPr>
            <w:tcW w:w="710" w:type="dxa"/>
          </w:tcPr>
          <w:p w:rsidR="00714F5D" w:rsidRPr="001D0846" w:rsidRDefault="00714F5D" w:rsidP="008C5C6A">
            <w:pPr>
              <w:spacing w:line="276" w:lineRule="auto"/>
              <w:ind w:right="-334"/>
              <w:jc w:val="center"/>
              <w:rPr>
                <w:rFonts w:ascii="Times New Roman" w:hAnsi="Times New Roman" w:cs="Times New Roman"/>
                <w:b/>
              </w:rPr>
            </w:pPr>
            <w:r w:rsidRPr="001D0846">
              <w:rPr>
                <w:rFonts w:ascii="Times New Roman" w:hAnsi="Times New Roman" w:cs="Times New Roman"/>
                <w:b/>
              </w:rPr>
              <w:t>-</w:t>
            </w:r>
          </w:p>
        </w:tc>
        <w:tc>
          <w:tcPr>
            <w:tcW w:w="3827" w:type="dxa"/>
          </w:tcPr>
          <w:p w:rsidR="00714F5D" w:rsidRPr="001D0846" w:rsidRDefault="00714F5D" w:rsidP="008C5C6A">
            <w:pPr>
              <w:spacing w:line="276" w:lineRule="auto"/>
              <w:ind w:right="39"/>
              <w:jc w:val="both"/>
              <w:rPr>
                <w:rFonts w:ascii="Times New Roman" w:hAnsi="Times New Roman" w:cs="Times New Roman"/>
                <w:b/>
              </w:rPr>
            </w:pPr>
            <w:r w:rsidRPr="001D0846">
              <w:rPr>
                <w:rFonts w:ascii="Times New Roman" w:hAnsi="Times New Roman" w:cs="Times New Roman"/>
                <w:b/>
              </w:rPr>
              <w:t>Mii lei cheltuiți la 1 milion lei de venituri colectate (mii lei)</w:t>
            </w:r>
          </w:p>
        </w:tc>
        <w:tc>
          <w:tcPr>
            <w:tcW w:w="1134" w:type="dxa"/>
            <w:vAlign w:val="center"/>
          </w:tcPr>
          <w:p w:rsidR="00714F5D" w:rsidRPr="001D0846" w:rsidRDefault="00714F5D" w:rsidP="008C5C6A">
            <w:pPr>
              <w:spacing w:line="276" w:lineRule="auto"/>
              <w:ind w:right="33"/>
              <w:jc w:val="center"/>
              <w:rPr>
                <w:rFonts w:ascii="Times New Roman" w:hAnsi="Times New Roman" w:cs="Times New Roman"/>
                <w:b/>
              </w:rPr>
            </w:pPr>
            <w:r w:rsidRPr="001D0846">
              <w:rPr>
                <w:rFonts w:ascii="Times New Roman" w:hAnsi="Times New Roman" w:cs="Times New Roman"/>
                <w:b/>
              </w:rPr>
              <w:t>8,67</w:t>
            </w:r>
          </w:p>
        </w:tc>
        <w:tc>
          <w:tcPr>
            <w:tcW w:w="1134" w:type="dxa"/>
            <w:vAlign w:val="center"/>
          </w:tcPr>
          <w:p w:rsidR="00714F5D" w:rsidRPr="001D0846" w:rsidRDefault="00714F5D" w:rsidP="008C5C6A">
            <w:pPr>
              <w:spacing w:line="276" w:lineRule="auto"/>
              <w:ind w:right="33"/>
              <w:jc w:val="center"/>
              <w:rPr>
                <w:rFonts w:ascii="Times New Roman" w:hAnsi="Times New Roman" w:cs="Times New Roman"/>
                <w:b/>
              </w:rPr>
            </w:pPr>
            <w:r w:rsidRPr="001D0846">
              <w:rPr>
                <w:rFonts w:ascii="Times New Roman" w:hAnsi="Times New Roman" w:cs="Times New Roman"/>
                <w:b/>
              </w:rPr>
              <w:t>9,78</w:t>
            </w:r>
          </w:p>
        </w:tc>
        <w:tc>
          <w:tcPr>
            <w:tcW w:w="1134" w:type="dxa"/>
            <w:vAlign w:val="center"/>
          </w:tcPr>
          <w:p w:rsidR="00714F5D" w:rsidRPr="001D0846" w:rsidRDefault="00714F5D" w:rsidP="008C5C6A">
            <w:pPr>
              <w:spacing w:line="276" w:lineRule="auto"/>
              <w:ind w:right="33"/>
              <w:jc w:val="center"/>
              <w:rPr>
                <w:rFonts w:ascii="Times New Roman" w:hAnsi="Times New Roman" w:cs="Times New Roman"/>
                <w:b/>
              </w:rPr>
            </w:pPr>
            <w:r w:rsidRPr="001D0846">
              <w:rPr>
                <w:rFonts w:ascii="Times New Roman" w:hAnsi="Times New Roman" w:cs="Times New Roman"/>
                <w:b/>
              </w:rPr>
              <w:t>13,52</w:t>
            </w:r>
          </w:p>
        </w:tc>
        <w:tc>
          <w:tcPr>
            <w:tcW w:w="1134" w:type="dxa"/>
            <w:vAlign w:val="center"/>
          </w:tcPr>
          <w:p w:rsidR="00714F5D" w:rsidRPr="001D0846" w:rsidRDefault="00714F5D" w:rsidP="008C5C6A">
            <w:pPr>
              <w:spacing w:line="276" w:lineRule="auto"/>
              <w:ind w:right="33"/>
              <w:jc w:val="center"/>
              <w:rPr>
                <w:rFonts w:ascii="Times New Roman" w:hAnsi="Times New Roman" w:cs="Times New Roman"/>
                <w:b/>
              </w:rPr>
            </w:pPr>
            <w:r w:rsidRPr="001D0846">
              <w:rPr>
                <w:rFonts w:ascii="Times New Roman" w:hAnsi="Times New Roman" w:cs="Times New Roman"/>
                <w:b/>
              </w:rPr>
              <w:t>+11,35</w:t>
            </w:r>
          </w:p>
        </w:tc>
        <w:tc>
          <w:tcPr>
            <w:tcW w:w="1276" w:type="dxa"/>
            <w:vAlign w:val="center"/>
          </w:tcPr>
          <w:p w:rsidR="00714F5D" w:rsidRPr="001D0846" w:rsidRDefault="00714F5D" w:rsidP="008C5C6A">
            <w:pPr>
              <w:spacing w:line="276" w:lineRule="auto"/>
              <w:ind w:right="35"/>
              <w:jc w:val="center"/>
              <w:rPr>
                <w:rFonts w:ascii="Times New Roman" w:hAnsi="Times New Roman" w:cs="Times New Roman"/>
                <w:b/>
              </w:rPr>
            </w:pPr>
            <w:r w:rsidRPr="001D0846">
              <w:rPr>
                <w:rFonts w:ascii="Times New Roman" w:hAnsi="Times New Roman" w:cs="Times New Roman"/>
                <w:b/>
              </w:rPr>
              <w:t>+27,66</w:t>
            </w:r>
          </w:p>
        </w:tc>
      </w:tr>
      <w:tr w:rsidR="00714F5D" w:rsidRPr="001D0846" w:rsidTr="008C5C6A">
        <w:tc>
          <w:tcPr>
            <w:tcW w:w="710" w:type="dxa"/>
          </w:tcPr>
          <w:p w:rsidR="00714F5D" w:rsidRPr="001D0846" w:rsidRDefault="00714F5D" w:rsidP="008C5C6A">
            <w:pPr>
              <w:spacing w:line="276" w:lineRule="auto"/>
              <w:ind w:right="-334"/>
              <w:jc w:val="center"/>
              <w:rPr>
                <w:rFonts w:ascii="Times New Roman" w:hAnsi="Times New Roman" w:cs="Times New Roman"/>
                <w:b/>
              </w:rPr>
            </w:pPr>
            <w:r w:rsidRPr="001D0846">
              <w:rPr>
                <w:rFonts w:ascii="Times New Roman" w:hAnsi="Times New Roman" w:cs="Times New Roman"/>
                <w:b/>
              </w:rPr>
              <w:t>-</w:t>
            </w:r>
          </w:p>
        </w:tc>
        <w:tc>
          <w:tcPr>
            <w:tcW w:w="3827" w:type="dxa"/>
          </w:tcPr>
          <w:p w:rsidR="00714F5D" w:rsidRPr="001D0846" w:rsidRDefault="00714F5D" w:rsidP="008C5C6A">
            <w:pPr>
              <w:spacing w:line="276" w:lineRule="auto"/>
              <w:ind w:right="39"/>
              <w:jc w:val="both"/>
              <w:rPr>
                <w:rFonts w:ascii="Times New Roman" w:hAnsi="Times New Roman" w:cs="Times New Roman"/>
                <w:b/>
              </w:rPr>
            </w:pPr>
            <w:r w:rsidRPr="001D0846">
              <w:rPr>
                <w:rFonts w:ascii="Times New Roman" w:hAnsi="Times New Roman" w:cs="Times New Roman"/>
                <w:b/>
              </w:rPr>
              <w:t>Mii lei cheltuieli de personal la 1 milion lei de venituri colectate (mii lei)</w:t>
            </w:r>
          </w:p>
        </w:tc>
        <w:tc>
          <w:tcPr>
            <w:tcW w:w="1134" w:type="dxa"/>
            <w:vAlign w:val="center"/>
          </w:tcPr>
          <w:p w:rsidR="00714F5D" w:rsidRPr="001D0846" w:rsidRDefault="00714F5D" w:rsidP="008C5C6A">
            <w:pPr>
              <w:spacing w:line="276" w:lineRule="auto"/>
              <w:ind w:right="33"/>
              <w:jc w:val="center"/>
              <w:rPr>
                <w:rFonts w:ascii="Times New Roman" w:hAnsi="Times New Roman" w:cs="Times New Roman"/>
                <w:b/>
              </w:rPr>
            </w:pPr>
            <w:r w:rsidRPr="001D0846">
              <w:rPr>
                <w:rFonts w:ascii="Times New Roman" w:hAnsi="Times New Roman" w:cs="Times New Roman"/>
                <w:b/>
              </w:rPr>
              <w:t>6,29</w:t>
            </w:r>
          </w:p>
        </w:tc>
        <w:tc>
          <w:tcPr>
            <w:tcW w:w="1134" w:type="dxa"/>
            <w:vAlign w:val="center"/>
          </w:tcPr>
          <w:p w:rsidR="00714F5D" w:rsidRPr="001D0846" w:rsidRDefault="00714F5D" w:rsidP="008C5C6A">
            <w:pPr>
              <w:spacing w:line="276" w:lineRule="auto"/>
              <w:ind w:right="33"/>
              <w:jc w:val="center"/>
              <w:rPr>
                <w:rFonts w:ascii="Times New Roman" w:hAnsi="Times New Roman" w:cs="Times New Roman"/>
                <w:b/>
              </w:rPr>
            </w:pPr>
            <w:r w:rsidRPr="001D0846">
              <w:rPr>
                <w:rFonts w:ascii="Times New Roman" w:hAnsi="Times New Roman" w:cs="Times New Roman"/>
                <w:b/>
              </w:rPr>
              <w:t>6,43</w:t>
            </w:r>
          </w:p>
        </w:tc>
        <w:tc>
          <w:tcPr>
            <w:tcW w:w="1134" w:type="dxa"/>
            <w:vAlign w:val="center"/>
          </w:tcPr>
          <w:p w:rsidR="00714F5D" w:rsidRPr="001D0846" w:rsidRDefault="00714F5D" w:rsidP="008C5C6A">
            <w:pPr>
              <w:spacing w:line="276" w:lineRule="auto"/>
              <w:ind w:right="33"/>
              <w:jc w:val="center"/>
              <w:rPr>
                <w:rFonts w:ascii="Times New Roman" w:hAnsi="Times New Roman" w:cs="Times New Roman"/>
                <w:b/>
              </w:rPr>
            </w:pPr>
            <w:r w:rsidRPr="001D0846">
              <w:rPr>
                <w:rFonts w:ascii="Times New Roman" w:hAnsi="Times New Roman" w:cs="Times New Roman"/>
                <w:b/>
              </w:rPr>
              <w:t>10,04</w:t>
            </w:r>
          </w:p>
        </w:tc>
        <w:tc>
          <w:tcPr>
            <w:tcW w:w="1134" w:type="dxa"/>
            <w:vAlign w:val="center"/>
          </w:tcPr>
          <w:p w:rsidR="00714F5D" w:rsidRPr="001D0846" w:rsidRDefault="00714F5D" w:rsidP="008C5C6A">
            <w:pPr>
              <w:spacing w:line="276" w:lineRule="auto"/>
              <w:ind w:right="33"/>
              <w:jc w:val="center"/>
              <w:rPr>
                <w:rFonts w:ascii="Times New Roman" w:hAnsi="Times New Roman" w:cs="Times New Roman"/>
                <w:b/>
              </w:rPr>
            </w:pPr>
            <w:r w:rsidRPr="001D0846">
              <w:rPr>
                <w:rFonts w:ascii="Times New Roman" w:hAnsi="Times New Roman" w:cs="Times New Roman"/>
                <w:b/>
              </w:rPr>
              <w:t>+2,18</w:t>
            </w:r>
          </w:p>
        </w:tc>
        <w:tc>
          <w:tcPr>
            <w:tcW w:w="1276" w:type="dxa"/>
            <w:vAlign w:val="center"/>
          </w:tcPr>
          <w:p w:rsidR="00714F5D" w:rsidRPr="001D0846" w:rsidRDefault="00714F5D" w:rsidP="008C5C6A">
            <w:pPr>
              <w:spacing w:line="276" w:lineRule="auto"/>
              <w:ind w:right="35"/>
              <w:jc w:val="center"/>
              <w:rPr>
                <w:rFonts w:ascii="Times New Roman" w:hAnsi="Times New Roman" w:cs="Times New Roman"/>
                <w:b/>
              </w:rPr>
            </w:pPr>
            <w:r w:rsidRPr="001D0846">
              <w:rPr>
                <w:rFonts w:ascii="Times New Roman" w:hAnsi="Times New Roman" w:cs="Times New Roman"/>
                <w:b/>
              </w:rPr>
              <w:t>+35,96</w:t>
            </w:r>
          </w:p>
        </w:tc>
      </w:tr>
      <w:tr w:rsidR="00714F5D" w:rsidRPr="001D0846" w:rsidTr="008C5C6A">
        <w:tc>
          <w:tcPr>
            <w:tcW w:w="710" w:type="dxa"/>
          </w:tcPr>
          <w:p w:rsidR="00714F5D" w:rsidRPr="001D0846" w:rsidRDefault="00714F5D" w:rsidP="008C5C6A">
            <w:pPr>
              <w:spacing w:line="276" w:lineRule="auto"/>
              <w:ind w:right="-334"/>
              <w:jc w:val="center"/>
              <w:rPr>
                <w:rFonts w:ascii="Times New Roman" w:hAnsi="Times New Roman" w:cs="Times New Roman"/>
                <w:b/>
              </w:rPr>
            </w:pPr>
            <w:r w:rsidRPr="001D0846">
              <w:rPr>
                <w:rFonts w:ascii="Times New Roman" w:hAnsi="Times New Roman" w:cs="Times New Roman"/>
                <w:b/>
              </w:rPr>
              <w:t>-</w:t>
            </w:r>
          </w:p>
        </w:tc>
        <w:tc>
          <w:tcPr>
            <w:tcW w:w="3827" w:type="dxa"/>
          </w:tcPr>
          <w:p w:rsidR="00714F5D" w:rsidRPr="001D0846" w:rsidRDefault="00714F5D" w:rsidP="008C5C6A">
            <w:pPr>
              <w:spacing w:line="276" w:lineRule="auto"/>
              <w:jc w:val="both"/>
              <w:rPr>
                <w:rFonts w:ascii="Times New Roman" w:hAnsi="Times New Roman" w:cs="Times New Roman"/>
                <w:b/>
              </w:rPr>
            </w:pPr>
            <w:r w:rsidRPr="001D0846">
              <w:rPr>
                <w:rFonts w:ascii="Times New Roman" w:hAnsi="Times New Roman" w:cs="Times New Roman"/>
                <w:b/>
              </w:rPr>
              <w:t>Venituri bugetare colectate la numărul mediu de personal (mil.lei)</w:t>
            </w:r>
          </w:p>
        </w:tc>
        <w:tc>
          <w:tcPr>
            <w:tcW w:w="1134" w:type="dxa"/>
            <w:vAlign w:val="center"/>
          </w:tcPr>
          <w:p w:rsidR="00714F5D" w:rsidRPr="001D0846" w:rsidRDefault="00714F5D" w:rsidP="008C5C6A">
            <w:pPr>
              <w:spacing w:line="276" w:lineRule="auto"/>
              <w:ind w:right="33"/>
              <w:jc w:val="center"/>
              <w:rPr>
                <w:rFonts w:ascii="Times New Roman" w:hAnsi="Times New Roman" w:cs="Times New Roman"/>
                <w:b/>
              </w:rPr>
            </w:pPr>
            <w:r w:rsidRPr="001D0846">
              <w:rPr>
                <w:rFonts w:ascii="Times New Roman" w:hAnsi="Times New Roman" w:cs="Times New Roman"/>
                <w:b/>
              </w:rPr>
              <w:t>14,16</w:t>
            </w:r>
          </w:p>
        </w:tc>
        <w:tc>
          <w:tcPr>
            <w:tcW w:w="1134" w:type="dxa"/>
            <w:vAlign w:val="center"/>
          </w:tcPr>
          <w:p w:rsidR="00714F5D" w:rsidRPr="001D0846" w:rsidRDefault="00714F5D" w:rsidP="008C5C6A">
            <w:pPr>
              <w:spacing w:line="276" w:lineRule="auto"/>
              <w:ind w:right="33"/>
              <w:jc w:val="center"/>
              <w:rPr>
                <w:rFonts w:ascii="Times New Roman" w:hAnsi="Times New Roman" w:cs="Times New Roman"/>
                <w:b/>
              </w:rPr>
            </w:pPr>
            <w:r w:rsidRPr="001D0846">
              <w:rPr>
                <w:rFonts w:ascii="Times New Roman" w:hAnsi="Times New Roman" w:cs="Times New Roman"/>
                <w:b/>
              </w:rPr>
              <w:t>16,19</w:t>
            </w:r>
          </w:p>
        </w:tc>
        <w:tc>
          <w:tcPr>
            <w:tcW w:w="1134" w:type="dxa"/>
            <w:vAlign w:val="center"/>
          </w:tcPr>
          <w:p w:rsidR="00714F5D" w:rsidRPr="001D0846" w:rsidRDefault="00714F5D" w:rsidP="008C5C6A">
            <w:pPr>
              <w:spacing w:line="276" w:lineRule="auto"/>
              <w:ind w:right="33"/>
              <w:jc w:val="center"/>
              <w:rPr>
                <w:rFonts w:ascii="Times New Roman" w:hAnsi="Times New Roman" w:cs="Times New Roman"/>
                <w:b/>
              </w:rPr>
            </w:pPr>
            <w:r w:rsidRPr="001D0846">
              <w:rPr>
                <w:rFonts w:ascii="Times New Roman" w:hAnsi="Times New Roman" w:cs="Times New Roman"/>
                <w:b/>
              </w:rPr>
              <w:t>19,63</w:t>
            </w:r>
          </w:p>
        </w:tc>
        <w:tc>
          <w:tcPr>
            <w:tcW w:w="1134" w:type="dxa"/>
            <w:vAlign w:val="center"/>
          </w:tcPr>
          <w:p w:rsidR="00714F5D" w:rsidRPr="001D0846" w:rsidRDefault="00714F5D" w:rsidP="008C5C6A">
            <w:pPr>
              <w:spacing w:line="276" w:lineRule="auto"/>
              <w:ind w:right="33"/>
              <w:jc w:val="center"/>
              <w:rPr>
                <w:rFonts w:ascii="Times New Roman" w:hAnsi="Times New Roman" w:cs="Times New Roman"/>
                <w:b/>
              </w:rPr>
            </w:pPr>
            <w:r w:rsidRPr="001D0846">
              <w:rPr>
                <w:rFonts w:ascii="Times New Roman" w:hAnsi="Times New Roman" w:cs="Times New Roman"/>
                <w:b/>
              </w:rPr>
              <w:t>+12,54</w:t>
            </w:r>
          </w:p>
        </w:tc>
        <w:tc>
          <w:tcPr>
            <w:tcW w:w="1276" w:type="dxa"/>
            <w:vAlign w:val="center"/>
          </w:tcPr>
          <w:p w:rsidR="00714F5D" w:rsidRPr="001D0846" w:rsidRDefault="00714F5D" w:rsidP="008C5C6A">
            <w:pPr>
              <w:spacing w:line="276" w:lineRule="auto"/>
              <w:ind w:right="35"/>
              <w:jc w:val="center"/>
              <w:rPr>
                <w:rFonts w:ascii="Times New Roman" w:hAnsi="Times New Roman" w:cs="Times New Roman"/>
                <w:b/>
              </w:rPr>
            </w:pPr>
            <w:r w:rsidRPr="001D0846">
              <w:rPr>
                <w:rFonts w:ascii="Times New Roman" w:hAnsi="Times New Roman" w:cs="Times New Roman"/>
                <w:b/>
              </w:rPr>
              <w:t>+17,52</w:t>
            </w:r>
          </w:p>
        </w:tc>
      </w:tr>
      <w:tr w:rsidR="00714F5D" w:rsidRPr="001D0846" w:rsidTr="008C5C6A">
        <w:tc>
          <w:tcPr>
            <w:tcW w:w="710" w:type="dxa"/>
          </w:tcPr>
          <w:p w:rsidR="00714F5D" w:rsidRPr="001D0846" w:rsidRDefault="00714F5D" w:rsidP="008C5C6A">
            <w:pPr>
              <w:spacing w:line="276" w:lineRule="auto"/>
              <w:ind w:right="-334"/>
              <w:jc w:val="center"/>
              <w:rPr>
                <w:rFonts w:ascii="Times New Roman" w:hAnsi="Times New Roman" w:cs="Times New Roman"/>
                <w:b/>
              </w:rPr>
            </w:pPr>
            <w:r w:rsidRPr="001D0846">
              <w:rPr>
                <w:rFonts w:ascii="Times New Roman" w:hAnsi="Times New Roman" w:cs="Times New Roman"/>
                <w:b/>
              </w:rPr>
              <w:t>-</w:t>
            </w:r>
          </w:p>
        </w:tc>
        <w:tc>
          <w:tcPr>
            <w:tcW w:w="3827" w:type="dxa"/>
          </w:tcPr>
          <w:p w:rsidR="00714F5D" w:rsidRPr="001D0846" w:rsidRDefault="00714F5D" w:rsidP="008C5C6A">
            <w:pPr>
              <w:spacing w:line="276" w:lineRule="auto"/>
              <w:ind w:right="39"/>
              <w:jc w:val="both"/>
              <w:rPr>
                <w:rFonts w:ascii="Times New Roman" w:hAnsi="Times New Roman" w:cs="Times New Roman"/>
                <w:b/>
              </w:rPr>
            </w:pPr>
            <w:r w:rsidRPr="001D0846">
              <w:rPr>
                <w:rFonts w:ascii="Times New Roman" w:hAnsi="Times New Roman" w:cs="Times New Roman"/>
                <w:b/>
              </w:rPr>
              <w:t xml:space="preserve">Venituri bugetare colectate la numărul mediu de contribuabili.   </w:t>
            </w:r>
          </w:p>
        </w:tc>
        <w:tc>
          <w:tcPr>
            <w:tcW w:w="1134" w:type="dxa"/>
            <w:vAlign w:val="center"/>
          </w:tcPr>
          <w:p w:rsidR="00714F5D" w:rsidRPr="001D0846" w:rsidRDefault="00714F5D" w:rsidP="008C5C6A">
            <w:pPr>
              <w:spacing w:line="276" w:lineRule="auto"/>
              <w:ind w:right="33"/>
              <w:jc w:val="center"/>
              <w:rPr>
                <w:rFonts w:ascii="Times New Roman" w:hAnsi="Times New Roman" w:cs="Times New Roman"/>
                <w:b/>
              </w:rPr>
            </w:pPr>
            <w:r w:rsidRPr="001D0846">
              <w:rPr>
                <w:rFonts w:ascii="Times New Roman" w:hAnsi="Times New Roman" w:cs="Times New Roman"/>
                <w:b/>
              </w:rPr>
              <w:t>0,05</w:t>
            </w:r>
          </w:p>
        </w:tc>
        <w:tc>
          <w:tcPr>
            <w:tcW w:w="1134" w:type="dxa"/>
            <w:vAlign w:val="center"/>
          </w:tcPr>
          <w:p w:rsidR="00714F5D" w:rsidRPr="001D0846" w:rsidRDefault="00714F5D" w:rsidP="008C5C6A">
            <w:pPr>
              <w:spacing w:line="276" w:lineRule="auto"/>
              <w:ind w:right="33"/>
              <w:jc w:val="center"/>
              <w:rPr>
                <w:rFonts w:ascii="Times New Roman" w:hAnsi="Times New Roman" w:cs="Times New Roman"/>
                <w:b/>
              </w:rPr>
            </w:pPr>
            <w:r w:rsidRPr="001D0846">
              <w:rPr>
                <w:rFonts w:ascii="Times New Roman" w:hAnsi="Times New Roman" w:cs="Times New Roman"/>
                <w:b/>
              </w:rPr>
              <w:t>0,07</w:t>
            </w:r>
          </w:p>
        </w:tc>
        <w:tc>
          <w:tcPr>
            <w:tcW w:w="1134" w:type="dxa"/>
            <w:vAlign w:val="center"/>
          </w:tcPr>
          <w:p w:rsidR="00714F5D" w:rsidRPr="001D0846" w:rsidRDefault="00714F5D" w:rsidP="008C5C6A">
            <w:pPr>
              <w:spacing w:line="276" w:lineRule="auto"/>
              <w:ind w:right="33"/>
              <w:jc w:val="center"/>
              <w:rPr>
                <w:rFonts w:ascii="Times New Roman" w:hAnsi="Times New Roman" w:cs="Times New Roman"/>
                <w:b/>
              </w:rPr>
            </w:pPr>
            <w:r w:rsidRPr="001D0846">
              <w:rPr>
                <w:rFonts w:ascii="Times New Roman" w:hAnsi="Times New Roman" w:cs="Times New Roman"/>
                <w:b/>
              </w:rPr>
              <w:t>0,09</w:t>
            </w:r>
          </w:p>
        </w:tc>
        <w:tc>
          <w:tcPr>
            <w:tcW w:w="1134" w:type="dxa"/>
            <w:vAlign w:val="center"/>
          </w:tcPr>
          <w:p w:rsidR="00714F5D" w:rsidRPr="001D0846" w:rsidRDefault="00714F5D" w:rsidP="008C5C6A">
            <w:pPr>
              <w:spacing w:line="276" w:lineRule="auto"/>
              <w:ind w:right="33"/>
              <w:jc w:val="center"/>
              <w:rPr>
                <w:rFonts w:ascii="Times New Roman" w:hAnsi="Times New Roman" w:cs="Times New Roman"/>
                <w:b/>
              </w:rPr>
            </w:pPr>
            <w:r w:rsidRPr="001D0846">
              <w:rPr>
                <w:rFonts w:ascii="Times New Roman" w:hAnsi="Times New Roman" w:cs="Times New Roman"/>
                <w:b/>
              </w:rPr>
              <w:t>+28,57</w:t>
            </w:r>
          </w:p>
        </w:tc>
        <w:tc>
          <w:tcPr>
            <w:tcW w:w="1276" w:type="dxa"/>
            <w:vAlign w:val="center"/>
          </w:tcPr>
          <w:p w:rsidR="00714F5D" w:rsidRPr="001D0846" w:rsidRDefault="00714F5D" w:rsidP="008C5C6A">
            <w:pPr>
              <w:spacing w:line="276" w:lineRule="auto"/>
              <w:ind w:right="35"/>
              <w:jc w:val="center"/>
              <w:rPr>
                <w:rFonts w:ascii="Times New Roman" w:hAnsi="Times New Roman" w:cs="Times New Roman"/>
                <w:b/>
              </w:rPr>
            </w:pPr>
            <w:r w:rsidRPr="001D0846">
              <w:rPr>
                <w:rFonts w:ascii="Times New Roman" w:hAnsi="Times New Roman" w:cs="Times New Roman"/>
                <w:b/>
              </w:rPr>
              <w:t>+22,22</w:t>
            </w:r>
          </w:p>
        </w:tc>
      </w:tr>
    </w:tbl>
    <w:p w:rsidR="00714F5D" w:rsidRPr="001D0846" w:rsidRDefault="00714F5D" w:rsidP="00714F5D">
      <w:pPr>
        <w:spacing w:after="0" w:line="276" w:lineRule="auto"/>
        <w:ind w:right="-334"/>
        <w:rPr>
          <w:rFonts w:ascii="Times New Roman" w:hAnsi="Times New Roman" w:cs="Times New Roman"/>
          <w:i/>
          <w:sz w:val="20"/>
          <w:szCs w:val="20"/>
        </w:rPr>
      </w:pPr>
      <w:r w:rsidRPr="001D0846">
        <w:rPr>
          <w:rFonts w:ascii="Times New Roman" w:hAnsi="Times New Roman" w:cs="Times New Roman"/>
          <w:b/>
          <w:i/>
          <w:sz w:val="20"/>
          <w:szCs w:val="20"/>
        </w:rPr>
        <w:t>Sursă:</w:t>
      </w:r>
      <w:r w:rsidRPr="001D0846">
        <w:rPr>
          <w:rFonts w:ascii="Times New Roman" w:hAnsi="Times New Roman" w:cs="Times New Roman"/>
          <w:i/>
          <w:sz w:val="20"/>
          <w:szCs w:val="20"/>
        </w:rPr>
        <w:t xml:space="preserve"> Informații</w:t>
      </w:r>
      <w:r>
        <w:rPr>
          <w:rFonts w:ascii="Times New Roman" w:hAnsi="Times New Roman" w:cs="Times New Roman"/>
          <w:i/>
          <w:sz w:val="20"/>
          <w:szCs w:val="20"/>
        </w:rPr>
        <w:t>le</w:t>
      </w:r>
      <w:r w:rsidRPr="001D0846">
        <w:rPr>
          <w:rFonts w:ascii="Times New Roman" w:hAnsi="Times New Roman" w:cs="Times New Roman"/>
          <w:i/>
          <w:sz w:val="20"/>
          <w:szCs w:val="20"/>
        </w:rPr>
        <w:t xml:space="preserve"> prezentate de către SFS.</w:t>
      </w:r>
    </w:p>
    <w:p w:rsidR="00714F5D" w:rsidRPr="001D0846" w:rsidRDefault="00714F5D" w:rsidP="00714F5D">
      <w:pPr>
        <w:spacing w:after="0" w:line="276" w:lineRule="auto"/>
        <w:ind w:right="-334"/>
        <w:jc w:val="right"/>
        <w:rPr>
          <w:rFonts w:ascii="Times New Roman" w:hAnsi="Times New Roman" w:cs="Times New Roman"/>
          <w:b/>
          <w:i/>
          <w:sz w:val="28"/>
          <w:szCs w:val="28"/>
        </w:rPr>
      </w:pPr>
      <w:r w:rsidRPr="001D0846">
        <w:rPr>
          <w:rFonts w:ascii="Times New Roman" w:hAnsi="Times New Roman" w:cs="Times New Roman"/>
          <w:b/>
          <w:i/>
          <w:sz w:val="28"/>
          <w:szCs w:val="28"/>
        </w:rPr>
        <w:t>Tabelul nr.10</w:t>
      </w:r>
    </w:p>
    <w:p w:rsidR="00714F5D" w:rsidRPr="001D0846" w:rsidRDefault="00714F5D" w:rsidP="00714F5D">
      <w:pPr>
        <w:spacing w:after="0" w:line="276" w:lineRule="auto"/>
        <w:ind w:right="-334"/>
        <w:jc w:val="center"/>
        <w:rPr>
          <w:rFonts w:ascii="Times New Roman" w:hAnsi="Times New Roman" w:cs="Times New Roman"/>
          <w:i/>
          <w:sz w:val="28"/>
          <w:szCs w:val="28"/>
        </w:rPr>
      </w:pPr>
      <w:r w:rsidRPr="001D0846">
        <w:rPr>
          <w:rFonts w:ascii="Times New Roman" w:hAnsi="Times New Roman" w:cs="Times New Roman"/>
          <w:i/>
          <w:sz w:val="28"/>
          <w:szCs w:val="28"/>
        </w:rPr>
        <w:t>Informația privind încasările realizate și costurile suportate în perioad</w:t>
      </w:r>
      <w:r>
        <w:rPr>
          <w:rFonts w:ascii="Times New Roman" w:hAnsi="Times New Roman" w:cs="Times New Roman"/>
          <w:i/>
          <w:sz w:val="28"/>
          <w:szCs w:val="28"/>
        </w:rPr>
        <w:t>a anilor</w:t>
      </w:r>
      <w:r w:rsidRPr="001D0846">
        <w:rPr>
          <w:rFonts w:ascii="Times New Roman" w:hAnsi="Times New Roman" w:cs="Times New Roman"/>
          <w:i/>
          <w:sz w:val="28"/>
          <w:szCs w:val="28"/>
        </w:rPr>
        <w:t xml:space="preserve"> 2015-2017 de către SV în activitatea de administrare, raportată la numărul de personal și </w:t>
      </w:r>
      <w:r>
        <w:rPr>
          <w:rFonts w:ascii="Times New Roman" w:hAnsi="Times New Roman" w:cs="Times New Roman"/>
          <w:i/>
          <w:sz w:val="28"/>
          <w:szCs w:val="28"/>
        </w:rPr>
        <w:t xml:space="preserve">la </w:t>
      </w:r>
      <w:r w:rsidRPr="001D0846">
        <w:rPr>
          <w:rFonts w:ascii="Times New Roman" w:hAnsi="Times New Roman" w:cs="Times New Roman"/>
          <w:i/>
          <w:sz w:val="28"/>
          <w:szCs w:val="28"/>
        </w:rPr>
        <w:t>numărul de contribuabili administrați</w:t>
      </w:r>
    </w:p>
    <w:tbl>
      <w:tblPr>
        <w:tblStyle w:val="TableGrid"/>
        <w:tblW w:w="10275" w:type="dxa"/>
        <w:tblInd w:w="-726" w:type="dxa"/>
        <w:tblLook w:val="04A0"/>
      </w:tblPr>
      <w:tblGrid>
        <w:gridCol w:w="702"/>
        <w:gridCol w:w="3972"/>
        <w:gridCol w:w="1041"/>
        <w:gridCol w:w="1112"/>
        <w:gridCol w:w="1132"/>
        <w:gridCol w:w="1158"/>
        <w:gridCol w:w="1158"/>
      </w:tblGrid>
      <w:tr w:rsidR="00714F5D" w:rsidRPr="001D0846" w:rsidTr="008C5C6A">
        <w:trPr>
          <w:trHeight w:val="58"/>
        </w:trPr>
        <w:tc>
          <w:tcPr>
            <w:tcW w:w="702" w:type="dxa"/>
            <w:vMerge w:val="restart"/>
          </w:tcPr>
          <w:p w:rsidR="00714F5D" w:rsidRPr="001D0846" w:rsidRDefault="00714F5D" w:rsidP="008C5C6A">
            <w:pPr>
              <w:pStyle w:val="NormalWeb"/>
              <w:tabs>
                <w:tab w:val="left" w:pos="3843"/>
              </w:tabs>
              <w:spacing w:line="276" w:lineRule="auto"/>
              <w:ind w:right="-334"/>
              <w:rPr>
                <w:b/>
                <w:sz w:val="22"/>
                <w:szCs w:val="22"/>
              </w:rPr>
            </w:pPr>
            <w:r w:rsidRPr="001D0846">
              <w:rPr>
                <w:b/>
                <w:sz w:val="22"/>
                <w:szCs w:val="22"/>
              </w:rPr>
              <w:t xml:space="preserve">Nr. </w:t>
            </w:r>
          </w:p>
          <w:p w:rsidR="00714F5D" w:rsidRPr="001D0846" w:rsidRDefault="00714F5D" w:rsidP="008C5C6A">
            <w:pPr>
              <w:pStyle w:val="NormalWeb"/>
              <w:tabs>
                <w:tab w:val="left" w:pos="3843"/>
              </w:tabs>
              <w:spacing w:line="276" w:lineRule="auto"/>
              <w:ind w:right="-334"/>
              <w:rPr>
                <w:b/>
                <w:sz w:val="22"/>
                <w:szCs w:val="22"/>
              </w:rPr>
            </w:pPr>
            <w:r w:rsidRPr="001D0846">
              <w:rPr>
                <w:b/>
                <w:sz w:val="22"/>
                <w:szCs w:val="22"/>
              </w:rPr>
              <w:t>d/o</w:t>
            </w:r>
          </w:p>
        </w:tc>
        <w:tc>
          <w:tcPr>
            <w:tcW w:w="3972" w:type="dxa"/>
            <w:vMerge w:val="restart"/>
          </w:tcPr>
          <w:p w:rsidR="00714F5D" w:rsidRPr="001D0846" w:rsidRDefault="00714F5D" w:rsidP="008C5C6A">
            <w:pPr>
              <w:pStyle w:val="NormalWeb"/>
              <w:tabs>
                <w:tab w:val="left" w:pos="3843"/>
              </w:tabs>
              <w:spacing w:line="276" w:lineRule="auto"/>
              <w:ind w:right="-334"/>
              <w:jc w:val="center"/>
              <w:rPr>
                <w:b/>
                <w:sz w:val="22"/>
                <w:szCs w:val="22"/>
              </w:rPr>
            </w:pPr>
            <w:r w:rsidRPr="001D0846">
              <w:rPr>
                <w:b/>
                <w:sz w:val="22"/>
                <w:szCs w:val="22"/>
              </w:rPr>
              <w:t>Indicatori</w:t>
            </w:r>
          </w:p>
        </w:tc>
        <w:tc>
          <w:tcPr>
            <w:tcW w:w="3285" w:type="dxa"/>
            <w:gridSpan w:val="3"/>
          </w:tcPr>
          <w:p w:rsidR="00714F5D" w:rsidRPr="001D0846" w:rsidRDefault="00714F5D" w:rsidP="008C5C6A">
            <w:pPr>
              <w:pStyle w:val="NormalWeb"/>
              <w:tabs>
                <w:tab w:val="left" w:pos="3843"/>
              </w:tabs>
              <w:spacing w:line="276" w:lineRule="auto"/>
              <w:ind w:right="-334"/>
              <w:jc w:val="center"/>
              <w:rPr>
                <w:b/>
                <w:sz w:val="22"/>
                <w:szCs w:val="22"/>
              </w:rPr>
            </w:pPr>
            <w:r w:rsidRPr="001D0846">
              <w:rPr>
                <w:b/>
                <w:sz w:val="22"/>
                <w:szCs w:val="22"/>
              </w:rPr>
              <w:t>Anul</w:t>
            </w:r>
          </w:p>
        </w:tc>
        <w:tc>
          <w:tcPr>
            <w:tcW w:w="2316" w:type="dxa"/>
            <w:gridSpan w:val="2"/>
          </w:tcPr>
          <w:p w:rsidR="00714F5D" w:rsidRPr="001D0846" w:rsidRDefault="00714F5D" w:rsidP="008C5C6A">
            <w:pPr>
              <w:pStyle w:val="NormalWeb"/>
              <w:tabs>
                <w:tab w:val="left" w:pos="3843"/>
              </w:tabs>
              <w:spacing w:line="276" w:lineRule="auto"/>
              <w:jc w:val="center"/>
              <w:rPr>
                <w:b/>
                <w:sz w:val="22"/>
                <w:szCs w:val="22"/>
              </w:rPr>
            </w:pPr>
            <w:r w:rsidRPr="001D0846">
              <w:rPr>
                <w:b/>
                <w:sz w:val="22"/>
                <w:szCs w:val="22"/>
              </w:rPr>
              <w:t>Ritmul de creștere</w:t>
            </w:r>
          </w:p>
        </w:tc>
      </w:tr>
      <w:tr w:rsidR="00714F5D" w:rsidRPr="001D0846" w:rsidTr="008C5C6A">
        <w:trPr>
          <w:trHeight w:val="58"/>
        </w:trPr>
        <w:tc>
          <w:tcPr>
            <w:tcW w:w="702" w:type="dxa"/>
            <w:vMerge/>
          </w:tcPr>
          <w:p w:rsidR="00714F5D" w:rsidRPr="001D0846" w:rsidRDefault="00714F5D" w:rsidP="008C5C6A">
            <w:pPr>
              <w:pStyle w:val="NormalWeb"/>
              <w:tabs>
                <w:tab w:val="left" w:pos="3843"/>
              </w:tabs>
              <w:spacing w:line="276" w:lineRule="auto"/>
              <w:ind w:right="-334"/>
              <w:jc w:val="center"/>
              <w:rPr>
                <w:b/>
                <w:sz w:val="22"/>
                <w:szCs w:val="22"/>
              </w:rPr>
            </w:pPr>
          </w:p>
        </w:tc>
        <w:tc>
          <w:tcPr>
            <w:tcW w:w="3972" w:type="dxa"/>
            <w:vMerge/>
          </w:tcPr>
          <w:p w:rsidR="00714F5D" w:rsidRPr="001D0846" w:rsidRDefault="00714F5D" w:rsidP="008C5C6A">
            <w:pPr>
              <w:pStyle w:val="NormalWeb"/>
              <w:tabs>
                <w:tab w:val="left" w:pos="3843"/>
              </w:tabs>
              <w:spacing w:line="276" w:lineRule="auto"/>
              <w:ind w:right="-334"/>
              <w:jc w:val="center"/>
              <w:rPr>
                <w:b/>
                <w:sz w:val="22"/>
                <w:szCs w:val="22"/>
              </w:rPr>
            </w:pPr>
          </w:p>
        </w:tc>
        <w:tc>
          <w:tcPr>
            <w:tcW w:w="1041" w:type="dxa"/>
          </w:tcPr>
          <w:p w:rsidR="00714F5D" w:rsidRPr="001D0846" w:rsidRDefault="00714F5D" w:rsidP="008C5C6A">
            <w:pPr>
              <w:pStyle w:val="NormalWeb"/>
              <w:tabs>
                <w:tab w:val="left" w:pos="3843"/>
              </w:tabs>
              <w:spacing w:line="276" w:lineRule="auto"/>
              <w:ind w:right="-216"/>
              <w:jc w:val="center"/>
              <w:rPr>
                <w:b/>
                <w:sz w:val="22"/>
                <w:szCs w:val="22"/>
              </w:rPr>
            </w:pPr>
            <w:r w:rsidRPr="001D0846">
              <w:rPr>
                <w:b/>
                <w:sz w:val="22"/>
                <w:szCs w:val="22"/>
              </w:rPr>
              <w:t>2015</w:t>
            </w:r>
          </w:p>
        </w:tc>
        <w:tc>
          <w:tcPr>
            <w:tcW w:w="1112" w:type="dxa"/>
          </w:tcPr>
          <w:p w:rsidR="00714F5D" w:rsidRPr="001D0846" w:rsidRDefault="00714F5D" w:rsidP="008C5C6A">
            <w:pPr>
              <w:pStyle w:val="NormalWeb"/>
              <w:tabs>
                <w:tab w:val="left" w:pos="3843"/>
              </w:tabs>
              <w:spacing w:line="276" w:lineRule="auto"/>
              <w:ind w:right="-216"/>
              <w:jc w:val="center"/>
              <w:rPr>
                <w:b/>
                <w:sz w:val="22"/>
                <w:szCs w:val="22"/>
              </w:rPr>
            </w:pPr>
            <w:r w:rsidRPr="001D0846">
              <w:rPr>
                <w:b/>
                <w:sz w:val="22"/>
                <w:szCs w:val="22"/>
              </w:rPr>
              <w:t>2016</w:t>
            </w:r>
          </w:p>
        </w:tc>
        <w:tc>
          <w:tcPr>
            <w:tcW w:w="1132" w:type="dxa"/>
          </w:tcPr>
          <w:p w:rsidR="00714F5D" w:rsidRPr="001D0846" w:rsidRDefault="00714F5D" w:rsidP="008C5C6A">
            <w:pPr>
              <w:pStyle w:val="NormalWeb"/>
              <w:tabs>
                <w:tab w:val="left" w:pos="3843"/>
              </w:tabs>
              <w:spacing w:line="276" w:lineRule="auto"/>
              <w:ind w:right="-216"/>
              <w:jc w:val="center"/>
              <w:rPr>
                <w:b/>
                <w:sz w:val="22"/>
                <w:szCs w:val="22"/>
              </w:rPr>
            </w:pPr>
            <w:r w:rsidRPr="001D0846">
              <w:rPr>
                <w:b/>
                <w:sz w:val="22"/>
                <w:szCs w:val="22"/>
              </w:rPr>
              <w:t>2017</w:t>
            </w:r>
          </w:p>
        </w:tc>
        <w:tc>
          <w:tcPr>
            <w:tcW w:w="1158" w:type="dxa"/>
          </w:tcPr>
          <w:p w:rsidR="00714F5D" w:rsidRPr="001D0846" w:rsidRDefault="00714F5D" w:rsidP="008C5C6A">
            <w:pPr>
              <w:pStyle w:val="NormalWeb"/>
              <w:tabs>
                <w:tab w:val="left" w:pos="3843"/>
              </w:tabs>
              <w:spacing w:line="276" w:lineRule="auto"/>
              <w:jc w:val="center"/>
              <w:rPr>
                <w:b/>
                <w:sz w:val="22"/>
                <w:szCs w:val="22"/>
              </w:rPr>
            </w:pPr>
            <w:r w:rsidRPr="001D0846">
              <w:rPr>
                <w:b/>
                <w:sz w:val="22"/>
                <w:szCs w:val="22"/>
              </w:rPr>
              <w:t>2015/2016</w:t>
            </w:r>
          </w:p>
        </w:tc>
        <w:tc>
          <w:tcPr>
            <w:tcW w:w="1158" w:type="dxa"/>
          </w:tcPr>
          <w:p w:rsidR="00714F5D" w:rsidRPr="001D0846" w:rsidRDefault="00714F5D" w:rsidP="008C5C6A">
            <w:pPr>
              <w:pStyle w:val="NormalWeb"/>
              <w:tabs>
                <w:tab w:val="left" w:pos="3843"/>
              </w:tabs>
              <w:spacing w:line="276" w:lineRule="auto"/>
              <w:jc w:val="center"/>
              <w:rPr>
                <w:b/>
                <w:sz w:val="22"/>
                <w:szCs w:val="22"/>
              </w:rPr>
            </w:pPr>
            <w:r w:rsidRPr="001D0846">
              <w:rPr>
                <w:b/>
                <w:sz w:val="22"/>
                <w:szCs w:val="22"/>
              </w:rPr>
              <w:t>2016/2017</w:t>
            </w:r>
          </w:p>
        </w:tc>
      </w:tr>
      <w:tr w:rsidR="00714F5D" w:rsidRPr="001D0846" w:rsidTr="008C5C6A">
        <w:tc>
          <w:tcPr>
            <w:tcW w:w="702" w:type="dxa"/>
          </w:tcPr>
          <w:p w:rsidR="00714F5D" w:rsidRPr="001D0846" w:rsidRDefault="00714F5D" w:rsidP="008C5C6A">
            <w:pPr>
              <w:pStyle w:val="NormalWeb"/>
              <w:tabs>
                <w:tab w:val="left" w:pos="3843"/>
              </w:tabs>
              <w:spacing w:line="276" w:lineRule="auto"/>
              <w:jc w:val="center"/>
              <w:rPr>
                <w:b/>
                <w:sz w:val="22"/>
                <w:szCs w:val="22"/>
              </w:rPr>
            </w:pPr>
            <w:r w:rsidRPr="001D0846">
              <w:rPr>
                <w:b/>
                <w:sz w:val="22"/>
                <w:szCs w:val="22"/>
              </w:rPr>
              <w:t>1</w:t>
            </w:r>
            <w:r>
              <w:rPr>
                <w:b/>
                <w:sz w:val="22"/>
                <w:szCs w:val="22"/>
              </w:rPr>
              <w:t>.</w:t>
            </w:r>
          </w:p>
        </w:tc>
        <w:tc>
          <w:tcPr>
            <w:tcW w:w="3972" w:type="dxa"/>
          </w:tcPr>
          <w:p w:rsidR="00714F5D" w:rsidRPr="001D0846" w:rsidRDefault="00714F5D" w:rsidP="008C5C6A">
            <w:pPr>
              <w:pStyle w:val="NormalWeb"/>
              <w:tabs>
                <w:tab w:val="left" w:pos="3843"/>
              </w:tabs>
              <w:spacing w:line="276" w:lineRule="auto"/>
              <w:rPr>
                <w:sz w:val="22"/>
                <w:szCs w:val="22"/>
              </w:rPr>
            </w:pPr>
            <w:r w:rsidRPr="001D0846">
              <w:rPr>
                <w:sz w:val="22"/>
                <w:szCs w:val="22"/>
              </w:rPr>
              <w:t>Venituri încasate (mil.lei)</w:t>
            </w:r>
          </w:p>
        </w:tc>
        <w:tc>
          <w:tcPr>
            <w:tcW w:w="1041" w:type="dxa"/>
          </w:tcPr>
          <w:p w:rsidR="00714F5D" w:rsidRPr="001D0846" w:rsidRDefault="00714F5D" w:rsidP="008C5C6A">
            <w:pPr>
              <w:pStyle w:val="NormalWeb"/>
              <w:tabs>
                <w:tab w:val="left" w:pos="3843"/>
              </w:tabs>
              <w:spacing w:line="276" w:lineRule="auto"/>
              <w:jc w:val="center"/>
              <w:rPr>
                <w:sz w:val="22"/>
                <w:szCs w:val="22"/>
              </w:rPr>
            </w:pPr>
            <w:r w:rsidRPr="001D0846">
              <w:rPr>
                <w:sz w:val="22"/>
                <w:szCs w:val="22"/>
              </w:rPr>
              <w:t>15830,0</w:t>
            </w:r>
          </w:p>
        </w:tc>
        <w:tc>
          <w:tcPr>
            <w:tcW w:w="1112" w:type="dxa"/>
          </w:tcPr>
          <w:p w:rsidR="00714F5D" w:rsidRPr="001D0846" w:rsidRDefault="00714F5D" w:rsidP="008C5C6A">
            <w:pPr>
              <w:pStyle w:val="NormalWeb"/>
              <w:tabs>
                <w:tab w:val="left" w:pos="3843"/>
              </w:tabs>
              <w:spacing w:line="276" w:lineRule="auto"/>
              <w:jc w:val="center"/>
              <w:rPr>
                <w:sz w:val="22"/>
                <w:szCs w:val="22"/>
              </w:rPr>
            </w:pPr>
            <w:r w:rsidRPr="001D0846">
              <w:rPr>
                <w:sz w:val="22"/>
                <w:szCs w:val="22"/>
              </w:rPr>
              <w:t>17476,1</w:t>
            </w:r>
          </w:p>
        </w:tc>
        <w:tc>
          <w:tcPr>
            <w:tcW w:w="1132" w:type="dxa"/>
          </w:tcPr>
          <w:p w:rsidR="00714F5D" w:rsidRPr="001D0846" w:rsidRDefault="00714F5D" w:rsidP="008C5C6A">
            <w:pPr>
              <w:pStyle w:val="NormalWeb"/>
              <w:tabs>
                <w:tab w:val="left" w:pos="3843"/>
              </w:tabs>
              <w:spacing w:line="276" w:lineRule="auto"/>
              <w:jc w:val="center"/>
              <w:rPr>
                <w:sz w:val="22"/>
                <w:szCs w:val="22"/>
              </w:rPr>
            </w:pPr>
            <w:r w:rsidRPr="001D0846">
              <w:rPr>
                <w:sz w:val="22"/>
                <w:szCs w:val="22"/>
              </w:rPr>
              <w:t>20372,6</w:t>
            </w:r>
          </w:p>
        </w:tc>
        <w:tc>
          <w:tcPr>
            <w:tcW w:w="1158" w:type="dxa"/>
          </w:tcPr>
          <w:p w:rsidR="00714F5D" w:rsidRPr="001D0846" w:rsidRDefault="00714F5D" w:rsidP="008C5C6A">
            <w:pPr>
              <w:pStyle w:val="NormalWeb"/>
              <w:tabs>
                <w:tab w:val="left" w:pos="3843"/>
              </w:tabs>
              <w:spacing w:line="276" w:lineRule="auto"/>
              <w:ind w:right="-334"/>
              <w:jc w:val="center"/>
              <w:rPr>
                <w:sz w:val="22"/>
                <w:szCs w:val="22"/>
              </w:rPr>
            </w:pPr>
            <w:r w:rsidRPr="001D0846">
              <w:rPr>
                <w:sz w:val="22"/>
                <w:szCs w:val="22"/>
              </w:rPr>
              <w:t>+9,42</w:t>
            </w:r>
          </w:p>
        </w:tc>
        <w:tc>
          <w:tcPr>
            <w:tcW w:w="1158" w:type="dxa"/>
          </w:tcPr>
          <w:p w:rsidR="00714F5D" w:rsidRPr="001D0846" w:rsidRDefault="00714F5D" w:rsidP="008C5C6A">
            <w:pPr>
              <w:pStyle w:val="NormalWeb"/>
              <w:tabs>
                <w:tab w:val="left" w:pos="3843"/>
              </w:tabs>
              <w:spacing w:line="276" w:lineRule="auto"/>
              <w:ind w:right="-334"/>
              <w:jc w:val="center"/>
              <w:rPr>
                <w:sz w:val="22"/>
                <w:szCs w:val="22"/>
              </w:rPr>
            </w:pPr>
            <w:r w:rsidRPr="001D0846">
              <w:rPr>
                <w:sz w:val="22"/>
                <w:szCs w:val="22"/>
              </w:rPr>
              <w:t>+14,22</w:t>
            </w:r>
          </w:p>
        </w:tc>
      </w:tr>
      <w:tr w:rsidR="00714F5D" w:rsidRPr="001D0846" w:rsidTr="008C5C6A">
        <w:tc>
          <w:tcPr>
            <w:tcW w:w="702" w:type="dxa"/>
          </w:tcPr>
          <w:p w:rsidR="00714F5D" w:rsidRPr="001D0846" w:rsidRDefault="00714F5D" w:rsidP="008C5C6A">
            <w:pPr>
              <w:pStyle w:val="NormalWeb"/>
              <w:tabs>
                <w:tab w:val="left" w:pos="3843"/>
              </w:tabs>
              <w:spacing w:line="276" w:lineRule="auto"/>
              <w:jc w:val="center"/>
              <w:rPr>
                <w:b/>
                <w:sz w:val="22"/>
                <w:szCs w:val="22"/>
              </w:rPr>
            </w:pPr>
            <w:r w:rsidRPr="001D0846">
              <w:rPr>
                <w:b/>
                <w:sz w:val="22"/>
                <w:szCs w:val="22"/>
              </w:rPr>
              <w:t>2</w:t>
            </w:r>
            <w:r>
              <w:rPr>
                <w:b/>
                <w:sz w:val="22"/>
                <w:szCs w:val="22"/>
              </w:rPr>
              <w:t>.</w:t>
            </w:r>
          </w:p>
        </w:tc>
        <w:tc>
          <w:tcPr>
            <w:tcW w:w="3972" w:type="dxa"/>
          </w:tcPr>
          <w:p w:rsidR="00714F5D" w:rsidRPr="001D0846" w:rsidRDefault="00714F5D" w:rsidP="008C5C6A">
            <w:pPr>
              <w:pStyle w:val="NormalWeb"/>
              <w:tabs>
                <w:tab w:val="left" w:pos="3843"/>
              </w:tabs>
              <w:spacing w:line="276" w:lineRule="auto"/>
              <w:rPr>
                <w:sz w:val="22"/>
                <w:szCs w:val="22"/>
              </w:rPr>
            </w:pPr>
            <w:r w:rsidRPr="001D0846">
              <w:rPr>
                <w:sz w:val="22"/>
                <w:szCs w:val="22"/>
              </w:rPr>
              <w:t xml:space="preserve">Cheltuieli de întreținere executate de </w:t>
            </w:r>
            <w:r>
              <w:rPr>
                <w:sz w:val="22"/>
                <w:szCs w:val="22"/>
              </w:rPr>
              <w:t xml:space="preserve">către </w:t>
            </w:r>
            <w:r w:rsidRPr="001D0846">
              <w:rPr>
                <w:sz w:val="22"/>
                <w:szCs w:val="22"/>
              </w:rPr>
              <w:t>SV (mii.lei)</w:t>
            </w:r>
            <w:r>
              <w:rPr>
                <w:sz w:val="22"/>
                <w:szCs w:val="22"/>
              </w:rPr>
              <w:t>,</w:t>
            </w:r>
            <w:r w:rsidRPr="001D0846">
              <w:rPr>
                <w:sz w:val="22"/>
                <w:szCs w:val="22"/>
              </w:rPr>
              <w:t xml:space="preserve"> dintre care:</w:t>
            </w:r>
          </w:p>
        </w:tc>
        <w:tc>
          <w:tcPr>
            <w:tcW w:w="1041" w:type="dxa"/>
          </w:tcPr>
          <w:p w:rsidR="00714F5D" w:rsidRPr="001D0846" w:rsidRDefault="00714F5D" w:rsidP="008C5C6A">
            <w:pPr>
              <w:pStyle w:val="NormalWeb"/>
              <w:tabs>
                <w:tab w:val="left" w:pos="3843"/>
              </w:tabs>
              <w:spacing w:line="276" w:lineRule="auto"/>
              <w:jc w:val="center"/>
              <w:rPr>
                <w:sz w:val="22"/>
                <w:szCs w:val="22"/>
              </w:rPr>
            </w:pPr>
            <w:r w:rsidRPr="001D0846">
              <w:rPr>
                <w:sz w:val="22"/>
                <w:szCs w:val="22"/>
              </w:rPr>
              <w:t>33250,0</w:t>
            </w:r>
          </w:p>
        </w:tc>
        <w:tc>
          <w:tcPr>
            <w:tcW w:w="1112" w:type="dxa"/>
          </w:tcPr>
          <w:p w:rsidR="00714F5D" w:rsidRPr="001D0846" w:rsidRDefault="00714F5D" w:rsidP="008C5C6A">
            <w:pPr>
              <w:pStyle w:val="NormalWeb"/>
              <w:tabs>
                <w:tab w:val="left" w:pos="3843"/>
              </w:tabs>
              <w:spacing w:line="276" w:lineRule="auto"/>
              <w:jc w:val="center"/>
              <w:rPr>
                <w:sz w:val="22"/>
                <w:szCs w:val="22"/>
              </w:rPr>
            </w:pPr>
            <w:r w:rsidRPr="001D0846">
              <w:rPr>
                <w:sz w:val="22"/>
                <w:szCs w:val="22"/>
              </w:rPr>
              <w:t>298108,1</w:t>
            </w:r>
          </w:p>
        </w:tc>
        <w:tc>
          <w:tcPr>
            <w:tcW w:w="1132" w:type="dxa"/>
          </w:tcPr>
          <w:p w:rsidR="00714F5D" w:rsidRPr="001D0846" w:rsidRDefault="00714F5D" w:rsidP="008C5C6A">
            <w:pPr>
              <w:pStyle w:val="NormalWeb"/>
              <w:tabs>
                <w:tab w:val="left" w:pos="3843"/>
              </w:tabs>
              <w:spacing w:line="276" w:lineRule="auto"/>
              <w:jc w:val="center"/>
              <w:rPr>
                <w:sz w:val="22"/>
                <w:szCs w:val="22"/>
              </w:rPr>
            </w:pPr>
            <w:r w:rsidRPr="001D0846">
              <w:rPr>
                <w:sz w:val="22"/>
                <w:szCs w:val="22"/>
              </w:rPr>
              <w:t>445369,7</w:t>
            </w:r>
          </w:p>
        </w:tc>
        <w:tc>
          <w:tcPr>
            <w:tcW w:w="1158" w:type="dxa"/>
          </w:tcPr>
          <w:p w:rsidR="00714F5D" w:rsidRPr="001D0846" w:rsidRDefault="00714F5D" w:rsidP="008C5C6A">
            <w:pPr>
              <w:pStyle w:val="NormalWeb"/>
              <w:tabs>
                <w:tab w:val="left" w:pos="3843"/>
              </w:tabs>
              <w:spacing w:line="276" w:lineRule="auto"/>
              <w:ind w:right="-334"/>
              <w:jc w:val="center"/>
              <w:rPr>
                <w:sz w:val="22"/>
                <w:szCs w:val="22"/>
              </w:rPr>
            </w:pPr>
            <w:r w:rsidRPr="001D0846">
              <w:rPr>
                <w:sz w:val="22"/>
                <w:szCs w:val="22"/>
              </w:rPr>
              <w:t>-11,54</w:t>
            </w:r>
          </w:p>
        </w:tc>
        <w:tc>
          <w:tcPr>
            <w:tcW w:w="1158" w:type="dxa"/>
          </w:tcPr>
          <w:p w:rsidR="00714F5D" w:rsidRPr="001D0846" w:rsidRDefault="00714F5D" w:rsidP="008C5C6A">
            <w:pPr>
              <w:pStyle w:val="NormalWeb"/>
              <w:tabs>
                <w:tab w:val="left" w:pos="3843"/>
              </w:tabs>
              <w:spacing w:line="276" w:lineRule="auto"/>
              <w:ind w:right="-334"/>
              <w:jc w:val="center"/>
              <w:rPr>
                <w:sz w:val="22"/>
                <w:szCs w:val="22"/>
              </w:rPr>
            </w:pPr>
            <w:r w:rsidRPr="001D0846">
              <w:rPr>
                <w:sz w:val="22"/>
                <w:szCs w:val="22"/>
              </w:rPr>
              <w:t>+33,07</w:t>
            </w:r>
          </w:p>
        </w:tc>
      </w:tr>
      <w:tr w:rsidR="00714F5D" w:rsidRPr="001D0846" w:rsidTr="008C5C6A">
        <w:tc>
          <w:tcPr>
            <w:tcW w:w="702" w:type="dxa"/>
          </w:tcPr>
          <w:p w:rsidR="00714F5D" w:rsidRPr="001D0846" w:rsidRDefault="00714F5D" w:rsidP="008C5C6A">
            <w:pPr>
              <w:pStyle w:val="NormalWeb"/>
              <w:tabs>
                <w:tab w:val="left" w:pos="3843"/>
              </w:tabs>
              <w:spacing w:line="276" w:lineRule="auto"/>
              <w:jc w:val="center"/>
              <w:rPr>
                <w:b/>
                <w:sz w:val="22"/>
                <w:szCs w:val="22"/>
              </w:rPr>
            </w:pPr>
          </w:p>
        </w:tc>
        <w:tc>
          <w:tcPr>
            <w:tcW w:w="3972" w:type="dxa"/>
          </w:tcPr>
          <w:p w:rsidR="00714F5D" w:rsidRPr="001D0846" w:rsidRDefault="00714F5D" w:rsidP="008C5C6A">
            <w:pPr>
              <w:pStyle w:val="NormalWeb"/>
              <w:numPr>
                <w:ilvl w:val="0"/>
                <w:numId w:val="11"/>
              </w:numPr>
              <w:tabs>
                <w:tab w:val="left" w:pos="3843"/>
              </w:tabs>
              <w:spacing w:line="276" w:lineRule="auto"/>
              <w:rPr>
                <w:sz w:val="22"/>
                <w:szCs w:val="22"/>
              </w:rPr>
            </w:pPr>
            <w:r w:rsidRPr="001D0846">
              <w:rPr>
                <w:sz w:val="22"/>
                <w:szCs w:val="22"/>
              </w:rPr>
              <w:t>Cheltuieli de personal (mii lei)</w:t>
            </w:r>
          </w:p>
        </w:tc>
        <w:tc>
          <w:tcPr>
            <w:tcW w:w="1041" w:type="dxa"/>
          </w:tcPr>
          <w:p w:rsidR="00714F5D" w:rsidRPr="001D0846" w:rsidRDefault="00714F5D" w:rsidP="008C5C6A">
            <w:pPr>
              <w:pStyle w:val="NormalWeb"/>
              <w:tabs>
                <w:tab w:val="left" w:pos="3843"/>
              </w:tabs>
              <w:spacing w:line="276" w:lineRule="auto"/>
              <w:jc w:val="center"/>
              <w:rPr>
                <w:sz w:val="22"/>
                <w:szCs w:val="22"/>
              </w:rPr>
            </w:pPr>
            <w:r w:rsidRPr="001D0846">
              <w:rPr>
                <w:sz w:val="22"/>
                <w:szCs w:val="22"/>
              </w:rPr>
              <w:t>160617,9</w:t>
            </w:r>
          </w:p>
        </w:tc>
        <w:tc>
          <w:tcPr>
            <w:tcW w:w="1112" w:type="dxa"/>
          </w:tcPr>
          <w:p w:rsidR="00714F5D" w:rsidRPr="001D0846" w:rsidRDefault="00714F5D" w:rsidP="008C5C6A">
            <w:pPr>
              <w:pStyle w:val="NormalWeb"/>
              <w:tabs>
                <w:tab w:val="left" w:pos="3843"/>
              </w:tabs>
              <w:spacing w:line="276" w:lineRule="auto"/>
              <w:jc w:val="center"/>
              <w:rPr>
                <w:sz w:val="22"/>
                <w:szCs w:val="22"/>
              </w:rPr>
            </w:pPr>
            <w:r w:rsidRPr="001D0846">
              <w:rPr>
                <w:sz w:val="22"/>
                <w:szCs w:val="22"/>
              </w:rPr>
              <w:t>178234,9</w:t>
            </w:r>
          </w:p>
        </w:tc>
        <w:tc>
          <w:tcPr>
            <w:tcW w:w="1132" w:type="dxa"/>
          </w:tcPr>
          <w:p w:rsidR="00714F5D" w:rsidRPr="001D0846" w:rsidRDefault="00714F5D" w:rsidP="008C5C6A">
            <w:pPr>
              <w:pStyle w:val="NormalWeb"/>
              <w:tabs>
                <w:tab w:val="left" w:pos="3843"/>
              </w:tabs>
              <w:spacing w:line="276" w:lineRule="auto"/>
              <w:ind w:right="4"/>
              <w:jc w:val="center"/>
              <w:rPr>
                <w:sz w:val="22"/>
                <w:szCs w:val="22"/>
              </w:rPr>
            </w:pPr>
            <w:r w:rsidRPr="001D0846">
              <w:rPr>
                <w:sz w:val="22"/>
                <w:szCs w:val="22"/>
              </w:rPr>
              <w:t>301759,9</w:t>
            </w:r>
          </w:p>
        </w:tc>
        <w:tc>
          <w:tcPr>
            <w:tcW w:w="1158" w:type="dxa"/>
          </w:tcPr>
          <w:p w:rsidR="00714F5D" w:rsidRPr="001D0846" w:rsidRDefault="00714F5D" w:rsidP="008C5C6A">
            <w:pPr>
              <w:pStyle w:val="NormalWeb"/>
              <w:tabs>
                <w:tab w:val="left" w:pos="3843"/>
              </w:tabs>
              <w:spacing w:line="276" w:lineRule="auto"/>
              <w:ind w:right="-334"/>
              <w:jc w:val="center"/>
              <w:rPr>
                <w:sz w:val="22"/>
                <w:szCs w:val="22"/>
              </w:rPr>
            </w:pPr>
            <w:r w:rsidRPr="001D0846">
              <w:rPr>
                <w:sz w:val="22"/>
                <w:szCs w:val="22"/>
              </w:rPr>
              <w:t>+9,88</w:t>
            </w:r>
          </w:p>
        </w:tc>
        <w:tc>
          <w:tcPr>
            <w:tcW w:w="1158" w:type="dxa"/>
          </w:tcPr>
          <w:p w:rsidR="00714F5D" w:rsidRPr="001D0846" w:rsidRDefault="00714F5D" w:rsidP="008C5C6A">
            <w:pPr>
              <w:pStyle w:val="NormalWeb"/>
              <w:tabs>
                <w:tab w:val="left" w:pos="3843"/>
              </w:tabs>
              <w:spacing w:line="276" w:lineRule="auto"/>
              <w:ind w:right="-334"/>
              <w:jc w:val="center"/>
              <w:rPr>
                <w:sz w:val="22"/>
                <w:szCs w:val="22"/>
              </w:rPr>
            </w:pPr>
            <w:r w:rsidRPr="001D0846">
              <w:rPr>
                <w:sz w:val="22"/>
                <w:szCs w:val="22"/>
              </w:rPr>
              <w:t>+40,93</w:t>
            </w:r>
          </w:p>
        </w:tc>
      </w:tr>
      <w:tr w:rsidR="00714F5D" w:rsidRPr="001D0846" w:rsidTr="008C5C6A">
        <w:tc>
          <w:tcPr>
            <w:tcW w:w="702" w:type="dxa"/>
          </w:tcPr>
          <w:p w:rsidR="00714F5D" w:rsidRPr="001D0846" w:rsidRDefault="00714F5D" w:rsidP="008C5C6A">
            <w:pPr>
              <w:pStyle w:val="NormalWeb"/>
              <w:tabs>
                <w:tab w:val="left" w:pos="3843"/>
              </w:tabs>
              <w:spacing w:line="276" w:lineRule="auto"/>
              <w:jc w:val="center"/>
              <w:rPr>
                <w:b/>
                <w:sz w:val="22"/>
                <w:szCs w:val="22"/>
              </w:rPr>
            </w:pPr>
            <w:r w:rsidRPr="001D0846">
              <w:rPr>
                <w:b/>
                <w:sz w:val="22"/>
                <w:szCs w:val="22"/>
              </w:rPr>
              <w:t>3</w:t>
            </w:r>
            <w:r>
              <w:rPr>
                <w:b/>
                <w:sz w:val="22"/>
                <w:szCs w:val="22"/>
              </w:rPr>
              <w:t>.</w:t>
            </w:r>
          </w:p>
        </w:tc>
        <w:tc>
          <w:tcPr>
            <w:tcW w:w="3972" w:type="dxa"/>
          </w:tcPr>
          <w:p w:rsidR="00714F5D" w:rsidRPr="001D0846" w:rsidRDefault="00714F5D" w:rsidP="008C5C6A">
            <w:pPr>
              <w:pStyle w:val="NormalWeb"/>
              <w:tabs>
                <w:tab w:val="left" w:pos="3843"/>
              </w:tabs>
              <w:spacing w:line="276" w:lineRule="auto"/>
              <w:rPr>
                <w:sz w:val="22"/>
                <w:szCs w:val="22"/>
              </w:rPr>
            </w:pPr>
            <w:r w:rsidRPr="001D0846">
              <w:rPr>
                <w:sz w:val="22"/>
                <w:szCs w:val="22"/>
              </w:rPr>
              <w:t>Numărul mediu de personal</w:t>
            </w:r>
          </w:p>
        </w:tc>
        <w:tc>
          <w:tcPr>
            <w:tcW w:w="1041" w:type="dxa"/>
          </w:tcPr>
          <w:p w:rsidR="00714F5D" w:rsidRPr="001D0846" w:rsidRDefault="00714F5D" w:rsidP="008C5C6A">
            <w:pPr>
              <w:pStyle w:val="NormalWeb"/>
              <w:tabs>
                <w:tab w:val="left" w:pos="3843"/>
              </w:tabs>
              <w:spacing w:line="276" w:lineRule="auto"/>
              <w:ind w:right="-334"/>
              <w:jc w:val="center"/>
              <w:rPr>
                <w:sz w:val="22"/>
                <w:szCs w:val="22"/>
              </w:rPr>
            </w:pPr>
            <w:r w:rsidRPr="001D0846">
              <w:rPr>
                <w:sz w:val="22"/>
                <w:szCs w:val="22"/>
              </w:rPr>
              <w:t>1728</w:t>
            </w:r>
          </w:p>
        </w:tc>
        <w:tc>
          <w:tcPr>
            <w:tcW w:w="1112" w:type="dxa"/>
          </w:tcPr>
          <w:p w:rsidR="00714F5D" w:rsidRPr="001D0846" w:rsidRDefault="00714F5D" w:rsidP="008C5C6A">
            <w:pPr>
              <w:pStyle w:val="NormalWeb"/>
              <w:tabs>
                <w:tab w:val="left" w:pos="3843"/>
              </w:tabs>
              <w:spacing w:line="276" w:lineRule="auto"/>
              <w:ind w:right="-334"/>
              <w:jc w:val="center"/>
              <w:rPr>
                <w:sz w:val="22"/>
                <w:szCs w:val="22"/>
              </w:rPr>
            </w:pPr>
            <w:r w:rsidRPr="001D0846">
              <w:rPr>
                <w:sz w:val="22"/>
                <w:szCs w:val="22"/>
              </w:rPr>
              <w:t>1728</w:t>
            </w:r>
          </w:p>
        </w:tc>
        <w:tc>
          <w:tcPr>
            <w:tcW w:w="1132" w:type="dxa"/>
          </w:tcPr>
          <w:p w:rsidR="00714F5D" w:rsidRPr="001D0846" w:rsidRDefault="00714F5D" w:rsidP="008C5C6A">
            <w:pPr>
              <w:pStyle w:val="NormalWeb"/>
              <w:tabs>
                <w:tab w:val="left" w:pos="3843"/>
              </w:tabs>
              <w:spacing w:line="276" w:lineRule="auto"/>
              <w:ind w:right="-334"/>
              <w:jc w:val="center"/>
              <w:rPr>
                <w:sz w:val="22"/>
                <w:szCs w:val="22"/>
              </w:rPr>
            </w:pPr>
            <w:r w:rsidRPr="001D0846">
              <w:rPr>
                <w:sz w:val="22"/>
                <w:szCs w:val="22"/>
              </w:rPr>
              <w:t>1590</w:t>
            </w:r>
          </w:p>
        </w:tc>
        <w:tc>
          <w:tcPr>
            <w:tcW w:w="1158" w:type="dxa"/>
          </w:tcPr>
          <w:p w:rsidR="00714F5D" w:rsidRPr="001D0846" w:rsidRDefault="00714F5D" w:rsidP="008C5C6A">
            <w:pPr>
              <w:pStyle w:val="NormalWeb"/>
              <w:tabs>
                <w:tab w:val="left" w:pos="3843"/>
              </w:tabs>
              <w:spacing w:line="276" w:lineRule="auto"/>
              <w:ind w:right="-334"/>
              <w:jc w:val="center"/>
              <w:rPr>
                <w:sz w:val="22"/>
                <w:szCs w:val="22"/>
              </w:rPr>
            </w:pPr>
            <w:r w:rsidRPr="001D0846">
              <w:rPr>
                <w:sz w:val="22"/>
                <w:szCs w:val="22"/>
              </w:rPr>
              <w:t>0,00</w:t>
            </w:r>
          </w:p>
        </w:tc>
        <w:tc>
          <w:tcPr>
            <w:tcW w:w="1158" w:type="dxa"/>
          </w:tcPr>
          <w:p w:rsidR="00714F5D" w:rsidRPr="001D0846" w:rsidRDefault="00714F5D" w:rsidP="008C5C6A">
            <w:pPr>
              <w:pStyle w:val="NormalWeb"/>
              <w:tabs>
                <w:tab w:val="left" w:pos="3843"/>
              </w:tabs>
              <w:spacing w:line="276" w:lineRule="auto"/>
              <w:ind w:right="-334"/>
              <w:jc w:val="center"/>
              <w:rPr>
                <w:sz w:val="22"/>
                <w:szCs w:val="22"/>
              </w:rPr>
            </w:pPr>
            <w:r w:rsidRPr="001D0846">
              <w:rPr>
                <w:sz w:val="22"/>
                <w:szCs w:val="22"/>
              </w:rPr>
              <w:t>-8,68</w:t>
            </w:r>
          </w:p>
        </w:tc>
      </w:tr>
      <w:tr w:rsidR="00714F5D" w:rsidRPr="001D0846" w:rsidTr="008C5C6A">
        <w:tc>
          <w:tcPr>
            <w:tcW w:w="702" w:type="dxa"/>
          </w:tcPr>
          <w:p w:rsidR="00714F5D" w:rsidRPr="001D0846" w:rsidRDefault="00714F5D" w:rsidP="008C5C6A">
            <w:pPr>
              <w:pStyle w:val="NormalWeb"/>
              <w:tabs>
                <w:tab w:val="left" w:pos="3843"/>
              </w:tabs>
              <w:spacing w:line="276" w:lineRule="auto"/>
              <w:jc w:val="center"/>
              <w:rPr>
                <w:b/>
                <w:sz w:val="22"/>
                <w:szCs w:val="22"/>
              </w:rPr>
            </w:pPr>
            <w:r w:rsidRPr="001D0846">
              <w:rPr>
                <w:b/>
                <w:sz w:val="22"/>
                <w:szCs w:val="22"/>
              </w:rPr>
              <w:t>4</w:t>
            </w:r>
            <w:r>
              <w:rPr>
                <w:b/>
                <w:sz w:val="22"/>
                <w:szCs w:val="22"/>
              </w:rPr>
              <w:t>.</w:t>
            </w:r>
          </w:p>
        </w:tc>
        <w:tc>
          <w:tcPr>
            <w:tcW w:w="3972" w:type="dxa"/>
          </w:tcPr>
          <w:p w:rsidR="00714F5D" w:rsidRPr="001D0846" w:rsidRDefault="00714F5D" w:rsidP="008C5C6A">
            <w:pPr>
              <w:pStyle w:val="NormalWeb"/>
              <w:tabs>
                <w:tab w:val="left" w:pos="3843"/>
              </w:tabs>
              <w:spacing w:line="276" w:lineRule="auto"/>
              <w:rPr>
                <w:sz w:val="22"/>
                <w:szCs w:val="22"/>
              </w:rPr>
            </w:pPr>
            <w:r w:rsidRPr="001D0846">
              <w:rPr>
                <w:sz w:val="22"/>
                <w:szCs w:val="22"/>
              </w:rPr>
              <w:t xml:space="preserve">Numărul de plătitori </w:t>
            </w:r>
          </w:p>
        </w:tc>
        <w:tc>
          <w:tcPr>
            <w:tcW w:w="1041" w:type="dxa"/>
          </w:tcPr>
          <w:p w:rsidR="00714F5D" w:rsidRPr="001D0846" w:rsidRDefault="00714F5D" w:rsidP="008C5C6A">
            <w:pPr>
              <w:pStyle w:val="NormalWeb"/>
              <w:tabs>
                <w:tab w:val="left" w:pos="3843"/>
              </w:tabs>
              <w:spacing w:line="276" w:lineRule="auto"/>
              <w:ind w:right="-334"/>
              <w:jc w:val="center"/>
              <w:rPr>
                <w:sz w:val="22"/>
                <w:szCs w:val="22"/>
              </w:rPr>
            </w:pPr>
            <w:r w:rsidRPr="001D0846">
              <w:rPr>
                <w:sz w:val="22"/>
                <w:szCs w:val="22"/>
              </w:rPr>
              <w:t>403758</w:t>
            </w:r>
          </w:p>
        </w:tc>
        <w:tc>
          <w:tcPr>
            <w:tcW w:w="1112" w:type="dxa"/>
          </w:tcPr>
          <w:p w:rsidR="00714F5D" w:rsidRPr="001D0846" w:rsidRDefault="00714F5D" w:rsidP="008C5C6A">
            <w:pPr>
              <w:pStyle w:val="NormalWeb"/>
              <w:tabs>
                <w:tab w:val="left" w:pos="3843"/>
              </w:tabs>
              <w:spacing w:line="276" w:lineRule="auto"/>
              <w:ind w:right="-334"/>
              <w:jc w:val="center"/>
              <w:rPr>
                <w:sz w:val="22"/>
                <w:szCs w:val="22"/>
              </w:rPr>
            </w:pPr>
            <w:r w:rsidRPr="001D0846">
              <w:rPr>
                <w:sz w:val="22"/>
                <w:szCs w:val="22"/>
              </w:rPr>
              <w:t>458818</w:t>
            </w:r>
          </w:p>
        </w:tc>
        <w:tc>
          <w:tcPr>
            <w:tcW w:w="1132" w:type="dxa"/>
          </w:tcPr>
          <w:p w:rsidR="00714F5D" w:rsidRPr="001D0846" w:rsidRDefault="00714F5D" w:rsidP="008C5C6A">
            <w:pPr>
              <w:pStyle w:val="NormalWeb"/>
              <w:tabs>
                <w:tab w:val="left" w:pos="3843"/>
              </w:tabs>
              <w:spacing w:line="276" w:lineRule="auto"/>
              <w:ind w:right="-334"/>
              <w:jc w:val="center"/>
              <w:rPr>
                <w:sz w:val="22"/>
                <w:szCs w:val="22"/>
              </w:rPr>
            </w:pPr>
            <w:r w:rsidRPr="001D0846">
              <w:rPr>
                <w:sz w:val="22"/>
                <w:szCs w:val="22"/>
              </w:rPr>
              <w:t>515536</w:t>
            </w:r>
          </w:p>
        </w:tc>
        <w:tc>
          <w:tcPr>
            <w:tcW w:w="1158" w:type="dxa"/>
          </w:tcPr>
          <w:p w:rsidR="00714F5D" w:rsidRPr="001D0846" w:rsidRDefault="00714F5D" w:rsidP="008C5C6A">
            <w:pPr>
              <w:pStyle w:val="NormalWeb"/>
              <w:tabs>
                <w:tab w:val="left" w:pos="3843"/>
              </w:tabs>
              <w:spacing w:line="276" w:lineRule="auto"/>
              <w:ind w:right="-334"/>
              <w:jc w:val="center"/>
              <w:rPr>
                <w:sz w:val="22"/>
                <w:szCs w:val="22"/>
              </w:rPr>
            </w:pPr>
            <w:r w:rsidRPr="001D0846">
              <w:rPr>
                <w:sz w:val="22"/>
                <w:szCs w:val="22"/>
              </w:rPr>
              <w:t>+12,00</w:t>
            </w:r>
          </w:p>
        </w:tc>
        <w:tc>
          <w:tcPr>
            <w:tcW w:w="1158" w:type="dxa"/>
          </w:tcPr>
          <w:p w:rsidR="00714F5D" w:rsidRPr="001D0846" w:rsidRDefault="00714F5D" w:rsidP="008C5C6A">
            <w:pPr>
              <w:pStyle w:val="NormalWeb"/>
              <w:tabs>
                <w:tab w:val="left" w:pos="3843"/>
              </w:tabs>
              <w:spacing w:line="276" w:lineRule="auto"/>
              <w:ind w:right="-334"/>
              <w:jc w:val="center"/>
              <w:rPr>
                <w:sz w:val="22"/>
                <w:szCs w:val="22"/>
              </w:rPr>
            </w:pPr>
            <w:r w:rsidRPr="001D0846">
              <w:rPr>
                <w:sz w:val="22"/>
                <w:szCs w:val="22"/>
              </w:rPr>
              <w:t>+11,00</w:t>
            </w:r>
          </w:p>
        </w:tc>
      </w:tr>
      <w:tr w:rsidR="00714F5D" w:rsidRPr="001D0846" w:rsidTr="008C5C6A">
        <w:tc>
          <w:tcPr>
            <w:tcW w:w="702" w:type="dxa"/>
          </w:tcPr>
          <w:p w:rsidR="00714F5D" w:rsidRPr="001D0846" w:rsidRDefault="00714F5D" w:rsidP="008C5C6A">
            <w:pPr>
              <w:spacing w:line="276" w:lineRule="auto"/>
              <w:ind w:right="39"/>
              <w:jc w:val="both"/>
              <w:rPr>
                <w:rFonts w:ascii="Times New Roman" w:hAnsi="Times New Roman" w:cs="Times New Roman"/>
                <w:b/>
              </w:rPr>
            </w:pPr>
            <w:r w:rsidRPr="001D0846">
              <w:rPr>
                <w:rFonts w:ascii="Times New Roman" w:hAnsi="Times New Roman" w:cs="Times New Roman"/>
                <w:b/>
              </w:rPr>
              <w:t>-</w:t>
            </w:r>
          </w:p>
        </w:tc>
        <w:tc>
          <w:tcPr>
            <w:tcW w:w="3972" w:type="dxa"/>
          </w:tcPr>
          <w:p w:rsidR="00714F5D" w:rsidRPr="001D0846" w:rsidRDefault="00714F5D" w:rsidP="008C5C6A">
            <w:pPr>
              <w:spacing w:line="276" w:lineRule="auto"/>
              <w:ind w:right="39"/>
              <w:jc w:val="both"/>
              <w:rPr>
                <w:rFonts w:ascii="Times New Roman" w:hAnsi="Times New Roman" w:cs="Times New Roman"/>
                <w:b/>
              </w:rPr>
            </w:pPr>
            <w:r w:rsidRPr="001D0846">
              <w:rPr>
                <w:rFonts w:ascii="Times New Roman" w:hAnsi="Times New Roman" w:cs="Times New Roman"/>
                <w:b/>
              </w:rPr>
              <w:t>Mii lei cheltuiți la 1 milion lei de venituri colectate (mii lei)</w:t>
            </w:r>
          </w:p>
        </w:tc>
        <w:tc>
          <w:tcPr>
            <w:tcW w:w="1041" w:type="dxa"/>
          </w:tcPr>
          <w:p w:rsidR="00714F5D" w:rsidRPr="001D0846" w:rsidRDefault="00714F5D" w:rsidP="008C5C6A">
            <w:pPr>
              <w:pStyle w:val="NormalWeb"/>
              <w:tabs>
                <w:tab w:val="left" w:pos="3843"/>
              </w:tabs>
              <w:spacing w:line="276" w:lineRule="auto"/>
              <w:ind w:right="-334"/>
              <w:jc w:val="center"/>
              <w:rPr>
                <w:sz w:val="22"/>
                <w:szCs w:val="22"/>
              </w:rPr>
            </w:pPr>
            <w:r w:rsidRPr="001D0846">
              <w:rPr>
                <w:sz w:val="22"/>
                <w:szCs w:val="22"/>
              </w:rPr>
              <w:t>2,1</w:t>
            </w:r>
          </w:p>
        </w:tc>
        <w:tc>
          <w:tcPr>
            <w:tcW w:w="1112" w:type="dxa"/>
          </w:tcPr>
          <w:p w:rsidR="00714F5D" w:rsidRPr="001D0846" w:rsidRDefault="00714F5D" w:rsidP="008C5C6A">
            <w:pPr>
              <w:pStyle w:val="NormalWeb"/>
              <w:tabs>
                <w:tab w:val="left" w:pos="3843"/>
              </w:tabs>
              <w:spacing w:line="276" w:lineRule="auto"/>
              <w:ind w:right="-334"/>
              <w:jc w:val="center"/>
              <w:rPr>
                <w:sz w:val="22"/>
                <w:szCs w:val="22"/>
              </w:rPr>
            </w:pPr>
            <w:r w:rsidRPr="001D0846">
              <w:rPr>
                <w:sz w:val="22"/>
                <w:szCs w:val="22"/>
              </w:rPr>
              <w:t>17,05</w:t>
            </w:r>
          </w:p>
        </w:tc>
        <w:tc>
          <w:tcPr>
            <w:tcW w:w="1132" w:type="dxa"/>
          </w:tcPr>
          <w:p w:rsidR="00714F5D" w:rsidRPr="001D0846" w:rsidRDefault="00714F5D" w:rsidP="008C5C6A">
            <w:pPr>
              <w:pStyle w:val="NormalWeb"/>
              <w:tabs>
                <w:tab w:val="left" w:pos="3843"/>
              </w:tabs>
              <w:spacing w:line="276" w:lineRule="auto"/>
              <w:ind w:right="-334"/>
              <w:jc w:val="center"/>
              <w:rPr>
                <w:sz w:val="22"/>
                <w:szCs w:val="22"/>
              </w:rPr>
            </w:pPr>
            <w:r w:rsidRPr="001D0846">
              <w:rPr>
                <w:sz w:val="22"/>
                <w:szCs w:val="22"/>
              </w:rPr>
              <w:t>21,86</w:t>
            </w:r>
          </w:p>
        </w:tc>
        <w:tc>
          <w:tcPr>
            <w:tcW w:w="1158" w:type="dxa"/>
          </w:tcPr>
          <w:p w:rsidR="00714F5D" w:rsidRPr="001D0846" w:rsidRDefault="00714F5D" w:rsidP="008C5C6A">
            <w:pPr>
              <w:pStyle w:val="NormalWeb"/>
              <w:tabs>
                <w:tab w:val="left" w:pos="3843"/>
              </w:tabs>
              <w:spacing w:line="276" w:lineRule="auto"/>
              <w:ind w:right="-334"/>
              <w:jc w:val="center"/>
              <w:rPr>
                <w:sz w:val="22"/>
                <w:szCs w:val="22"/>
              </w:rPr>
            </w:pPr>
            <w:r w:rsidRPr="001D0846">
              <w:rPr>
                <w:sz w:val="22"/>
                <w:szCs w:val="22"/>
              </w:rPr>
              <w:t>+87,7</w:t>
            </w:r>
          </w:p>
        </w:tc>
        <w:tc>
          <w:tcPr>
            <w:tcW w:w="1158" w:type="dxa"/>
          </w:tcPr>
          <w:p w:rsidR="00714F5D" w:rsidRPr="001D0846" w:rsidRDefault="00714F5D" w:rsidP="008C5C6A">
            <w:pPr>
              <w:pStyle w:val="NormalWeb"/>
              <w:tabs>
                <w:tab w:val="left" w:pos="3843"/>
              </w:tabs>
              <w:spacing w:line="276" w:lineRule="auto"/>
              <w:ind w:right="-334"/>
              <w:jc w:val="center"/>
              <w:rPr>
                <w:sz w:val="22"/>
                <w:szCs w:val="22"/>
              </w:rPr>
            </w:pPr>
            <w:r w:rsidRPr="001D0846">
              <w:rPr>
                <w:sz w:val="22"/>
                <w:szCs w:val="22"/>
              </w:rPr>
              <w:t>+22,0</w:t>
            </w:r>
          </w:p>
        </w:tc>
      </w:tr>
      <w:tr w:rsidR="00714F5D" w:rsidRPr="001D0846" w:rsidTr="008C5C6A">
        <w:tc>
          <w:tcPr>
            <w:tcW w:w="702" w:type="dxa"/>
          </w:tcPr>
          <w:p w:rsidR="00714F5D" w:rsidRPr="001D0846" w:rsidRDefault="00714F5D" w:rsidP="008C5C6A">
            <w:pPr>
              <w:spacing w:line="276" w:lineRule="auto"/>
              <w:ind w:right="39"/>
              <w:jc w:val="both"/>
              <w:rPr>
                <w:rFonts w:ascii="Times New Roman" w:hAnsi="Times New Roman" w:cs="Times New Roman"/>
                <w:b/>
              </w:rPr>
            </w:pPr>
            <w:r w:rsidRPr="001D0846">
              <w:rPr>
                <w:rFonts w:ascii="Times New Roman" w:hAnsi="Times New Roman" w:cs="Times New Roman"/>
                <w:b/>
              </w:rPr>
              <w:t>-</w:t>
            </w:r>
          </w:p>
        </w:tc>
        <w:tc>
          <w:tcPr>
            <w:tcW w:w="3972" w:type="dxa"/>
          </w:tcPr>
          <w:p w:rsidR="00714F5D" w:rsidRPr="001D0846" w:rsidRDefault="00714F5D" w:rsidP="008C5C6A">
            <w:pPr>
              <w:spacing w:line="276" w:lineRule="auto"/>
              <w:ind w:right="39"/>
              <w:jc w:val="both"/>
              <w:rPr>
                <w:rFonts w:ascii="Times New Roman" w:hAnsi="Times New Roman" w:cs="Times New Roman"/>
                <w:b/>
              </w:rPr>
            </w:pPr>
            <w:r w:rsidRPr="001D0846">
              <w:rPr>
                <w:rFonts w:ascii="Times New Roman" w:hAnsi="Times New Roman" w:cs="Times New Roman"/>
                <w:b/>
              </w:rPr>
              <w:t>Mii lei cheltuieli de personal la 1 milion lei de venituri colectate (mii lei)</w:t>
            </w:r>
          </w:p>
        </w:tc>
        <w:tc>
          <w:tcPr>
            <w:tcW w:w="1041" w:type="dxa"/>
          </w:tcPr>
          <w:p w:rsidR="00714F5D" w:rsidRPr="001D0846" w:rsidRDefault="00714F5D" w:rsidP="008C5C6A">
            <w:pPr>
              <w:pStyle w:val="NormalWeb"/>
              <w:tabs>
                <w:tab w:val="left" w:pos="3843"/>
              </w:tabs>
              <w:spacing w:line="276" w:lineRule="auto"/>
              <w:ind w:right="-334"/>
              <w:jc w:val="center"/>
              <w:rPr>
                <w:sz w:val="22"/>
                <w:szCs w:val="22"/>
              </w:rPr>
            </w:pPr>
            <w:r w:rsidRPr="001D0846">
              <w:rPr>
                <w:sz w:val="22"/>
                <w:szCs w:val="22"/>
              </w:rPr>
              <w:t>10,15</w:t>
            </w:r>
          </w:p>
        </w:tc>
        <w:tc>
          <w:tcPr>
            <w:tcW w:w="1112" w:type="dxa"/>
          </w:tcPr>
          <w:p w:rsidR="00714F5D" w:rsidRPr="001D0846" w:rsidRDefault="00714F5D" w:rsidP="008C5C6A">
            <w:pPr>
              <w:pStyle w:val="NormalWeb"/>
              <w:tabs>
                <w:tab w:val="left" w:pos="3843"/>
              </w:tabs>
              <w:spacing w:line="276" w:lineRule="auto"/>
              <w:ind w:right="-334"/>
              <w:jc w:val="center"/>
              <w:rPr>
                <w:sz w:val="22"/>
                <w:szCs w:val="22"/>
              </w:rPr>
            </w:pPr>
            <w:r w:rsidRPr="001D0846">
              <w:rPr>
                <w:sz w:val="22"/>
                <w:szCs w:val="22"/>
              </w:rPr>
              <w:t>10,20</w:t>
            </w:r>
          </w:p>
        </w:tc>
        <w:tc>
          <w:tcPr>
            <w:tcW w:w="1132" w:type="dxa"/>
          </w:tcPr>
          <w:p w:rsidR="00714F5D" w:rsidRPr="001D0846" w:rsidRDefault="00714F5D" w:rsidP="008C5C6A">
            <w:pPr>
              <w:pStyle w:val="NormalWeb"/>
              <w:tabs>
                <w:tab w:val="left" w:pos="3843"/>
              </w:tabs>
              <w:spacing w:line="276" w:lineRule="auto"/>
              <w:ind w:right="-334"/>
              <w:jc w:val="center"/>
              <w:rPr>
                <w:sz w:val="22"/>
                <w:szCs w:val="22"/>
              </w:rPr>
            </w:pPr>
            <w:r w:rsidRPr="001D0846">
              <w:rPr>
                <w:sz w:val="22"/>
                <w:szCs w:val="22"/>
              </w:rPr>
              <w:t>14,81</w:t>
            </w:r>
          </w:p>
        </w:tc>
        <w:tc>
          <w:tcPr>
            <w:tcW w:w="1158" w:type="dxa"/>
          </w:tcPr>
          <w:p w:rsidR="00714F5D" w:rsidRPr="001D0846" w:rsidRDefault="00714F5D" w:rsidP="008C5C6A">
            <w:pPr>
              <w:pStyle w:val="NormalWeb"/>
              <w:tabs>
                <w:tab w:val="left" w:pos="3843"/>
              </w:tabs>
              <w:spacing w:line="276" w:lineRule="auto"/>
              <w:ind w:right="-334"/>
              <w:jc w:val="center"/>
              <w:rPr>
                <w:sz w:val="22"/>
                <w:szCs w:val="22"/>
              </w:rPr>
            </w:pPr>
            <w:r w:rsidRPr="001D0846">
              <w:rPr>
                <w:sz w:val="22"/>
                <w:szCs w:val="22"/>
              </w:rPr>
              <w:t>+0,51</w:t>
            </w:r>
          </w:p>
        </w:tc>
        <w:tc>
          <w:tcPr>
            <w:tcW w:w="1158" w:type="dxa"/>
          </w:tcPr>
          <w:p w:rsidR="00714F5D" w:rsidRPr="001D0846" w:rsidRDefault="00714F5D" w:rsidP="008C5C6A">
            <w:pPr>
              <w:pStyle w:val="NormalWeb"/>
              <w:tabs>
                <w:tab w:val="left" w:pos="3843"/>
              </w:tabs>
              <w:spacing w:line="276" w:lineRule="auto"/>
              <w:ind w:right="-334"/>
              <w:jc w:val="center"/>
              <w:rPr>
                <w:sz w:val="22"/>
                <w:szCs w:val="22"/>
              </w:rPr>
            </w:pPr>
            <w:r w:rsidRPr="001D0846">
              <w:rPr>
                <w:sz w:val="22"/>
                <w:szCs w:val="22"/>
              </w:rPr>
              <w:t>+31,15</w:t>
            </w:r>
          </w:p>
        </w:tc>
      </w:tr>
      <w:tr w:rsidR="00714F5D" w:rsidRPr="001D0846" w:rsidTr="008C5C6A">
        <w:tc>
          <w:tcPr>
            <w:tcW w:w="702" w:type="dxa"/>
          </w:tcPr>
          <w:p w:rsidR="00714F5D" w:rsidRPr="001D0846" w:rsidRDefault="00714F5D" w:rsidP="008C5C6A">
            <w:pPr>
              <w:spacing w:line="276" w:lineRule="auto"/>
              <w:jc w:val="both"/>
              <w:rPr>
                <w:rFonts w:ascii="Times New Roman" w:hAnsi="Times New Roman" w:cs="Times New Roman"/>
                <w:b/>
              </w:rPr>
            </w:pPr>
            <w:r w:rsidRPr="001D0846">
              <w:rPr>
                <w:rFonts w:ascii="Times New Roman" w:hAnsi="Times New Roman" w:cs="Times New Roman"/>
                <w:b/>
              </w:rPr>
              <w:t>-</w:t>
            </w:r>
          </w:p>
        </w:tc>
        <w:tc>
          <w:tcPr>
            <w:tcW w:w="3972" w:type="dxa"/>
          </w:tcPr>
          <w:p w:rsidR="00714F5D" w:rsidRPr="001D0846" w:rsidRDefault="00714F5D" w:rsidP="008C5C6A">
            <w:pPr>
              <w:spacing w:line="276" w:lineRule="auto"/>
              <w:jc w:val="both"/>
              <w:rPr>
                <w:rFonts w:ascii="Times New Roman" w:hAnsi="Times New Roman" w:cs="Times New Roman"/>
                <w:b/>
              </w:rPr>
            </w:pPr>
            <w:r w:rsidRPr="001D0846">
              <w:rPr>
                <w:rFonts w:ascii="Times New Roman" w:hAnsi="Times New Roman" w:cs="Times New Roman"/>
                <w:b/>
              </w:rPr>
              <w:t>Venituri bugetare colectate la numărul mediu de personal (mil.lei)</w:t>
            </w:r>
          </w:p>
        </w:tc>
        <w:tc>
          <w:tcPr>
            <w:tcW w:w="1041" w:type="dxa"/>
          </w:tcPr>
          <w:p w:rsidR="00714F5D" w:rsidRPr="001D0846" w:rsidRDefault="00714F5D" w:rsidP="008C5C6A">
            <w:pPr>
              <w:pStyle w:val="NormalWeb"/>
              <w:tabs>
                <w:tab w:val="left" w:pos="3843"/>
              </w:tabs>
              <w:spacing w:line="276" w:lineRule="auto"/>
              <w:ind w:right="67"/>
              <w:jc w:val="center"/>
              <w:rPr>
                <w:sz w:val="22"/>
                <w:szCs w:val="22"/>
              </w:rPr>
            </w:pPr>
            <w:r w:rsidRPr="001D0846">
              <w:rPr>
                <w:sz w:val="22"/>
                <w:szCs w:val="22"/>
              </w:rPr>
              <w:t>9,16</w:t>
            </w:r>
          </w:p>
        </w:tc>
        <w:tc>
          <w:tcPr>
            <w:tcW w:w="1112" w:type="dxa"/>
          </w:tcPr>
          <w:p w:rsidR="00714F5D" w:rsidRPr="001D0846" w:rsidRDefault="00714F5D" w:rsidP="008C5C6A">
            <w:pPr>
              <w:pStyle w:val="NormalWeb"/>
              <w:tabs>
                <w:tab w:val="left" w:pos="3843"/>
              </w:tabs>
              <w:spacing w:line="276" w:lineRule="auto"/>
              <w:jc w:val="center"/>
              <w:rPr>
                <w:sz w:val="22"/>
                <w:szCs w:val="22"/>
              </w:rPr>
            </w:pPr>
            <w:r w:rsidRPr="001D0846">
              <w:rPr>
                <w:sz w:val="22"/>
                <w:szCs w:val="22"/>
              </w:rPr>
              <w:t>10,11</w:t>
            </w:r>
          </w:p>
        </w:tc>
        <w:tc>
          <w:tcPr>
            <w:tcW w:w="1132" w:type="dxa"/>
          </w:tcPr>
          <w:p w:rsidR="00714F5D" w:rsidRPr="001D0846" w:rsidRDefault="00714F5D" w:rsidP="008C5C6A">
            <w:pPr>
              <w:pStyle w:val="NormalWeb"/>
              <w:tabs>
                <w:tab w:val="left" w:pos="3843"/>
              </w:tabs>
              <w:spacing w:line="276" w:lineRule="auto"/>
              <w:ind w:right="4"/>
              <w:jc w:val="center"/>
              <w:rPr>
                <w:sz w:val="22"/>
                <w:szCs w:val="22"/>
              </w:rPr>
            </w:pPr>
            <w:r w:rsidRPr="001D0846">
              <w:rPr>
                <w:sz w:val="22"/>
                <w:szCs w:val="22"/>
              </w:rPr>
              <w:t>12,81</w:t>
            </w:r>
          </w:p>
        </w:tc>
        <w:tc>
          <w:tcPr>
            <w:tcW w:w="1158" w:type="dxa"/>
          </w:tcPr>
          <w:p w:rsidR="00714F5D" w:rsidRPr="001D0846" w:rsidRDefault="00714F5D" w:rsidP="008C5C6A">
            <w:pPr>
              <w:pStyle w:val="NormalWeb"/>
              <w:tabs>
                <w:tab w:val="left" w:pos="3843"/>
              </w:tabs>
              <w:spacing w:line="276" w:lineRule="auto"/>
              <w:ind w:right="-334"/>
              <w:jc w:val="center"/>
              <w:rPr>
                <w:sz w:val="22"/>
                <w:szCs w:val="22"/>
              </w:rPr>
            </w:pPr>
            <w:r w:rsidRPr="001D0846">
              <w:rPr>
                <w:sz w:val="22"/>
                <w:szCs w:val="22"/>
              </w:rPr>
              <w:t>+9,42</w:t>
            </w:r>
          </w:p>
        </w:tc>
        <w:tc>
          <w:tcPr>
            <w:tcW w:w="1158" w:type="dxa"/>
          </w:tcPr>
          <w:p w:rsidR="00714F5D" w:rsidRPr="001D0846" w:rsidRDefault="00714F5D" w:rsidP="008C5C6A">
            <w:pPr>
              <w:pStyle w:val="NormalWeb"/>
              <w:tabs>
                <w:tab w:val="left" w:pos="3843"/>
              </w:tabs>
              <w:spacing w:line="276" w:lineRule="auto"/>
              <w:ind w:right="-334"/>
              <w:jc w:val="center"/>
              <w:rPr>
                <w:sz w:val="22"/>
                <w:szCs w:val="22"/>
              </w:rPr>
            </w:pPr>
            <w:r w:rsidRPr="001D0846">
              <w:rPr>
                <w:sz w:val="22"/>
                <w:szCs w:val="22"/>
              </w:rPr>
              <w:t>+21,07</w:t>
            </w:r>
          </w:p>
        </w:tc>
      </w:tr>
      <w:tr w:rsidR="00714F5D" w:rsidRPr="001D0846" w:rsidTr="008C5C6A">
        <w:tc>
          <w:tcPr>
            <w:tcW w:w="702" w:type="dxa"/>
          </w:tcPr>
          <w:p w:rsidR="00714F5D" w:rsidRPr="001D0846" w:rsidRDefault="00714F5D" w:rsidP="008C5C6A">
            <w:pPr>
              <w:spacing w:line="276" w:lineRule="auto"/>
              <w:ind w:right="39"/>
              <w:jc w:val="both"/>
              <w:rPr>
                <w:rFonts w:ascii="Times New Roman" w:hAnsi="Times New Roman" w:cs="Times New Roman"/>
                <w:b/>
              </w:rPr>
            </w:pPr>
            <w:r w:rsidRPr="001D0846">
              <w:rPr>
                <w:rFonts w:ascii="Times New Roman" w:hAnsi="Times New Roman" w:cs="Times New Roman"/>
                <w:b/>
              </w:rPr>
              <w:t>-</w:t>
            </w:r>
          </w:p>
        </w:tc>
        <w:tc>
          <w:tcPr>
            <w:tcW w:w="3972" w:type="dxa"/>
          </w:tcPr>
          <w:p w:rsidR="00714F5D" w:rsidRPr="001D0846" w:rsidRDefault="00714F5D" w:rsidP="008C5C6A">
            <w:pPr>
              <w:spacing w:line="276" w:lineRule="auto"/>
              <w:ind w:right="39"/>
              <w:jc w:val="both"/>
              <w:rPr>
                <w:rFonts w:ascii="Times New Roman" w:hAnsi="Times New Roman" w:cs="Times New Roman"/>
                <w:b/>
              </w:rPr>
            </w:pPr>
            <w:r w:rsidRPr="001D0846">
              <w:rPr>
                <w:rFonts w:ascii="Times New Roman" w:hAnsi="Times New Roman" w:cs="Times New Roman"/>
                <w:b/>
              </w:rPr>
              <w:t xml:space="preserve">Venituri bugetare colectate la numărul mediu de contribuabili (mil.lei)  </w:t>
            </w:r>
          </w:p>
        </w:tc>
        <w:tc>
          <w:tcPr>
            <w:tcW w:w="1041" w:type="dxa"/>
          </w:tcPr>
          <w:p w:rsidR="00714F5D" w:rsidRPr="001D0846" w:rsidRDefault="00714F5D" w:rsidP="008C5C6A">
            <w:pPr>
              <w:pStyle w:val="NormalWeb"/>
              <w:tabs>
                <w:tab w:val="left" w:pos="3843"/>
              </w:tabs>
              <w:spacing w:line="276" w:lineRule="auto"/>
              <w:ind w:right="-334"/>
              <w:jc w:val="center"/>
              <w:rPr>
                <w:sz w:val="22"/>
                <w:szCs w:val="22"/>
              </w:rPr>
            </w:pPr>
            <w:r w:rsidRPr="001D0846">
              <w:rPr>
                <w:sz w:val="22"/>
                <w:szCs w:val="22"/>
              </w:rPr>
              <w:t>0,04</w:t>
            </w:r>
          </w:p>
        </w:tc>
        <w:tc>
          <w:tcPr>
            <w:tcW w:w="1112" w:type="dxa"/>
          </w:tcPr>
          <w:p w:rsidR="00714F5D" w:rsidRPr="001D0846" w:rsidRDefault="00714F5D" w:rsidP="008C5C6A">
            <w:pPr>
              <w:pStyle w:val="NormalWeb"/>
              <w:tabs>
                <w:tab w:val="left" w:pos="3843"/>
              </w:tabs>
              <w:spacing w:line="276" w:lineRule="auto"/>
              <w:ind w:right="-334"/>
              <w:jc w:val="center"/>
              <w:rPr>
                <w:sz w:val="22"/>
                <w:szCs w:val="22"/>
              </w:rPr>
            </w:pPr>
            <w:r w:rsidRPr="001D0846">
              <w:rPr>
                <w:sz w:val="22"/>
                <w:szCs w:val="22"/>
              </w:rPr>
              <w:t>0,04</w:t>
            </w:r>
          </w:p>
        </w:tc>
        <w:tc>
          <w:tcPr>
            <w:tcW w:w="1132" w:type="dxa"/>
          </w:tcPr>
          <w:p w:rsidR="00714F5D" w:rsidRPr="001D0846" w:rsidRDefault="00714F5D" w:rsidP="008C5C6A">
            <w:pPr>
              <w:pStyle w:val="NormalWeb"/>
              <w:tabs>
                <w:tab w:val="left" w:pos="3843"/>
              </w:tabs>
              <w:spacing w:line="276" w:lineRule="auto"/>
              <w:ind w:right="-334"/>
              <w:jc w:val="center"/>
              <w:rPr>
                <w:sz w:val="22"/>
                <w:szCs w:val="22"/>
              </w:rPr>
            </w:pPr>
            <w:r w:rsidRPr="001D0846">
              <w:rPr>
                <w:sz w:val="22"/>
                <w:szCs w:val="22"/>
              </w:rPr>
              <w:t>0,04</w:t>
            </w:r>
          </w:p>
        </w:tc>
        <w:tc>
          <w:tcPr>
            <w:tcW w:w="1158" w:type="dxa"/>
          </w:tcPr>
          <w:p w:rsidR="00714F5D" w:rsidRPr="001D0846" w:rsidRDefault="00714F5D" w:rsidP="008C5C6A">
            <w:pPr>
              <w:pStyle w:val="NormalWeb"/>
              <w:tabs>
                <w:tab w:val="left" w:pos="3843"/>
              </w:tabs>
              <w:spacing w:line="276" w:lineRule="auto"/>
              <w:ind w:right="-334"/>
              <w:jc w:val="center"/>
              <w:rPr>
                <w:sz w:val="22"/>
                <w:szCs w:val="22"/>
              </w:rPr>
            </w:pPr>
            <w:r w:rsidRPr="001D0846">
              <w:rPr>
                <w:sz w:val="22"/>
                <w:szCs w:val="22"/>
              </w:rPr>
              <w:t>0</w:t>
            </w:r>
          </w:p>
        </w:tc>
        <w:tc>
          <w:tcPr>
            <w:tcW w:w="1158" w:type="dxa"/>
          </w:tcPr>
          <w:p w:rsidR="00714F5D" w:rsidRPr="001D0846" w:rsidRDefault="00714F5D" w:rsidP="008C5C6A">
            <w:pPr>
              <w:pStyle w:val="NormalWeb"/>
              <w:tabs>
                <w:tab w:val="left" w:pos="3843"/>
              </w:tabs>
              <w:spacing w:line="276" w:lineRule="auto"/>
              <w:ind w:right="-334"/>
              <w:jc w:val="center"/>
              <w:rPr>
                <w:sz w:val="22"/>
                <w:szCs w:val="22"/>
              </w:rPr>
            </w:pPr>
            <w:r w:rsidRPr="001D0846">
              <w:rPr>
                <w:sz w:val="22"/>
                <w:szCs w:val="22"/>
              </w:rPr>
              <w:t>0</w:t>
            </w:r>
          </w:p>
        </w:tc>
      </w:tr>
    </w:tbl>
    <w:p w:rsidR="00714F5D" w:rsidRPr="001D0846" w:rsidRDefault="00714F5D" w:rsidP="00714F5D">
      <w:pPr>
        <w:spacing w:after="0" w:line="276" w:lineRule="auto"/>
        <w:ind w:right="-334"/>
        <w:rPr>
          <w:rFonts w:ascii="Times New Roman" w:hAnsi="Times New Roman" w:cs="Times New Roman"/>
          <w:i/>
        </w:rPr>
      </w:pPr>
      <w:r w:rsidRPr="001D0846">
        <w:rPr>
          <w:rFonts w:ascii="Times New Roman" w:hAnsi="Times New Roman" w:cs="Times New Roman"/>
          <w:b/>
          <w:i/>
        </w:rPr>
        <w:lastRenderedPageBreak/>
        <w:t>Sursă:</w:t>
      </w:r>
      <w:r w:rsidRPr="001D0846">
        <w:rPr>
          <w:rFonts w:ascii="Times New Roman" w:hAnsi="Times New Roman" w:cs="Times New Roman"/>
          <w:i/>
        </w:rPr>
        <w:t xml:space="preserve"> Informații</w:t>
      </w:r>
      <w:r>
        <w:rPr>
          <w:rFonts w:ascii="Times New Roman" w:hAnsi="Times New Roman" w:cs="Times New Roman"/>
          <w:i/>
        </w:rPr>
        <w:t>le</w:t>
      </w:r>
      <w:r w:rsidRPr="001D0846">
        <w:rPr>
          <w:rFonts w:ascii="Times New Roman" w:hAnsi="Times New Roman" w:cs="Times New Roman"/>
          <w:i/>
        </w:rPr>
        <w:t xml:space="preserve"> prezentate de către SV.</w:t>
      </w:r>
    </w:p>
    <w:p w:rsidR="00714F5D" w:rsidRPr="001D0846" w:rsidRDefault="00714F5D" w:rsidP="00714F5D">
      <w:pPr>
        <w:spacing w:after="0" w:line="276" w:lineRule="auto"/>
        <w:ind w:firstLine="709"/>
        <w:jc w:val="right"/>
        <w:rPr>
          <w:rFonts w:ascii="Times New Roman" w:eastAsia="Calibri" w:hAnsi="Times New Roman" w:cs="Times New Roman"/>
          <w:b/>
          <w:i/>
          <w:sz w:val="28"/>
          <w:szCs w:val="28"/>
        </w:rPr>
      </w:pPr>
      <w:r>
        <w:rPr>
          <w:rFonts w:ascii="Times New Roman" w:eastAsia="Calibri" w:hAnsi="Times New Roman" w:cs="Times New Roman"/>
          <w:b/>
          <w:i/>
          <w:sz w:val="28"/>
          <w:szCs w:val="28"/>
        </w:rPr>
        <w:t>Tabelul nr.12</w:t>
      </w:r>
    </w:p>
    <w:p w:rsidR="00714F5D" w:rsidRPr="001D0846" w:rsidRDefault="00714F5D" w:rsidP="00714F5D">
      <w:pPr>
        <w:spacing w:after="0" w:line="276" w:lineRule="auto"/>
        <w:ind w:firstLine="709"/>
        <w:jc w:val="center"/>
        <w:rPr>
          <w:rFonts w:ascii="Times New Roman" w:eastAsia="Calibri" w:hAnsi="Times New Roman" w:cs="Times New Roman"/>
          <w:i/>
          <w:sz w:val="28"/>
          <w:szCs w:val="28"/>
        </w:rPr>
      </w:pPr>
      <w:r w:rsidRPr="001D0846">
        <w:rPr>
          <w:rFonts w:ascii="Times New Roman" w:eastAsia="Calibri" w:hAnsi="Times New Roman" w:cs="Times New Roman"/>
          <w:i/>
          <w:sz w:val="28"/>
          <w:szCs w:val="28"/>
        </w:rPr>
        <w:t xml:space="preserve">Informația privind evoluția în </w:t>
      </w:r>
      <w:r w:rsidRPr="00E330C1">
        <w:rPr>
          <w:rFonts w:ascii="Times New Roman" w:eastAsia="Calibri" w:hAnsi="Times New Roman" w:cs="Times New Roman"/>
          <w:i/>
          <w:sz w:val="28"/>
          <w:szCs w:val="28"/>
        </w:rPr>
        <w:t>dinamică a obligațiilor fiscale</w:t>
      </w:r>
      <w:r w:rsidR="0075307B">
        <w:rPr>
          <w:rFonts w:ascii="Times New Roman" w:eastAsia="Calibri" w:hAnsi="Times New Roman" w:cs="Times New Roman"/>
          <w:i/>
          <w:sz w:val="28"/>
          <w:szCs w:val="28"/>
        </w:rPr>
        <w:t xml:space="preserve"> restante</w:t>
      </w:r>
      <w:r w:rsidRPr="00E330C1">
        <w:rPr>
          <w:rFonts w:ascii="Times New Roman" w:eastAsia="Calibri" w:hAnsi="Times New Roman" w:cs="Times New Roman"/>
          <w:i/>
          <w:sz w:val="28"/>
          <w:szCs w:val="28"/>
        </w:rPr>
        <w:t xml:space="preserve"> la BPN din evidența generală administrată de SFS pentru anii 2015-2017</w:t>
      </w:r>
    </w:p>
    <w:p w:rsidR="00714F5D" w:rsidRPr="00365962" w:rsidRDefault="00714F5D" w:rsidP="00714F5D">
      <w:pPr>
        <w:spacing w:after="0" w:line="276" w:lineRule="auto"/>
        <w:ind w:right="-435" w:firstLine="709"/>
        <w:jc w:val="right"/>
        <w:rPr>
          <w:rFonts w:ascii="Times New Roman" w:eastAsia="Calibri" w:hAnsi="Times New Roman" w:cs="Times New Roman"/>
          <w:i/>
          <w:sz w:val="28"/>
          <w:szCs w:val="28"/>
        </w:rPr>
      </w:pPr>
      <w:r w:rsidRPr="00365962">
        <w:rPr>
          <w:rFonts w:ascii="Times New Roman" w:eastAsia="Calibri" w:hAnsi="Times New Roman" w:cs="Times New Roman"/>
          <w:i/>
          <w:sz w:val="28"/>
          <w:szCs w:val="28"/>
        </w:rPr>
        <w:t>(mil.lei)</w:t>
      </w:r>
    </w:p>
    <w:tbl>
      <w:tblPr>
        <w:tblStyle w:val="TableGrid"/>
        <w:tblW w:w="10283" w:type="dxa"/>
        <w:tblInd w:w="-431" w:type="dxa"/>
        <w:tblLook w:val="04A0"/>
      </w:tblPr>
      <w:tblGrid>
        <w:gridCol w:w="1702"/>
        <w:gridCol w:w="3446"/>
        <w:gridCol w:w="2196"/>
        <w:gridCol w:w="2939"/>
      </w:tblGrid>
      <w:tr w:rsidR="00714F5D" w:rsidRPr="001D0846" w:rsidTr="008C5C6A">
        <w:tc>
          <w:tcPr>
            <w:tcW w:w="1702" w:type="dxa"/>
          </w:tcPr>
          <w:p w:rsidR="00714F5D" w:rsidRPr="001D0846" w:rsidRDefault="00714F5D" w:rsidP="008C5C6A">
            <w:pPr>
              <w:spacing w:line="276" w:lineRule="auto"/>
              <w:jc w:val="center"/>
              <w:rPr>
                <w:rFonts w:ascii="Times New Roman" w:eastAsia="Calibri" w:hAnsi="Times New Roman" w:cs="Times New Roman"/>
                <w:b/>
                <w:sz w:val="24"/>
                <w:szCs w:val="24"/>
              </w:rPr>
            </w:pPr>
            <w:r w:rsidRPr="001D0846">
              <w:rPr>
                <w:rFonts w:ascii="Times New Roman" w:eastAsia="Calibri" w:hAnsi="Times New Roman" w:cs="Times New Roman"/>
                <w:b/>
                <w:sz w:val="24"/>
                <w:szCs w:val="24"/>
              </w:rPr>
              <w:t>La situația din:</w:t>
            </w:r>
          </w:p>
        </w:tc>
        <w:tc>
          <w:tcPr>
            <w:tcW w:w="3446" w:type="dxa"/>
          </w:tcPr>
          <w:p w:rsidR="00714F5D" w:rsidRPr="001D0846" w:rsidRDefault="00714F5D" w:rsidP="008C5C6A">
            <w:pPr>
              <w:spacing w:line="276" w:lineRule="auto"/>
              <w:jc w:val="center"/>
              <w:rPr>
                <w:rFonts w:ascii="Times New Roman" w:eastAsia="Calibri" w:hAnsi="Times New Roman" w:cs="Times New Roman"/>
                <w:b/>
                <w:sz w:val="24"/>
                <w:szCs w:val="24"/>
              </w:rPr>
            </w:pPr>
            <w:r w:rsidRPr="001D0846">
              <w:rPr>
                <w:rFonts w:ascii="Times New Roman" w:eastAsia="Calibri" w:hAnsi="Times New Roman" w:cs="Times New Roman"/>
                <w:b/>
                <w:sz w:val="24"/>
                <w:szCs w:val="24"/>
              </w:rPr>
              <w:t xml:space="preserve">Soldul obligațiilor fiscale </w:t>
            </w:r>
            <w:r w:rsidR="0075307B">
              <w:rPr>
                <w:rFonts w:ascii="Times New Roman" w:eastAsia="Calibri" w:hAnsi="Times New Roman" w:cs="Times New Roman"/>
                <w:b/>
                <w:sz w:val="24"/>
                <w:szCs w:val="24"/>
              </w:rPr>
              <w:t xml:space="preserve">restante </w:t>
            </w:r>
            <w:r w:rsidRPr="001D0846">
              <w:rPr>
                <w:rFonts w:ascii="Times New Roman" w:eastAsia="Calibri" w:hAnsi="Times New Roman" w:cs="Times New Roman"/>
                <w:b/>
                <w:sz w:val="24"/>
                <w:szCs w:val="24"/>
              </w:rPr>
              <w:t>la BPN din evidența generală a SFS</w:t>
            </w:r>
          </w:p>
        </w:tc>
        <w:tc>
          <w:tcPr>
            <w:tcW w:w="2196" w:type="dxa"/>
          </w:tcPr>
          <w:p w:rsidR="00714F5D" w:rsidRPr="001D0846" w:rsidRDefault="00714F5D" w:rsidP="008C5C6A">
            <w:pPr>
              <w:spacing w:line="276" w:lineRule="auto"/>
              <w:jc w:val="center"/>
              <w:rPr>
                <w:rFonts w:ascii="Times New Roman" w:eastAsia="Calibri" w:hAnsi="Times New Roman" w:cs="Times New Roman"/>
                <w:b/>
                <w:sz w:val="24"/>
                <w:szCs w:val="24"/>
              </w:rPr>
            </w:pPr>
            <w:r w:rsidRPr="001D0846">
              <w:rPr>
                <w:rFonts w:ascii="Times New Roman" w:eastAsia="Calibri" w:hAnsi="Times New Roman" w:cs="Times New Roman"/>
                <w:b/>
                <w:sz w:val="24"/>
                <w:szCs w:val="24"/>
              </w:rPr>
              <w:t xml:space="preserve">Soldul obligațiilor fiscale </w:t>
            </w:r>
            <w:r w:rsidR="0075307B">
              <w:rPr>
                <w:rFonts w:ascii="Times New Roman" w:eastAsia="Calibri" w:hAnsi="Times New Roman" w:cs="Times New Roman"/>
                <w:b/>
                <w:sz w:val="24"/>
                <w:szCs w:val="24"/>
              </w:rPr>
              <w:t xml:space="preserve">restante </w:t>
            </w:r>
            <w:r w:rsidRPr="001D0846">
              <w:rPr>
                <w:rFonts w:ascii="Times New Roman" w:eastAsia="Calibri" w:hAnsi="Times New Roman" w:cs="Times New Roman"/>
                <w:b/>
                <w:sz w:val="24"/>
                <w:szCs w:val="24"/>
              </w:rPr>
              <w:t>înregistrate în evidența specială</w:t>
            </w:r>
          </w:p>
        </w:tc>
        <w:tc>
          <w:tcPr>
            <w:tcW w:w="2939" w:type="dxa"/>
          </w:tcPr>
          <w:p w:rsidR="00714F5D" w:rsidRPr="001D0846" w:rsidRDefault="00714F5D" w:rsidP="008C5C6A">
            <w:pPr>
              <w:spacing w:line="276" w:lineRule="auto"/>
              <w:jc w:val="center"/>
              <w:rPr>
                <w:rFonts w:ascii="Times New Roman" w:eastAsia="Calibri" w:hAnsi="Times New Roman" w:cs="Times New Roman"/>
                <w:b/>
                <w:sz w:val="24"/>
                <w:szCs w:val="24"/>
              </w:rPr>
            </w:pPr>
            <w:r w:rsidRPr="001D0846">
              <w:rPr>
                <w:rFonts w:ascii="Times New Roman" w:eastAsia="Calibri" w:hAnsi="Times New Roman" w:cs="Times New Roman"/>
                <w:b/>
                <w:sz w:val="24"/>
                <w:szCs w:val="24"/>
              </w:rPr>
              <w:t>Soldul restanțelor</w:t>
            </w:r>
          </w:p>
          <w:p w:rsidR="00714F5D" w:rsidRPr="001D0846" w:rsidRDefault="00714F5D" w:rsidP="008C5C6A">
            <w:pPr>
              <w:spacing w:line="276" w:lineRule="auto"/>
              <w:ind w:firstLine="709"/>
              <w:jc w:val="center"/>
              <w:rPr>
                <w:rFonts w:ascii="Times New Roman" w:eastAsia="Calibri" w:hAnsi="Times New Roman" w:cs="Times New Roman"/>
                <w:sz w:val="28"/>
                <w:szCs w:val="28"/>
              </w:rPr>
            </w:pPr>
            <w:r w:rsidRPr="001D0846">
              <w:rPr>
                <w:rFonts w:ascii="Times New Roman" w:eastAsia="Calibri" w:hAnsi="Times New Roman" w:cs="Times New Roman"/>
                <w:b/>
                <w:sz w:val="24"/>
                <w:szCs w:val="24"/>
              </w:rPr>
              <w:t>la BPN</w:t>
            </w:r>
          </w:p>
          <w:p w:rsidR="00714F5D" w:rsidRPr="001D0846" w:rsidRDefault="00714F5D" w:rsidP="008C5C6A">
            <w:pPr>
              <w:spacing w:line="276" w:lineRule="auto"/>
              <w:jc w:val="center"/>
              <w:rPr>
                <w:rFonts w:ascii="Times New Roman" w:eastAsia="Calibri" w:hAnsi="Times New Roman" w:cs="Times New Roman"/>
                <w:b/>
                <w:sz w:val="28"/>
                <w:szCs w:val="28"/>
              </w:rPr>
            </w:pPr>
          </w:p>
        </w:tc>
      </w:tr>
      <w:tr w:rsidR="00714F5D" w:rsidRPr="001D0846" w:rsidTr="008C5C6A">
        <w:tc>
          <w:tcPr>
            <w:tcW w:w="1702" w:type="dxa"/>
          </w:tcPr>
          <w:p w:rsidR="00714F5D" w:rsidRPr="001D0846" w:rsidRDefault="00714F5D" w:rsidP="008C5C6A">
            <w:pPr>
              <w:spacing w:line="276" w:lineRule="auto"/>
              <w:jc w:val="center"/>
              <w:rPr>
                <w:rFonts w:ascii="Times New Roman" w:eastAsia="Calibri" w:hAnsi="Times New Roman" w:cs="Times New Roman"/>
                <w:sz w:val="24"/>
                <w:szCs w:val="24"/>
              </w:rPr>
            </w:pPr>
            <w:r w:rsidRPr="001D0846">
              <w:rPr>
                <w:rFonts w:ascii="Times New Roman" w:eastAsia="Calibri" w:hAnsi="Times New Roman" w:cs="Times New Roman"/>
                <w:sz w:val="24"/>
                <w:szCs w:val="24"/>
              </w:rPr>
              <w:t>31.12.2015</w:t>
            </w:r>
          </w:p>
        </w:tc>
        <w:tc>
          <w:tcPr>
            <w:tcW w:w="3446" w:type="dxa"/>
          </w:tcPr>
          <w:p w:rsidR="00714F5D" w:rsidRPr="001D0846" w:rsidRDefault="00714F5D" w:rsidP="008C5C6A">
            <w:pPr>
              <w:spacing w:line="276" w:lineRule="auto"/>
              <w:jc w:val="center"/>
              <w:rPr>
                <w:rFonts w:ascii="Times New Roman" w:eastAsia="Calibri" w:hAnsi="Times New Roman" w:cs="Times New Roman"/>
                <w:sz w:val="24"/>
                <w:szCs w:val="24"/>
              </w:rPr>
            </w:pPr>
            <w:r w:rsidRPr="001D0846">
              <w:rPr>
                <w:rFonts w:ascii="Times New Roman" w:eastAsia="Times New Roman" w:hAnsi="Times New Roman" w:cs="Times New Roman"/>
                <w:sz w:val="24"/>
                <w:szCs w:val="24"/>
                <w:lang w:eastAsia="ru-RU"/>
              </w:rPr>
              <w:t>6411,7</w:t>
            </w:r>
          </w:p>
        </w:tc>
        <w:tc>
          <w:tcPr>
            <w:tcW w:w="2196" w:type="dxa"/>
          </w:tcPr>
          <w:p w:rsidR="00714F5D" w:rsidRPr="001D0846" w:rsidRDefault="00714F5D" w:rsidP="008C5C6A">
            <w:pPr>
              <w:spacing w:line="276" w:lineRule="auto"/>
              <w:jc w:val="center"/>
              <w:rPr>
                <w:rFonts w:ascii="Times New Roman" w:eastAsia="Calibri" w:hAnsi="Times New Roman" w:cs="Times New Roman"/>
                <w:sz w:val="24"/>
                <w:szCs w:val="24"/>
              </w:rPr>
            </w:pPr>
            <w:r w:rsidRPr="001D0846">
              <w:rPr>
                <w:rFonts w:ascii="Times New Roman" w:eastAsia="Times New Roman" w:hAnsi="Times New Roman" w:cs="Times New Roman"/>
                <w:sz w:val="24"/>
                <w:szCs w:val="24"/>
                <w:lang w:eastAsia="ru-RU"/>
              </w:rPr>
              <w:t>4567,1</w:t>
            </w:r>
          </w:p>
        </w:tc>
        <w:tc>
          <w:tcPr>
            <w:tcW w:w="2939" w:type="dxa"/>
          </w:tcPr>
          <w:p w:rsidR="00714F5D" w:rsidRPr="001D0846" w:rsidRDefault="00714F5D" w:rsidP="008C5C6A">
            <w:pPr>
              <w:spacing w:line="276" w:lineRule="auto"/>
              <w:jc w:val="center"/>
              <w:rPr>
                <w:rFonts w:ascii="Times New Roman" w:eastAsia="Calibri" w:hAnsi="Times New Roman" w:cs="Times New Roman"/>
                <w:sz w:val="24"/>
                <w:szCs w:val="24"/>
              </w:rPr>
            </w:pPr>
            <w:r w:rsidRPr="001D0846">
              <w:rPr>
                <w:rFonts w:ascii="Times New Roman" w:eastAsia="Times New Roman" w:hAnsi="Times New Roman" w:cs="Times New Roman"/>
                <w:iCs/>
                <w:sz w:val="24"/>
                <w:szCs w:val="24"/>
              </w:rPr>
              <w:t>1844,6</w:t>
            </w:r>
          </w:p>
        </w:tc>
      </w:tr>
      <w:tr w:rsidR="00714F5D" w:rsidRPr="001D0846" w:rsidTr="008C5C6A">
        <w:tc>
          <w:tcPr>
            <w:tcW w:w="1702" w:type="dxa"/>
          </w:tcPr>
          <w:p w:rsidR="00714F5D" w:rsidRPr="001D0846" w:rsidRDefault="00714F5D" w:rsidP="008C5C6A">
            <w:pPr>
              <w:spacing w:line="276" w:lineRule="auto"/>
              <w:jc w:val="center"/>
              <w:rPr>
                <w:rFonts w:ascii="Times New Roman" w:eastAsia="Calibri" w:hAnsi="Times New Roman" w:cs="Times New Roman"/>
                <w:sz w:val="24"/>
                <w:szCs w:val="24"/>
              </w:rPr>
            </w:pPr>
            <w:r w:rsidRPr="001D0846">
              <w:rPr>
                <w:rFonts w:ascii="Times New Roman" w:eastAsia="Calibri" w:hAnsi="Times New Roman" w:cs="Times New Roman"/>
                <w:sz w:val="24"/>
                <w:szCs w:val="24"/>
              </w:rPr>
              <w:t>31.12.2016</w:t>
            </w:r>
          </w:p>
        </w:tc>
        <w:tc>
          <w:tcPr>
            <w:tcW w:w="3446" w:type="dxa"/>
          </w:tcPr>
          <w:p w:rsidR="00714F5D" w:rsidRPr="001D0846" w:rsidRDefault="00714F5D" w:rsidP="008C5C6A">
            <w:pPr>
              <w:spacing w:line="276" w:lineRule="auto"/>
              <w:jc w:val="center"/>
              <w:rPr>
                <w:rFonts w:ascii="Times New Roman" w:eastAsia="Calibri" w:hAnsi="Times New Roman" w:cs="Times New Roman"/>
                <w:sz w:val="24"/>
                <w:szCs w:val="24"/>
              </w:rPr>
            </w:pPr>
            <w:r w:rsidRPr="001D0846">
              <w:rPr>
                <w:rFonts w:ascii="Times New Roman" w:eastAsia="Times New Roman" w:hAnsi="Times New Roman" w:cs="Times New Roman"/>
                <w:sz w:val="24"/>
                <w:szCs w:val="24"/>
                <w:lang w:eastAsia="ru-RU"/>
              </w:rPr>
              <w:t>6971,6</w:t>
            </w:r>
          </w:p>
        </w:tc>
        <w:tc>
          <w:tcPr>
            <w:tcW w:w="2196" w:type="dxa"/>
          </w:tcPr>
          <w:p w:rsidR="00714F5D" w:rsidRPr="001D0846" w:rsidRDefault="00714F5D" w:rsidP="008C5C6A">
            <w:pPr>
              <w:spacing w:line="276" w:lineRule="auto"/>
              <w:jc w:val="center"/>
              <w:rPr>
                <w:rFonts w:ascii="Times New Roman" w:eastAsia="Calibri" w:hAnsi="Times New Roman" w:cs="Times New Roman"/>
                <w:sz w:val="24"/>
                <w:szCs w:val="24"/>
              </w:rPr>
            </w:pPr>
            <w:r w:rsidRPr="001D0846">
              <w:rPr>
                <w:rFonts w:ascii="Times New Roman" w:eastAsia="Times New Roman" w:hAnsi="Times New Roman" w:cs="Times New Roman"/>
                <w:sz w:val="24"/>
                <w:szCs w:val="24"/>
                <w:lang w:eastAsia="ru-RU"/>
              </w:rPr>
              <w:t>5145,6</w:t>
            </w:r>
          </w:p>
        </w:tc>
        <w:tc>
          <w:tcPr>
            <w:tcW w:w="2939" w:type="dxa"/>
          </w:tcPr>
          <w:p w:rsidR="00714F5D" w:rsidRPr="001D0846" w:rsidRDefault="00714F5D" w:rsidP="008C5C6A">
            <w:pPr>
              <w:spacing w:line="276" w:lineRule="auto"/>
              <w:jc w:val="center"/>
              <w:rPr>
                <w:rFonts w:ascii="Times New Roman" w:eastAsia="Calibri" w:hAnsi="Times New Roman" w:cs="Times New Roman"/>
                <w:sz w:val="24"/>
                <w:szCs w:val="24"/>
              </w:rPr>
            </w:pPr>
            <w:r w:rsidRPr="001D0846">
              <w:rPr>
                <w:rFonts w:ascii="Times New Roman" w:eastAsia="Times New Roman" w:hAnsi="Times New Roman" w:cs="Times New Roman"/>
                <w:iCs/>
                <w:sz w:val="24"/>
                <w:szCs w:val="24"/>
              </w:rPr>
              <w:t>1826,0</w:t>
            </w:r>
          </w:p>
        </w:tc>
      </w:tr>
      <w:tr w:rsidR="00714F5D" w:rsidRPr="001D0846" w:rsidTr="008C5C6A">
        <w:tc>
          <w:tcPr>
            <w:tcW w:w="1702" w:type="dxa"/>
          </w:tcPr>
          <w:p w:rsidR="00714F5D" w:rsidRPr="001D0846" w:rsidRDefault="00714F5D" w:rsidP="008C5C6A">
            <w:pPr>
              <w:spacing w:line="276" w:lineRule="auto"/>
              <w:jc w:val="center"/>
              <w:rPr>
                <w:rFonts w:ascii="Times New Roman" w:eastAsia="Calibri" w:hAnsi="Times New Roman" w:cs="Times New Roman"/>
                <w:sz w:val="24"/>
                <w:szCs w:val="24"/>
              </w:rPr>
            </w:pPr>
            <w:r w:rsidRPr="001D0846">
              <w:rPr>
                <w:rFonts w:ascii="Times New Roman" w:eastAsia="Calibri" w:hAnsi="Times New Roman" w:cs="Times New Roman"/>
                <w:sz w:val="24"/>
                <w:szCs w:val="24"/>
              </w:rPr>
              <w:t>31.12.2017</w:t>
            </w:r>
          </w:p>
        </w:tc>
        <w:tc>
          <w:tcPr>
            <w:tcW w:w="3446" w:type="dxa"/>
          </w:tcPr>
          <w:p w:rsidR="00714F5D" w:rsidRPr="001D0846" w:rsidRDefault="00714F5D" w:rsidP="008C5C6A">
            <w:pPr>
              <w:spacing w:line="276" w:lineRule="auto"/>
              <w:jc w:val="center"/>
              <w:rPr>
                <w:rFonts w:ascii="Times New Roman" w:eastAsia="Calibri" w:hAnsi="Times New Roman" w:cs="Times New Roman"/>
                <w:sz w:val="24"/>
                <w:szCs w:val="24"/>
              </w:rPr>
            </w:pPr>
            <w:r w:rsidRPr="001D0846">
              <w:rPr>
                <w:rFonts w:ascii="Times New Roman" w:eastAsia="Times New Roman" w:hAnsi="Times New Roman" w:cs="Times New Roman"/>
                <w:sz w:val="24"/>
                <w:szCs w:val="24"/>
                <w:lang w:eastAsia="ru-RU"/>
              </w:rPr>
              <w:t>11216,2</w:t>
            </w:r>
          </w:p>
        </w:tc>
        <w:tc>
          <w:tcPr>
            <w:tcW w:w="2196" w:type="dxa"/>
          </w:tcPr>
          <w:p w:rsidR="00714F5D" w:rsidRPr="001D0846" w:rsidRDefault="00714F5D" w:rsidP="008C5C6A">
            <w:pPr>
              <w:spacing w:line="276" w:lineRule="auto"/>
              <w:jc w:val="center"/>
              <w:rPr>
                <w:rFonts w:ascii="Times New Roman" w:eastAsia="Calibri" w:hAnsi="Times New Roman" w:cs="Times New Roman"/>
                <w:sz w:val="24"/>
                <w:szCs w:val="24"/>
              </w:rPr>
            </w:pPr>
            <w:r w:rsidRPr="001D0846">
              <w:rPr>
                <w:rFonts w:ascii="Times New Roman" w:eastAsia="Times New Roman" w:hAnsi="Times New Roman" w:cs="Times New Roman"/>
                <w:sz w:val="24"/>
                <w:szCs w:val="24"/>
                <w:lang w:eastAsia="ru-RU"/>
              </w:rPr>
              <w:t>9034,3</w:t>
            </w:r>
          </w:p>
        </w:tc>
        <w:tc>
          <w:tcPr>
            <w:tcW w:w="2939" w:type="dxa"/>
          </w:tcPr>
          <w:p w:rsidR="00714F5D" w:rsidRPr="001D0846" w:rsidRDefault="00714F5D" w:rsidP="008C5C6A">
            <w:pPr>
              <w:spacing w:line="276" w:lineRule="auto"/>
              <w:jc w:val="center"/>
              <w:rPr>
                <w:rFonts w:ascii="Times New Roman" w:eastAsia="Calibri" w:hAnsi="Times New Roman" w:cs="Times New Roman"/>
                <w:sz w:val="24"/>
                <w:szCs w:val="24"/>
              </w:rPr>
            </w:pPr>
            <w:r w:rsidRPr="001D0846">
              <w:rPr>
                <w:rFonts w:ascii="Times New Roman" w:eastAsia="Times New Roman" w:hAnsi="Times New Roman" w:cs="Times New Roman"/>
                <w:iCs/>
                <w:sz w:val="24"/>
                <w:szCs w:val="24"/>
              </w:rPr>
              <w:t>2181,9</w:t>
            </w:r>
          </w:p>
        </w:tc>
      </w:tr>
    </w:tbl>
    <w:p w:rsidR="00714F5D" w:rsidRPr="00663A07" w:rsidRDefault="00714F5D" w:rsidP="00714F5D">
      <w:pPr>
        <w:spacing w:after="0" w:line="240" w:lineRule="auto"/>
        <w:jc w:val="both"/>
        <w:rPr>
          <w:rFonts w:ascii="Times New Roman" w:eastAsia="Calibri" w:hAnsi="Times New Roman" w:cs="Times New Roman"/>
          <w:i/>
          <w:sz w:val="20"/>
          <w:szCs w:val="20"/>
        </w:rPr>
      </w:pPr>
      <w:r w:rsidRPr="001D0846">
        <w:rPr>
          <w:rFonts w:ascii="Times New Roman" w:eastAsia="Calibri" w:hAnsi="Times New Roman" w:cs="Times New Roman"/>
          <w:b/>
          <w:i/>
          <w:sz w:val="20"/>
          <w:szCs w:val="20"/>
        </w:rPr>
        <w:t xml:space="preserve">Sursă: </w:t>
      </w:r>
      <w:r w:rsidRPr="001D0846">
        <w:rPr>
          <w:rFonts w:ascii="Times New Roman" w:eastAsia="Times New Roman" w:hAnsi="Times New Roman" w:cs="Times New Roman"/>
          <w:i/>
          <w:iCs/>
          <w:sz w:val="20"/>
          <w:szCs w:val="20"/>
        </w:rPr>
        <w:t>Date</w:t>
      </w:r>
      <w:r>
        <w:rPr>
          <w:rFonts w:ascii="Times New Roman" w:eastAsia="Times New Roman" w:hAnsi="Times New Roman" w:cs="Times New Roman"/>
          <w:i/>
          <w:iCs/>
          <w:sz w:val="20"/>
          <w:szCs w:val="20"/>
        </w:rPr>
        <w:t>le</w:t>
      </w:r>
      <w:r w:rsidRPr="001D0846">
        <w:rPr>
          <w:rFonts w:ascii="Times New Roman" w:eastAsia="Times New Roman" w:hAnsi="Times New Roman" w:cs="Times New Roman"/>
          <w:i/>
          <w:iCs/>
          <w:sz w:val="20"/>
          <w:szCs w:val="20"/>
        </w:rPr>
        <w:t xml:space="preserve"> generalizate de către echipa de audit din </w:t>
      </w:r>
      <w:r w:rsidRPr="001D0846">
        <w:rPr>
          <w:rFonts w:ascii="Times New Roman" w:eastAsia="Calibri" w:hAnsi="Times New Roman" w:cs="Times New Roman"/>
          <w:i/>
          <w:sz w:val="20"/>
          <w:szCs w:val="20"/>
        </w:rPr>
        <w:t xml:space="preserve">Rapoartele privind sumele obligațiilor fiscale </w:t>
      </w:r>
      <w:r w:rsidRPr="00663A07">
        <w:rPr>
          <w:rFonts w:ascii="Times New Roman" w:eastAsia="Calibri" w:hAnsi="Times New Roman" w:cs="Times New Roman"/>
          <w:i/>
          <w:sz w:val="20"/>
          <w:szCs w:val="20"/>
        </w:rPr>
        <w:t>luate la evidență specială pe parcursul anilor 2015-2017 de către SFS.</w:t>
      </w:r>
    </w:p>
    <w:p w:rsidR="00714F5D" w:rsidRPr="00663A07" w:rsidRDefault="00714F5D" w:rsidP="00714F5D">
      <w:pPr>
        <w:spacing w:after="0" w:line="240" w:lineRule="auto"/>
        <w:ind w:right="-334"/>
        <w:rPr>
          <w:rFonts w:ascii="Times New Roman" w:hAnsi="Times New Roman" w:cs="Times New Roman"/>
        </w:rPr>
      </w:pPr>
    </w:p>
    <w:p w:rsidR="0075307B" w:rsidRDefault="0075307B" w:rsidP="00714F5D">
      <w:pPr>
        <w:spacing w:after="0" w:line="276" w:lineRule="auto"/>
        <w:ind w:firstLine="709"/>
        <w:jc w:val="right"/>
        <w:rPr>
          <w:rFonts w:ascii="Times New Roman" w:eastAsia="Times New Roman" w:hAnsi="Times New Roman" w:cs="Times New Roman"/>
          <w:b/>
          <w:i/>
          <w:sz w:val="28"/>
          <w:szCs w:val="28"/>
          <w:lang w:eastAsia="ru-RU"/>
        </w:rPr>
      </w:pPr>
    </w:p>
    <w:p w:rsidR="00714F5D" w:rsidRPr="00663A07" w:rsidRDefault="00714F5D" w:rsidP="00714F5D">
      <w:pPr>
        <w:spacing w:after="0" w:line="276" w:lineRule="auto"/>
        <w:ind w:firstLine="709"/>
        <w:jc w:val="right"/>
        <w:rPr>
          <w:rFonts w:ascii="Times New Roman" w:eastAsia="Times New Roman" w:hAnsi="Times New Roman" w:cs="Times New Roman"/>
          <w:b/>
          <w:i/>
          <w:sz w:val="28"/>
          <w:szCs w:val="28"/>
          <w:lang w:eastAsia="ru-RU"/>
        </w:rPr>
      </w:pPr>
      <w:r w:rsidRPr="00663A07">
        <w:rPr>
          <w:rFonts w:ascii="Times New Roman" w:eastAsia="Times New Roman" w:hAnsi="Times New Roman" w:cs="Times New Roman"/>
          <w:b/>
          <w:i/>
          <w:sz w:val="28"/>
          <w:szCs w:val="28"/>
          <w:lang w:eastAsia="ru-RU"/>
        </w:rPr>
        <w:t>Tabelul nr.13</w:t>
      </w:r>
    </w:p>
    <w:p w:rsidR="00714F5D" w:rsidRPr="00E330C1" w:rsidRDefault="00714F5D" w:rsidP="0075307B">
      <w:pPr>
        <w:jc w:val="center"/>
        <w:rPr>
          <w:rFonts w:ascii="Times New Roman" w:hAnsi="Times New Roman" w:cs="Times New Roman"/>
          <w:i/>
          <w:sz w:val="28"/>
          <w:szCs w:val="28"/>
          <w:lang w:eastAsia="ru-RU"/>
        </w:rPr>
      </w:pPr>
      <w:r w:rsidRPr="00E330C1">
        <w:rPr>
          <w:rFonts w:ascii="Times New Roman" w:hAnsi="Times New Roman" w:cs="Times New Roman"/>
          <w:i/>
          <w:sz w:val="28"/>
          <w:szCs w:val="28"/>
          <w:lang w:eastAsia="ru-RU"/>
        </w:rPr>
        <w:t>Informația privind structura plăților aferente obligațiilor fiscale</w:t>
      </w:r>
      <w:r w:rsidR="0075307B">
        <w:rPr>
          <w:rFonts w:ascii="Times New Roman" w:hAnsi="Times New Roman" w:cs="Times New Roman"/>
          <w:i/>
          <w:sz w:val="28"/>
          <w:szCs w:val="28"/>
          <w:lang w:eastAsia="ru-RU"/>
        </w:rPr>
        <w:t xml:space="preserve"> restante</w:t>
      </w:r>
      <w:r w:rsidRPr="00E330C1">
        <w:rPr>
          <w:rFonts w:ascii="Times New Roman" w:hAnsi="Times New Roman" w:cs="Times New Roman"/>
          <w:i/>
          <w:sz w:val="28"/>
          <w:szCs w:val="28"/>
          <w:lang w:eastAsia="ru-RU"/>
        </w:rPr>
        <w:t xml:space="preserve"> luate la evidență specială de către SFS pentru anii 2015-2017</w:t>
      </w:r>
    </w:p>
    <w:p w:rsidR="00714F5D" w:rsidRPr="00365962" w:rsidRDefault="00714F5D" w:rsidP="00714F5D">
      <w:pPr>
        <w:spacing w:after="0" w:line="276" w:lineRule="auto"/>
        <w:ind w:right="-435" w:firstLine="709"/>
        <w:jc w:val="right"/>
        <w:rPr>
          <w:rFonts w:ascii="Times New Roman" w:eastAsia="Times New Roman" w:hAnsi="Times New Roman" w:cs="Times New Roman"/>
          <w:i/>
          <w:sz w:val="28"/>
          <w:szCs w:val="28"/>
          <w:lang w:eastAsia="ru-RU"/>
        </w:rPr>
      </w:pPr>
      <w:r w:rsidRPr="00365962">
        <w:rPr>
          <w:rFonts w:ascii="Times New Roman" w:eastAsia="Times New Roman" w:hAnsi="Times New Roman" w:cs="Times New Roman"/>
          <w:i/>
          <w:sz w:val="28"/>
          <w:szCs w:val="28"/>
          <w:lang w:eastAsia="ru-RU"/>
        </w:rPr>
        <w:t>(mil.lei)</w:t>
      </w:r>
    </w:p>
    <w:tbl>
      <w:tblPr>
        <w:tblStyle w:val="TableGrid"/>
        <w:tblW w:w="10287" w:type="dxa"/>
        <w:tblInd w:w="-431" w:type="dxa"/>
        <w:tblLook w:val="04A0"/>
      </w:tblPr>
      <w:tblGrid>
        <w:gridCol w:w="1306"/>
        <w:gridCol w:w="1843"/>
        <w:gridCol w:w="2947"/>
        <w:gridCol w:w="1417"/>
        <w:gridCol w:w="1334"/>
        <w:gridCol w:w="1440"/>
      </w:tblGrid>
      <w:tr w:rsidR="00714F5D" w:rsidRPr="001D0846" w:rsidTr="008C5C6A">
        <w:tc>
          <w:tcPr>
            <w:tcW w:w="1306" w:type="dxa"/>
            <w:vMerge w:val="restart"/>
            <w:shd w:val="clear" w:color="auto" w:fill="FFFFFF" w:themeFill="background1"/>
            <w:vAlign w:val="center"/>
          </w:tcPr>
          <w:p w:rsidR="00714F5D" w:rsidRPr="001D0846" w:rsidRDefault="00714F5D" w:rsidP="008C5C6A">
            <w:pPr>
              <w:spacing w:line="276" w:lineRule="auto"/>
              <w:jc w:val="center"/>
              <w:rPr>
                <w:rFonts w:ascii="Times New Roman" w:eastAsia="Times New Roman" w:hAnsi="Times New Roman" w:cs="Times New Roman"/>
                <w:b/>
                <w:lang w:eastAsia="ru-RU"/>
              </w:rPr>
            </w:pPr>
            <w:r w:rsidRPr="001D0846">
              <w:rPr>
                <w:rFonts w:ascii="Times New Roman" w:eastAsia="Times New Roman" w:hAnsi="Times New Roman" w:cs="Times New Roman"/>
                <w:b/>
                <w:lang w:eastAsia="ru-RU"/>
              </w:rPr>
              <w:t>Anul</w:t>
            </w:r>
          </w:p>
        </w:tc>
        <w:tc>
          <w:tcPr>
            <w:tcW w:w="1843" w:type="dxa"/>
            <w:vMerge w:val="restart"/>
            <w:shd w:val="clear" w:color="auto" w:fill="FFFFFF" w:themeFill="background1"/>
            <w:vAlign w:val="center"/>
          </w:tcPr>
          <w:p w:rsidR="00714F5D" w:rsidRPr="001D0846" w:rsidRDefault="00714F5D" w:rsidP="008C5C6A">
            <w:pPr>
              <w:spacing w:line="276" w:lineRule="auto"/>
              <w:jc w:val="center"/>
              <w:rPr>
                <w:rFonts w:ascii="Times New Roman" w:eastAsia="Times New Roman" w:hAnsi="Times New Roman" w:cs="Times New Roman"/>
                <w:b/>
                <w:lang w:eastAsia="ru-RU"/>
              </w:rPr>
            </w:pPr>
            <w:r w:rsidRPr="001D0846">
              <w:rPr>
                <w:rFonts w:ascii="Times New Roman" w:eastAsia="Times New Roman" w:hAnsi="Times New Roman" w:cs="Times New Roman"/>
                <w:b/>
                <w:lang w:eastAsia="ru-RU"/>
              </w:rPr>
              <w:t>Numărul contribuabililor</w:t>
            </w:r>
          </w:p>
        </w:tc>
        <w:tc>
          <w:tcPr>
            <w:tcW w:w="2947" w:type="dxa"/>
            <w:vMerge w:val="restart"/>
            <w:shd w:val="clear" w:color="auto" w:fill="FFFFFF" w:themeFill="background1"/>
            <w:vAlign w:val="center"/>
          </w:tcPr>
          <w:p w:rsidR="00714F5D" w:rsidRPr="001D0846" w:rsidRDefault="00714F5D" w:rsidP="008C5C6A">
            <w:pPr>
              <w:spacing w:line="276" w:lineRule="auto"/>
              <w:jc w:val="center"/>
              <w:rPr>
                <w:rFonts w:ascii="Times New Roman" w:eastAsia="Times New Roman" w:hAnsi="Times New Roman" w:cs="Times New Roman"/>
                <w:b/>
                <w:lang w:eastAsia="ru-RU"/>
              </w:rPr>
            </w:pPr>
            <w:r w:rsidRPr="001D0846">
              <w:rPr>
                <w:rFonts w:ascii="Times New Roman" w:eastAsia="Times New Roman" w:hAnsi="Times New Roman" w:cs="Times New Roman"/>
                <w:b/>
                <w:lang w:eastAsia="ru-RU"/>
              </w:rPr>
              <w:t>Total</w:t>
            </w:r>
            <w:r>
              <w:rPr>
                <w:rFonts w:ascii="Times New Roman" w:eastAsia="Times New Roman" w:hAnsi="Times New Roman" w:cs="Times New Roman"/>
                <w:b/>
                <w:lang w:eastAsia="ru-RU"/>
              </w:rPr>
              <w:t>,</w:t>
            </w:r>
            <w:r w:rsidRPr="001D0846">
              <w:rPr>
                <w:rFonts w:ascii="Times New Roman" w:eastAsia="Times New Roman" w:hAnsi="Times New Roman" w:cs="Times New Roman"/>
                <w:b/>
                <w:lang w:eastAsia="ru-RU"/>
              </w:rPr>
              <w:t xml:space="preserve"> obligații fiscale</w:t>
            </w:r>
            <w:r w:rsidR="0075307B">
              <w:rPr>
                <w:rFonts w:ascii="Times New Roman" w:eastAsia="Times New Roman" w:hAnsi="Times New Roman" w:cs="Times New Roman"/>
                <w:b/>
                <w:lang w:eastAsia="ru-RU"/>
              </w:rPr>
              <w:t xml:space="preserve"> restante</w:t>
            </w:r>
            <w:r w:rsidRPr="001D0846">
              <w:rPr>
                <w:rFonts w:ascii="Times New Roman" w:eastAsia="Times New Roman" w:hAnsi="Times New Roman" w:cs="Times New Roman"/>
                <w:b/>
                <w:lang w:eastAsia="ru-RU"/>
              </w:rPr>
              <w:t xml:space="preserve"> luate la evidență specială</w:t>
            </w:r>
          </w:p>
          <w:p w:rsidR="00714F5D" w:rsidRPr="001D0846" w:rsidRDefault="00714F5D" w:rsidP="008C5C6A">
            <w:pPr>
              <w:spacing w:line="276" w:lineRule="auto"/>
              <w:jc w:val="center"/>
              <w:rPr>
                <w:rFonts w:ascii="Times New Roman" w:eastAsia="Times New Roman" w:hAnsi="Times New Roman" w:cs="Times New Roman"/>
                <w:b/>
                <w:lang w:eastAsia="ru-RU"/>
              </w:rPr>
            </w:pPr>
          </w:p>
        </w:tc>
        <w:tc>
          <w:tcPr>
            <w:tcW w:w="4191" w:type="dxa"/>
            <w:gridSpan w:val="3"/>
            <w:shd w:val="clear" w:color="auto" w:fill="FFFFFF" w:themeFill="background1"/>
            <w:vAlign w:val="center"/>
          </w:tcPr>
          <w:p w:rsidR="00714F5D" w:rsidRPr="001D0846" w:rsidRDefault="00714F5D" w:rsidP="008C5C6A">
            <w:pPr>
              <w:spacing w:line="276" w:lineRule="auto"/>
              <w:jc w:val="center"/>
              <w:rPr>
                <w:rFonts w:ascii="Times New Roman" w:eastAsia="Times New Roman" w:hAnsi="Times New Roman" w:cs="Times New Roman"/>
                <w:b/>
                <w:lang w:eastAsia="ru-RU"/>
              </w:rPr>
            </w:pPr>
            <w:r w:rsidRPr="001D0846">
              <w:rPr>
                <w:rFonts w:ascii="Times New Roman" w:eastAsia="Times New Roman" w:hAnsi="Times New Roman" w:cs="Times New Roman"/>
                <w:b/>
                <w:lang w:eastAsia="ru-RU"/>
              </w:rPr>
              <w:t>inclusiv</w:t>
            </w:r>
          </w:p>
        </w:tc>
      </w:tr>
      <w:tr w:rsidR="00714F5D" w:rsidRPr="001D0846" w:rsidTr="008C5C6A">
        <w:trPr>
          <w:trHeight w:val="339"/>
        </w:trPr>
        <w:tc>
          <w:tcPr>
            <w:tcW w:w="1306" w:type="dxa"/>
            <w:vMerge/>
            <w:shd w:val="clear" w:color="auto" w:fill="FFFFFF" w:themeFill="background1"/>
            <w:vAlign w:val="center"/>
          </w:tcPr>
          <w:p w:rsidR="00714F5D" w:rsidRPr="001D0846" w:rsidRDefault="00714F5D" w:rsidP="008C5C6A">
            <w:pPr>
              <w:spacing w:line="276" w:lineRule="auto"/>
              <w:jc w:val="center"/>
              <w:rPr>
                <w:rFonts w:ascii="Times New Roman" w:eastAsia="Times New Roman" w:hAnsi="Times New Roman" w:cs="Times New Roman"/>
                <w:b/>
                <w:lang w:eastAsia="ru-RU"/>
              </w:rPr>
            </w:pPr>
          </w:p>
        </w:tc>
        <w:tc>
          <w:tcPr>
            <w:tcW w:w="1843" w:type="dxa"/>
            <w:vMerge/>
            <w:shd w:val="clear" w:color="auto" w:fill="FFFFFF" w:themeFill="background1"/>
            <w:vAlign w:val="center"/>
          </w:tcPr>
          <w:p w:rsidR="00714F5D" w:rsidRPr="001D0846" w:rsidRDefault="00714F5D" w:rsidP="008C5C6A">
            <w:pPr>
              <w:spacing w:line="276" w:lineRule="auto"/>
              <w:jc w:val="center"/>
              <w:rPr>
                <w:rFonts w:ascii="Times New Roman" w:eastAsia="Times New Roman" w:hAnsi="Times New Roman" w:cs="Times New Roman"/>
                <w:b/>
                <w:lang w:eastAsia="ru-RU"/>
              </w:rPr>
            </w:pPr>
          </w:p>
        </w:tc>
        <w:tc>
          <w:tcPr>
            <w:tcW w:w="2947" w:type="dxa"/>
            <w:vMerge/>
            <w:shd w:val="clear" w:color="auto" w:fill="FFFFFF" w:themeFill="background1"/>
            <w:vAlign w:val="center"/>
          </w:tcPr>
          <w:p w:rsidR="00714F5D" w:rsidRPr="001D0846" w:rsidRDefault="00714F5D" w:rsidP="008C5C6A">
            <w:pPr>
              <w:spacing w:line="276" w:lineRule="auto"/>
              <w:jc w:val="center"/>
              <w:rPr>
                <w:rFonts w:ascii="Times New Roman" w:eastAsia="Times New Roman" w:hAnsi="Times New Roman" w:cs="Times New Roman"/>
                <w:b/>
                <w:lang w:eastAsia="ru-RU"/>
              </w:rPr>
            </w:pPr>
          </w:p>
        </w:tc>
        <w:tc>
          <w:tcPr>
            <w:tcW w:w="1417" w:type="dxa"/>
            <w:shd w:val="clear" w:color="auto" w:fill="FFFFFF" w:themeFill="background1"/>
            <w:vAlign w:val="center"/>
          </w:tcPr>
          <w:p w:rsidR="00714F5D" w:rsidRPr="001D0846" w:rsidRDefault="00714F5D" w:rsidP="008C5C6A">
            <w:pPr>
              <w:spacing w:line="276" w:lineRule="auto"/>
              <w:rPr>
                <w:rFonts w:ascii="Times New Roman" w:eastAsia="Times New Roman" w:hAnsi="Times New Roman" w:cs="Times New Roman"/>
                <w:i/>
                <w:lang w:eastAsia="ru-RU"/>
              </w:rPr>
            </w:pPr>
            <w:r w:rsidRPr="001D0846">
              <w:rPr>
                <w:rFonts w:ascii="Times New Roman" w:eastAsia="Times New Roman" w:hAnsi="Times New Roman" w:cs="Times New Roman"/>
                <w:i/>
                <w:lang w:eastAsia="ru-RU"/>
              </w:rPr>
              <w:t>Plăți de bază</w:t>
            </w:r>
          </w:p>
        </w:tc>
        <w:tc>
          <w:tcPr>
            <w:tcW w:w="1334" w:type="dxa"/>
            <w:shd w:val="clear" w:color="auto" w:fill="FFFFFF" w:themeFill="background1"/>
            <w:vAlign w:val="center"/>
          </w:tcPr>
          <w:p w:rsidR="00714F5D" w:rsidRPr="001D0846" w:rsidRDefault="00714F5D" w:rsidP="008C5C6A">
            <w:pPr>
              <w:spacing w:line="276" w:lineRule="auto"/>
              <w:jc w:val="center"/>
              <w:rPr>
                <w:rFonts w:ascii="Times New Roman" w:eastAsia="Times New Roman" w:hAnsi="Times New Roman" w:cs="Times New Roman"/>
                <w:i/>
                <w:lang w:eastAsia="ru-RU"/>
              </w:rPr>
            </w:pPr>
            <w:r w:rsidRPr="001D0846">
              <w:rPr>
                <w:rFonts w:ascii="Times New Roman" w:eastAsia="Times New Roman" w:hAnsi="Times New Roman" w:cs="Times New Roman"/>
                <w:i/>
                <w:lang w:eastAsia="ru-RU"/>
              </w:rPr>
              <w:t>Majorări de întârziere</w:t>
            </w:r>
          </w:p>
        </w:tc>
        <w:tc>
          <w:tcPr>
            <w:tcW w:w="1440" w:type="dxa"/>
            <w:shd w:val="clear" w:color="auto" w:fill="FFFFFF" w:themeFill="background1"/>
            <w:vAlign w:val="center"/>
          </w:tcPr>
          <w:p w:rsidR="00714F5D" w:rsidRPr="001D0846" w:rsidRDefault="00714F5D" w:rsidP="008C5C6A">
            <w:pPr>
              <w:spacing w:line="276" w:lineRule="auto"/>
              <w:jc w:val="center"/>
              <w:rPr>
                <w:rFonts w:ascii="Times New Roman" w:eastAsia="Times New Roman" w:hAnsi="Times New Roman" w:cs="Times New Roman"/>
                <w:i/>
                <w:lang w:eastAsia="ru-RU"/>
              </w:rPr>
            </w:pPr>
            <w:r w:rsidRPr="001D0846">
              <w:rPr>
                <w:rFonts w:ascii="Times New Roman" w:eastAsia="Times New Roman" w:hAnsi="Times New Roman" w:cs="Times New Roman"/>
                <w:i/>
                <w:lang w:eastAsia="ru-RU"/>
              </w:rPr>
              <w:t>Amenzi</w:t>
            </w:r>
          </w:p>
        </w:tc>
      </w:tr>
      <w:tr w:rsidR="00714F5D" w:rsidRPr="001D0846" w:rsidTr="008C5C6A">
        <w:tc>
          <w:tcPr>
            <w:tcW w:w="1306" w:type="dxa"/>
          </w:tcPr>
          <w:p w:rsidR="00714F5D" w:rsidRPr="001D0846" w:rsidRDefault="00714F5D" w:rsidP="008C5C6A">
            <w:pPr>
              <w:spacing w:line="276" w:lineRule="auto"/>
              <w:jc w:val="center"/>
              <w:rPr>
                <w:rFonts w:ascii="Times New Roman" w:eastAsia="Times New Roman" w:hAnsi="Times New Roman" w:cs="Times New Roman"/>
                <w:b/>
                <w:lang w:eastAsia="ru-RU"/>
              </w:rPr>
            </w:pPr>
            <w:r w:rsidRPr="001D0846">
              <w:rPr>
                <w:rFonts w:ascii="Times New Roman" w:eastAsia="Times New Roman" w:hAnsi="Times New Roman" w:cs="Times New Roman"/>
                <w:b/>
                <w:lang w:eastAsia="ru-RU"/>
              </w:rPr>
              <w:t>2015</w:t>
            </w:r>
          </w:p>
        </w:tc>
        <w:tc>
          <w:tcPr>
            <w:tcW w:w="1843" w:type="dxa"/>
          </w:tcPr>
          <w:p w:rsidR="00714F5D" w:rsidRPr="001D0846" w:rsidRDefault="00714F5D" w:rsidP="008C5C6A">
            <w:pPr>
              <w:spacing w:line="276" w:lineRule="auto"/>
              <w:jc w:val="center"/>
              <w:rPr>
                <w:rFonts w:ascii="Times New Roman" w:eastAsia="Times New Roman" w:hAnsi="Times New Roman" w:cs="Times New Roman"/>
                <w:lang w:eastAsia="ru-RU"/>
              </w:rPr>
            </w:pPr>
            <w:r w:rsidRPr="001D0846">
              <w:rPr>
                <w:rFonts w:ascii="Times New Roman" w:eastAsia="Times New Roman" w:hAnsi="Times New Roman" w:cs="Times New Roman"/>
                <w:lang w:eastAsia="ru-RU"/>
              </w:rPr>
              <w:t>1978</w:t>
            </w:r>
          </w:p>
        </w:tc>
        <w:tc>
          <w:tcPr>
            <w:tcW w:w="2947" w:type="dxa"/>
          </w:tcPr>
          <w:p w:rsidR="00714F5D" w:rsidRPr="001D0846" w:rsidRDefault="00714F5D" w:rsidP="008C5C6A">
            <w:pPr>
              <w:spacing w:line="276" w:lineRule="auto"/>
              <w:jc w:val="center"/>
              <w:rPr>
                <w:rFonts w:ascii="Times New Roman" w:eastAsia="Times New Roman" w:hAnsi="Times New Roman" w:cs="Times New Roman"/>
                <w:lang w:eastAsia="ru-RU"/>
              </w:rPr>
            </w:pPr>
            <w:r w:rsidRPr="001D0846">
              <w:rPr>
                <w:rFonts w:ascii="Times New Roman" w:eastAsia="Times New Roman" w:hAnsi="Times New Roman" w:cs="Times New Roman"/>
                <w:lang w:eastAsia="ru-RU"/>
              </w:rPr>
              <w:t>4567,1</w:t>
            </w:r>
          </w:p>
        </w:tc>
        <w:tc>
          <w:tcPr>
            <w:tcW w:w="1417" w:type="dxa"/>
          </w:tcPr>
          <w:p w:rsidR="00714F5D" w:rsidRPr="001D0846" w:rsidRDefault="00714F5D" w:rsidP="008C5C6A">
            <w:pPr>
              <w:spacing w:line="276" w:lineRule="auto"/>
              <w:jc w:val="center"/>
              <w:rPr>
                <w:rFonts w:ascii="Times New Roman" w:eastAsia="Times New Roman" w:hAnsi="Times New Roman" w:cs="Times New Roman"/>
                <w:lang w:eastAsia="ru-RU"/>
              </w:rPr>
            </w:pPr>
            <w:r w:rsidRPr="001D0846">
              <w:rPr>
                <w:rFonts w:ascii="Times New Roman" w:eastAsia="Times New Roman" w:hAnsi="Times New Roman" w:cs="Times New Roman"/>
                <w:lang w:eastAsia="ru-RU"/>
              </w:rPr>
              <w:t>3108,7</w:t>
            </w:r>
          </w:p>
        </w:tc>
        <w:tc>
          <w:tcPr>
            <w:tcW w:w="1334" w:type="dxa"/>
          </w:tcPr>
          <w:p w:rsidR="00714F5D" w:rsidRPr="001D0846" w:rsidRDefault="00714F5D" w:rsidP="008C5C6A">
            <w:pPr>
              <w:spacing w:line="276" w:lineRule="auto"/>
              <w:jc w:val="center"/>
              <w:rPr>
                <w:rFonts w:ascii="Times New Roman" w:eastAsia="Times New Roman" w:hAnsi="Times New Roman" w:cs="Times New Roman"/>
                <w:lang w:eastAsia="ru-RU"/>
              </w:rPr>
            </w:pPr>
            <w:r w:rsidRPr="001D0846">
              <w:rPr>
                <w:rFonts w:ascii="Times New Roman" w:eastAsia="Times New Roman" w:hAnsi="Times New Roman" w:cs="Times New Roman"/>
                <w:lang w:eastAsia="ru-RU"/>
              </w:rPr>
              <w:t>560,4</w:t>
            </w:r>
          </w:p>
        </w:tc>
        <w:tc>
          <w:tcPr>
            <w:tcW w:w="1440" w:type="dxa"/>
          </w:tcPr>
          <w:p w:rsidR="00714F5D" w:rsidRPr="001D0846" w:rsidRDefault="00714F5D" w:rsidP="008C5C6A">
            <w:pPr>
              <w:spacing w:line="276" w:lineRule="auto"/>
              <w:jc w:val="center"/>
              <w:rPr>
                <w:rFonts w:ascii="Times New Roman" w:eastAsia="Times New Roman" w:hAnsi="Times New Roman" w:cs="Times New Roman"/>
                <w:lang w:eastAsia="ru-RU"/>
              </w:rPr>
            </w:pPr>
            <w:r w:rsidRPr="001D0846">
              <w:rPr>
                <w:rFonts w:ascii="Times New Roman" w:eastAsia="Times New Roman" w:hAnsi="Times New Roman" w:cs="Times New Roman"/>
                <w:lang w:eastAsia="ru-RU"/>
              </w:rPr>
              <w:t>898,02</w:t>
            </w:r>
          </w:p>
        </w:tc>
      </w:tr>
      <w:tr w:rsidR="00714F5D" w:rsidRPr="001D0846" w:rsidTr="008C5C6A">
        <w:tc>
          <w:tcPr>
            <w:tcW w:w="1306" w:type="dxa"/>
          </w:tcPr>
          <w:p w:rsidR="00714F5D" w:rsidRPr="001D0846" w:rsidRDefault="00714F5D" w:rsidP="008C5C6A">
            <w:pPr>
              <w:spacing w:line="276" w:lineRule="auto"/>
              <w:jc w:val="center"/>
              <w:rPr>
                <w:rFonts w:ascii="Times New Roman" w:eastAsia="Times New Roman" w:hAnsi="Times New Roman" w:cs="Times New Roman"/>
                <w:b/>
                <w:lang w:eastAsia="ru-RU"/>
              </w:rPr>
            </w:pPr>
            <w:r w:rsidRPr="001D0846">
              <w:rPr>
                <w:rFonts w:ascii="Times New Roman" w:eastAsia="Times New Roman" w:hAnsi="Times New Roman" w:cs="Times New Roman"/>
                <w:b/>
                <w:lang w:eastAsia="ru-RU"/>
              </w:rPr>
              <w:t>2016</w:t>
            </w:r>
          </w:p>
        </w:tc>
        <w:tc>
          <w:tcPr>
            <w:tcW w:w="1843" w:type="dxa"/>
          </w:tcPr>
          <w:p w:rsidR="00714F5D" w:rsidRPr="001D0846" w:rsidRDefault="00714F5D" w:rsidP="008C5C6A">
            <w:pPr>
              <w:spacing w:line="276" w:lineRule="auto"/>
              <w:jc w:val="center"/>
              <w:rPr>
                <w:rFonts w:ascii="Times New Roman" w:eastAsia="Times New Roman" w:hAnsi="Times New Roman" w:cs="Times New Roman"/>
                <w:lang w:eastAsia="ru-RU"/>
              </w:rPr>
            </w:pPr>
            <w:r w:rsidRPr="001D0846">
              <w:rPr>
                <w:rFonts w:ascii="Times New Roman" w:eastAsia="Times New Roman" w:hAnsi="Times New Roman" w:cs="Times New Roman"/>
                <w:lang w:eastAsia="ru-RU"/>
              </w:rPr>
              <w:t>2751</w:t>
            </w:r>
          </w:p>
        </w:tc>
        <w:tc>
          <w:tcPr>
            <w:tcW w:w="2947" w:type="dxa"/>
          </w:tcPr>
          <w:p w:rsidR="00714F5D" w:rsidRPr="001D0846" w:rsidRDefault="00714F5D" w:rsidP="008C5C6A">
            <w:pPr>
              <w:spacing w:line="276" w:lineRule="auto"/>
              <w:jc w:val="center"/>
              <w:rPr>
                <w:rFonts w:ascii="Times New Roman" w:eastAsia="Times New Roman" w:hAnsi="Times New Roman" w:cs="Times New Roman"/>
                <w:lang w:eastAsia="ru-RU"/>
              </w:rPr>
            </w:pPr>
            <w:r w:rsidRPr="001D0846">
              <w:rPr>
                <w:rFonts w:ascii="Times New Roman" w:eastAsia="Times New Roman" w:hAnsi="Times New Roman" w:cs="Times New Roman"/>
                <w:lang w:eastAsia="ru-RU"/>
              </w:rPr>
              <w:t>5145,6</w:t>
            </w:r>
          </w:p>
        </w:tc>
        <w:tc>
          <w:tcPr>
            <w:tcW w:w="1417" w:type="dxa"/>
          </w:tcPr>
          <w:p w:rsidR="00714F5D" w:rsidRPr="001D0846" w:rsidRDefault="00714F5D" w:rsidP="008C5C6A">
            <w:pPr>
              <w:spacing w:line="276" w:lineRule="auto"/>
              <w:jc w:val="center"/>
              <w:rPr>
                <w:rFonts w:ascii="Times New Roman" w:eastAsia="Times New Roman" w:hAnsi="Times New Roman" w:cs="Times New Roman"/>
                <w:lang w:eastAsia="ru-RU"/>
              </w:rPr>
            </w:pPr>
            <w:r w:rsidRPr="001D0846">
              <w:rPr>
                <w:rFonts w:ascii="Times New Roman" w:eastAsia="Times New Roman" w:hAnsi="Times New Roman" w:cs="Times New Roman"/>
                <w:lang w:eastAsia="ru-RU"/>
              </w:rPr>
              <w:t>2988,8</w:t>
            </w:r>
          </w:p>
        </w:tc>
        <w:tc>
          <w:tcPr>
            <w:tcW w:w="1334" w:type="dxa"/>
          </w:tcPr>
          <w:p w:rsidR="00714F5D" w:rsidRPr="001D0846" w:rsidRDefault="00714F5D" w:rsidP="008C5C6A">
            <w:pPr>
              <w:spacing w:line="276" w:lineRule="auto"/>
              <w:jc w:val="center"/>
              <w:rPr>
                <w:rFonts w:ascii="Times New Roman" w:eastAsia="Times New Roman" w:hAnsi="Times New Roman" w:cs="Times New Roman"/>
                <w:lang w:eastAsia="ru-RU"/>
              </w:rPr>
            </w:pPr>
            <w:r w:rsidRPr="001D0846">
              <w:rPr>
                <w:rFonts w:ascii="Times New Roman" w:eastAsia="Times New Roman" w:hAnsi="Times New Roman" w:cs="Times New Roman"/>
                <w:lang w:eastAsia="ru-RU"/>
              </w:rPr>
              <w:t>788,6</w:t>
            </w:r>
          </w:p>
        </w:tc>
        <w:tc>
          <w:tcPr>
            <w:tcW w:w="1440" w:type="dxa"/>
          </w:tcPr>
          <w:p w:rsidR="00714F5D" w:rsidRPr="001D0846" w:rsidRDefault="00714F5D" w:rsidP="008C5C6A">
            <w:pPr>
              <w:spacing w:line="276" w:lineRule="auto"/>
              <w:jc w:val="center"/>
              <w:rPr>
                <w:rFonts w:ascii="Times New Roman" w:eastAsia="Times New Roman" w:hAnsi="Times New Roman" w:cs="Times New Roman"/>
                <w:lang w:eastAsia="ru-RU"/>
              </w:rPr>
            </w:pPr>
            <w:r w:rsidRPr="001D0846">
              <w:rPr>
                <w:rFonts w:ascii="Times New Roman" w:eastAsia="Times New Roman" w:hAnsi="Times New Roman" w:cs="Times New Roman"/>
                <w:lang w:eastAsia="ru-RU"/>
              </w:rPr>
              <w:t>1368,1</w:t>
            </w:r>
          </w:p>
        </w:tc>
      </w:tr>
      <w:tr w:rsidR="00714F5D" w:rsidRPr="001D0846" w:rsidTr="008C5C6A">
        <w:tc>
          <w:tcPr>
            <w:tcW w:w="1306" w:type="dxa"/>
          </w:tcPr>
          <w:p w:rsidR="00714F5D" w:rsidRPr="001D0846" w:rsidRDefault="00714F5D" w:rsidP="008C5C6A">
            <w:pPr>
              <w:spacing w:line="276" w:lineRule="auto"/>
              <w:jc w:val="center"/>
              <w:rPr>
                <w:rFonts w:ascii="Times New Roman" w:eastAsia="Times New Roman" w:hAnsi="Times New Roman" w:cs="Times New Roman"/>
                <w:b/>
                <w:lang w:eastAsia="ru-RU"/>
              </w:rPr>
            </w:pPr>
            <w:r w:rsidRPr="001D0846">
              <w:rPr>
                <w:rFonts w:ascii="Times New Roman" w:eastAsia="Times New Roman" w:hAnsi="Times New Roman" w:cs="Times New Roman"/>
                <w:b/>
                <w:lang w:eastAsia="ru-RU"/>
              </w:rPr>
              <w:t>2017</w:t>
            </w:r>
          </w:p>
        </w:tc>
        <w:tc>
          <w:tcPr>
            <w:tcW w:w="1843" w:type="dxa"/>
          </w:tcPr>
          <w:p w:rsidR="00714F5D" w:rsidRPr="001D0846" w:rsidRDefault="00714F5D" w:rsidP="008C5C6A">
            <w:pPr>
              <w:spacing w:line="276" w:lineRule="auto"/>
              <w:jc w:val="center"/>
              <w:rPr>
                <w:rFonts w:ascii="Times New Roman" w:eastAsia="Times New Roman" w:hAnsi="Times New Roman" w:cs="Times New Roman"/>
                <w:lang w:eastAsia="ru-RU"/>
              </w:rPr>
            </w:pPr>
            <w:r w:rsidRPr="001D0846">
              <w:rPr>
                <w:rFonts w:ascii="Times New Roman" w:eastAsia="Times New Roman" w:hAnsi="Times New Roman" w:cs="Times New Roman"/>
                <w:lang w:eastAsia="ru-RU"/>
              </w:rPr>
              <w:t>2578</w:t>
            </w:r>
          </w:p>
        </w:tc>
        <w:tc>
          <w:tcPr>
            <w:tcW w:w="2947" w:type="dxa"/>
          </w:tcPr>
          <w:p w:rsidR="00714F5D" w:rsidRPr="001D0846" w:rsidRDefault="00714F5D" w:rsidP="008C5C6A">
            <w:pPr>
              <w:spacing w:line="276" w:lineRule="auto"/>
              <w:jc w:val="center"/>
              <w:rPr>
                <w:rFonts w:ascii="Times New Roman" w:eastAsia="Times New Roman" w:hAnsi="Times New Roman" w:cs="Times New Roman"/>
                <w:lang w:eastAsia="ru-RU"/>
              </w:rPr>
            </w:pPr>
            <w:r w:rsidRPr="001D0846">
              <w:rPr>
                <w:rFonts w:ascii="Times New Roman" w:eastAsia="Times New Roman" w:hAnsi="Times New Roman" w:cs="Times New Roman"/>
                <w:lang w:eastAsia="ru-RU"/>
              </w:rPr>
              <w:t>9034,3</w:t>
            </w:r>
          </w:p>
        </w:tc>
        <w:tc>
          <w:tcPr>
            <w:tcW w:w="1417" w:type="dxa"/>
          </w:tcPr>
          <w:p w:rsidR="00714F5D" w:rsidRPr="001D0846" w:rsidRDefault="00714F5D" w:rsidP="008C5C6A">
            <w:pPr>
              <w:spacing w:line="276" w:lineRule="auto"/>
              <w:jc w:val="center"/>
              <w:rPr>
                <w:rFonts w:ascii="Times New Roman" w:eastAsia="Times New Roman" w:hAnsi="Times New Roman" w:cs="Times New Roman"/>
                <w:lang w:eastAsia="ru-RU"/>
              </w:rPr>
            </w:pPr>
            <w:r w:rsidRPr="001D0846">
              <w:rPr>
                <w:rFonts w:ascii="Times New Roman" w:eastAsia="Times New Roman" w:hAnsi="Times New Roman" w:cs="Times New Roman"/>
                <w:lang w:eastAsia="ru-RU"/>
              </w:rPr>
              <w:t>4711,08</w:t>
            </w:r>
          </w:p>
        </w:tc>
        <w:tc>
          <w:tcPr>
            <w:tcW w:w="1334" w:type="dxa"/>
          </w:tcPr>
          <w:p w:rsidR="00714F5D" w:rsidRPr="001D0846" w:rsidRDefault="00714F5D" w:rsidP="008C5C6A">
            <w:pPr>
              <w:spacing w:line="276" w:lineRule="auto"/>
              <w:jc w:val="center"/>
              <w:rPr>
                <w:rFonts w:ascii="Times New Roman" w:eastAsia="Times New Roman" w:hAnsi="Times New Roman" w:cs="Times New Roman"/>
                <w:lang w:eastAsia="ru-RU"/>
              </w:rPr>
            </w:pPr>
            <w:r w:rsidRPr="001D0846">
              <w:rPr>
                <w:rFonts w:ascii="Times New Roman" w:eastAsia="Times New Roman" w:hAnsi="Times New Roman" w:cs="Times New Roman"/>
                <w:lang w:eastAsia="ru-RU"/>
              </w:rPr>
              <w:t>1548,4</w:t>
            </w:r>
          </w:p>
        </w:tc>
        <w:tc>
          <w:tcPr>
            <w:tcW w:w="1440" w:type="dxa"/>
          </w:tcPr>
          <w:p w:rsidR="00714F5D" w:rsidRPr="001D0846" w:rsidRDefault="00714F5D" w:rsidP="008C5C6A">
            <w:pPr>
              <w:spacing w:line="276" w:lineRule="auto"/>
              <w:jc w:val="center"/>
              <w:rPr>
                <w:rFonts w:ascii="Times New Roman" w:eastAsia="Times New Roman" w:hAnsi="Times New Roman" w:cs="Times New Roman"/>
                <w:lang w:eastAsia="ru-RU"/>
              </w:rPr>
            </w:pPr>
            <w:r w:rsidRPr="001D0846">
              <w:rPr>
                <w:rFonts w:ascii="Times New Roman" w:eastAsia="Times New Roman" w:hAnsi="Times New Roman" w:cs="Times New Roman"/>
                <w:lang w:eastAsia="ru-RU"/>
              </w:rPr>
              <w:t>2774,8</w:t>
            </w:r>
          </w:p>
        </w:tc>
      </w:tr>
    </w:tbl>
    <w:p w:rsidR="00714F5D" w:rsidRPr="001D0846" w:rsidRDefault="00714F5D" w:rsidP="00714F5D">
      <w:pPr>
        <w:spacing w:after="0" w:line="240" w:lineRule="auto"/>
        <w:jc w:val="both"/>
        <w:rPr>
          <w:rFonts w:ascii="Times New Roman" w:eastAsia="Calibri" w:hAnsi="Times New Roman" w:cs="Times New Roman"/>
          <w:i/>
          <w:sz w:val="20"/>
          <w:szCs w:val="20"/>
        </w:rPr>
      </w:pPr>
      <w:r w:rsidRPr="001D0846">
        <w:rPr>
          <w:rFonts w:ascii="Times New Roman" w:eastAsia="Times New Roman" w:hAnsi="Times New Roman" w:cs="Times New Roman"/>
          <w:b/>
          <w:i/>
          <w:iCs/>
          <w:sz w:val="20"/>
          <w:szCs w:val="20"/>
        </w:rPr>
        <w:t>Sursă:</w:t>
      </w:r>
      <w:r w:rsidRPr="001D0846">
        <w:rPr>
          <w:rFonts w:ascii="Times New Roman" w:eastAsia="Times New Roman" w:hAnsi="Times New Roman" w:cs="Times New Roman"/>
          <w:i/>
          <w:iCs/>
          <w:sz w:val="20"/>
          <w:szCs w:val="20"/>
        </w:rPr>
        <w:t xml:space="preserve"> Date</w:t>
      </w:r>
      <w:r>
        <w:rPr>
          <w:rFonts w:ascii="Times New Roman" w:eastAsia="Times New Roman" w:hAnsi="Times New Roman" w:cs="Times New Roman"/>
          <w:i/>
          <w:iCs/>
          <w:sz w:val="20"/>
          <w:szCs w:val="20"/>
        </w:rPr>
        <w:t>le</w:t>
      </w:r>
      <w:r w:rsidRPr="001D0846">
        <w:rPr>
          <w:rFonts w:ascii="Times New Roman" w:eastAsia="Times New Roman" w:hAnsi="Times New Roman" w:cs="Times New Roman"/>
          <w:i/>
          <w:iCs/>
          <w:sz w:val="20"/>
          <w:szCs w:val="20"/>
        </w:rPr>
        <w:t xml:space="preserve"> generalizate de către echipa de audit din </w:t>
      </w:r>
      <w:r w:rsidRPr="001D0846">
        <w:rPr>
          <w:rFonts w:ascii="Times New Roman" w:eastAsia="Calibri" w:hAnsi="Times New Roman" w:cs="Times New Roman"/>
          <w:i/>
          <w:sz w:val="20"/>
          <w:szCs w:val="20"/>
        </w:rPr>
        <w:t>Rapoartele privind sumele obligațiilor fiscale luate la evidență specială pe parcursul anilor 2015-2017 de către SFS.</w:t>
      </w:r>
    </w:p>
    <w:p w:rsidR="00714F5D" w:rsidRPr="001D0846" w:rsidRDefault="00714F5D" w:rsidP="00714F5D">
      <w:pPr>
        <w:spacing w:after="0" w:line="240" w:lineRule="auto"/>
        <w:ind w:right="-334"/>
        <w:rPr>
          <w:rFonts w:ascii="Times New Roman" w:hAnsi="Times New Roman" w:cs="Times New Roman"/>
        </w:rPr>
      </w:pPr>
    </w:p>
    <w:p w:rsidR="00714F5D" w:rsidRDefault="00714F5D" w:rsidP="00714F5D">
      <w:pPr>
        <w:spacing w:after="0" w:line="240" w:lineRule="auto"/>
        <w:jc w:val="right"/>
        <w:rPr>
          <w:rFonts w:ascii="Times New Roman" w:hAnsi="Times New Roman" w:cs="Times New Roman"/>
          <w:b/>
          <w:bCs/>
          <w:i/>
          <w:sz w:val="28"/>
          <w:szCs w:val="28"/>
        </w:rPr>
      </w:pPr>
    </w:p>
    <w:p w:rsidR="00714F5D" w:rsidRDefault="00714F5D" w:rsidP="00714F5D">
      <w:pPr>
        <w:spacing w:after="0" w:line="240" w:lineRule="auto"/>
        <w:jc w:val="right"/>
        <w:rPr>
          <w:rFonts w:ascii="Times New Roman" w:hAnsi="Times New Roman" w:cs="Times New Roman"/>
          <w:b/>
          <w:bCs/>
          <w:i/>
          <w:sz w:val="28"/>
          <w:szCs w:val="28"/>
        </w:rPr>
      </w:pPr>
    </w:p>
    <w:p w:rsidR="00714F5D" w:rsidRDefault="00714F5D" w:rsidP="00714F5D">
      <w:pPr>
        <w:spacing w:after="0" w:line="240" w:lineRule="auto"/>
        <w:jc w:val="right"/>
        <w:rPr>
          <w:rFonts w:ascii="Times New Roman" w:hAnsi="Times New Roman" w:cs="Times New Roman"/>
          <w:b/>
          <w:bCs/>
          <w:i/>
          <w:sz w:val="28"/>
          <w:szCs w:val="28"/>
        </w:rPr>
      </w:pPr>
    </w:p>
    <w:p w:rsidR="00714F5D" w:rsidRDefault="00714F5D" w:rsidP="00714F5D">
      <w:pPr>
        <w:spacing w:after="0" w:line="240" w:lineRule="auto"/>
        <w:jc w:val="right"/>
        <w:rPr>
          <w:rFonts w:ascii="Times New Roman" w:hAnsi="Times New Roman" w:cs="Times New Roman"/>
          <w:b/>
          <w:bCs/>
          <w:i/>
          <w:sz w:val="28"/>
          <w:szCs w:val="28"/>
        </w:rPr>
      </w:pPr>
    </w:p>
    <w:p w:rsidR="00714F5D" w:rsidRDefault="00714F5D" w:rsidP="00714F5D">
      <w:pPr>
        <w:spacing w:after="0" w:line="240" w:lineRule="auto"/>
        <w:jc w:val="right"/>
        <w:rPr>
          <w:rFonts w:ascii="Times New Roman" w:hAnsi="Times New Roman" w:cs="Times New Roman"/>
          <w:b/>
          <w:bCs/>
          <w:i/>
          <w:sz w:val="28"/>
          <w:szCs w:val="28"/>
        </w:rPr>
      </w:pPr>
    </w:p>
    <w:p w:rsidR="00714F5D" w:rsidRDefault="00714F5D" w:rsidP="00714F5D">
      <w:pPr>
        <w:spacing w:after="0" w:line="240" w:lineRule="auto"/>
        <w:jc w:val="right"/>
        <w:rPr>
          <w:rFonts w:ascii="Times New Roman" w:hAnsi="Times New Roman" w:cs="Times New Roman"/>
          <w:b/>
          <w:bCs/>
          <w:i/>
          <w:sz w:val="28"/>
          <w:szCs w:val="28"/>
        </w:rPr>
      </w:pPr>
    </w:p>
    <w:p w:rsidR="00714F5D" w:rsidRDefault="00714F5D" w:rsidP="00714F5D">
      <w:pPr>
        <w:spacing w:after="0" w:line="240" w:lineRule="auto"/>
        <w:jc w:val="right"/>
        <w:rPr>
          <w:rFonts w:ascii="Times New Roman" w:hAnsi="Times New Roman" w:cs="Times New Roman"/>
          <w:b/>
          <w:bCs/>
          <w:i/>
          <w:sz w:val="28"/>
          <w:szCs w:val="28"/>
        </w:rPr>
      </w:pPr>
    </w:p>
    <w:p w:rsidR="00714F5D" w:rsidRDefault="00714F5D" w:rsidP="00714F5D">
      <w:pPr>
        <w:spacing w:after="0" w:line="240" w:lineRule="auto"/>
        <w:jc w:val="right"/>
        <w:rPr>
          <w:rFonts w:ascii="Times New Roman" w:hAnsi="Times New Roman" w:cs="Times New Roman"/>
          <w:b/>
          <w:bCs/>
          <w:i/>
          <w:sz w:val="28"/>
          <w:szCs w:val="28"/>
        </w:rPr>
      </w:pPr>
    </w:p>
    <w:p w:rsidR="00714F5D" w:rsidRDefault="00714F5D" w:rsidP="00714F5D">
      <w:pPr>
        <w:spacing w:after="0" w:line="240" w:lineRule="auto"/>
        <w:jc w:val="right"/>
        <w:rPr>
          <w:rFonts w:ascii="Times New Roman" w:hAnsi="Times New Roman" w:cs="Times New Roman"/>
          <w:b/>
          <w:bCs/>
          <w:i/>
          <w:sz w:val="28"/>
          <w:szCs w:val="28"/>
        </w:rPr>
      </w:pPr>
    </w:p>
    <w:p w:rsidR="00714F5D" w:rsidRDefault="00714F5D" w:rsidP="00714F5D">
      <w:pPr>
        <w:spacing w:after="0" w:line="240" w:lineRule="auto"/>
        <w:jc w:val="right"/>
        <w:rPr>
          <w:rFonts w:ascii="Times New Roman" w:hAnsi="Times New Roman" w:cs="Times New Roman"/>
          <w:b/>
          <w:bCs/>
          <w:i/>
          <w:sz w:val="28"/>
          <w:szCs w:val="28"/>
        </w:rPr>
      </w:pPr>
    </w:p>
    <w:p w:rsidR="00714F5D" w:rsidRDefault="00714F5D" w:rsidP="00714F5D">
      <w:pPr>
        <w:spacing w:after="0" w:line="240" w:lineRule="auto"/>
        <w:jc w:val="right"/>
        <w:rPr>
          <w:rFonts w:ascii="Times New Roman" w:hAnsi="Times New Roman" w:cs="Times New Roman"/>
          <w:b/>
          <w:bCs/>
          <w:i/>
          <w:sz w:val="28"/>
          <w:szCs w:val="28"/>
        </w:rPr>
      </w:pPr>
    </w:p>
    <w:p w:rsidR="00714F5D" w:rsidRDefault="00714F5D" w:rsidP="00714F5D">
      <w:pPr>
        <w:spacing w:after="0" w:line="240" w:lineRule="auto"/>
        <w:jc w:val="right"/>
        <w:rPr>
          <w:rFonts w:ascii="Times New Roman" w:hAnsi="Times New Roman" w:cs="Times New Roman"/>
          <w:b/>
          <w:bCs/>
          <w:i/>
          <w:sz w:val="28"/>
          <w:szCs w:val="28"/>
        </w:rPr>
      </w:pPr>
    </w:p>
    <w:p w:rsidR="0075307B" w:rsidRDefault="0075307B" w:rsidP="00714F5D">
      <w:pPr>
        <w:spacing w:after="0" w:line="240" w:lineRule="auto"/>
        <w:jc w:val="right"/>
        <w:rPr>
          <w:rFonts w:ascii="Times New Roman" w:hAnsi="Times New Roman" w:cs="Times New Roman"/>
          <w:b/>
          <w:bCs/>
          <w:i/>
          <w:sz w:val="28"/>
          <w:szCs w:val="28"/>
        </w:rPr>
        <w:sectPr w:rsidR="0075307B" w:rsidSect="008E6F50">
          <w:pgSz w:w="12240" w:h="15840"/>
          <w:pgMar w:top="1440" w:right="1166" w:bottom="1138" w:left="1699" w:header="706" w:footer="706" w:gutter="0"/>
          <w:cols w:space="708"/>
          <w:docGrid w:linePitch="360"/>
        </w:sectPr>
      </w:pPr>
    </w:p>
    <w:p w:rsidR="00714F5D" w:rsidRDefault="00714F5D" w:rsidP="008C5C6A">
      <w:pPr>
        <w:spacing w:after="0" w:line="240" w:lineRule="auto"/>
        <w:jc w:val="center"/>
        <w:rPr>
          <w:rFonts w:ascii="Times New Roman" w:hAnsi="Times New Roman" w:cs="Times New Roman"/>
          <w:b/>
          <w:bCs/>
          <w:i/>
          <w:sz w:val="28"/>
          <w:szCs w:val="28"/>
        </w:rPr>
      </w:pPr>
      <w:r w:rsidRPr="00365962">
        <w:rPr>
          <w:rFonts w:ascii="Times New Roman" w:hAnsi="Times New Roman" w:cs="Times New Roman"/>
          <w:b/>
          <w:bCs/>
          <w:i/>
          <w:sz w:val="28"/>
          <w:szCs w:val="28"/>
        </w:rPr>
        <w:lastRenderedPageBreak/>
        <w:t>Tabelul nr.15</w:t>
      </w:r>
    </w:p>
    <w:p w:rsidR="008C5C6A" w:rsidRPr="00365962" w:rsidRDefault="008C5C6A" w:rsidP="008C5C6A">
      <w:pPr>
        <w:spacing w:after="0" w:line="240" w:lineRule="auto"/>
        <w:jc w:val="center"/>
        <w:rPr>
          <w:rFonts w:ascii="Times New Roman" w:hAnsi="Times New Roman" w:cs="Times New Roman"/>
          <w:b/>
          <w:bCs/>
          <w:i/>
          <w:sz w:val="28"/>
          <w:szCs w:val="28"/>
        </w:rPr>
      </w:pPr>
    </w:p>
    <w:p w:rsidR="00714F5D" w:rsidRPr="001D0846" w:rsidRDefault="00714F5D" w:rsidP="00714F5D">
      <w:pPr>
        <w:spacing w:after="0" w:line="240" w:lineRule="auto"/>
        <w:jc w:val="center"/>
        <w:rPr>
          <w:rFonts w:ascii="Times New Roman" w:hAnsi="Times New Roman" w:cs="Times New Roman"/>
          <w:bCs/>
          <w:i/>
          <w:sz w:val="28"/>
          <w:szCs w:val="28"/>
        </w:rPr>
      </w:pPr>
      <w:r w:rsidRPr="00365962">
        <w:rPr>
          <w:rFonts w:ascii="Times New Roman" w:hAnsi="Times New Roman" w:cs="Times New Roman"/>
          <w:bCs/>
          <w:i/>
          <w:sz w:val="28"/>
          <w:szCs w:val="28"/>
        </w:rPr>
        <w:t>Analiza datoriilor istorice ale contribuabililor aflați în proces de insolvabilitate pentru anii 2015-2017</w:t>
      </w:r>
    </w:p>
    <w:p w:rsidR="00714F5D" w:rsidRPr="00365962" w:rsidRDefault="00714F5D" w:rsidP="008C5C6A">
      <w:pPr>
        <w:tabs>
          <w:tab w:val="left" w:pos="8222"/>
        </w:tabs>
        <w:spacing w:after="0" w:line="240" w:lineRule="auto"/>
        <w:ind w:right="-795"/>
        <w:jc w:val="center"/>
        <w:rPr>
          <w:rFonts w:ascii="Times New Roman" w:hAnsi="Times New Roman" w:cs="Times New Roman"/>
          <w:i/>
          <w:sz w:val="28"/>
          <w:szCs w:val="28"/>
        </w:rPr>
      </w:pPr>
      <w:r w:rsidRPr="00365962">
        <w:rPr>
          <w:rFonts w:ascii="Times New Roman" w:hAnsi="Times New Roman" w:cs="Times New Roman"/>
          <w:i/>
          <w:sz w:val="28"/>
          <w:szCs w:val="28"/>
        </w:rPr>
        <w:t>(mii lei)</w:t>
      </w:r>
    </w:p>
    <w:tbl>
      <w:tblPr>
        <w:tblStyle w:val="TableGrid"/>
        <w:tblW w:w="14130" w:type="dxa"/>
        <w:tblInd w:w="-275" w:type="dxa"/>
        <w:tblLook w:val="04A0"/>
      </w:tblPr>
      <w:tblGrid>
        <w:gridCol w:w="1260"/>
        <w:gridCol w:w="1440"/>
        <w:gridCol w:w="1890"/>
        <w:gridCol w:w="1980"/>
        <w:gridCol w:w="1998"/>
        <w:gridCol w:w="1962"/>
        <w:gridCol w:w="1530"/>
        <w:gridCol w:w="2070"/>
      </w:tblGrid>
      <w:tr w:rsidR="00714F5D" w:rsidRPr="001D0846" w:rsidTr="008C5C6A">
        <w:tc>
          <w:tcPr>
            <w:tcW w:w="1260" w:type="dxa"/>
          </w:tcPr>
          <w:p w:rsidR="00714F5D" w:rsidRPr="001D0846" w:rsidRDefault="00714F5D" w:rsidP="008C5C6A">
            <w:pPr>
              <w:spacing w:line="276" w:lineRule="auto"/>
              <w:jc w:val="center"/>
              <w:rPr>
                <w:rFonts w:ascii="Times New Roman" w:hAnsi="Times New Roman" w:cs="Times New Roman"/>
                <w:b/>
                <w:sz w:val="20"/>
                <w:szCs w:val="20"/>
              </w:rPr>
            </w:pPr>
            <w:r w:rsidRPr="001D0846">
              <w:rPr>
                <w:rFonts w:ascii="Times New Roman" w:hAnsi="Times New Roman" w:cs="Times New Roman"/>
                <w:b/>
                <w:sz w:val="20"/>
                <w:szCs w:val="20"/>
              </w:rPr>
              <w:t>Anul</w:t>
            </w:r>
          </w:p>
        </w:tc>
        <w:tc>
          <w:tcPr>
            <w:tcW w:w="1440" w:type="dxa"/>
          </w:tcPr>
          <w:p w:rsidR="00714F5D" w:rsidRPr="001D0846" w:rsidRDefault="00714F5D" w:rsidP="008C5C6A">
            <w:pPr>
              <w:spacing w:line="276" w:lineRule="auto"/>
              <w:jc w:val="center"/>
              <w:rPr>
                <w:rFonts w:ascii="Times New Roman" w:hAnsi="Times New Roman" w:cs="Times New Roman"/>
                <w:sz w:val="20"/>
                <w:szCs w:val="20"/>
              </w:rPr>
            </w:pPr>
            <w:r w:rsidRPr="001D0846">
              <w:rPr>
                <w:rFonts w:ascii="Times New Roman" w:hAnsi="Times New Roman" w:cs="Times New Roman"/>
                <w:b/>
                <w:sz w:val="20"/>
                <w:szCs w:val="20"/>
              </w:rPr>
              <w:t>Numărul de întreprinderi aflate în proces de insolvabilitate</w:t>
            </w:r>
          </w:p>
        </w:tc>
        <w:tc>
          <w:tcPr>
            <w:tcW w:w="1890" w:type="dxa"/>
          </w:tcPr>
          <w:p w:rsidR="00714F5D" w:rsidRPr="001D0846" w:rsidRDefault="00714F5D" w:rsidP="008C5C6A">
            <w:pPr>
              <w:spacing w:line="276" w:lineRule="auto"/>
              <w:ind w:right="-87"/>
              <w:jc w:val="center"/>
              <w:rPr>
                <w:rFonts w:ascii="Times New Roman" w:hAnsi="Times New Roman" w:cs="Times New Roman"/>
                <w:b/>
                <w:sz w:val="20"/>
                <w:szCs w:val="20"/>
              </w:rPr>
            </w:pPr>
            <w:r w:rsidRPr="001D0846">
              <w:rPr>
                <w:rFonts w:ascii="Times New Roman" w:hAnsi="Times New Roman" w:cs="Times New Roman"/>
                <w:b/>
                <w:sz w:val="20"/>
                <w:szCs w:val="20"/>
              </w:rPr>
              <w:t>Suma datoriilor istorice a</w:t>
            </w:r>
            <w:r>
              <w:rPr>
                <w:rFonts w:ascii="Times New Roman" w:hAnsi="Times New Roman" w:cs="Times New Roman"/>
                <w:b/>
                <w:sz w:val="20"/>
                <w:szCs w:val="20"/>
              </w:rPr>
              <w:t>le</w:t>
            </w:r>
            <w:r w:rsidRPr="001D0846">
              <w:rPr>
                <w:rFonts w:ascii="Times New Roman" w:hAnsi="Times New Roman" w:cs="Times New Roman"/>
                <w:b/>
                <w:sz w:val="20"/>
                <w:szCs w:val="20"/>
              </w:rPr>
              <w:t xml:space="preserve"> întreprinderilor insolvabile faţă de BPN</w:t>
            </w:r>
            <w:r>
              <w:rPr>
                <w:rFonts w:ascii="Times New Roman" w:hAnsi="Times New Roman" w:cs="Times New Roman"/>
                <w:b/>
                <w:sz w:val="20"/>
                <w:szCs w:val="20"/>
              </w:rPr>
              <w:t>,</w:t>
            </w:r>
            <w:r w:rsidRPr="001D0846">
              <w:rPr>
                <w:rFonts w:ascii="Times New Roman" w:hAnsi="Times New Roman" w:cs="Times New Roman"/>
                <w:b/>
                <w:sz w:val="20"/>
                <w:szCs w:val="20"/>
              </w:rPr>
              <w:t xml:space="preserve"> validate de către instanţa de judecată</w:t>
            </w:r>
          </w:p>
        </w:tc>
        <w:tc>
          <w:tcPr>
            <w:tcW w:w="1980" w:type="dxa"/>
          </w:tcPr>
          <w:p w:rsidR="00714F5D" w:rsidRPr="00E330C1" w:rsidRDefault="00714F5D" w:rsidP="008C5C6A">
            <w:pPr>
              <w:spacing w:line="276" w:lineRule="auto"/>
              <w:jc w:val="center"/>
              <w:rPr>
                <w:rFonts w:ascii="Times New Roman" w:hAnsi="Times New Roman" w:cs="Times New Roman"/>
                <w:b/>
                <w:sz w:val="20"/>
                <w:szCs w:val="20"/>
              </w:rPr>
            </w:pPr>
            <w:r w:rsidRPr="00E330C1">
              <w:rPr>
                <w:rFonts w:ascii="Times New Roman" w:hAnsi="Times New Roman" w:cs="Times New Roman"/>
                <w:b/>
                <w:sz w:val="20"/>
                <w:szCs w:val="20"/>
              </w:rPr>
              <w:t>Suma datoriilor istorice încasate</w:t>
            </w:r>
          </w:p>
          <w:p w:rsidR="00714F5D" w:rsidRPr="00E330C1" w:rsidRDefault="00714F5D" w:rsidP="008C5C6A">
            <w:pPr>
              <w:spacing w:line="276" w:lineRule="auto"/>
              <w:jc w:val="center"/>
              <w:rPr>
                <w:rFonts w:ascii="Times New Roman" w:hAnsi="Times New Roman" w:cs="Times New Roman"/>
                <w:b/>
                <w:sz w:val="20"/>
                <w:szCs w:val="20"/>
              </w:rPr>
            </w:pPr>
            <w:r w:rsidRPr="00E330C1">
              <w:rPr>
                <w:rFonts w:ascii="Times New Roman" w:hAnsi="Times New Roman" w:cs="Times New Roman"/>
                <w:b/>
                <w:sz w:val="20"/>
                <w:szCs w:val="20"/>
              </w:rPr>
              <w:t>la BPN ale întreprinderilor</w:t>
            </w:r>
          </w:p>
          <w:p w:rsidR="00714F5D" w:rsidRPr="00E330C1" w:rsidRDefault="00714F5D" w:rsidP="008C5C6A">
            <w:pPr>
              <w:spacing w:line="276" w:lineRule="auto"/>
              <w:jc w:val="center"/>
              <w:rPr>
                <w:rFonts w:ascii="Times New Roman" w:hAnsi="Times New Roman" w:cs="Times New Roman"/>
                <w:sz w:val="20"/>
                <w:szCs w:val="20"/>
              </w:rPr>
            </w:pPr>
            <w:r w:rsidRPr="00E330C1">
              <w:rPr>
                <w:rFonts w:ascii="Times New Roman" w:hAnsi="Times New Roman" w:cs="Times New Roman"/>
                <w:b/>
                <w:sz w:val="20"/>
                <w:szCs w:val="20"/>
              </w:rPr>
              <w:t>în proces de insolvabilitate</w:t>
            </w:r>
          </w:p>
        </w:tc>
        <w:tc>
          <w:tcPr>
            <w:tcW w:w="1998" w:type="dxa"/>
          </w:tcPr>
          <w:p w:rsidR="00714F5D" w:rsidRPr="00E330C1" w:rsidRDefault="00714F5D" w:rsidP="008C5C6A">
            <w:pPr>
              <w:spacing w:line="276" w:lineRule="auto"/>
              <w:jc w:val="center"/>
              <w:rPr>
                <w:rFonts w:ascii="Times New Roman" w:hAnsi="Times New Roman" w:cs="Times New Roman"/>
                <w:b/>
                <w:sz w:val="20"/>
                <w:szCs w:val="20"/>
              </w:rPr>
            </w:pPr>
            <w:r w:rsidRPr="00E330C1">
              <w:rPr>
                <w:rFonts w:ascii="Times New Roman" w:hAnsi="Times New Roman" w:cs="Times New Roman"/>
                <w:b/>
                <w:sz w:val="20"/>
                <w:szCs w:val="20"/>
              </w:rPr>
              <w:t xml:space="preserve">Gradul de colectare la BPN a creanțelor validate de către instanța de judecată ale întreprinderilor </w:t>
            </w:r>
          </w:p>
          <w:p w:rsidR="00714F5D" w:rsidRPr="00E330C1" w:rsidRDefault="00714F5D" w:rsidP="008C5C6A">
            <w:pPr>
              <w:spacing w:line="276" w:lineRule="auto"/>
              <w:jc w:val="center"/>
              <w:rPr>
                <w:rFonts w:ascii="Times New Roman" w:hAnsi="Times New Roman" w:cs="Times New Roman"/>
                <w:b/>
                <w:sz w:val="20"/>
                <w:szCs w:val="20"/>
              </w:rPr>
            </w:pPr>
            <w:r w:rsidRPr="00E330C1">
              <w:rPr>
                <w:rFonts w:ascii="Times New Roman" w:hAnsi="Times New Roman" w:cs="Times New Roman"/>
                <w:b/>
                <w:sz w:val="20"/>
                <w:szCs w:val="20"/>
              </w:rPr>
              <w:t>în proces de insolvabilitate</w:t>
            </w:r>
          </w:p>
          <w:p w:rsidR="00714F5D" w:rsidRPr="00E330C1" w:rsidRDefault="00714F5D" w:rsidP="008C5C6A">
            <w:pPr>
              <w:spacing w:line="276" w:lineRule="auto"/>
              <w:jc w:val="center"/>
              <w:rPr>
                <w:rFonts w:ascii="Times New Roman" w:hAnsi="Times New Roman" w:cs="Times New Roman"/>
                <w:sz w:val="20"/>
                <w:szCs w:val="20"/>
              </w:rPr>
            </w:pPr>
            <w:r w:rsidRPr="00E330C1">
              <w:rPr>
                <w:rFonts w:ascii="Times New Roman" w:hAnsi="Times New Roman" w:cs="Times New Roman"/>
                <w:b/>
                <w:sz w:val="20"/>
                <w:szCs w:val="20"/>
              </w:rPr>
              <w:t>(%)</w:t>
            </w:r>
          </w:p>
        </w:tc>
        <w:tc>
          <w:tcPr>
            <w:tcW w:w="1962" w:type="dxa"/>
          </w:tcPr>
          <w:p w:rsidR="00714F5D" w:rsidRPr="001D0846" w:rsidRDefault="00714F5D" w:rsidP="008C5C6A">
            <w:pPr>
              <w:spacing w:line="276" w:lineRule="auto"/>
              <w:jc w:val="center"/>
              <w:rPr>
                <w:rFonts w:ascii="Times New Roman" w:hAnsi="Times New Roman" w:cs="Times New Roman"/>
                <w:sz w:val="20"/>
                <w:szCs w:val="20"/>
              </w:rPr>
            </w:pPr>
            <w:r w:rsidRPr="001D0846">
              <w:rPr>
                <w:rFonts w:ascii="Times New Roman" w:hAnsi="Times New Roman" w:cs="Times New Roman"/>
                <w:b/>
                <w:sz w:val="20"/>
                <w:szCs w:val="20"/>
              </w:rPr>
              <w:t>Suma plăților curente calculate din momentul derulării procedurii de insolvabilitate</w:t>
            </w:r>
          </w:p>
        </w:tc>
        <w:tc>
          <w:tcPr>
            <w:tcW w:w="1530" w:type="dxa"/>
          </w:tcPr>
          <w:p w:rsidR="00714F5D" w:rsidRPr="001D0846" w:rsidRDefault="00714F5D" w:rsidP="008C5C6A">
            <w:pPr>
              <w:spacing w:line="276" w:lineRule="auto"/>
              <w:jc w:val="center"/>
              <w:rPr>
                <w:rFonts w:ascii="Times New Roman" w:hAnsi="Times New Roman" w:cs="Times New Roman"/>
                <w:sz w:val="20"/>
                <w:szCs w:val="20"/>
              </w:rPr>
            </w:pPr>
            <w:r w:rsidRPr="001D0846">
              <w:rPr>
                <w:rFonts w:ascii="Times New Roman" w:hAnsi="Times New Roman" w:cs="Times New Roman"/>
                <w:b/>
                <w:sz w:val="20"/>
                <w:szCs w:val="20"/>
              </w:rPr>
              <w:t>Suma plăților curente achitate din momentul derulării procedurii de insolvabilitate</w:t>
            </w:r>
          </w:p>
        </w:tc>
        <w:tc>
          <w:tcPr>
            <w:tcW w:w="2070" w:type="dxa"/>
          </w:tcPr>
          <w:p w:rsidR="00714F5D" w:rsidRPr="001D0846" w:rsidRDefault="00714F5D" w:rsidP="008C5C6A">
            <w:pPr>
              <w:spacing w:line="276" w:lineRule="auto"/>
              <w:jc w:val="center"/>
              <w:rPr>
                <w:rFonts w:ascii="Times New Roman" w:hAnsi="Times New Roman" w:cs="Times New Roman"/>
                <w:sz w:val="20"/>
                <w:szCs w:val="20"/>
              </w:rPr>
            </w:pPr>
            <w:r w:rsidRPr="001D0846">
              <w:rPr>
                <w:rFonts w:ascii="Times New Roman" w:hAnsi="Times New Roman" w:cs="Times New Roman"/>
                <w:b/>
                <w:sz w:val="20"/>
                <w:szCs w:val="20"/>
              </w:rPr>
              <w:t>Gradul de colectare la BPN a plăților curente calculate din momentul derulării procedurii de insolvabilitate (%)</w:t>
            </w:r>
          </w:p>
        </w:tc>
      </w:tr>
      <w:tr w:rsidR="00714F5D" w:rsidRPr="001D0846" w:rsidTr="008C5C6A">
        <w:tc>
          <w:tcPr>
            <w:tcW w:w="1260" w:type="dxa"/>
          </w:tcPr>
          <w:p w:rsidR="00714F5D" w:rsidRPr="001D0846" w:rsidRDefault="00714F5D" w:rsidP="008C5C6A">
            <w:pPr>
              <w:spacing w:line="276" w:lineRule="auto"/>
              <w:jc w:val="center"/>
              <w:rPr>
                <w:rFonts w:ascii="Times New Roman" w:hAnsi="Times New Roman" w:cs="Times New Roman"/>
                <w:sz w:val="20"/>
                <w:szCs w:val="20"/>
              </w:rPr>
            </w:pPr>
            <w:r w:rsidRPr="001D0846">
              <w:rPr>
                <w:rFonts w:ascii="Times New Roman" w:hAnsi="Times New Roman" w:cs="Times New Roman"/>
                <w:sz w:val="20"/>
                <w:szCs w:val="20"/>
              </w:rPr>
              <w:t>la 31.12.2017</w:t>
            </w:r>
          </w:p>
        </w:tc>
        <w:tc>
          <w:tcPr>
            <w:tcW w:w="1440" w:type="dxa"/>
          </w:tcPr>
          <w:p w:rsidR="00714F5D" w:rsidRPr="001D0846" w:rsidRDefault="00714F5D" w:rsidP="008C5C6A">
            <w:pPr>
              <w:spacing w:line="276" w:lineRule="auto"/>
              <w:jc w:val="center"/>
              <w:rPr>
                <w:rFonts w:ascii="Times New Roman" w:hAnsi="Times New Roman" w:cs="Times New Roman"/>
                <w:sz w:val="20"/>
                <w:szCs w:val="20"/>
              </w:rPr>
            </w:pPr>
            <w:r w:rsidRPr="001D0846">
              <w:rPr>
                <w:rFonts w:ascii="Times New Roman" w:hAnsi="Times New Roman" w:cs="Times New Roman"/>
                <w:sz w:val="20"/>
                <w:szCs w:val="20"/>
              </w:rPr>
              <w:t>2158</w:t>
            </w:r>
          </w:p>
        </w:tc>
        <w:tc>
          <w:tcPr>
            <w:tcW w:w="1890" w:type="dxa"/>
          </w:tcPr>
          <w:p w:rsidR="00714F5D" w:rsidRPr="001D0846" w:rsidRDefault="00714F5D" w:rsidP="008C5C6A">
            <w:pPr>
              <w:spacing w:line="276" w:lineRule="auto"/>
              <w:jc w:val="center"/>
              <w:rPr>
                <w:rFonts w:ascii="Times New Roman" w:hAnsi="Times New Roman" w:cs="Times New Roman"/>
                <w:sz w:val="20"/>
                <w:szCs w:val="20"/>
              </w:rPr>
            </w:pPr>
            <w:r w:rsidRPr="001D0846">
              <w:rPr>
                <w:rFonts w:ascii="Times New Roman" w:hAnsi="Times New Roman" w:cs="Times New Roman"/>
                <w:sz w:val="20"/>
                <w:szCs w:val="20"/>
              </w:rPr>
              <w:t>3786053,5</w:t>
            </w:r>
          </w:p>
        </w:tc>
        <w:tc>
          <w:tcPr>
            <w:tcW w:w="1980" w:type="dxa"/>
          </w:tcPr>
          <w:p w:rsidR="00714F5D" w:rsidRPr="001D0846" w:rsidRDefault="00714F5D" w:rsidP="008C5C6A">
            <w:pPr>
              <w:spacing w:line="276" w:lineRule="auto"/>
              <w:jc w:val="center"/>
              <w:rPr>
                <w:rFonts w:ascii="Times New Roman" w:hAnsi="Times New Roman" w:cs="Times New Roman"/>
                <w:sz w:val="20"/>
                <w:szCs w:val="20"/>
              </w:rPr>
            </w:pPr>
            <w:r w:rsidRPr="001D0846">
              <w:rPr>
                <w:rFonts w:ascii="Times New Roman" w:hAnsi="Times New Roman" w:cs="Times New Roman"/>
                <w:sz w:val="20"/>
                <w:szCs w:val="20"/>
              </w:rPr>
              <w:t>95300,2</w:t>
            </w:r>
          </w:p>
        </w:tc>
        <w:tc>
          <w:tcPr>
            <w:tcW w:w="1998" w:type="dxa"/>
          </w:tcPr>
          <w:p w:rsidR="00714F5D" w:rsidRPr="001D0846" w:rsidRDefault="00714F5D" w:rsidP="008C5C6A">
            <w:pPr>
              <w:spacing w:line="276" w:lineRule="auto"/>
              <w:jc w:val="center"/>
              <w:rPr>
                <w:rFonts w:ascii="Times New Roman" w:hAnsi="Times New Roman" w:cs="Times New Roman"/>
                <w:sz w:val="20"/>
                <w:szCs w:val="20"/>
              </w:rPr>
            </w:pPr>
            <w:r w:rsidRPr="001D0846">
              <w:rPr>
                <w:rFonts w:ascii="Times New Roman" w:hAnsi="Times New Roman" w:cs="Times New Roman"/>
                <w:sz w:val="20"/>
                <w:szCs w:val="20"/>
              </w:rPr>
              <w:t xml:space="preserve">2,52 </w:t>
            </w:r>
          </w:p>
        </w:tc>
        <w:tc>
          <w:tcPr>
            <w:tcW w:w="1962" w:type="dxa"/>
          </w:tcPr>
          <w:p w:rsidR="00714F5D" w:rsidRPr="001D0846" w:rsidRDefault="00714F5D" w:rsidP="008C5C6A">
            <w:pPr>
              <w:spacing w:line="276" w:lineRule="auto"/>
              <w:jc w:val="center"/>
              <w:rPr>
                <w:rFonts w:ascii="Times New Roman" w:hAnsi="Times New Roman" w:cs="Times New Roman"/>
                <w:sz w:val="20"/>
                <w:szCs w:val="20"/>
              </w:rPr>
            </w:pPr>
            <w:r w:rsidRPr="001D0846">
              <w:rPr>
                <w:rFonts w:ascii="Times New Roman" w:hAnsi="Times New Roman" w:cs="Times New Roman"/>
                <w:sz w:val="20"/>
                <w:szCs w:val="20"/>
              </w:rPr>
              <w:t>158439,6</w:t>
            </w:r>
          </w:p>
        </w:tc>
        <w:tc>
          <w:tcPr>
            <w:tcW w:w="1530" w:type="dxa"/>
          </w:tcPr>
          <w:p w:rsidR="00714F5D" w:rsidRPr="001D0846" w:rsidRDefault="00714F5D" w:rsidP="008C5C6A">
            <w:pPr>
              <w:spacing w:line="276" w:lineRule="auto"/>
              <w:jc w:val="center"/>
              <w:rPr>
                <w:rFonts w:ascii="Times New Roman" w:hAnsi="Times New Roman" w:cs="Times New Roman"/>
                <w:sz w:val="20"/>
                <w:szCs w:val="20"/>
              </w:rPr>
            </w:pPr>
            <w:r w:rsidRPr="001D0846">
              <w:rPr>
                <w:rFonts w:ascii="Times New Roman" w:hAnsi="Times New Roman" w:cs="Times New Roman"/>
                <w:sz w:val="20"/>
                <w:szCs w:val="20"/>
              </w:rPr>
              <w:t>103341,3</w:t>
            </w:r>
          </w:p>
        </w:tc>
        <w:tc>
          <w:tcPr>
            <w:tcW w:w="2070" w:type="dxa"/>
          </w:tcPr>
          <w:p w:rsidR="00714F5D" w:rsidRPr="001D0846" w:rsidRDefault="00714F5D" w:rsidP="008C5C6A">
            <w:pPr>
              <w:spacing w:line="276" w:lineRule="auto"/>
              <w:jc w:val="center"/>
              <w:rPr>
                <w:rFonts w:ascii="Times New Roman" w:hAnsi="Times New Roman" w:cs="Times New Roman"/>
                <w:sz w:val="20"/>
                <w:szCs w:val="20"/>
              </w:rPr>
            </w:pPr>
            <w:r w:rsidRPr="001D0846">
              <w:rPr>
                <w:rFonts w:ascii="Times New Roman" w:hAnsi="Times New Roman" w:cs="Times New Roman"/>
                <w:sz w:val="20"/>
                <w:szCs w:val="20"/>
              </w:rPr>
              <w:t>65,22</w:t>
            </w:r>
          </w:p>
        </w:tc>
      </w:tr>
      <w:tr w:rsidR="00714F5D" w:rsidRPr="001D0846" w:rsidTr="008C5C6A">
        <w:tc>
          <w:tcPr>
            <w:tcW w:w="1260" w:type="dxa"/>
          </w:tcPr>
          <w:p w:rsidR="00714F5D" w:rsidRPr="001D0846" w:rsidRDefault="00714F5D" w:rsidP="008C5C6A">
            <w:pPr>
              <w:spacing w:line="276" w:lineRule="auto"/>
              <w:jc w:val="center"/>
              <w:rPr>
                <w:rFonts w:ascii="Times New Roman" w:hAnsi="Times New Roman" w:cs="Times New Roman"/>
                <w:sz w:val="20"/>
                <w:szCs w:val="20"/>
              </w:rPr>
            </w:pPr>
            <w:r w:rsidRPr="001D0846">
              <w:rPr>
                <w:rFonts w:ascii="Times New Roman" w:hAnsi="Times New Roman" w:cs="Times New Roman"/>
                <w:sz w:val="20"/>
                <w:szCs w:val="20"/>
              </w:rPr>
              <w:t>la 31.12.2016</w:t>
            </w:r>
          </w:p>
        </w:tc>
        <w:tc>
          <w:tcPr>
            <w:tcW w:w="1440" w:type="dxa"/>
          </w:tcPr>
          <w:p w:rsidR="00714F5D" w:rsidRPr="001D0846" w:rsidRDefault="00714F5D" w:rsidP="008C5C6A">
            <w:pPr>
              <w:spacing w:line="276" w:lineRule="auto"/>
              <w:jc w:val="center"/>
              <w:rPr>
                <w:rFonts w:ascii="Times New Roman" w:hAnsi="Times New Roman" w:cs="Times New Roman"/>
                <w:sz w:val="20"/>
                <w:szCs w:val="20"/>
              </w:rPr>
            </w:pPr>
            <w:r w:rsidRPr="001D0846">
              <w:rPr>
                <w:rFonts w:ascii="Times New Roman" w:hAnsi="Times New Roman" w:cs="Times New Roman"/>
                <w:sz w:val="20"/>
                <w:szCs w:val="20"/>
              </w:rPr>
              <w:t>1820</w:t>
            </w:r>
          </w:p>
        </w:tc>
        <w:tc>
          <w:tcPr>
            <w:tcW w:w="1890" w:type="dxa"/>
          </w:tcPr>
          <w:p w:rsidR="00714F5D" w:rsidRPr="001D0846" w:rsidRDefault="00714F5D" w:rsidP="008C5C6A">
            <w:pPr>
              <w:spacing w:line="276" w:lineRule="auto"/>
              <w:jc w:val="center"/>
              <w:rPr>
                <w:rFonts w:ascii="Times New Roman" w:hAnsi="Times New Roman" w:cs="Times New Roman"/>
                <w:sz w:val="20"/>
                <w:szCs w:val="20"/>
              </w:rPr>
            </w:pPr>
            <w:r w:rsidRPr="001D0846">
              <w:rPr>
                <w:rFonts w:ascii="Times New Roman" w:hAnsi="Times New Roman" w:cs="Times New Roman"/>
                <w:sz w:val="20"/>
                <w:szCs w:val="20"/>
              </w:rPr>
              <w:t>2054001,7</w:t>
            </w:r>
          </w:p>
        </w:tc>
        <w:tc>
          <w:tcPr>
            <w:tcW w:w="1980" w:type="dxa"/>
          </w:tcPr>
          <w:p w:rsidR="00714F5D" w:rsidRPr="001D0846" w:rsidRDefault="00714F5D" w:rsidP="008C5C6A">
            <w:pPr>
              <w:spacing w:line="276" w:lineRule="auto"/>
              <w:jc w:val="center"/>
              <w:rPr>
                <w:rFonts w:ascii="Times New Roman" w:hAnsi="Times New Roman" w:cs="Times New Roman"/>
                <w:sz w:val="20"/>
                <w:szCs w:val="20"/>
              </w:rPr>
            </w:pPr>
            <w:r w:rsidRPr="001D0846">
              <w:rPr>
                <w:rFonts w:ascii="Times New Roman" w:hAnsi="Times New Roman" w:cs="Times New Roman"/>
                <w:sz w:val="20"/>
                <w:szCs w:val="20"/>
              </w:rPr>
              <w:t>18708,6</w:t>
            </w:r>
          </w:p>
        </w:tc>
        <w:tc>
          <w:tcPr>
            <w:tcW w:w="1998" w:type="dxa"/>
          </w:tcPr>
          <w:p w:rsidR="00714F5D" w:rsidRPr="001D0846" w:rsidRDefault="00714F5D" w:rsidP="008C5C6A">
            <w:pPr>
              <w:spacing w:line="276" w:lineRule="auto"/>
              <w:jc w:val="center"/>
              <w:rPr>
                <w:rFonts w:ascii="Times New Roman" w:hAnsi="Times New Roman" w:cs="Times New Roman"/>
                <w:sz w:val="20"/>
                <w:szCs w:val="20"/>
              </w:rPr>
            </w:pPr>
            <w:r w:rsidRPr="001D0846">
              <w:rPr>
                <w:rFonts w:ascii="Times New Roman" w:hAnsi="Times New Roman" w:cs="Times New Roman"/>
                <w:sz w:val="20"/>
                <w:szCs w:val="20"/>
              </w:rPr>
              <w:t xml:space="preserve">0,91 </w:t>
            </w:r>
          </w:p>
        </w:tc>
        <w:tc>
          <w:tcPr>
            <w:tcW w:w="1962" w:type="dxa"/>
          </w:tcPr>
          <w:p w:rsidR="00714F5D" w:rsidRPr="001D0846" w:rsidRDefault="00714F5D" w:rsidP="008C5C6A">
            <w:pPr>
              <w:spacing w:line="276" w:lineRule="auto"/>
              <w:jc w:val="center"/>
              <w:rPr>
                <w:rFonts w:ascii="Times New Roman" w:hAnsi="Times New Roman" w:cs="Times New Roman"/>
                <w:sz w:val="20"/>
                <w:szCs w:val="20"/>
              </w:rPr>
            </w:pPr>
            <w:r w:rsidRPr="001D0846">
              <w:rPr>
                <w:rFonts w:ascii="Times New Roman" w:hAnsi="Times New Roman" w:cs="Times New Roman"/>
                <w:sz w:val="20"/>
                <w:szCs w:val="20"/>
              </w:rPr>
              <w:t>115433,5</w:t>
            </w:r>
          </w:p>
        </w:tc>
        <w:tc>
          <w:tcPr>
            <w:tcW w:w="1530" w:type="dxa"/>
          </w:tcPr>
          <w:p w:rsidR="00714F5D" w:rsidRPr="001D0846" w:rsidRDefault="00714F5D" w:rsidP="008C5C6A">
            <w:pPr>
              <w:spacing w:line="276" w:lineRule="auto"/>
              <w:jc w:val="center"/>
              <w:rPr>
                <w:rFonts w:ascii="Times New Roman" w:hAnsi="Times New Roman" w:cs="Times New Roman"/>
                <w:sz w:val="20"/>
                <w:szCs w:val="20"/>
              </w:rPr>
            </w:pPr>
            <w:r w:rsidRPr="001D0846">
              <w:rPr>
                <w:rFonts w:ascii="Times New Roman" w:hAnsi="Times New Roman" w:cs="Times New Roman"/>
                <w:sz w:val="20"/>
                <w:szCs w:val="20"/>
              </w:rPr>
              <w:t>73483,7</w:t>
            </w:r>
          </w:p>
        </w:tc>
        <w:tc>
          <w:tcPr>
            <w:tcW w:w="2070" w:type="dxa"/>
          </w:tcPr>
          <w:p w:rsidR="00714F5D" w:rsidRPr="001D0846" w:rsidRDefault="00714F5D" w:rsidP="008C5C6A">
            <w:pPr>
              <w:spacing w:line="276" w:lineRule="auto"/>
              <w:jc w:val="center"/>
              <w:rPr>
                <w:rFonts w:ascii="Times New Roman" w:hAnsi="Times New Roman" w:cs="Times New Roman"/>
                <w:sz w:val="20"/>
                <w:szCs w:val="20"/>
              </w:rPr>
            </w:pPr>
            <w:r w:rsidRPr="001D0846">
              <w:rPr>
                <w:rFonts w:ascii="Times New Roman" w:hAnsi="Times New Roman" w:cs="Times New Roman"/>
                <w:sz w:val="20"/>
                <w:szCs w:val="20"/>
              </w:rPr>
              <w:t>63,66</w:t>
            </w:r>
          </w:p>
        </w:tc>
      </w:tr>
      <w:tr w:rsidR="00714F5D" w:rsidRPr="001D0846" w:rsidTr="008C5C6A">
        <w:tc>
          <w:tcPr>
            <w:tcW w:w="1260" w:type="dxa"/>
          </w:tcPr>
          <w:p w:rsidR="00714F5D" w:rsidRPr="001D0846" w:rsidRDefault="00714F5D" w:rsidP="008C5C6A">
            <w:pPr>
              <w:spacing w:line="276" w:lineRule="auto"/>
              <w:jc w:val="center"/>
              <w:rPr>
                <w:rFonts w:ascii="Times New Roman" w:hAnsi="Times New Roman" w:cs="Times New Roman"/>
                <w:sz w:val="20"/>
                <w:szCs w:val="20"/>
              </w:rPr>
            </w:pPr>
            <w:r w:rsidRPr="001D0846">
              <w:rPr>
                <w:rFonts w:ascii="Times New Roman" w:hAnsi="Times New Roman" w:cs="Times New Roman"/>
                <w:sz w:val="20"/>
                <w:szCs w:val="20"/>
              </w:rPr>
              <w:t>la 31.12.2015</w:t>
            </w:r>
          </w:p>
        </w:tc>
        <w:tc>
          <w:tcPr>
            <w:tcW w:w="1440" w:type="dxa"/>
          </w:tcPr>
          <w:p w:rsidR="00714F5D" w:rsidRPr="001D0846" w:rsidRDefault="00714F5D" w:rsidP="008C5C6A">
            <w:pPr>
              <w:spacing w:line="276" w:lineRule="auto"/>
              <w:jc w:val="center"/>
              <w:rPr>
                <w:rFonts w:ascii="Times New Roman" w:hAnsi="Times New Roman" w:cs="Times New Roman"/>
                <w:sz w:val="20"/>
                <w:szCs w:val="20"/>
              </w:rPr>
            </w:pPr>
            <w:r w:rsidRPr="001D0846">
              <w:rPr>
                <w:rFonts w:ascii="Times New Roman" w:hAnsi="Times New Roman" w:cs="Times New Roman"/>
                <w:sz w:val="20"/>
                <w:szCs w:val="20"/>
              </w:rPr>
              <w:t>1272</w:t>
            </w:r>
          </w:p>
        </w:tc>
        <w:tc>
          <w:tcPr>
            <w:tcW w:w="1890" w:type="dxa"/>
          </w:tcPr>
          <w:p w:rsidR="00714F5D" w:rsidRPr="001D0846" w:rsidRDefault="00714F5D" w:rsidP="008C5C6A">
            <w:pPr>
              <w:spacing w:line="276" w:lineRule="auto"/>
              <w:jc w:val="center"/>
              <w:rPr>
                <w:rFonts w:ascii="Times New Roman" w:hAnsi="Times New Roman" w:cs="Times New Roman"/>
                <w:sz w:val="20"/>
                <w:szCs w:val="20"/>
              </w:rPr>
            </w:pPr>
            <w:r w:rsidRPr="001D0846">
              <w:rPr>
                <w:rFonts w:ascii="Times New Roman" w:hAnsi="Times New Roman" w:cs="Times New Roman"/>
                <w:sz w:val="20"/>
                <w:szCs w:val="20"/>
              </w:rPr>
              <w:t>566982,3</w:t>
            </w:r>
          </w:p>
        </w:tc>
        <w:tc>
          <w:tcPr>
            <w:tcW w:w="1980" w:type="dxa"/>
          </w:tcPr>
          <w:p w:rsidR="00714F5D" w:rsidRPr="001D0846" w:rsidRDefault="00714F5D" w:rsidP="008C5C6A">
            <w:pPr>
              <w:spacing w:line="276" w:lineRule="auto"/>
              <w:jc w:val="center"/>
              <w:rPr>
                <w:rFonts w:ascii="Times New Roman" w:hAnsi="Times New Roman" w:cs="Times New Roman"/>
                <w:sz w:val="20"/>
                <w:szCs w:val="20"/>
              </w:rPr>
            </w:pPr>
            <w:r w:rsidRPr="001D0846">
              <w:rPr>
                <w:rFonts w:ascii="Times New Roman" w:hAnsi="Times New Roman" w:cs="Times New Roman"/>
                <w:sz w:val="20"/>
                <w:szCs w:val="20"/>
              </w:rPr>
              <w:t>13989,6</w:t>
            </w:r>
          </w:p>
        </w:tc>
        <w:tc>
          <w:tcPr>
            <w:tcW w:w="1998" w:type="dxa"/>
          </w:tcPr>
          <w:p w:rsidR="00714F5D" w:rsidRPr="001D0846" w:rsidRDefault="00714F5D" w:rsidP="008C5C6A">
            <w:pPr>
              <w:spacing w:line="276" w:lineRule="auto"/>
              <w:jc w:val="center"/>
              <w:rPr>
                <w:rFonts w:ascii="Times New Roman" w:hAnsi="Times New Roman" w:cs="Times New Roman"/>
                <w:sz w:val="20"/>
                <w:szCs w:val="20"/>
              </w:rPr>
            </w:pPr>
            <w:r w:rsidRPr="001D0846">
              <w:rPr>
                <w:rFonts w:ascii="Times New Roman" w:hAnsi="Times New Roman" w:cs="Times New Roman"/>
                <w:sz w:val="20"/>
                <w:szCs w:val="20"/>
              </w:rPr>
              <w:t xml:space="preserve">2,47 </w:t>
            </w:r>
          </w:p>
        </w:tc>
        <w:tc>
          <w:tcPr>
            <w:tcW w:w="1962" w:type="dxa"/>
          </w:tcPr>
          <w:p w:rsidR="00714F5D" w:rsidRPr="001D0846" w:rsidRDefault="00714F5D" w:rsidP="008C5C6A">
            <w:pPr>
              <w:spacing w:line="276" w:lineRule="auto"/>
              <w:jc w:val="center"/>
              <w:rPr>
                <w:rFonts w:ascii="Times New Roman" w:hAnsi="Times New Roman" w:cs="Times New Roman"/>
                <w:sz w:val="20"/>
                <w:szCs w:val="20"/>
              </w:rPr>
            </w:pPr>
            <w:r w:rsidRPr="001D0846">
              <w:rPr>
                <w:rFonts w:ascii="Times New Roman" w:hAnsi="Times New Roman" w:cs="Times New Roman"/>
                <w:sz w:val="20"/>
                <w:szCs w:val="20"/>
              </w:rPr>
              <w:t>110613,9</w:t>
            </w:r>
          </w:p>
        </w:tc>
        <w:tc>
          <w:tcPr>
            <w:tcW w:w="1530" w:type="dxa"/>
          </w:tcPr>
          <w:p w:rsidR="00714F5D" w:rsidRPr="001D0846" w:rsidRDefault="00714F5D" w:rsidP="008C5C6A">
            <w:pPr>
              <w:spacing w:line="276" w:lineRule="auto"/>
              <w:jc w:val="center"/>
              <w:rPr>
                <w:rFonts w:ascii="Times New Roman" w:hAnsi="Times New Roman" w:cs="Times New Roman"/>
                <w:sz w:val="20"/>
                <w:szCs w:val="20"/>
              </w:rPr>
            </w:pPr>
            <w:r w:rsidRPr="001D0846">
              <w:rPr>
                <w:rFonts w:ascii="Times New Roman" w:hAnsi="Times New Roman" w:cs="Times New Roman"/>
                <w:sz w:val="20"/>
                <w:szCs w:val="20"/>
              </w:rPr>
              <w:t>55054,8</w:t>
            </w:r>
          </w:p>
        </w:tc>
        <w:tc>
          <w:tcPr>
            <w:tcW w:w="2070" w:type="dxa"/>
          </w:tcPr>
          <w:p w:rsidR="00714F5D" w:rsidRPr="001D0846" w:rsidRDefault="00714F5D" w:rsidP="008C5C6A">
            <w:pPr>
              <w:spacing w:line="276" w:lineRule="auto"/>
              <w:jc w:val="center"/>
              <w:rPr>
                <w:rFonts w:ascii="Times New Roman" w:hAnsi="Times New Roman" w:cs="Times New Roman"/>
                <w:sz w:val="20"/>
                <w:szCs w:val="20"/>
              </w:rPr>
            </w:pPr>
            <w:r w:rsidRPr="001D0846">
              <w:rPr>
                <w:rFonts w:ascii="Times New Roman" w:hAnsi="Times New Roman" w:cs="Times New Roman"/>
                <w:sz w:val="20"/>
                <w:szCs w:val="20"/>
              </w:rPr>
              <w:t>49,77</w:t>
            </w:r>
          </w:p>
        </w:tc>
      </w:tr>
    </w:tbl>
    <w:p w:rsidR="00714F5D" w:rsidRPr="001D0846" w:rsidRDefault="00714F5D" w:rsidP="00714F5D">
      <w:pPr>
        <w:spacing w:after="0" w:line="276" w:lineRule="auto"/>
        <w:ind w:right="-334"/>
        <w:rPr>
          <w:rFonts w:ascii="Times New Roman" w:hAnsi="Times New Roman" w:cs="Times New Roman"/>
          <w:i/>
        </w:rPr>
      </w:pPr>
      <w:r w:rsidRPr="001D0846">
        <w:rPr>
          <w:rFonts w:ascii="Times New Roman" w:hAnsi="Times New Roman" w:cs="Times New Roman"/>
          <w:b/>
          <w:i/>
        </w:rPr>
        <w:t>Sursă:</w:t>
      </w:r>
      <w:r w:rsidRPr="001D0846">
        <w:rPr>
          <w:rFonts w:ascii="Times New Roman" w:hAnsi="Times New Roman" w:cs="Times New Roman"/>
          <w:i/>
        </w:rPr>
        <w:t>Informații</w:t>
      </w:r>
      <w:r>
        <w:rPr>
          <w:rFonts w:ascii="Times New Roman" w:hAnsi="Times New Roman" w:cs="Times New Roman"/>
          <w:i/>
        </w:rPr>
        <w:t>le</w:t>
      </w:r>
      <w:r w:rsidRPr="001D0846">
        <w:rPr>
          <w:rFonts w:ascii="Times New Roman" w:hAnsi="Times New Roman" w:cs="Times New Roman"/>
          <w:i/>
        </w:rPr>
        <w:t xml:space="preserve"> prezentate de către SFS.</w:t>
      </w:r>
    </w:p>
    <w:p w:rsidR="008C5C6A" w:rsidRDefault="008C5C6A" w:rsidP="00714F5D">
      <w:pPr>
        <w:spacing w:after="0" w:line="240" w:lineRule="auto"/>
        <w:ind w:firstLine="562"/>
        <w:jc w:val="right"/>
        <w:rPr>
          <w:rFonts w:ascii="Times New Roman" w:eastAsia="Times New Roman" w:hAnsi="Times New Roman" w:cs="Times New Roman"/>
          <w:b/>
          <w:i/>
          <w:sz w:val="28"/>
          <w:szCs w:val="28"/>
        </w:rPr>
      </w:pPr>
    </w:p>
    <w:p w:rsidR="008C5C6A" w:rsidRDefault="008C5C6A" w:rsidP="00714F5D">
      <w:pPr>
        <w:spacing w:after="0" w:line="240" w:lineRule="auto"/>
        <w:ind w:firstLine="562"/>
        <w:jc w:val="right"/>
        <w:rPr>
          <w:rFonts w:ascii="Times New Roman" w:eastAsia="Times New Roman" w:hAnsi="Times New Roman" w:cs="Times New Roman"/>
          <w:b/>
          <w:i/>
          <w:sz w:val="28"/>
          <w:szCs w:val="28"/>
        </w:rPr>
      </w:pPr>
    </w:p>
    <w:p w:rsidR="008C5C6A" w:rsidRDefault="008C5C6A" w:rsidP="00714F5D">
      <w:pPr>
        <w:spacing w:after="0" w:line="240" w:lineRule="auto"/>
        <w:ind w:firstLine="562"/>
        <w:jc w:val="right"/>
        <w:rPr>
          <w:rFonts w:ascii="Times New Roman" w:eastAsia="Times New Roman" w:hAnsi="Times New Roman" w:cs="Times New Roman"/>
          <w:b/>
          <w:i/>
          <w:sz w:val="28"/>
          <w:szCs w:val="28"/>
        </w:rPr>
      </w:pPr>
    </w:p>
    <w:p w:rsidR="008C5C6A" w:rsidRDefault="008C5C6A" w:rsidP="00714F5D">
      <w:pPr>
        <w:spacing w:after="0" w:line="240" w:lineRule="auto"/>
        <w:ind w:firstLine="562"/>
        <w:jc w:val="right"/>
        <w:rPr>
          <w:rFonts w:ascii="Times New Roman" w:eastAsia="Times New Roman" w:hAnsi="Times New Roman" w:cs="Times New Roman"/>
          <w:b/>
          <w:i/>
          <w:sz w:val="28"/>
          <w:szCs w:val="28"/>
        </w:rPr>
      </w:pPr>
    </w:p>
    <w:p w:rsidR="008C5C6A" w:rsidRDefault="008C5C6A" w:rsidP="00714F5D">
      <w:pPr>
        <w:spacing w:after="0" w:line="240" w:lineRule="auto"/>
        <w:ind w:firstLine="562"/>
        <w:jc w:val="right"/>
        <w:rPr>
          <w:rFonts w:ascii="Times New Roman" w:eastAsia="Times New Roman" w:hAnsi="Times New Roman" w:cs="Times New Roman"/>
          <w:b/>
          <w:i/>
          <w:sz w:val="28"/>
          <w:szCs w:val="28"/>
        </w:rPr>
      </w:pPr>
    </w:p>
    <w:p w:rsidR="008C5C6A" w:rsidRDefault="008C5C6A" w:rsidP="00714F5D">
      <w:pPr>
        <w:spacing w:after="0" w:line="240" w:lineRule="auto"/>
        <w:ind w:firstLine="562"/>
        <w:jc w:val="right"/>
        <w:rPr>
          <w:rFonts w:ascii="Times New Roman" w:eastAsia="Times New Roman" w:hAnsi="Times New Roman" w:cs="Times New Roman"/>
          <w:b/>
          <w:i/>
          <w:sz w:val="28"/>
          <w:szCs w:val="28"/>
        </w:rPr>
      </w:pPr>
    </w:p>
    <w:p w:rsidR="008C5C6A" w:rsidRDefault="008C5C6A" w:rsidP="00714F5D">
      <w:pPr>
        <w:spacing w:after="0" w:line="240" w:lineRule="auto"/>
        <w:ind w:firstLine="562"/>
        <w:jc w:val="right"/>
        <w:rPr>
          <w:rFonts w:ascii="Times New Roman" w:eastAsia="Times New Roman" w:hAnsi="Times New Roman" w:cs="Times New Roman"/>
          <w:b/>
          <w:i/>
          <w:sz w:val="28"/>
          <w:szCs w:val="28"/>
        </w:rPr>
      </w:pPr>
    </w:p>
    <w:p w:rsidR="008C5C6A" w:rsidRDefault="008C5C6A" w:rsidP="00714F5D">
      <w:pPr>
        <w:spacing w:after="0" w:line="240" w:lineRule="auto"/>
        <w:ind w:firstLine="562"/>
        <w:jc w:val="right"/>
        <w:rPr>
          <w:rFonts w:ascii="Times New Roman" w:eastAsia="Times New Roman" w:hAnsi="Times New Roman" w:cs="Times New Roman"/>
          <w:b/>
          <w:i/>
          <w:sz w:val="28"/>
          <w:szCs w:val="28"/>
        </w:rPr>
      </w:pPr>
    </w:p>
    <w:p w:rsidR="008C5C6A" w:rsidRDefault="008C5C6A" w:rsidP="00714F5D">
      <w:pPr>
        <w:spacing w:after="0" w:line="240" w:lineRule="auto"/>
        <w:ind w:firstLine="562"/>
        <w:jc w:val="right"/>
        <w:rPr>
          <w:rFonts w:ascii="Times New Roman" w:eastAsia="Times New Roman" w:hAnsi="Times New Roman" w:cs="Times New Roman"/>
          <w:b/>
          <w:i/>
          <w:sz w:val="28"/>
          <w:szCs w:val="28"/>
        </w:rPr>
      </w:pPr>
    </w:p>
    <w:p w:rsidR="008C5C6A" w:rsidRDefault="008C5C6A" w:rsidP="00714F5D">
      <w:pPr>
        <w:spacing w:after="0" w:line="240" w:lineRule="auto"/>
        <w:ind w:firstLine="562"/>
        <w:jc w:val="right"/>
        <w:rPr>
          <w:rFonts w:ascii="Times New Roman" w:eastAsia="Times New Roman" w:hAnsi="Times New Roman" w:cs="Times New Roman"/>
          <w:b/>
          <w:i/>
          <w:sz w:val="28"/>
          <w:szCs w:val="28"/>
        </w:rPr>
      </w:pPr>
    </w:p>
    <w:p w:rsidR="008C5C6A" w:rsidRDefault="008C5C6A" w:rsidP="00714F5D">
      <w:pPr>
        <w:spacing w:after="0" w:line="240" w:lineRule="auto"/>
        <w:ind w:firstLine="562"/>
        <w:jc w:val="right"/>
        <w:rPr>
          <w:rFonts w:ascii="Times New Roman" w:eastAsia="Times New Roman" w:hAnsi="Times New Roman" w:cs="Times New Roman"/>
          <w:b/>
          <w:i/>
          <w:sz w:val="28"/>
          <w:szCs w:val="28"/>
        </w:rPr>
      </w:pPr>
    </w:p>
    <w:p w:rsidR="008C5C6A" w:rsidRDefault="008C5C6A" w:rsidP="00714F5D">
      <w:pPr>
        <w:spacing w:after="0" w:line="240" w:lineRule="auto"/>
        <w:ind w:firstLine="562"/>
        <w:jc w:val="right"/>
        <w:rPr>
          <w:rFonts w:ascii="Times New Roman" w:eastAsia="Times New Roman" w:hAnsi="Times New Roman" w:cs="Times New Roman"/>
          <w:b/>
          <w:i/>
          <w:sz w:val="28"/>
          <w:szCs w:val="28"/>
        </w:rPr>
      </w:pPr>
    </w:p>
    <w:p w:rsidR="008C5C6A" w:rsidRDefault="008C5C6A" w:rsidP="00714F5D">
      <w:pPr>
        <w:spacing w:after="0" w:line="240" w:lineRule="auto"/>
        <w:ind w:firstLine="562"/>
        <w:jc w:val="right"/>
        <w:rPr>
          <w:rFonts w:ascii="Times New Roman" w:eastAsia="Times New Roman" w:hAnsi="Times New Roman" w:cs="Times New Roman"/>
          <w:b/>
          <w:i/>
          <w:sz w:val="28"/>
          <w:szCs w:val="28"/>
        </w:rPr>
      </w:pPr>
    </w:p>
    <w:p w:rsidR="00714F5D" w:rsidRPr="00477706" w:rsidRDefault="00714F5D" w:rsidP="00714F5D">
      <w:pPr>
        <w:spacing w:after="0" w:line="240" w:lineRule="auto"/>
        <w:ind w:firstLine="562"/>
        <w:jc w:val="right"/>
        <w:rPr>
          <w:rFonts w:ascii="Times New Roman" w:eastAsia="Times New Roman" w:hAnsi="Times New Roman" w:cs="Times New Roman"/>
          <w:b/>
          <w:i/>
          <w:sz w:val="28"/>
          <w:szCs w:val="28"/>
        </w:rPr>
      </w:pPr>
      <w:r w:rsidRPr="00477706">
        <w:rPr>
          <w:rFonts w:ascii="Times New Roman" w:eastAsia="Times New Roman" w:hAnsi="Times New Roman" w:cs="Times New Roman"/>
          <w:b/>
          <w:i/>
          <w:sz w:val="28"/>
          <w:szCs w:val="28"/>
        </w:rPr>
        <w:lastRenderedPageBreak/>
        <w:t>Tabelul nr.16</w:t>
      </w:r>
    </w:p>
    <w:p w:rsidR="00714F5D" w:rsidRPr="00477706" w:rsidRDefault="00714F5D" w:rsidP="00714F5D">
      <w:pPr>
        <w:spacing w:after="0" w:line="240" w:lineRule="auto"/>
        <w:ind w:left="-90"/>
        <w:jc w:val="center"/>
        <w:rPr>
          <w:rFonts w:ascii="Times New Roman" w:eastAsia="Times New Roman" w:hAnsi="Times New Roman" w:cs="Times New Roman"/>
          <w:b/>
          <w:i/>
          <w:sz w:val="28"/>
          <w:szCs w:val="28"/>
        </w:rPr>
      </w:pPr>
      <w:r w:rsidRPr="00477706">
        <w:rPr>
          <w:rFonts w:ascii="Times New Roman" w:eastAsia="Times New Roman" w:hAnsi="Times New Roman" w:cs="Times New Roman"/>
          <w:i/>
          <w:sz w:val="28"/>
          <w:szCs w:val="28"/>
        </w:rPr>
        <w:t xml:space="preserve">Informația detaliată privind restanțele încasate la BPN de către SFS prin aplicarea modalităților de executare silită a obligației fiscale în perioada </w:t>
      </w:r>
      <w:r>
        <w:rPr>
          <w:rFonts w:ascii="Times New Roman" w:eastAsia="Times New Roman" w:hAnsi="Times New Roman" w:cs="Times New Roman"/>
          <w:i/>
          <w:sz w:val="28"/>
          <w:szCs w:val="28"/>
        </w:rPr>
        <w:t xml:space="preserve">anilor </w:t>
      </w:r>
      <w:r w:rsidRPr="00477706">
        <w:rPr>
          <w:rFonts w:ascii="Times New Roman" w:eastAsia="Times New Roman" w:hAnsi="Times New Roman" w:cs="Times New Roman"/>
          <w:i/>
          <w:sz w:val="28"/>
          <w:szCs w:val="28"/>
        </w:rPr>
        <w:t>2014-2017</w:t>
      </w:r>
    </w:p>
    <w:p w:rsidR="00714F5D" w:rsidRPr="00365962" w:rsidRDefault="00714F5D" w:rsidP="00714F5D">
      <w:pPr>
        <w:spacing w:after="0" w:line="240" w:lineRule="auto"/>
        <w:ind w:right="-615" w:firstLine="562"/>
        <w:jc w:val="right"/>
        <w:rPr>
          <w:rFonts w:ascii="Times New Roman" w:eastAsia="Times New Roman" w:hAnsi="Times New Roman" w:cs="Times New Roman"/>
          <w:i/>
          <w:sz w:val="28"/>
          <w:szCs w:val="28"/>
        </w:rPr>
      </w:pPr>
      <w:r w:rsidRPr="00477706">
        <w:rPr>
          <w:rFonts w:ascii="Times New Roman" w:eastAsia="Times New Roman" w:hAnsi="Times New Roman" w:cs="Times New Roman"/>
          <w:i/>
          <w:sz w:val="28"/>
          <w:szCs w:val="28"/>
        </w:rPr>
        <w:t>(mil.lei)</w:t>
      </w:r>
    </w:p>
    <w:tbl>
      <w:tblPr>
        <w:tblStyle w:val="GridTable1Light-Accent11"/>
        <w:tblW w:w="14286" w:type="dxa"/>
        <w:tblInd w:w="-431" w:type="dxa"/>
        <w:tblLayout w:type="fixed"/>
        <w:tblLook w:val="04A0"/>
      </w:tblPr>
      <w:tblGrid>
        <w:gridCol w:w="786"/>
        <w:gridCol w:w="1530"/>
        <w:gridCol w:w="810"/>
        <w:gridCol w:w="1553"/>
        <w:gridCol w:w="1327"/>
        <w:gridCol w:w="2160"/>
        <w:gridCol w:w="1890"/>
        <w:gridCol w:w="1980"/>
        <w:gridCol w:w="2250"/>
      </w:tblGrid>
      <w:tr w:rsidR="00714F5D" w:rsidRPr="001D0846" w:rsidTr="008C5C6A">
        <w:trPr>
          <w:cnfStyle w:val="100000000000"/>
        </w:trPr>
        <w:tc>
          <w:tcPr>
            <w:cnfStyle w:val="001000000000"/>
            <w:tcW w:w="786" w:type="dxa"/>
            <w:vMerge w:val="restart"/>
          </w:tcPr>
          <w:p w:rsidR="00714F5D" w:rsidRPr="001D0846" w:rsidRDefault="00714F5D" w:rsidP="008C5C6A">
            <w:pPr>
              <w:spacing w:line="276" w:lineRule="auto"/>
              <w:ind w:left="-109" w:right="-110"/>
              <w:jc w:val="center"/>
              <w:rPr>
                <w:rFonts w:ascii="Times New Roman" w:eastAsia="Calibri" w:hAnsi="Times New Roman" w:cs="Times New Roman"/>
              </w:rPr>
            </w:pPr>
            <w:r w:rsidRPr="001D0846">
              <w:rPr>
                <w:rFonts w:ascii="Times New Roman" w:eastAsia="Calibri" w:hAnsi="Times New Roman" w:cs="Times New Roman"/>
              </w:rPr>
              <w:t>Anul</w:t>
            </w:r>
          </w:p>
          <w:p w:rsidR="00714F5D" w:rsidRPr="001D0846" w:rsidRDefault="00714F5D" w:rsidP="008C5C6A">
            <w:pPr>
              <w:spacing w:line="276" w:lineRule="auto"/>
              <w:jc w:val="center"/>
              <w:rPr>
                <w:rFonts w:ascii="Times New Roman" w:eastAsia="Calibri" w:hAnsi="Times New Roman" w:cs="Times New Roman"/>
              </w:rPr>
            </w:pPr>
          </w:p>
        </w:tc>
        <w:tc>
          <w:tcPr>
            <w:tcW w:w="1530" w:type="dxa"/>
            <w:vMerge w:val="restart"/>
          </w:tcPr>
          <w:p w:rsidR="00714F5D" w:rsidRPr="001D0846" w:rsidRDefault="00714F5D" w:rsidP="008C5C6A">
            <w:pPr>
              <w:spacing w:line="276" w:lineRule="auto"/>
              <w:ind w:left="-149" w:right="-124"/>
              <w:jc w:val="center"/>
              <w:cnfStyle w:val="100000000000"/>
              <w:rPr>
                <w:rFonts w:ascii="Times New Roman" w:eastAsia="Calibri" w:hAnsi="Times New Roman" w:cs="Times New Roman"/>
              </w:rPr>
            </w:pPr>
            <w:r w:rsidRPr="001D0846">
              <w:rPr>
                <w:rFonts w:ascii="Times New Roman" w:eastAsia="Calibri" w:hAnsi="Times New Roman" w:cs="Times New Roman"/>
              </w:rPr>
              <w:t>Total restanța de la sfârșitul anului</w:t>
            </w:r>
          </w:p>
        </w:tc>
        <w:tc>
          <w:tcPr>
            <w:tcW w:w="810" w:type="dxa"/>
            <w:vMerge w:val="restart"/>
          </w:tcPr>
          <w:p w:rsidR="008C5C6A" w:rsidRDefault="00714F5D" w:rsidP="008C5C6A">
            <w:pPr>
              <w:spacing w:line="276" w:lineRule="auto"/>
              <w:ind w:left="-195" w:right="-178"/>
              <w:jc w:val="center"/>
              <w:cnfStyle w:val="100000000000"/>
              <w:rPr>
                <w:rFonts w:ascii="Times New Roman" w:eastAsia="Calibri" w:hAnsi="Times New Roman" w:cs="Times New Roman"/>
              </w:rPr>
            </w:pPr>
            <w:r w:rsidRPr="001D0846">
              <w:rPr>
                <w:rFonts w:ascii="Times New Roman" w:eastAsia="Calibri" w:hAnsi="Times New Roman" w:cs="Times New Roman"/>
              </w:rPr>
              <w:t xml:space="preserve">Total </w:t>
            </w:r>
          </w:p>
          <w:p w:rsidR="00714F5D" w:rsidRPr="001D0846" w:rsidRDefault="00714F5D" w:rsidP="008C5C6A">
            <w:pPr>
              <w:spacing w:line="276" w:lineRule="auto"/>
              <w:ind w:left="-195" w:right="-178"/>
              <w:jc w:val="center"/>
              <w:cnfStyle w:val="100000000000"/>
              <w:rPr>
                <w:rFonts w:ascii="Times New Roman" w:eastAsia="Calibri" w:hAnsi="Times New Roman" w:cs="Times New Roman"/>
              </w:rPr>
            </w:pPr>
            <w:r w:rsidRPr="001D0846">
              <w:rPr>
                <w:rFonts w:ascii="Times New Roman" w:eastAsia="Calibri" w:hAnsi="Times New Roman" w:cs="Times New Roman"/>
              </w:rPr>
              <w:t>executat silit</w:t>
            </w:r>
          </w:p>
        </w:tc>
        <w:tc>
          <w:tcPr>
            <w:tcW w:w="1553" w:type="dxa"/>
            <w:vMerge w:val="restart"/>
          </w:tcPr>
          <w:p w:rsidR="00714F5D" w:rsidRPr="001D0846" w:rsidRDefault="00714F5D" w:rsidP="008C5C6A">
            <w:pPr>
              <w:spacing w:line="276" w:lineRule="auto"/>
              <w:ind w:left="-59" w:right="-106"/>
              <w:jc w:val="center"/>
              <w:cnfStyle w:val="100000000000"/>
              <w:rPr>
                <w:rFonts w:ascii="Times New Roman" w:eastAsia="Calibri" w:hAnsi="Times New Roman" w:cs="Times New Roman"/>
              </w:rPr>
            </w:pPr>
            <w:r w:rsidRPr="001D0846">
              <w:rPr>
                <w:rFonts w:ascii="Times New Roman" w:eastAsia="Calibri" w:hAnsi="Times New Roman" w:cs="Times New Roman"/>
              </w:rPr>
              <w:t>Executat silit față de restanță</w:t>
            </w:r>
          </w:p>
        </w:tc>
        <w:tc>
          <w:tcPr>
            <w:tcW w:w="9607" w:type="dxa"/>
            <w:gridSpan w:val="5"/>
          </w:tcPr>
          <w:p w:rsidR="00714F5D" w:rsidRPr="001D0846" w:rsidRDefault="00714F5D" w:rsidP="008C5C6A">
            <w:pPr>
              <w:spacing w:line="276" w:lineRule="auto"/>
              <w:ind w:left="-136" w:right="-62"/>
              <w:jc w:val="center"/>
              <w:cnfStyle w:val="100000000000"/>
              <w:rPr>
                <w:rFonts w:ascii="Times New Roman" w:eastAsia="Calibri" w:hAnsi="Times New Roman" w:cs="Times New Roman"/>
              </w:rPr>
            </w:pPr>
            <w:r w:rsidRPr="001D0846">
              <w:rPr>
                <w:rFonts w:ascii="Times New Roman" w:eastAsia="Calibri" w:hAnsi="Times New Roman" w:cs="Times New Roman"/>
              </w:rPr>
              <w:t>Suma restanței încasate prin modalități de executare silită</w:t>
            </w:r>
          </w:p>
        </w:tc>
      </w:tr>
      <w:tr w:rsidR="00714F5D" w:rsidRPr="001D0846" w:rsidTr="008C5C6A">
        <w:trPr>
          <w:trHeight w:val="1385"/>
        </w:trPr>
        <w:tc>
          <w:tcPr>
            <w:cnfStyle w:val="001000000000"/>
            <w:tcW w:w="786" w:type="dxa"/>
            <w:vMerge/>
          </w:tcPr>
          <w:p w:rsidR="00714F5D" w:rsidRPr="001D0846" w:rsidRDefault="00714F5D" w:rsidP="008C5C6A">
            <w:pPr>
              <w:spacing w:line="276" w:lineRule="auto"/>
              <w:jc w:val="center"/>
              <w:rPr>
                <w:rFonts w:ascii="Times New Roman" w:eastAsia="Calibri" w:hAnsi="Times New Roman" w:cs="Times New Roman"/>
              </w:rPr>
            </w:pPr>
          </w:p>
        </w:tc>
        <w:tc>
          <w:tcPr>
            <w:tcW w:w="1530" w:type="dxa"/>
            <w:vMerge/>
          </w:tcPr>
          <w:p w:rsidR="00714F5D" w:rsidRPr="001D0846" w:rsidRDefault="00714F5D" w:rsidP="008C5C6A">
            <w:pPr>
              <w:spacing w:line="276" w:lineRule="auto"/>
              <w:ind w:left="-149" w:right="-124"/>
              <w:jc w:val="center"/>
              <w:cnfStyle w:val="000000000000"/>
              <w:rPr>
                <w:rFonts w:ascii="Times New Roman" w:eastAsia="Calibri" w:hAnsi="Times New Roman" w:cs="Times New Roman"/>
              </w:rPr>
            </w:pPr>
          </w:p>
        </w:tc>
        <w:tc>
          <w:tcPr>
            <w:tcW w:w="810" w:type="dxa"/>
            <w:vMerge/>
          </w:tcPr>
          <w:p w:rsidR="00714F5D" w:rsidRPr="001D0846" w:rsidRDefault="00714F5D" w:rsidP="008C5C6A">
            <w:pPr>
              <w:spacing w:line="276" w:lineRule="auto"/>
              <w:ind w:left="-195" w:right="-178"/>
              <w:jc w:val="center"/>
              <w:cnfStyle w:val="000000000000"/>
              <w:rPr>
                <w:rFonts w:ascii="Times New Roman" w:eastAsia="Calibri" w:hAnsi="Times New Roman" w:cs="Times New Roman"/>
              </w:rPr>
            </w:pPr>
          </w:p>
        </w:tc>
        <w:tc>
          <w:tcPr>
            <w:tcW w:w="1553" w:type="dxa"/>
            <w:vMerge/>
          </w:tcPr>
          <w:p w:rsidR="00714F5D" w:rsidRPr="001D0846" w:rsidRDefault="00714F5D" w:rsidP="008C5C6A">
            <w:pPr>
              <w:spacing w:line="276" w:lineRule="auto"/>
              <w:jc w:val="center"/>
              <w:cnfStyle w:val="000000000000"/>
              <w:rPr>
                <w:rFonts w:ascii="Times New Roman" w:eastAsia="Calibri" w:hAnsi="Times New Roman" w:cs="Times New Roman"/>
              </w:rPr>
            </w:pPr>
          </w:p>
        </w:tc>
        <w:tc>
          <w:tcPr>
            <w:tcW w:w="1327" w:type="dxa"/>
          </w:tcPr>
          <w:p w:rsidR="00714F5D" w:rsidRPr="001D0846" w:rsidRDefault="00714F5D" w:rsidP="008C5C6A">
            <w:pPr>
              <w:spacing w:line="276" w:lineRule="auto"/>
              <w:ind w:left="-105" w:right="-106"/>
              <w:jc w:val="center"/>
              <w:cnfStyle w:val="000000000000"/>
              <w:rPr>
                <w:rFonts w:ascii="Times New Roman" w:eastAsia="Calibri" w:hAnsi="Times New Roman" w:cs="Times New Roman"/>
              </w:rPr>
            </w:pPr>
            <w:r w:rsidRPr="001D0846">
              <w:rPr>
                <w:rFonts w:ascii="Times New Roman" w:eastAsia="Calibri" w:hAnsi="Times New Roman" w:cs="Times New Roman"/>
              </w:rPr>
              <w:t>din conturile</w:t>
            </w:r>
          </w:p>
          <w:p w:rsidR="00714F5D" w:rsidRPr="001D0846" w:rsidRDefault="00714F5D" w:rsidP="008C5C6A">
            <w:pPr>
              <w:spacing w:line="276" w:lineRule="auto"/>
              <w:ind w:left="-105" w:right="-106"/>
              <w:jc w:val="center"/>
              <w:cnfStyle w:val="000000000000"/>
              <w:rPr>
                <w:rFonts w:ascii="Times New Roman" w:eastAsia="Calibri" w:hAnsi="Times New Roman" w:cs="Times New Roman"/>
                <w:b/>
              </w:rPr>
            </w:pPr>
            <w:r w:rsidRPr="001D0846">
              <w:rPr>
                <w:rFonts w:ascii="Times New Roman" w:eastAsia="Calibri" w:hAnsi="Times New Roman" w:cs="Times New Roman"/>
              </w:rPr>
              <w:t>plătitorilor</w:t>
            </w:r>
          </w:p>
        </w:tc>
        <w:tc>
          <w:tcPr>
            <w:tcW w:w="2160" w:type="dxa"/>
          </w:tcPr>
          <w:p w:rsidR="00714F5D" w:rsidRPr="001D0846" w:rsidRDefault="00714F5D" w:rsidP="008C5C6A">
            <w:pPr>
              <w:spacing w:line="276" w:lineRule="auto"/>
              <w:ind w:left="-112"/>
              <w:jc w:val="center"/>
              <w:cnfStyle w:val="000000000000"/>
              <w:rPr>
                <w:rFonts w:ascii="Times New Roman" w:eastAsia="Calibri" w:hAnsi="Times New Roman" w:cs="Times New Roman"/>
                <w:b/>
              </w:rPr>
            </w:pPr>
            <w:r w:rsidRPr="001D0846">
              <w:rPr>
                <w:rFonts w:ascii="Times New Roman" w:eastAsia="Calibri" w:hAnsi="Times New Roman" w:cs="Times New Roman"/>
              </w:rPr>
              <w:t>din conturile debitorilor plătitorului</w:t>
            </w:r>
          </w:p>
        </w:tc>
        <w:tc>
          <w:tcPr>
            <w:tcW w:w="1890" w:type="dxa"/>
          </w:tcPr>
          <w:p w:rsidR="00714F5D" w:rsidRPr="001D0846" w:rsidRDefault="00714F5D" w:rsidP="008C5C6A">
            <w:pPr>
              <w:spacing w:line="276" w:lineRule="auto"/>
              <w:ind w:left="-106"/>
              <w:jc w:val="center"/>
              <w:cnfStyle w:val="000000000000"/>
              <w:rPr>
                <w:rFonts w:ascii="Times New Roman" w:eastAsia="Calibri" w:hAnsi="Times New Roman" w:cs="Times New Roman"/>
              </w:rPr>
            </w:pPr>
            <w:r w:rsidRPr="001D0846">
              <w:rPr>
                <w:rFonts w:ascii="Times New Roman" w:eastAsia="Calibri" w:hAnsi="Times New Roman" w:cs="Times New Roman"/>
              </w:rPr>
              <w:t>ridicate  din casieria plătitorului</w:t>
            </w:r>
          </w:p>
        </w:tc>
        <w:tc>
          <w:tcPr>
            <w:tcW w:w="1980" w:type="dxa"/>
          </w:tcPr>
          <w:p w:rsidR="00714F5D" w:rsidRPr="001D0846" w:rsidRDefault="00714F5D" w:rsidP="008C5C6A">
            <w:pPr>
              <w:spacing w:line="276" w:lineRule="auto"/>
              <w:ind w:left="-107"/>
              <w:jc w:val="center"/>
              <w:cnfStyle w:val="000000000000"/>
              <w:rPr>
                <w:rFonts w:ascii="Times New Roman" w:eastAsia="Calibri" w:hAnsi="Times New Roman" w:cs="Times New Roman"/>
              </w:rPr>
            </w:pPr>
            <w:r w:rsidRPr="001D0846">
              <w:rPr>
                <w:rFonts w:ascii="Times New Roman" w:eastAsia="Calibri" w:hAnsi="Times New Roman" w:cs="Times New Roman"/>
              </w:rPr>
              <w:t>din comercializarea bunurilor sechestrate</w:t>
            </w:r>
          </w:p>
        </w:tc>
        <w:tc>
          <w:tcPr>
            <w:tcW w:w="2250" w:type="dxa"/>
          </w:tcPr>
          <w:p w:rsidR="00714F5D" w:rsidRPr="001D0846" w:rsidRDefault="00714F5D" w:rsidP="008C5C6A">
            <w:pPr>
              <w:spacing w:line="276" w:lineRule="auto"/>
              <w:ind w:left="-136" w:right="-101"/>
              <w:jc w:val="center"/>
              <w:cnfStyle w:val="000000000000"/>
              <w:rPr>
                <w:rFonts w:ascii="Times New Roman" w:eastAsia="Calibri" w:hAnsi="Times New Roman" w:cs="Times New Roman"/>
              </w:rPr>
            </w:pPr>
            <w:r w:rsidRPr="001D0846">
              <w:rPr>
                <w:rFonts w:ascii="Times New Roman" w:eastAsia="Calibri" w:hAnsi="Times New Roman" w:cs="Times New Roman"/>
              </w:rPr>
              <w:t>bunuri sechestrate și restituite după achitarea benevolă a restanței</w:t>
            </w:r>
          </w:p>
        </w:tc>
      </w:tr>
      <w:tr w:rsidR="00714F5D" w:rsidRPr="001D0846" w:rsidTr="008C5C6A">
        <w:tc>
          <w:tcPr>
            <w:cnfStyle w:val="001000000000"/>
            <w:tcW w:w="786" w:type="dxa"/>
            <w:vAlign w:val="center"/>
          </w:tcPr>
          <w:p w:rsidR="00714F5D" w:rsidRPr="001D0846" w:rsidRDefault="00714F5D" w:rsidP="008C5C6A">
            <w:pPr>
              <w:spacing w:line="276" w:lineRule="auto"/>
              <w:jc w:val="center"/>
              <w:rPr>
                <w:rFonts w:ascii="Times New Roman" w:eastAsia="Calibri" w:hAnsi="Times New Roman" w:cs="Times New Roman"/>
                <w:b w:val="0"/>
                <w:i/>
                <w:sz w:val="14"/>
                <w:szCs w:val="14"/>
              </w:rPr>
            </w:pPr>
            <w:r w:rsidRPr="001D0846">
              <w:rPr>
                <w:rFonts w:ascii="Times New Roman" w:eastAsia="Calibri" w:hAnsi="Times New Roman" w:cs="Times New Roman"/>
                <w:b w:val="0"/>
                <w:i/>
                <w:sz w:val="14"/>
                <w:szCs w:val="14"/>
              </w:rPr>
              <w:t>1</w:t>
            </w:r>
          </w:p>
        </w:tc>
        <w:tc>
          <w:tcPr>
            <w:tcW w:w="1530" w:type="dxa"/>
            <w:vAlign w:val="center"/>
          </w:tcPr>
          <w:p w:rsidR="00714F5D" w:rsidRPr="001D0846" w:rsidRDefault="00714F5D" w:rsidP="008C5C6A">
            <w:pPr>
              <w:spacing w:line="276" w:lineRule="auto"/>
              <w:jc w:val="center"/>
              <w:cnfStyle w:val="000000000000"/>
              <w:rPr>
                <w:rFonts w:ascii="Times New Roman" w:eastAsia="Calibri" w:hAnsi="Times New Roman" w:cs="Times New Roman"/>
                <w:i/>
                <w:sz w:val="14"/>
                <w:szCs w:val="14"/>
              </w:rPr>
            </w:pPr>
            <w:r w:rsidRPr="001D0846">
              <w:rPr>
                <w:rFonts w:ascii="Times New Roman" w:eastAsia="Calibri" w:hAnsi="Times New Roman" w:cs="Times New Roman"/>
                <w:i/>
                <w:sz w:val="14"/>
                <w:szCs w:val="14"/>
              </w:rPr>
              <w:t>2</w:t>
            </w:r>
          </w:p>
        </w:tc>
        <w:tc>
          <w:tcPr>
            <w:tcW w:w="810" w:type="dxa"/>
            <w:vAlign w:val="center"/>
          </w:tcPr>
          <w:p w:rsidR="00714F5D" w:rsidRPr="001D0846" w:rsidRDefault="00714F5D" w:rsidP="008C5C6A">
            <w:pPr>
              <w:spacing w:line="276" w:lineRule="auto"/>
              <w:ind w:left="-94"/>
              <w:jc w:val="center"/>
              <w:cnfStyle w:val="000000000000"/>
              <w:rPr>
                <w:rFonts w:ascii="Times New Roman" w:eastAsia="Calibri" w:hAnsi="Times New Roman" w:cs="Times New Roman"/>
                <w:i/>
                <w:sz w:val="14"/>
                <w:szCs w:val="14"/>
              </w:rPr>
            </w:pPr>
            <w:r w:rsidRPr="001D0846">
              <w:rPr>
                <w:rFonts w:ascii="Times New Roman" w:eastAsia="Calibri" w:hAnsi="Times New Roman" w:cs="Times New Roman"/>
                <w:i/>
                <w:sz w:val="14"/>
                <w:szCs w:val="14"/>
              </w:rPr>
              <w:t>3=5+6+</w:t>
            </w:r>
          </w:p>
          <w:p w:rsidR="00714F5D" w:rsidRPr="001D0846" w:rsidRDefault="00714F5D" w:rsidP="008C5C6A">
            <w:pPr>
              <w:spacing w:line="276" w:lineRule="auto"/>
              <w:ind w:left="-94"/>
              <w:jc w:val="center"/>
              <w:cnfStyle w:val="000000000000"/>
              <w:rPr>
                <w:rFonts w:ascii="Times New Roman" w:eastAsia="Calibri" w:hAnsi="Times New Roman" w:cs="Times New Roman"/>
                <w:i/>
                <w:sz w:val="14"/>
                <w:szCs w:val="14"/>
              </w:rPr>
            </w:pPr>
            <w:r w:rsidRPr="001D0846">
              <w:rPr>
                <w:rFonts w:ascii="Times New Roman" w:eastAsia="Calibri" w:hAnsi="Times New Roman" w:cs="Times New Roman"/>
                <w:i/>
                <w:sz w:val="14"/>
                <w:szCs w:val="14"/>
              </w:rPr>
              <w:t>7+8+9</w:t>
            </w:r>
          </w:p>
        </w:tc>
        <w:tc>
          <w:tcPr>
            <w:tcW w:w="1553" w:type="dxa"/>
            <w:vAlign w:val="center"/>
          </w:tcPr>
          <w:p w:rsidR="00714F5D" w:rsidRPr="001D0846" w:rsidRDefault="00714F5D" w:rsidP="008C5C6A">
            <w:pPr>
              <w:spacing w:line="276" w:lineRule="auto"/>
              <w:ind w:left="-59" w:right="-113"/>
              <w:cnfStyle w:val="000000000000"/>
              <w:rPr>
                <w:rFonts w:ascii="Times New Roman" w:eastAsia="Calibri" w:hAnsi="Times New Roman" w:cs="Times New Roman"/>
                <w:i/>
                <w:sz w:val="14"/>
                <w:szCs w:val="14"/>
              </w:rPr>
            </w:pPr>
            <w:r w:rsidRPr="001D0846">
              <w:rPr>
                <w:rFonts w:ascii="Times New Roman" w:eastAsia="Calibri" w:hAnsi="Times New Roman" w:cs="Times New Roman"/>
                <w:i/>
                <w:sz w:val="14"/>
                <w:szCs w:val="14"/>
              </w:rPr>
              <w:t>4=3/2*100%</w:t>
            </w:r>
          </w:p>
        </w:tc>
        <w:tc>
          <w:tcPr>
            <w:tcW w:w="1327" w:type="dxa"/>
            <w:vAlign w:val="center"/>
          </w:tcPr>
          <w:p w:rsidR="00714F5D" w:rsidRPr="001D0846" w:rsidRDefault="00714F5D" w:rsidP="008C5C6A">
            <w:pPr>
              <w:spacing w:line="276" w:lineRule="auto"/>
              <w:jc w:val="center"/>
              <w:cnfStyle w:val="000000000000"/>
              <w:rPr>
                <w:rFonts w:ascii="Times New Roman" w:eastAsia="Calibri" w:hAnsi="Times New Roman" w:cs="Times New Roman"/>
                <w:i/>
                <w:sz w:val="14"/>
                <w:szCs w:val="14"/>
              </w:rPr>
            </w:pPr>
            <w:r w:rsidRPr="001D0846">
              <w:rPr>
                <w:rFonts w:ascii="Times New Roman" w:eastAsia="Calibri" w:hAnsi="Times New Roman" w:cs="Times New Roman"/>
                <w:i/>
                <w:sz w:val="14"/>
                <w:szCs w:val="14"/>
              </w:rPr>
              <w:t>5</w:t>
            </w:r>
          </w:p>
        </w:tc>
        <w:tc>
          <w:tcPr>
            <w:tcW w:w="2160" w:type="dxa"/>
            <w:vAlign w:val="center"/>
          </w:tcPr>
          <w:p w:rsidR="00714F5D" w:rsidRPr="001D0846" w:rsidRDefault="00714F5D" w:rsidP="008C5C6A">
            <w:pPr>
              <w:spacing w:line="276" w:lineRule="auto"/>
              <w:jc w:val="center"/>
              <w:cnfStyle w:val="000000000000"/>
              <w:rPr>
                <w:rFonts w:ascii="Times New Roman" w:eastAsia="Calibri" w:hAnsi="Times New Roman" w:cs="Times New Roman"/>
                <w:i/>
                <w:sz w:val="14"/>
                <w:szCs w:val="14"/>
              </w:rPr>
            </w:pPr>
            <w:r w:rsidRPr="001D0846">
              <w:rPr>
                <w:rFonts w:ascii="Times New Roman" w:eastAsia="Calibri" w:hAnsi="Times New Roman" w:cs="Times New Roman"/>
                <w:i/>
                <w:sz w:val="14"/>
                <w:szCs w:val="14"/>
              </w:rPr>
              <w:t>6</w:t>
            </w:r>
          </w:p>
        </w:tc>
        <w:tc>
          <w:tcPr>
            <w:tcW w:w="1890" w:type="dxa"/>
            <w:vAlign w:val="center"/>
          </w:tcPr>
          <w:p w:rsidR="00714F5D" w:rsidRPr="001D0846" w:rsidRDefault="00714F5D" w:rsidP="008C5C6A">
            <w:pPr>
              <w:spacing w:line="276" w:lineRule="auto"/>
              <w:jc w:val="center"/>
              <w:cnfStyle w:val="000000000000"/>
              <w:rPr>
                <w:rFonts w:ascii="Times New Roman" w:eastAsia="Calibri" w:hAnsi="Times New Roman" w:cs="Times New Roman"/>
                <w:i/>
                <w:sz w:val="14"/>
                <w:szCs w:val="14"/>
              </w:rPr>
            </w:pPr>
            <w:r w:rsidRPr="001D0846">
              <w:rPr>
                <w:rFonts w:ascii="Times New Roman" w:eastAsia="Calibri" w:hAnsi="Times New Roman" w:cs="Times New Roman"/>
                <w:i/>
                <w:sz w:val="14"/>
                <w:szCs w:val="14"/>
              </w:rPr>
              <w:t>7</w:t>
            </w:r>
          </w:p>
        </w:tc>
        <w:tc>
          <w:tcPr>
            <w:tcW w:w="1980" w:type="dxa"/>
            <w:vAlign w:val="center"/>
          </w:tcPr>
          <w:p w:rsidR="00714F5D" w:rsidRPr="001D0846" w:rsidRDefault="00714F5D" w:rsidP="008C5C6A">
            <w:pPr>
              <w:spacing w:line="276" w:lineRule="auto"/>
              <w:jc w:val="center"/>
              <w:cnfStyle w:val="000000000000"/>
              <w:rPr>
                <w:rFonts w:ascii="Times New Roman" w:eastAsia="Calibri" w:hAnsi="Times New Roman" w:cs="Times New Roman"/>
                <w:i/>
                <w:sz w:val="14"/>
                <w:szCs w:val="14"/>
              </w:rPr>
            </w:pPr>
            <w:r w:rsidRPr="001D0846">
              <w:rPr>
                <w:rFonts w:ascii="Times New Roman" w:eastAsia="Calibri" w:hAnsi="Times New Roman" w:cs="Times New Roman"/>
                <w:i/>
                <w:sz w:val="14"/>
                <w:szCs w:val="14"/>
              </w:rPr>
              <w:t>8</w:t>
            </w:r>
          </w:p>
        </w:tc>
        <w:tc>
          <w:tcPr>
            <w:tcW w:w="2250" w:type="dxa"/>
            <w:vAlign w:val="center"/>
          </w:tcPr>
          <w:p w:rsidR="00714F5D" w:rsidRPr="001D0846" w:rsidRDefault="00714F5D" w:rsidP="008C5C6A">
            <w:pPr>
              <w:spacing w:line="276" w:lineRule="auto"/>
              <w:jc w:val="center"/>
              <w:cnfStyle w:val="000000000000"/>
              <w:rPr>
                <w:rFonts w:ascii="Times New Roman" w:eastAsia="Calibri" w:hAnsi="Times New Roman" w:cs="Times New Roman"/>
                <w:i/>
                <w:sz w:val="14"/>
                <w:szCs w:val="14"/>
              </w:rPr>
            </w:pPr>
            <w:r w:rsidRPr="001D0846">
              <w:rPr>
                <w:rFonts w:ascii="Times New Roman" w:eastAsia="Calibri" w:hAnsi="Times New Roman" w:cs="Times New Roman"/>
                <w:i/>
                <w:sz w:val="14"/>
                <w:szCs w:val="14"/>
              </w:rPr>
              <w:t>9</w:t>
            </w:r>
          </w:p>
        </w:tc>
      </w:tr>
      <w:tr w:rsidR="00714F5D" w:rsidRPr="001D0846" w:rsidTr="008C5C6A">
        <w:tc>
          <w:tcPr>
            <w:cnfStyle w:val="001000000000"/>
            <w:tcW w:w="786" w:type="dxa"/>
          </w:tcPr>
          <w:p w:rsidR="00714F5D" w:rsidRPr="001D0846" w:rsidRDefault="00714F5D" w:rsidP="008C5C6A">
            <w:pPr>
              <w:spacing w:line="276" w:lineRule="auto"/>
              <w:jc w:val="center"/>
              <w:rPr>
                <w:rFonts w:ascii="Times New Roman" w:eastAsia="Calibri" w:hAnsi="Times New Roman" w:cs="Times New Roman"/>
              </w:rPr>
            </w:pPr>
            <w:r w:rsidRPr="001D0846">
              <w:rPr>
                <w:rFonts w:ascii="Times New Roman" w:eastAsia="Calibri" w:hAnsi="Times New Roman" w:cs="Times New Roman"/>
              </w:rPr>
              <w:t>2014</w:t>
            </w:r>
          </w:p>
        </w:tc>
        <w:tc>
          <w:tcPr>
            <w:tcW w:w="1530" w:type="dxa"/>
          </w:tcPr>
          <w:p w:rsidR="00714F5D" w:rsidRPr="001D0846" w:rsidRDefault="00714F5D" w:rsidP="008C5C6A">
            <w:pPr>
              <w:spacing w:line="276" w:lineRule="auto"/>
              <w:cnfStyle w:val="000000000000"/>
              <w:rPr>
                <w:rFonts w:ascii="Times New Roman" w:eastAsia="Calibri" w:hAnsi="Times New Roman" w:cs="Times New Roman"/>
              </w:rPr>
            </w:pPr>
            <w:r w:rsidRPr="001D0846">
              <w:rPr>
                <w:rFonts w:ascii="Times New Roman" w:eastAsia="Calibri" w:hAnsi="Times New Roman" w:cs="Times New Roman"/>
              </w:rPr>
              <w:t>2591,3</w:t>
            </w:r>
          </w:p>
        </w:tc>
        <w:tc>
          <w:tcPr>
            <w:tcW w:w="810" w:type="dxa"/>
          </w:tcPr>
          <w:p w:rsidR="00714F5D" w:rsidRPr="001D0846" w:rsidRDefault="00714F5D" w:rsidP="008C5C6A">
            <w:pPr>
              <w:spacing w:line="276" w:lineRule="auto"/>
              <w:jc w:val="center"/>
              <w:cnfStyle w:val="000000000000"/>
              <w:rPr>
                <w:rFonts w:ascii="Times New Roman" w:eastAsia="Calibri" w:hAnsi="Times New Roman" w:cs="Times New Roman"/>
              </w:rPr>
            </w:pPr>
            <w:r w:rsidRPr="001D0846">
              <w:rPr>
                <w:rFonts w:ascii="Times New Roman" w:eastAsia="Calibri" w:hAnsi="Times New Roman" w:cs="Times New Roman"/>
              </w:rPr>
              <w:t>481,9</w:t>
            </w:r>
          </w:p>
        </w:tc>
        <w:tc>
          <w:tcPr>
            <w:tcW w:w="1553" w:type="dxa"/>
          </w:tcPr>
          <w:p w:rsidR="00714F5D" w:rsidRPr="001D0846" w:rsidRDefault="00714F5D" w:rsidP="008C5C6A">
            <w:pPr>
              <w:spacing w:line="276" w:lineRule="auto"/>
              <w:jc w:val="center"/>
              <w:cnfStyle w:val="000000000000"/>
              <w:rPr>
                <w:rFonts w:ascii="Times New Roman" w:eastAsia="Calibri" w:hAnsi="Times New Roman" w:cs="Times New Roman"/>
              </w:rPr>
            </w:pPr>
            <w:r w:rsidRPr="001D0846">
              <w:rPr>
                <w:rFonts w:ascii="Times New Roman" w:eastAsia="Calibri" w:hAnsi="Times New Roman" w:cs="Times New Roman"/>
              </w:rPr>
              <w:t>18,6%</w:t>
            </w:r>
          </w:p>
        </w:tc>
        <w:tc>
          <w:tcPr>
            <w:tcW w:w="1327" w:type="dxa"/>
          </w:tcPr>
          <w:p w:rsidR="00714F5D" w:rsidRPr="001D0846" w:rsidRDefault="00714F5D" w:rsidP="008C5C6A">
            <w:pPr>
              <w:spacing w:line="276" w:lineRule="auto"/>
              <w:jc w:val="center"/>
              <w:cnfStyle w:val="000000000000"/>
              <w:rPr>
                <w:rFonts w:ascii="Times New Roman" w:eastAsia="Calibri" w:hAnsi="Times New Roman" w:cs="Times New Roman"/>
              </w:rPr>
            </w:pPr>
            <w:r w:rsidRPr="001D0846">
              <w:rPr>
                <w:rFonts w:ascii="Times New Roman" w:eastAsia="Calibri" w:hAnsi="Times New Roman" w:cs="Times New Roman"/>
              </w:rPr>
              <w:t>350,2</w:t>
            </w:r>
          </w:p>
        </w:tc>
        <w:tc>
          <w:tcPr>
            <w:tcW w:w="2160" w:type="dxa"/>
          </w:tcPr>
          <w:p w:rsidR="00714F5D" w:rsidRPr="001D0846" w:rsidRDefault="00714F5D" w:rsidP="008C5C6A">
            <w:pPr>
              <w:spacing w:line="276" w:lineRule="auto"/>
              <w:jc w:val="center"/>
              <w:cnfStyle w:val="000000000000"/>
              <w:rPr>
                <w:rFonts w:ascii="Times New Roman" w:eastAsia="Calibri" w:hAnsi="Times New Roman" w:cs="Times New Roman"/>
              </w:rPr>
            </w:pPr>
            <w:r w:rsidRPr="001D0846">
              <w:rPr>
                <w:rFonts w:ascii="Times New Roman" w:eastAsia="Calibri" w:hAnsi="Times New Roman" w:cs="Times New Roman"/>
              </w:rPr>
              <w:t>23,3</w:t>
            </w:r>
          </w:p>
        </w:tc>
        <w:tc>
          <w:tcPr>
            <w:tcW w:w="1890" w:type="dxa"/>
          </w:tcPr>
          <w:p w:rsidR="00714F5D" w:rsidRPr="001D0846" w:rsidRDefault="00714F5D" w:rsidP="008C5C6A">
            <w:pPr>
              <w:spacing w:line="276" w:lineRule="auto"/>
              <w:jc w:val="center"/>
              <w:cnfStyle w:val="000000000000"/>
              <w:rPr>
                <w:rFonts w:ascii="Times New Roman" w:eastAsia="Calibri" w:hAnsi="Times New Roman" w:cs="Times New Roman"/>
              </w:rPr>
            </w:pPr>
            <w:r w:rsidRPr="001D0846">
              <w:rPr>
                <w:rFonts w:ascii="Times New Roman" w:eastAsia="Calibri" w:hAnsi="Times New Roman" w:cs="Times New Roman"/>
              </w:rPr>
              <w:t>74,6</w:t>
            </w:r>
          </w:p>
        </w:tc>
        <w:tc>
          <w:tcPr>
            <w:tcW w:w="1980" w:type="dxa"/>
          </w:tcPr>
          <w:p w:rsidR="00714F5D" w:rsidRPr="001D0846" w:rsidRDefault="00714F5D" w:rsidP="008C5C6A">
            <w:pPr>
              <w:spacing w:line="276" w:lineRule="auto"/>
              <w:jc w:val="center"/>
              <w:cnfStyle w:val="000000000000"/>
              <w:rPr>
                <w:rFonts w:ascii="Times New Roman" w:eastAsia="Calibri" w:hAnsi="Times New Roman" w:cs="Times New Roman"/>
              </w:rPr>
            </w:pPr>
            <w:r w:rsidRPr="001D0846">
              <w:rPr>
                <w:rFonts w:ascii="Times New Roman" w:eastAsia="Calibri" w:hAnsi="Times New Roman" w:cs="Times New Roman"/>
              </w:rPr>
              <w:t>4,7</w:t>
            </w:r>
          </w:p>
        </w:tc>
        <w:tc>
          <w:tcPr>
            <w:tcW w:w="2250" w:type="dxa"/>
          </w:tcPr>
          <w:p w:rsidR="00714F5D" w:rsidRPr="001D0846" w:rsidRDefault="00714F5D" w:rsidP="008C5C6A">
            <w:pPr>
              <w:spacing w:line="276" w:lineRule="auto"/>
              <w:jc w:val="center"/>
              <w:cnfStyle w:val="000000000000"/>
              <w:rPr>
                <w:rFonts w:ascii="Times New Roman" w:eastAsia="Calibri" w:hAnsi="Times New Roman" w:cs="Times New Roman"/>
              </w:rPr>
            </w:pPr>
            <w:r w:rsidRPr="001D0846">
              <w:rPr>
                <w:rFonts w:ascii="Times New Roman" w:eastAsia="Calibri" w:hAnsi="Times New Roman" w:cs="Times New Roman"/>
              </w:rPr>
              <w:t>29,1</w:t>
            </w:r>
          </w:p>
        </w:tc>
      </w:tr>
      <w:tr w:rsidR="00714F5D" w:rsidRPr="001D0846" w:rsidTr="008C5C6A">
        <w:tc>
          <w:tcPr>
            <w:cnfStyle w:val="001000000000"/>
            <w:tcW w:w="786" w:type="dxa"/>
          </w:tcPr>
          <w:p w:rsidR="00714F5D" w:rsidRPr="001D0846" w:rsidRDefault="00714F5D" w:rsidP="008C5C6A">
            <w:pPr>
              <w:spacing w:line="276" w:lineRule="auto"/>
              <w:jc w:val="center"/>
              <w:rPr>
                <w:rFonts w:ascii="Times New Roman" w:eastAsia="Calibri" w:hAnsi="Times New Roman" w:cs="Times New Roman"/>
              </w:rPr>
            </w:pPr>
            <w:r w:rsidRPr="001D0846">
              <w:rPr>
                <w:rFonts w:ascii="Times New Roman" w:eastAsia="Calibri" w:hAnsi="Times New Roman" w:cs="Times New Roman"/>
              </w:rPr>
              <w:t>2015</w:t>
            </w:r>
          </w:p>
        </w:tc>
        <w:tc>
          <w:tcPr>
            <w:tcW w:w="1530" w:type="dxa"/>
          </w:tcPr>
          <w:p w:rsidR="00714F5D" w:rsidRPr="001D0846" w:rsidRDefault="00714F5D" w:rsidP="008C5C6A">
            <w:pPr>
              <w:spacing w:line="276" w:lineRule="auto"/>
              <w:cnfStyle w:val="000000000000"/>
              <w:rPr>
                <w:rFonts w:ascii="Times New Roman" w:eastAsia="Calibri" w:hAnsi="Times New Roman" w:cs="Times New Roman"/>
              </w:rPr>
            </w:pPr>
            <w:r w:rsidRPr="001D0846">
              <w:rPr>
                <w:rFonts w:ascii="Times New Roman" w:eastAsia="Calibri" w:hAnsi="Times New Roman" w:cs="Times New Roman"/>
              </w:rPr>
              <w:t>1844,6</w:t>
            </w:r>
          </w:p>
        </w:tc>
        <w:tc>
          <w:tcPr>
            <w:tcW w:w="810" w:type="dxa"/>
          </w:tcPr>
          <w:p w:rsidR="00714F5D" w:rsidRPr="001D0846" w:rsidRDefault="00714F5D" w:rsidP="008C5C6A">
            <w:pPr>
              <w:spacing w:line="276" w:lineRule="auto"/>
              <w:jc w:val="center"/>
              <w:cnfStyle w:val="000000000000"/>
              <w:rPr>
                <w:rFonts w:ascii="Times New Roman" w:eastAsia="Calibri" w:hAnsi="Times New Roman" w:cs="Times New Roman"/>
              </w:rPr>
            </w:pPr>
            <w:r w:rsidRPr="001D0846">
              <w:rPr>
                <w:rFonts w:ascii="Times New Roman" w:eastAsia="Calibri" w:hAnsi="Times New Roman" w:cs="Times New Roman"/>
              </w:rPr>
              <w:t>879,2</w:t>
            </w:r>
          </w:p>
        </w:tc>
        <w:tc>
          <w:tcPr>
            <w:tcW w:w="1553" w:type="dxa"/>
          </w:tcPr>
          <w:p w:rsidR="00714F5D" w:rsidRPr="001D0846" w:rsidRDefault="00714F5D" w:rsidP="008C5C6A">
            <w:pPr>
              <w:spacing w:line="276" w:lineRule="auto"/>
              <w:jc w:val="center"/>
              <w:cnfStyle w:val="000000000000"/>
              <w:rPr>
                <w:rFonts w:ascii="Times New Roman" w:eastAsia="Calibri" w:hAnsi="Times New Roman" w:cs="Times New Roman"/>
              </w:rPr>
            </w:pPr>
            <w:r w:rsidRPr="001D0846">
              <w:rPr>
                <w:rFonts w:ascii="Times New Roman" w:eastAsia="Calibri" w:hAnsi="Times New Roman" w:cs="Times New Roman"/>
              </w:rPr>
              <w:t>47,7%</w:t>
            </w:r>
          </w:p>
        </w:tc>
        <w:tc>
          <w:tcPr>
            <w:tcW w:w="1327" w:type="dxa"/>
          </w:tcPr>
          <w:p w:rsidR="00714F5D" w:rsidRPr="001D0846" w:rsidRDefault="00714F5D" w:rsidP="008C5C6A">
            <w:pPr>
              <w:spacing w:line="276" w:lineRule="auto"/>
              <w:jc w:val="center"/>
              <w:cnfStyle w:val="000000000000"/>
              <w:rPr>
                <w:rFonts w:ascii="Times New Roman" w:eastAsia="Calibri" w:hAnsi="Times New Roman" w:cs="Times New Roman"/>
              </w:rPr>
            </w:pPr>
            <w:r w:rsidRPr="001D0846">
              <w:rPr>
                <w:rFonts w:ascii="Times New Roman" w:eastAsia="Calibri" w:hAnsi="Times New Roman" w:cs="Times New Roman"/>
              </w:rPr>
              <w:t>678,9</w:t>
            </w:r>
          </w:p>
        </w:tc>
        <w:tc>
          <w:tcPr>
            <w:tcW w:w="2160" w:type="dxa"/>
          </w:tcPr>
          <w:p w:rsidR="00714F5D" w:rsidRPr="001D0846" w:rsidRDefault="00714F5D" w:rsidP="008C5C6A">
            <w:pPr>
              <w:spacing w:line="276" w:lineRule="auto"/>
              <w:jc w:val="center"/>
              <w:cnfStyle w:val="000000000000"/>
              <w:rPr>
                <w:rFonts w:ascii="Times New Roman" w:eastAsia="Calibri" w:hAnsi="Times New Roman" w:cs="Times New Roman"/>
              </w:rPr>
            </w:pPr>
            <w:r w:rsidRPr="001D0846">
              <w:rPr>
                <w:rFonts w:ascii="Times New Roman" w:eastAsia="Calibri" w:hAnsi="Times New Roman" w:cs="Times New Roman"/>
              </w:rPr>
              <w:t>31,2</w:t>
            </w:r>
          </w:p>
        </w:tc>
        <w:tc>
          <w:tcPr>
            <w:tcW w:w="1890" w:type="dxa"/>
          </w:tcPr>
          <w:p w:rsidR="00714F5D" w:rsidRPr="001D0846" w:rsidRDefault="00714F5D" w:rsidP="008C5C6A">
            <w:pPr>
              <w:spacing w:line="276" w:lineRule="auto"/>
              <w:jc w:val="center"/>
              <w:cnfStyle w:val="000000000000"/>
              <w:rPr>
                <w:rFonts w:ascii="Times New Roman" w:eastAsia="Calibri" w:hAnsi="Times New Roman" w:cs="Times New Roman"/>
              </w:rPr>
            </w:pPr>
            <w:r w:rsidRPr="001D0846">
              <w:rPr>
                <w:rFonts w:ascii="Times New Roman" w:eastAsia="Calibri" w:hAnsi="Times New Roman" w:cs="Times New Roman"/>
              </w:rPr>
              <w:t>83,4</w:t>
            </w:r>
          </w:p>
        </w:tc>
        <w:tc>
          <w:tcPr>
            <w:tcW w:w="1980" w:type="dxa"/>
          </w:tcPr>
          <w:p w:rsidR="00714F5D" w:rsidRPr="001D0846" w:rsidRDefault="00714F5D" w:rsidP="008C5C6A">
            <w:pPr>
              <w:spacing w:line="276" w:lineRule="auto"/>
              <w:jc w:val="center"/>
              <w:cnfStyle w:val="000000000000"/>
              <w:rPr>
                <w:rFonts w:ascii="Times New Roman" w:eastAsia="Calibri" w:hAnsi="Times New Roman" w:cs="Times New Roman"/>
              </w:rPr>
            </w:pPr>
            <w:r w:rsidRPr="001D0846">
              <w:rPr>
                <w:rFonts w:ascii="Times New Roman" w:eastAsia="Calibri" w:hAnsi="Times New Roman" w:cs="Times New Roman"/>
              </w:rPr>
              <w:t>3,2</w:t>
            </w:r>
          </w:p>
        </w:tc>
        <w:tc>
          <w:tcPr>
            <w:tcW w:w="2250" w:type="dxa"/>
          </w:tcPr>
          <w:p w:rsidR="00714F5D" w:rsidRPr="001D0846" w:rsidRDefault="00714F5D" w:rsidP="008C5C6A">
            <w:pPr>
              <w:spacing w:line="276" w:lineRule="auto"/>
              <w:jc w:val="center"/>
              <w:cnfStyle w:val="000000000000"/>
              <w:rPr>
                <w:rFonts w:ascii="Times New Roman" w:eastAsia="Calibri" w:hAnsi="Times New Roman" w:cs="Times New Roman"/>
              </w:rPr>
            </w:pPr>
            <w:r w:rsidRPr="001D0846">
              <w:rPr>
                <w:rFonts w:ascii="Times New Roman" w:eastAsia="Calibri" w:hAnsi="Times New Roman" w:cs="Times New Roman"/>
              </w:rPr>
              <w:t>82,5</w:t>
            </w:r>
          </w:p>
        </w:tc>
      </w:tr>
      <w:tr w:rsidR="00714F5D" w:rsidRPr="001D0846" w:rsidTr="008C5C6A">
        <w:tc>
          <w:tcPr>
            <w:cnfStyle w:val="001000000000"/>
            <w:tcW w:w="786" w:type="dxa"/>
          </w:tcPr>
          <w:p w:rsidR="00714F5D" w:rsidRPr="001D0846" w:rsidRDefault="00714F5D" w:rsidP="008C5C6A">
            <w:pPr>
              <w:tabs>
                <w:tab w:val="left" w:pos="176"/>
              </w:tabs>
              <w:spacing w:line="276" w:lineRule="auto"/>
              <w:jc w:val="center"/>
              <w:rPr>
                <w:rFonts w:ascii="Times New Roman" w:eastAsia="Calibri" w:hAnsi="Times New Roman" w:cs="Times New Roman"/>
              </w:rPr>
            </w:pPr>
            <w:r w:rsidRPr="001D0846">
              <w:rPr>
                <w:rFonts w:ascii="Times New Roman" w:eastAsia="Calibri" w:hAnsi="Times New Roman" w:cs="Times New Roman"/>
              </w:rPr>
              <w:t>2016</w:t>
            </w:r>
          </w:p>
        </w:tc>
        <w:tc>
          <w:tcPr>
            <w:tcW w:w="1530" w:type="dxa"/>
          </w:tcPr>
          <w:p w:rsidR="00714F5D" w:rsidRPr="001D0846" w:rsidRDefault="00714F5D" w:rsidP="008C5C6A">
            <w:pPr>
              <w:spacing w:line="276" w:lineRule="auto"/>
              <w:cnfStyle w:val="000000000000"/>
              <w:rPr>
                <w:rFonts w:ascii="Times New Roman" w:eastAsia="Calibri" w:hAnsi="Times New Roman" w:cs="Times New Roman"/>
              </w:rPr>
            </w:pPr>
            <w:r w:rsidRPr="001D0846">
              <w:rPr>
                <w:rFonts w:ascii="Times New Roman" w:eastAsia="Calibri" w:hAnsi="Times New Roman" w:cs="Times New Roman"/>
              </w:rPr>
              <w:t>1826,0</w:t>
            </w:r>
          </w:p>
        </w:tc>
        <w:tc>
          <w:tcPr>
            <w:tcW w:w="810" w:type="dxa"/>
          </w:tcPr>
          <w:p w:rsidR="00714F5D" w:rsidRPr="001D0846" w:rsidRDefault="00714F5D" w:rsidP="008C5C6A">
            <w:pPr>
              <w:spacing w:line="276" w:lineRule="auto"/>
              <w:jc w:val="center"/>
              <w:cnfStyle w:val="000000000000"/>
              <w:rPr>
                <w:rFonts w:ascii="Times New Roman" w:eastAsia="Calibri" w:hAnsi="Times New Roman" w:cs="Times New Roman"/>
              </w:rPr>
            </w:pPr>
            <w:r w:rsidRPr="001D0846">
              <w:rPr>
                <w:rFonts w:ascii="Times New Roman" w:eastAsia="Calibri" w:hAnsi="Times New Roman" w:cs="Times New Roman"/>
              </w:rPr>
              <w:t>974,2</w:t>
            </w:r>
          </w:p>
        </w:tc>
        <w:tc>
          <w:tcPr>
            <w:tcW w:w="1553" w:type="dxa"/>
          </w:tcPr>
          <w:p w:rsidR="00714F5D" w:rsidRPr="001D0846" w:rsidRDefault="00714F5D" w:rsidP="008C5C6A">
            <w:pPr>
              <w:spacing w:line="276" w:lineRule="auto"/>
              <w:jc w:val="center"/>
              <w:cnfStyle w:val="000000000000"/>
              <w:rPr>
                <w:rFonts w:ascii="Times New Roman" w:eastAsia="Calibri" w:hAnsi="Times New Roman" w:cs="Times New Roman"/>
              </w:rPr>
            </w:pPr>
            <w:r w:rsidRPr="001D0846">
              <w:rPr>
                <w:rFonts w:ascii="Times New Roman" w:eastAsia="Calibri" w:hAnsi="Times New Roman" w:cs="Times New Roman"/>
              </w:rPr>
              <w:t>53,4%</w:t>
            </w:r>
          </w:p>
        </w:tc>
        <w:tc>
          <w:tcPr>
            <w:tcW w:w="1327" w:type="dxa"/>
          </w:tcPr>
          <w:p w:rsidR="00714F5D" w:rsidRPr="001D0846" w:rsidRDefault="00714F5D" w:rsidP="008C5C6A">
            <w:pPr>
              <w:spacing w:line="276" w:lineRule="auto"/>
              <w:jc w:val="center"/>
              <w:cnfStyle w:val="000000000000"/>
              <w:rPr>
                <w:rFonts w:ascii="Times New Roman" w:eastAsia="Calibri" w:hAnsi="Times New Roman" w:cs="Times New Roman"/>
              </w:rPr>
            </w:pPr>
            <w:r w:rsidRPr="001D0846">
              <w:rPr>
                <w:rFonts w:ascii="Times New Roman" w:eastAsia="Calibri" w:hAnsi="Times New Roman" w:cs="Times New Roman"/>
              </w:rPr>
              <w:t>815,1</w:t>
            </w:r>
          </w:p>
        </w:tc>
        <w:tc>
          <w:tcPr>
            <w:tcW w:w="2160" w:type="dxa"/>
          </w:tcPr>
          <w:p w:rsidR="00714F5D" w:rsidRPr="001D0846" w:rsidRDefault="00714F5D" w:rsidP="008C5C6A">
            <w:pPr>
              <w:spacing w:line="276" w:lineRule="auto"/>
              <w:jc w:val="center"/>
              <w:cnfStyle w:val="000000000000"/>
              <w:rPr>
                <w:rFonts w:ascii="Times New Roman" w:eastAsia="Calibri" w:hAnsi="Times New Roman" w:cs="Times New Roman"/>
              </w:rPr>
            </w:pPr>
            <w:r w:rsidRPr="001D0846">
              <w:rPr>
                <w:rFonts w:ascii="Times New Roman" w:eastAsia="Calibri" w:hAnsi="Times New Roman" w:cs="Times New Roman"/>
              </w:rPr>
              <w:t>29,3</w:t>
            </w:r>
          </w:p>
        </w:tc>
        <w:tc>
          <w:tcPr>
            <w:tcW w:w="1890" w:type="dxa"/>
          </w:tcPr>
          <w:p w:rsidR="00714F5D" w:rsidRPr="001D0846" w:rsidRDefault="00714F5D" w:rsidP="008C5C6A">
            <w:pPr>
              <w:spacing w:line="276" w:lineRule="auto"/>
              <w:jc w:val="center"/>
              <w:cnfStyle w:val="000000000000"/>
              <w:rPr>
                <w:rFonts w:ascii="Times New Roman" w:eastAsia="Calibri" w:hAnsi="Times New Roman" w:cs="Times New Roman"/>
              </w:rPr>
            </w:pPr>
            <w:r w:rsidRPr="001D0846">
              <w:rPr>
                <w:rFonts w:ascii="Times New Roman" w:eastAsia="Calibri" w:hAnsi="Times New Roman" w:cs="Times New Roman"/>
              </w:rPr>
              <w:t>70,2</w:t>
            </w:r>
          </w:p>
        </w:tc>
        <w:tc>
          <w:tcPr>
            <w:tcW w:w="1980" w:type="dxa"/>
          </w:tcPr>
          <w:p w:rsidR="00714F5D" w:rsidRPr="001D0846" w:rsidRDefault="00714F5D" w:rsidP="008C5C6A">
            <w:pPr>
              <w:spacing w:line="276" w:lineRule="auto"/>
              <w:jc w:val="center"/>
              <w:cnfStyle w:val="000000000000"/>
              <w:rPr>
                <w:rFonts w:ascii="Times New Roman" w:eastAsia="Calibri" w:hAnsi="Times New Roman" w:cs="Times New Roman"/>
              </w:rPr>
            </w:pPr>
            <w:r w:rsidRPr="001D0846">
              <w:rPr>
                <w:rFonts w:ascii="Times New Roman" w:eastAsia="Calibri" w:hAnsi="Times New Roman" w:cs="Times New Roman"/>
              </w:rPr>
              <w:t>2,5</w:t>
            </w:r>
          </w:p>
        </w:tc>
        <w:tc>
          <w:tcPr>
            <w:tcW w:w="2250" w:type="dxa"/>
          </w:tcPr>
          <w:p w:rsidR="00714F5D" w:rsidRPr="001D0846" w:rsidRDefault="00714F5D" w:rsidP="008C5C6A">
            <w:pPr>
              <w:spacing w:line="276" w:lineRule="auto"/>
              <w:jc w:val="center"/>
              <w:cnfStyle w:val="000000000000"/>
              <w:rPr>
                <w:rFonts w:ascii="Times New Roman" w:eastAsia="Calibri" w:hAnsi="Times New Roman" w:cs="Times New Roman"/>
              </w:rPr>
            </w:pPr>
            <w:r w:rsidRPr="001D0846">
              <w:rPr>
                <w:rFonts w:ascii="Times New Roman" w:eastAsia="Calibri" w:hAnsi="Times New Roman" w:cs="Times New Roman"/>
              </w:rPr>
              <w:t>57,1</w:t>
            </w:r>
          </w:p>
        </w:tc>
      </w:tr>
      <w:tr w:rsidR="00714F5D" w:rsidRPr="001D0846" w:rsidTr="008C5C6A">
        <w:tc>
          <w:tcPr>
            <w:cnfStyle w:val="001000000000"/>
            <w:tcW w:w="786" w:type="dxa"/>
          </w:tcPr>
          <w:p w:rsidR="00714F5D" w:rsidRPr="001D0846" w:rsidRDefault="00714F5D" w:rsidP="008C5C6A">
            <w:pPr>
              <w:tabs>
                <w:tab w:val="left" w:pos="176"/>
              </w:tabs>
              <w:spacing w:line="276" w:lineRule="auto"/>
              <w:jc w:val="center"/>
              <w:rPr>
                <w:rFonts w:ascii="Times New Roman" w:eastAsia="Calibri" w:hAnsi="Times New Roman" w:cs="Times New Roman"/>
              </w:rPr>
            </w:pPr>
            <w:r w:rsidRPr="001D0846">
              <w:rPr>
                <w:rFonts w:ascii="Times New Roman" w:eastAsia="Calibri" w:hAnsi="Times New Roman" w:cs="Times New Roman"/>
              </w:rPr>
              <w:t>2017</w:t>
            </w:r>
          </w:p>
        </w:tc>
        <w:tc>
          <w:tcPr>
            <w:tcW w:w="1530" w:type="dxa"/>
          </w:tcPr>
          <w:p w:rsidR="00714F5D" w:rsidRPr="001D0846" w:rsidRDefault="00714F5D" w:rsidP="008C5C6A">
            <w:pPr>
              <w:spacing w:line="276" w:lineRule="auto"/>
              <w:cnfStyle w:val="000000000000"/>
              <w:rPr>
                <w:rFonts w:ascii="Times New Roman" w:eastAsia="Calibri" w:hAnsi="Times New Roman" w:cs="Times New Roman"/>
              </w:rPr>
            </w:pPr>
            <w:r w:rsidRPr="001D0846">
              <w:rPr>
                <w:rFonts w:ascii="Times New Roman" w:eastAsia="Calibri" w:hAnsi="Times New Roman" w:cs="Times New Roman"/>
              </w:rPr>
              <w:t>2181,9</w:t>
            </w:r>
          </w:p>
        </w:tc>
        <w:tc>
          <w:tcPr>
            <w:tcW w:w="810" w:type="dxa"/>
          </w:tcPr>
          <w:p w:rsidR="00714F5D" w:rsidRPr="001D0846" w:rsidRDefault="00714F5D" w:rsidP="008C5C6A">
            <w:pPr>
              <w:spacing w:line="276" w:lineRule="auto"/>
              <w:jc w:val="center"/>
              <w:cnfStyle w:val="000000000000"/>
              <w:rPr>
                <w:rFonts w:ascii="Times New Roman" w:eastAsia="Calibri" w:hAnsi="Times New Roman" w:cs="Times New Roman"/>
              </w:rPr>
            </w:pPr>
            <w:r w:rsidRPr="001D0846">
              <w:rPr>
                <w:rFonts w:ascii="Times New Roman" w:eastAsia="Calibri" w:hAnsi="Times New Roman" w:cs="Times New Roman"/>
              </w:rPr>
              <w:t>1102,4</w:t>
            </w:r>
          </w:p>
        </w:tc>
        <w:tc>
          <w:tcPr>
            <w:tcW w:w="1553" w:type="dxa"/>
          </w:tcPr>
          <w:p w:rsidR="00714F5D" w:rsidRPr="001D0846" w:rsidRDefault="00714F5D" w:rsidP="008C5C6A">
            <w:pPr>
              <w:spacing w:line="276" w:lineRule="auto"/>
              <w:jc w:val="center"/>
              <w:cnfStyle w:val="000000000000"/>
              <w:rPr>
                <w:rFonts w:ascii="Times New Roman" w:eastAsia="Calibri" w:hAnsi="Times New Roman" w:cs="Times New Roman"/>
              </w:rPr>
            </w:pPr>
            <w:r w:rsidRPr="001D0846">
              <w:rPr>
                <w:rFonts w:ascii="Times New Roman" w:eastAsia="Calibri" w:hAnsi="Times New Roman" w:cs="Times New Roman"/>
              </w:rPr>
              <w:t>50,5%</w:t>
            </w:r>
          </w:p>
        </w:tc>
        <w:tc>
          <w:tcPr>
            <w:tcW w:w="1327" w:type="dxa"/>
          </w:tcPr>
          <w:p w:rsidR="00714F5D" w:rsidRPr="001D0846" w:rsidRDefault="00714F5D" w:rsidP="008C5C6A">
            <w:pPr>
              <w:spacing w:line="276" w:lineRule="auto"/>
              <w:jc w:val="center"/>
              <w:cnfStyle w:val="000000000000"/>
              <w:rPr>
                <w:rFonts w:ascii="Times New Roman" w:eastAsia="Calibri" w:hAnsi="Times New Roman" w:cs="Times New Roman"/>
              </w:rPr>
            </w:pPr>
            <w:r w:rsidRPr="001D0846">
              <w:rPr>
                <w:rFonts w:ascii="Times New Roman" w:eastAsia="Calibri" w:hAnsi="Times New Roman" w:cs="Times New Roman"/>
              </w:rPr>
              <w:t>956,3</w:t>
            </w:r>
          </w:p>
        </w:tc>
        <w:tc>
          <w:tcPr>
            <w:tcW w:w="2160" w:type="dxa"/>
          </w:tcPr>
          <w:p w:rsidR="00714F5D" w:rsidRPr="001D0846" w:rsidRDefault="00714F5D" w:rsidP="008C5C6A">
            <w:pPr>
              <w:spacing w:line="276" w:lineRule="auto"/>
              <w:jc w:val="center"/>
              <w:cnfStyle w:val="000000000000"/>
              <w:rPr>
                <w:rFonts w:ascii="Times New Roman" w:eastAsia="Calibri" w:hAnsi="Times New Roman" w:cs="Times New Roman"/>
              </w:rPr>
            </w:pPr>
            <w:r w:rsidRPr="001D0846">
              <w:rPr>
                <w:rFonts w:ascii="Times New Roman" w:eastAsia="Calibri" w:hAnsi="Times New Roman" w:cs="Times New Roman"/>
              </w:rPr>
              <w:t>29,9</w:t>
            </w:r>
          </w:p>
        </w:tc>
        <w:tc>
          <w:tcPr>
            <w:tcW w:w="1890" w:type="dxa"/>
          </w:tcPr>
          <w:p w:rsidR="00714F5D" w:rsidRPr="001D0846" w:rsidRDefault="00714F5D" w:rsidP="008C5C6A">
            <w:pPr>
              <w:spacing w:line="276" w:lineRule="auto"/>
              <w:jc w:val="center"/>
              <w:cnfStyle w:val="000000000000"/>
              <w:rPr>
                <w:rFonts w:ascii="Times New Roman" w:eastAsia="Calibri" w:hAnsi="Times New Roman" w:cs="Times New Roman"/>
              </w:rPr>
            </w:pPr>
            <w:r w:rsidRPr="001D0846">
              <w:rPr>
                <w:rFonts w:ascii="Times New Roman" w:eastAsia="Calibri" w:hAnsi="Times New Roman" w:cs="Times New Roman"/>
              </w:rPr>
              <w:t>69,3</w:t>
            </w:r>
          </w:p>
        </w:tc>
        <w:tc>
          <w:tcPr>
            <w:tcW w:w="1980" w:type="dxa"/>
          </w:tcPr>
          <w:p w:rsidR="00714F5D" w:rsidRPr="001D0846" w:rsidRDefault="00714F5D" w:rsidP="008C5C6A">
            <w:pPr>
              <w:spacing w:line="276" w:lineRule="auto"/>
              <w:jc w:val="center"/>
              <w:cnfStyle w:val="000000000000"/>
              <w:rPr>
                <w:rFonts w:ascii="Times New Roman" w:eastAsia="Calibri" w:hAnsi="Times New Roman" w:cs="Times New Roman"/>
              </w:rPr>
            </w:pPr>
            <w:r w:rsidRPr="001D0846">
              <w:rPr>
                <w:rFonts w:ascii="Times New Roman" w:eastAsia="Calibri" w:hAnsi="Times New Roman" w:cs="Times New Roman"/>
              </w:rPr>
              <w:t>0,4</w:t>
            </w:r>
          </w:p>
        </w:tc>
        <w:tc>
          <w:tcPr>
            <w:tcW w:w="2250" w:type="dxa"/>
          </w:tcPr>
          <w:p w:rsidR="00714F5D" w:rsidRPr="001D0846" w:rsidRDefault="00714F5D" w:rsidP="008C5C6A">
            <w:pPr>
              <w:spacing w:line="276" w:lineRule="auto"/>
              <w:jc w:val="center"/>
              <w:cnfStyle w:val="000000000000"/>
              <w:rPr>
                <w:rFonts w:ascii="Times New Roman" w:eastAsia="Calibri" w:hAnsi="Times New Roman" w:cs="Times New Roman"/>
              </w:rPr>
            </w:pPr>
            <w:r w:rsidRPr="001D0846">
              <w:rPr>
                <w:rFonts w:ascii="Times New Roman" w:eastAsia="Calibri" w:hAnsi="Times New Roman" w:cs="Times New Roman"/>
              </w:rPr>
              <w:t>46,5</w:t>
            </w:r>
          </w:p>
        </w:tc>
      </w:tr>
      <w:tr w:rsidR="00714F5D" w:rsidRPr="001D0846" w:rsidTr="008C5C6A">
        <w:tc>
          <w:tcPr>
            <w:cnfStyle w:val="001000000000"/>
            <w:tcW w:w="786" w:type="dxa"/>
          </w:tcPr>
          <w:p w:rsidR="00714F5D" w:rsidRPr="001D0846" w:rsidRDefault="00714F5D" w:rsidP="008C5C6A">
            <w:pPr>
              <w:spacing w:line="276" w:lineRule="auto"/>
              <w:jc w:val="center"/>
              <w:rPr>
                <w:rFonts w:ascii="Times New Roman" w:eastAsia="Calibri" w:hAnsi="Times New Roman" w:cs="Times New Roman"/>
              </w:rPr>
            </w:pPr>
            <w:r w:rsidRPr="001D0846">
              <w:rPr>
                <w:rFonts w:ascii="Times New Roman" w:eastAsia="Calibri" w:hAnsi="Times New Roman" w:cs="Times New Roman"/>
              </w:rPr>
              <w:t>Total</w:t>
            </w:r>
          </w:p>
        </w:tc>
        <w:tc>
          <w:tcPr>
            <w:tcW w:w="1530" w:type="dxa"/>
          </w:tcPr>
          <w:p w:rsidR="00714F5D" w:rsidRPr="001D0846" w:rsidRDefault="00714F5D" w:rsidP="008C5C6A">
            <w:pPr>
              <w:spacing w:line="276" w:lineRule="auto"/>
              <w:jc w:val="center"/>
              <w:cnfStyle w:val="000000000000"/>
              <w:rPr>
                <w:rFonts w:ascii="Times New Roman" w:eastAsia="Calibri" w:hAnsi="Times New Roman" w:cs="Times New Roman"/>
                <w:b/>
              </w:rPr>
            </w:pPr>
            <w:r w:rsidRPr="001D0846">
              <w:rPr>
                <w:rFonts w:ascii="Times New Roman" w:eastAsia="Calibri" w:hAnsi="Times New Roman" w:cs="Times New Roman"/>
                <w:b/>
              </w:rPr>
              <w:t>X</w:t>
            </w:r>
          </w:p>
        </w:tc>
        <w:tc>
          <w:tcPr>
            <w:tcW w:w="810" w:type="dxa"/>
          </w:tcPr>
          <w:p w:rsidR="00714F5D" w:rsidRPr="001D0846" w:rsidRDefault="00714F5D" w:rsidP="008C5C6A">
            <w:pPr>
              <w:spacing w:line="276" w:lineRule="auto"/>
              <w:jc w:val="center"/>
              <w:cnfStyle w:val="000000000000"/>
              <w:rPr>
                <w:rFonts w:ascii="Times New Roman" w:eastAsia="Calibri" w:hAnsi="Times New Roman" w:cs="Times New Roman"/>
                <w:b/>
              </w:rPr>
            </w:pPr>
            <w:r w:rsidRPr="001D0846">
              <w:rPr>
                <w:rFonts w:ascii="Times New Roman" w:eastAsia="Calibri" w:hAnsi="Times New Roman" w:cs="Times New Roman"/>
                <w:b/>
              </w:rPr>
              <w:t>3437,7</w:t>
            </w:r>
          </w:p>
        </w:tc>
        <w:tc>
          <w:tcPr>
            <w:tcW w:w="1553" w:type="dxa"/>
          </w:tcPr>
          <w:p w:rsidR="00714F5D" w:rsidRPr="001D0846" w:rsidRDefault="00714F5D" w:rsidP="008C5C6A">
            <w:pPr>
              <w:spacing w:line="276" w:lineRule="auto"/>
              <w:jc w:val="center"/>
              <w:cnfStyle w:val="000000000000"/>
              <w:rPr>
                <w:rFonts w:ascii="Times New Roman" w:eastAsia="Calibri" w:hAnsi="Times New Roman" w:cs="Times New Roman"/>
                <w:b/>
              </w:rPr>
            </w:pPr>
            <w:r w:rsidRPr="001D0846">
              <w:rPr>
                <w:rFonts w:ascii="Times New Roman" w:eastAsia="Calibri" w:hAnsi="Times New Roman" w:cs="Times New Roman"/>
                <w:b/>
              </w:rPr>
              <w:t>X</w:t>
            </w:r>
          </w:p>
        </w:tc>
        <w:tc>
          <w:tcPr>
            <w:tcW w:w="1327" w:type="dxa"/>
          </w:tcPr>
          <w:p w:rsidR="00714F5D" w:rsidRPr="001D0846" w:rsidRDefault="00714F5D" w:rsidP="008C5C6A">
            <w:pPr>
              <w:spacing w:line="276" w:lineRule="auto"/>
              <w:jc w:val="center"/>
              <w:cnfStyle w:val="000000000000"/>
              <w:rPr>
                <w:rFonts w:ascii="Times New Roman" w:eastAsia="Calibri" w:hAnsi="Times New Roman" w:cs="Times New Roman"/>
                <w:b/>
              </w:rPr>
            </w:pPr>
            <w:r w:rsidRPr="001D0846">
              <w:rPr>
                <w:rFonts w:ascii="Times New Roman" w:eastAsia="Calibri" w:hAnsi="Times New Roman" w:cs="Times New Roman"/>
                <w:b/>
              </w:rPr>
              <w:t>2800,5</w:t>
            </w:r>
          </w:p>
        </w:tc>
        <w:tc>
          <w:tcPr>
            <w:tcW w:w="2160" w:type="dxa"/>
          </w:tcPr>
          <w:p w:rsidR="00714F5D" w:rsidRPr="001D0846" w:rsidRDefault="00714F5D" w:rsidP="008C5C6A">
            <w:pPr>
              <w:spacing w:line="276" w:lineRule="auto"/>
              <w:jc w:val="center"/>
              <w:cnfStyle w:val="000000000000"/>
              <w:rPr>
                <w:rFonts w:ascii="Times New Roman" w:eastAsia="Calibri" w:hAnsi="Times New Roman" w:cs="Times New Roman"/>
                <w:b/>
              </w:rPr>
            </w:pPr>
            <w:r w:rsidRPr="001D0846">
              <w:rPr>
                <w:rFonts w:ascii="Times New Roman" w:eastAsia="Calibri" w:hAnsi="Times New Roman" w:cs="Times New Roman"/>
                <w:b/>
              </w:rPr>
              <w:t>113,7</w:t>
            </w:r>
          </w:p>
        </w:tc>
        <w:tc>
          <w:tcPr>
            <w:tcW w:w="1890" w:type="dxa"/>
          </w:tcPr>
          <w:p w:rsidR="00714F5D" w:rsidRPr="001D0846" w:rsidRDefault="00714F5D" w:rsidP="008C5C6A">
            <w:pPr>
              <w:spacing w:line="276" w:lineRule="auto"/>
              <w:jc w:val="center"/>
              <w:cnfStyle w:val="000000000000"/>
              <w:rPr>
                <w:rFonts w:ascii="Times New Roman" w:eastAsia="Calibri" w:hAnsi="Times New Roman" w:cs="Times New Roman"/>
                <w:b/>
              </w:rPr>
            </w:pPr>
            <w:r w:rsidRPr="001D0846">
              <w:rPr>
                <w:rFonts w:ascii="Times New Roman" w:eastAsia="Calibri" w:hAnsi="Times New Roman" w:cs="Times New Roman"/>
                <w:b/>
              </w:rPr>
              <w:t>297,5</w:t>
            </w:r>
          </w:p>
        </w:tc>
        <w:tc>
          <w:tcPr>
            <w:tcW w:w="1980" w:type="dxa"/>
          </w:tcPr>
          <w:p w:rsidR="00714F5D" w:rsidRPr="001D0846" w:rsidRDefault="00714F5D" w:rsidP="008C5C6A">
            <w:pPr>
              <w:spacing w:line="276" w:lineRule="auto"/>
              <w:jc w:val="center"/>
              <w:cnfStyle w:val="000000000000"/>
              <w:rPr>
                <w:rFonts w:ascii="Times New Roman" w:eastAsia="Calibri" w:hAnsi="Times New Roman" w:cs="Times New Roman"/>
                <w:b/>
              </w:rPr>
            </w:pPr>
            <w:r w:rsidRPr="001D0846">
              <w:rPr>
                <w:rFonts w:ascii="Times New Roman" w:eastAsia="Calibri" w:hAnsi="Times New Roman" w:cs="Times New Roman"/>
                <w:b/>
              </w:rPr>
              <w:t>10,8</w:t>
            </w:r>
          </w:p>
        </w:tc>
        <w:tc>
          <w:tcPr>
            <w:tcW w:w="2250" w:type="dxa"/>
          </w:tcPr>
          <w:p w:rsidR="00714F5D" w:rsidRPr="001D0846" w:rsidRDefault="00714F5D" w:rsidP="008C5C6A">
            <w:pPr>
              <w:spacing w:line="276" w:lineRule="auto"/>
              <w:jc w:val="center"/>
              <w:cnfStyle w:val="000000000000"/>
              <w:rPr>
                <w:rFonts w:ascii="Times New Roman" w:eastAsia="Calibri" w:hAnsi="Times New Roman" w:cs="Times New Roman"/>
                <w:b/>
              </w:rPr>
            </w:pPr>
            <w:r w:rsidRPr="001D0846">
              <w:rPr>
                <w:rFonts w:ascii="Times New Roman" w:eastAsia="Calibri" w:hAnsi="Times New Roman" w:cs="Times New Roman"/>
                <w:b/>
              </w:rPr>
              <w:t>215,2</w:t>
            </w:r>
          </w:p>
        </w:tc>
      </w:tr>
    </w:tbl>
    <w:p w:rsidR="00714F5D" w:rsidRPr="001D0846" w:rsidRDefault="00714F5D" w:rsidP="00714F5D">
      <w:pPr>
        <w:spacing w:after="0" w:line="276" w:lineRule="auto"/>
        <w:jc w:val="both"/>
        <w:rPr>
          <w:rFonts w:ascii="Times New Roman" w:eastAsia="Calibri" w:hAnsi="Times New Roman" w:cs="Times New Roman"/>
          <w:i/>
          <w:sz w:val="20"/>
          <w:szCs w:val="20"/>
        </w:rPr>
      </w:pPr>
      <w:r w:rsidRPr="001D0846">
        <w:rPr>
          <w:rFonts w:ascii="Times New Roman" w:eastAsia="Times New Roman" w:hAnsi="Times New Roman" w:cs="Times New Roman"/>
          <w:b/>
          <w:i/>
          <w:sz w:val="20"/>
          <w:szCs w:val="20"/>
        </w:rPr>
        <w:t>Sursă:</w:t>
      </w:r>
      <w:r w:rsidRPr="001D0846">
        <w:rPr>
          <w:rFonts w:ascii="Times New Roman" w:eastAsia="Calibri" w:hAnsi="Times New Roman" w:cs="Times New Roman"/>
          <w:i/>
          <w:sz w:val="20"/>
          <w:szCs w:val="20"/>
        </w:rPr>
        <w:t xml:space="preserve"> Date</w:t>
      </w:r>
      <w:r>
        <w:rPr>
          <w:rFonts w:ascii="Times New Roman" w:eastAsia="Calibri" w:hAnsi="Times New Roman" w:cs="Times New Roman"/>
          <w:i/>
          <w:sz w:val="20"/>
          <w:szCs w:val="20"/>
        </w:rPr>
        <w:t>le</w:t>
      </w:r>
      <w:r w:rsidRPr="001D0846">
        <w:rPr>
          <w:rFonts w:ascii="Times New Roman" w:eastAsia="Calibri" w:hAnsi="Times New Roman" w:cs="Times New Roman"/>
          <w:i/>
          <w:sz w:val="20"/>
          <w:szCs w:val="20"/>
        </w:rPr>
        <w:t xml:space="preserve"> generalizate de către echipa de audit cu privire la măsurile și rezultatele executării silite a obligației fiscale pentru anii 2014-2017</w:t>
      </w:r>
      <w:r>
        <w:rPr>
          <w:rFonts w:ascii="Times New Roman" w:eastAsia="Calibri" w:hAnsi="Times New Roman" w:cs="Times New Roman"/>
          <w:i/>
          <w:sz w:val="20"/>
          <w:szCs w:val="20"/>
        </w:rPr>
        <w:t>,</w:t>
      </w:r>
      <w:r w:rsidRPr="001D0846">
        <w:rPr>
          <w:rFonts w:ascii="Times New Roman" w:eastAsia="Calibri" w:hAnsi="Times New Roman" w:cs="Times New Roman"/>
          <w:i/>
          <w:sz w:val="20"/>
          <w:szCs w:val="20"/>
        </w:rPr>
        <w:t xml:space="preserve"> realizate de către SFS.</w:t>
      </w:r>
    </w:p>
    <w:p w:rsidR="00714F5D" w:rsidRPr="001D0846" w:rsidRDefault="00714F5D" w:rsidP="00714F5D">
      <w:pPr>
        <w:spacing w:after="0" w:line="276" w:lineRule="auto"/>
        <w:ind w:right="-334"/>
        <w:rPr>
          <w:rFonts w:ascii="Times New Roman" w:hAnsi="Times New Roman" w:cs="Times New Roman"/>
        </w:rPr>
      </w:pPr>
    </w:p>
    <w:p w:rsidR="00714F5D" w:rsidRDefault="00714F5D" w:rsidP="00714F5D">
      <w:pPr>
        <w:pStyle w:val="ListParagraph"/>
        <w:tabs>
          <w:tab w:val="left" w:pos="993"/>
        </w:tabs>
        <w:spacing w:after="0" w:line="276" w:lineRule="auto"/>
        <w:ind w:left="0" w:firstLine="709"/>
        <w:jc w:val="right"/>
        <w:rPr>
          <w:rFonts w:ascii="Times New Roman" w:hAnsi="Times New Roman" w:cs="Times New Roman"/>
          <w:b/>
          <w:i/>
          <w:sz w:val="28"/>
          <w:szCs w:val="28"/>
        </w:rPr>
      </w:pPr>
    </w:p>
    <w:p w:rsidR="008C5C6A" w:rsidRDefault="008C5C6A" w:rsidP="00714F5D">
      <w:pPr>
        <w:pStyle w:val="ListParagraph"/>
        <w:tabs>
          <w:tab w:val="left" w:pos="993"/>
        </w:tabs>
        <w:spacing w:after="0" w:line="276" w:lineRule="auto"/>
        <w:ind w:left="0" w:firstLine="709"/>
        <w:jc w:val="right"/>
        <w:rPr>
          <w:rFonts w:ascii="Times New Roman" w:hAnsi="Times New Roman" w:cs="Times New Roman"/>
          <w:b/>
          <w:i/>
          <w:sz w:val="28"/>
          <w:szCs w:val="28"/>
        </w:rPr>
        <w:sectPr w:rsidR="008C5C6A" w:rsidSect="008C5C6A">
          <w:pgSz w:w="15840" w:h="12240" w:orient="landscape"/>
          <w:pgMar w:top="1440" w:right="1440" w:bottom="1166" w:left="1138" w:header="706" w:footer="706" w:gutter="0"/>
          <w:cols w:space="708"/>
          <w:docGrid w:linePitch="360"/>
        </w:sectPr>
      </w:pPr>
    </w:p>
    <w:p w:rsidR="00714F5D" w:rsidRPr="001D0846" w:rsidRDefault="00714F5D" w:rsidP="00714F5D">
      <w:pPr>
        <w:pStyle w:val="ListParagraph"/>
        <w:tabs>
          <w:tab w:val="left" w:pos="993"/>
        </w:tabs>
        <w:spacing w:after="0" w:line="276" w:lineRule="auto"/>
        <w:ind w:left="0" w:firstLine="709"/>
        <w:jc w:val="right"/>
        <w:rPr>
          <w:rFonts w:ascii="Times New Roman" w:hAnsi="Times New Roman" w:cs="Times New Roman"/>
          <w:b/>
          <w:i/>
          <w:sz w:val="28"/>
          <w:szCs w:val="28"/>
        </w:rPr>
      </w:pPr>
      <w:r w:rsidRPr="001D0846">
        <w:rPr>
          <w:rFonts w:ascii="Times New Roman" w:hAnsi="Times New Roman" w:cs="Times New Roman"/>
          <w:b/>
          <w:i/>
          <w:sz w:val="28"/>
          <w:szCs w:val="28"/>
        </w:rPr>
        <w:lastRenderedPageBreak/>
        <w:t>Tabelul nr.1</w:t>
      </w:r>
      <w:r>
        <w:rPr>
          <w:rFonts w:ascii="Times New Roman" w:hAnsi="Times New Roman" w:cs="Times New Roman"/>
          <w:b/>
          <w:i/>
          <w:sz w:val="28"/>
          <w:szCs w:val="28"/>
        </w:rPr>
        <w:t>7</w:t>
      </w:r>
    </w:p>
    <w:p w:rsidR="00714F5D" w:rsidRPr="001D0846" w:rsidRDefault="00714F5D" w:rsidP="00714F5D">
      <w:pPr>
        <w:pStyle w:val="ListParagraph"/>
        <w:tabs>
          <w:tab w:val="left" w:pos="993"/>
        </w:tabs>
        <w:spacing w:after="0" w:line="276" w:lineRule="auto"/>
        <w:ind w:left="0" w:firstLine="709"/>
        <w:jc w:val="center"/>
        <w:rPr>
          <w:rFonts w:ascii="Times New Roman" w:hAnsi="Times New Roman" w:cs="Times New Roman"/>
          <w:b/>
          <w:i/>
          <w:sz w:val="28"/>
          <w:szCs w:val="28"/>
        </w:rPr>
      </w:pPr>
      <w:r w:rsidRPr="001D0846">
        <w:rPr>
          <w:rFonts w:ascii="Times New Roman" w:hAnsi="Times New Roman" w:cs="Times New Roman"/>
          <w:i/>
          <w:sz w:val="28"/>
          <w:szCs w:val="28"/>
        </w:rPr>
        <w:t>Informația privind rezultatele comercializării bunurilor sechestrate în perioada 2015-2017</w:t>
      </w:r>
    </w:p>
    <w:p w:rsidR="00714F5D" w:rsidRPr="00477706" w:rsidRDefault="00714F5D" w:rsidP="00714F5D">
      <w:pPr>
        <w:spacing w:after="0" w:line="276" w:lineRule="auto"/>
        <w:jc w:val="right"/>
        <w:rPr>
          <w:rFonts w:ascii="Times New Roman" w:hAnsi="Times New Roman" w:cs="Times New Roman"/>
          <w:i/>
          <w:sz w:val="28"/>
          <w:szCs w:val="28"/>
        </w:rPr>
      </w:pPr>
      <w:r w:rsidRPr="00477706">
        <w:rPr>
          <w:rFonts w:ascii="Times New Roman" w:hAnsi="Times New Roman" w:cs="Times New Roman"/>
          <w:i/>
          <w:sz w:val="28"/>
          <w:szCs w:val="28"/>
        </w:rPr>
        <w:t xml:space="preserve"> (mii lei)</w:t>
      </w:r>
    </w:p>
    <w:tbl>
      <w:tblPr>
        <w:tblStyle w:val="TableGrid"/>
        <w:tblW w:w="9355" w:type="dxa"/>
        <w:tblInd w:w="-5" w:type="dxa"/>
        <w:tblLook w:val="04A0"/>
      </w:tblPr>
      <w:tblGrid>
        <w:gridCol w:w="853"/>
        <w:gridCol w:w="3669"/>
        <w:gridCol w:w="1255"/>
        <w:gridCol w:w="1255"/>
        <w:gridCol w:w="1357"/>
        <w:gridCol w:w="966"/>
      </w:tblGrid>
      <w:tr w:rsidR="00714F5D" w:rsidRPr="001D0846" w:rsidTr="008C5C6A">
        <w:tc>
          <w:tcPr>
            <w:tcW w:w="853" w:type="dxa"/>
          </w:tcPr>
          <w:p w:rsidR="00714F5D" w:rsidRPr="001D0846" w:rsidRDefault="00714F5D" w:rsidP="008C5C6A">
            <w:pPr>
              <w:spacing w:line="276" w:lineRule="auto"/>
              <w:jc w:val="center"/>
              <w:rPr>
                <w:rFonts w:ascii="Times New Roman" w:hAnsi="Times New Roman" w:cs="Times New Roman"/>
                <w:b/>
                <w:sz w:val="20"/>
                <w:szCs w:val="20"/>
              </w:rPr>
            </w:pPr>
            <w:r w:rsidRPr="001D0846">
              <w:rPr>
                <w:rFonts w:ascii="Times New Roman" w:hAnsi="Times New Roman" w:cs="Times New Roman"/>
                <w:b/>
                <w:sz w:val="20"/>
                <w:szCs w:val="20"/>
              </w:rPr>
              <w:t>Nr. d/o</w:t>
            </w:r>
          </w:p>
        </w:tc>
        <w:tc>
          <w:tcPr>
            <w:tcW w:w="3669" w:type="dxa"/>
          </w:tcPr>
          <w:p w:rsidR="00714F5D" w:rsidRPr="001D0846" w:rsidRDefault="00714F5D" w:rsidP="008C5C6A">
            <w:pPr>
              <w:spacing w:line="276" w:lineRule="auto"/>
              <w:jc w:val="center"/>
              <w:rPr>
                <w:rFonts w:ascii="Times New Roman" w:hAnsi="Times New Roman" w:cs="Times New Roman"/>
                <w:b/>
                <w:sz w:val="20"/>
                <w:szCs w:val="20"/>
              </w:rPr>
            </w:pPr>
            <w:r w:rsidRPr="001D0846">
              <w:rPr>
                <w:rFonts w:ascii="Times New Roman" w:hAnsi="Times New Roman" w:cs="Times New Roman"/>
                <w:b/>
                <w:sz w:val="20"/>
                <w:szCs w:val="20"/>
              </w:rPr>
              <w:t>Denumirea</w:t>
            </w:r>
          </w:p>
        </w:tc>
        <w:tc>
          <w:tcPr>
            <w:tcW w:w="1255" w:type="dxa"/>
          </w:tcPr>
          <w:p w:rsidR="00714F5D" w:rsidRPr="001D0846" w:rsidRDefault="00714F5D" w:rsidP="008C5C6A">
            <w:pPr>
              <w:spacing w:line="276" w:lineRule="auto"/>
              <w:jc w:val="center"/>
              <w:rPr>
                <w:rFonts w:ascii="Times New Roman" w:hAnsi="Times New Roman" w:cs="Times New Roman"/>
                <w:b/>
                <w:sz w:val="20"/>
                <w:szCs w:val="20"/>
              </w:rPr>
            </w:pPr>
            <w:r w:rsidRPr="001D0846">
              <w:rPr>
                <w:rFonts w:ascii="Times New Roman" w:hAnsi="Times New Roman" w:cs="Times New Roman"/>
                <w:b/>
                <w:sz w:val="20"/>
                <w:szCs w:val="20"/>
              </w:rPr>
              <w:t>31.12.2015</w:t>
            </w:r>
          </w:p>
        </w:tc>
        <w:tc>
          <w:tcPr>
            <w:tcW w:w="1255" w:type="dxa"/>
          </w:tcPr>
          <w:p w:rsidR="00714F5D" w:rsidRPr="001D0846" w:rsidRDefault="00714F5D" w:rsidP="008C5C6A">
            <w:pPr>
              <w:spacing w:line="276" w:lineRule="auto"/>
              <w:jc w:val="center"/>
              <w:rPr>
                <w:rFonts w:ascii="Times New Roman" w:hAnsi="Times New Roman" w:cs="Times New Roman"/>
                <w:b/>
                <w:sz w:val="20"/>
                <w:szCs w:val="20"/>
              </w:rPr>
            </w:pPr>
            <w:r w:rsidRPr="001D0846">
              <w:rPr>
                <w:rFonts w:ascii="Times New Roman" w:hAnsi="Times New Roman" w:cs="Times New Roman"/>
                <w:b/>
                <w:sz w:val="20"/>
                <w:szCs w:val="20"/>
              </w:rPr>
              <w:t>31.12.2016</w:t>
            </w:r>
          </w:p>
        </w:tc>
        <w:tc>
          <w:tcPr>
            <w:tcW w:w="1357" w:type="dxa"/>
          </w:tcPr>
          <w:p w:rsidR="00714F5D" w:rsidRPr="001D0846" w:rsidRDefault="00714F5D" w:rsidP="008C5C6A">
            <w:pPr>
              <w:spacing w:line="276" w:lineRule="auto"/>
              <w:jc w:val="center"/>
              <w:rPr>
                <w:rFonts w:ascii="Times New Roman" w:hAnsi="Times New Roman" w:cs="Times New Roman"/>
                <w:b/>
                <w:sz w:val="20"/>
                <w:szCs w:val="20"/>
              </w:rPr>
            </w:pPr>
            <w:r w:rsidRPr="001D0846">
              <w:rPr>
                <w:rFonts w:ascii="Times New Roman" w:hAnsi="Times New Roman" w:cs="Times New Roman"/>
                <w:b/>
                <w:sz w:val="20"/>
                <w:szCs w:val="20"/>
              </w:rPr>
              <w:t>31.12.2017</w:t>
            </w:r>
          </w:p>
        </w:tc>
        <w:tc>
          <w:tcPr>
            <w:tcW w:w="966" w:type="dxa"/>
          </w:tcPr>
          <w:p w:rsidR="00714F5D" w:rsidRPr="001D0846" w:rsidRDefault="00714F5D" w:rsidP="008C5C6A">
            <w:pPr>
              <w:spacing w:line="276" w:lineRule="auto"/>
              <w:jc w:val="center"/>
              <w:rPr>
                <w:rFonts w:ascii="Times New Roman" w:hAnsi="Times New Roman" w:cs="Times New Roman"/>
                <w:b/>
                <w:sz w:val="20"/>
                <w:szCs w:val="20"/>
              </w:rPr>
            </w:pPr>
            <w:r w:rsidRPr="001D0846">
              <w:rPr>
                <w:rFonts w:ascii="Times New Roman" w:hAnsi="Times New Roman" w:cs="Times New Roman"/>
                <w:b/>
                <w:sz w:val="20"/>
                <w:szCs w:val="20"/>
              </w:rPr>
              <w:t>Total general</w:t>
            </w:r>
          </w:p>
        </w:tc>
      </w:tr>
      <w:tr w:rsidR="00714F5D" w:rsidRPr="001D0846" w:rsidTr="008C5C6A">
        <w:tc>
          <w:tcPr>
            <w:tcW w:w="853" w:type="dxa"/>
            <w:shd w:val="clear" w:color="auto" w:fill="DEEAF6" w:themeFill="accent1" w:themeFillTint="33"/>
          </w:tcPr>
          <w:p w:rsidR="00714F5D" w:rsidRPr="001D0846" w:rsidRDefault="00714F5D" w:rsidP="008C5C6A">
            <w:pPr>
              <w:pStyle w:val="ListParagraph"/>
              <w:numPr>
                <w:ilvl w:val="0"/>
                <w:numId w:val="9"/>
              </w:numPr>
              <w:spacing w:line="276" w:lineRule="auto"/>
              <w:jc w:val="center"/>
              <w:rPr>
                <w:rFonts w:ascii="Times New Roman" w:hAnsi="Times New Roman" w:cs="Times New Roman"/>
                <w:b/>
                <w:sz w:val="20"/>
                <w:szCs w:val="20"/>
              </w:rPr>
            </w:pPr>
          </w:p>
        </w:tc>
        <w:tc>
          <w:tcPr>
            <w:tcW w:w="3669" w:type="dxa"/>
            <w:shd w:val="clear" w:color="auto" w:fill="DEEAF6" w:themeFill="accent1" w:themeFillTint="33"/>
          </w:tcPr>
          <w:p w:rsidR="00714F5D" w:rsidRPr="001D0846" w:rsidRDefault="00714F5D" w:rsidP="008C5C6A">
            <w:pPr>
              <w:spacing w:line="276" w:lineRule="auto"/>
              <w:jc w:val="both"/>
              <w:rPr>
                <w:rFonts w:ascii="Times New Roman" w:hAnsi="Times New Roman" w:cs="Times New Roman"/>
                <w:b/>
                <w:sz w:val="20"/>
                <w:szCs w:val="20"/>
              </w:rPr>
            </w:pPr>
            <w:r w:rsidRPr="001D0846">
              <w:rPr>
                <w:rFonts w:ascii="Times New Roman" w:hAnsi="Times New Roman" w:cs="Times New Roman"/>
                <w:b/>
                <w:sz w:val="20"/>
                <w:szCs w:val="20"/>
              </w:rPr>
              <w:t>Soldul bunurilor sechestrate cu drept de comercializare</w:t>
            </w:r>
          </w:p>
        </w:tc>
        <w:tc>
          <w:tcPr>
            <w:tcW w:w="1255" w:type="dxa"/>
            <w:shd w:val="clear" w:color="auto" w:fill="DEEAF6" w:themeFill="accent1" w:themeFillTint="33"/>
          </w:tcPr>
          <w:p w:rsidR="00714F5D" w:rsidRPr="001D0846" w:rsidRDefault="00714F5D" w:rsidP="008C5C6A">
            <w:pPr>
              <w:spacing w:line="276" w:lineRule="auto"/>
              <w:jc w:val="center"/>
              <w:rPr>
                <w:rFonts w:ascii="Times New Roman" w:hAnsi="Times New Roman" w:cs="Times New Roman"/>
                <w:b/>
                <w:sz w:val="20"/>
                <w:szCs w:val="20"/>
              </w:rPr>
            </w:pPr>
            <w:r w:rsidRPr="001D0846">
              <w:rPr>
                <w:rFonts w:ascii="Times New Roman" w:hAnsi="Times New Roman" w:cs="Times New Roman"/>
                <w:b/>
                <w:sz w:val="20"/>
                <w:szCs w:val="20"/>
              </w:rPr>
              <w:t>210979,7</w:t>
            </w:r>
          </w:p>
        </w:tc>
        <w:tc>
          <w:tcPr>
            <w:tcW w:w="1255" w:type="dxa"/>
            <w:shd w:val="clear" w:color="auto" w:fill="DEEAF6" w:themeFill="accent1" w:themeFillTint="33"/>
          </w:tcPr>
          <w:p w:rsidR="00714F5D" w:rsidRPr="001D0846" w:rsidRDefault="00714F5D" w:rsidP="008C5C6A">
            <w:pPr>
              <w:spacing w:line="276" w:lineRule="auto"/>
              <w:jc w:val="center"/>
              <w:rPr>
                <w:rFonts w:ascii="Times New Roman" w:hAnsi="Times New Roman" w:cs="Times New Roman"/>
                <w:b/>
                <w:sz w:val="20"/>
                <w:szCs w:val="20"/>
              </w:rPr>
            </w:pPr>
            <w:r w:rsidRPr="001D0846">
              <w:rPr>
                <w:rFonts w:ascii="Times New Roman" w:hAnsi="Times New Roman" w:cs="Times New Roman"/>
                <w:b/>
                <w:sz w:val="20"/>
                <w:szCs w:val="20"/>
              </w:rPr>
              <w:t>180386,0</w:t>
            </w:r>
          </w:p>
        </w:tc>
        <w:tc>
          <w:tcPr>
            <w:tcW w:w="1357" w:type="dxa"/>
            <w:shd w:val="clear" w:color="auto" w:fill="DEEAF6" w:themeFill="accent1" w:themeFillTint="33"/>
          </w:tcPr>
          <w:p w:rsidR="00714F5D" w:rsidRPr="001D0846" w:rsidRDefault="00714F5D" w:rsidP="008C5C6A">
            <w:pPr>
              <w:spacing w:line="276" w:lineRule="auto"/>
              <w:jc w:val="center"/>
              <w:rPr>
                <w:rFonts w:ascii="Times New Roman" w:hAnsi="Times New Roman" w:cs="Times New Roman"/>
                <w:b/>
                <w:sz w:val="20"/>
                <w:szCs w:val="20"/>
              </w:rPr>
            </w:pPr>
            <w:r w:rsidRPr="001D0846">
              <w:rPr>
                <w:rFonts w:ascii="Times New Roman" w:hAnsi="Times New Roman" w:cs="Times New Roman"/>
                <w:b/>
                <w:sz w:val="20"/>
                <w:szCs w:val="20"/>
              </w:rPr>
              <w:t>150968,00</w:t>
            </w:r>
          </w:p>
        </w:tc>
        <w:tc>
          <w:tcPr>
            <w:tcW w:w="966" w:type="dxa"/>
            <w:shd w:val="clear" w:color="auto" w:fill="DEEAF6" w:themeFill="accent1" w:themeFillTint="33"/>
          </w:tcPr>
          <w:p w:rsidR="00714F5D" w:rsidRPr="001D0846" w:rsidRDefault="00714F5D" w:rsidP="008C5C6A">
            <w:pPr>
              <w:spacing w:line="276" w:lineRule="auto"/>
              <w:jc w:val="center"/>
              <w:rPr>
                <w:rFonts w:ascii="Times New Roman" w:hAnsi="Times New Roman" w:cs="Times New Roman"/>
                <w:b/>
                <w:sz w:val="20"/>
                <w:szCs w:val="20"/>
              </w:rPr>
            </w:pPr>
            <w:r w:rsidRPr="001D0846">
              <w:rPr>
                <w:rFonts w:ascii="Times New Roman" w:hAnsi="Times New Roman" w:cs="Times New Roman"/>
                <w:b/>
                <w:sz w:val="20"/>
                <w:szCs w:val="20"/>
              </w:rPr>
              <w:t>542333,7</w:t>
            </w:r>
          </w:p>
        </w:tc>
      </w:tr>
      <w:tr w:rsidR="00714F5D" w:rsidRPr="001D0846" w:rsidTr="008C5C6A">
        <w:tc>
          <w:tcPr>
            <w:tcW w:w="853" w:type="dxa"/>
            <w:shd w:val="clear" w:color="auto" w:fill="BDD6EE" w:themeFill="accent1" w:themeFillTint="66"/>
          </w:tcPr>
          <w:p w:rsidR="00714F5D" w:rsidRPr="001D0846" w:rsidRDefault="00714F5D" w:rsidP="008C5C6A">
            <w:pPr>
              <w:pStyle w:val="ListParagraph"/>
              <w:numPr>
                <w:ilvl w:val="0"/>
                <w:numId w:val="9"/>
              </w:numPr>
              <w:spacing w:line="276" w:lineRule="auto"/>
              <w:jc w:val="center"/>
              <w:rPr>
                <w:rFonts w:ascii="Times New Roman" w:hAnsi="Times New Roman" w:cs="Times New Roman"/>
                <w:b/>
                <w:sz w:val="20"/>
                <w:szCs w:val="20"/>
              </w:rPr>
            </w:pPr>
          </w:p>
        </w:tc>
        <w:tc>
          <w:tcPr>
            <w:tcW w:w="3669" w:type="dxa"/>
            <w:shd w:val="clear" w:color="auto" w:fill="BDD6EE" w:themeFill="accent1" w:themeFillTint="66"/>
          </w:tcPr>
          <w:p w:rsidR="00714F5D" w:rsidRPr="001D0846" w:rsidRDefault="00714F5D" w:rsidP="008C5C6A">
            <w:pPr>
              <w:spacing w:line="276" w:lineRule="auto"/>
              <w:jc w:val="both"/>
              <w:rPr>
                <w:rFonts w:ascii="Times New Roman" w:hAnsi="Times New Roman" w:cs="Times New Roman"/>
                <w:b/>
                <w:sz w:val="20"/>
                <w:szCs w:val="20"/>
              </w:rPr>
            </w:pPr>
            <w:r w:rsidRPr="001D0846">
              <w:rPr>
                <w:rFonts w:ascii="Times New Roman" w:hAnsi="Times New Roman" w:cs="Times New Roman"/>
                <w:b/>
                <w:sz w:val="20"/>
                <w:szCs w:val="20"/>
              </w:rPr>
              <w:t>Total încasat de la comercializarea bunurilor:</w:t>
            </w:r>
          </w:p>
        </w:tc>
        <w:tc>
          <w:tcPr>
            <w:tcW w:w="1255" w:type="dxa"/>
            <w:shd w:val="clear" w:color="auto" w:fill="BDD6EE" w:themeFill="accent1" w:themeFillTint="66"/>
          </w:tcPr>
          <w:p w:rsidR="00714F5D" w:rsidRPr="001D0846" w:rsidRDefault="00714F5D" w:rsidP="008C5C6A">
            <w:pPr>
              <w:spacing w:line="276" w:lineRule="auto"/>
              <w:jc w:val="center"/>
              <w:rPr>
                <w:rFonts w:ascii="Times New Roman" w:hAnsi="Times New Roman" w:cs="Times New Roman"/>
                <w:b/>
                <w:sz w:val="20"/>
                <w:szCs w:val="20"/>
              </w:rPr>
            </w:pPr>
            <w:r w:rsidRPr="001D0846">
              <w:rPr>
                <w:rFonts w:ascii="Times New Roman" w:hAnsi="Times New Roman" w:cs="Times New Roman"/>
                <w:b/>
                <w:sz w:val="20"/>
                <w:szCs w:val="20"/>
              </w:rPr>
              <w:t>3151,1</w:t>
            </w:r>
          </w:p>
        </w:tc>
        <w:tc>
          <w:tcPr>
            <w:tcW w:w="1255" w:type="dxa"/>
            <w:shd w:val="clear" w:color="auto" w:fill="BDD6EE" w:themeFill="accent1" w:themeFillTint="66"/>
          </w:tcPr>
          <w:p w:rsidR="00714F5D" w:rsidRPr="001D0846" w:rsidRDefault="00714F5D" w:rsidP="008C5C6A">
            <w:pPr>
              <w:spacing w:line="276" w:lineRule="auto"/>
              <w:jc w:val="center"/>
              <w:rPr>
                <w:rFonts w:ascii="Times New Roman" w:hAnsi="Times New Roman" w:cs="Times New Roman"/>
                <w:b/>
                <w:sz w:val="20"/>
                <w:szCs w:val="20"/>
              </w:rPr>
            </w:pPr>
            <w:r w:rsidRPr="001D0846">
              <w:rPr>
                <w:rFonts w:ascii="Times New Roman" w:hAnsi="Times New Roman" w:cs="Times New Roman"/>
                <w:b/>
                <w:sz w:val="20"/>
                <w:szCs w:val="20"/>
              </w:rPr>
              <w:t>2554,3</w:t>
            </w:r>
          </w:p>
        </w:tc>
        <w:tc>
          <w:tcPr>
            <w:tcW w:w="1357" w:type="dxa"/>
            <w:shd w:val="clear" w:color="auto" w:fill="BDD6EE" w:themeFill="accent1" w:themeFillTint="66"/>
          </w:tcPr>
          <w:p w:rsidR="00714F5D" w:rsidRPr="001D0846" w:rsidRDefault="00714F5D" w:rsidP="008C5C6A">
            <w:pPr>
              <w:spacing w:line="276" w:lineRule="auto"/>
              <w:jc w:val="center"/>
              <w:rPr>
                <w:rFonts w:ascii="Times New Roman" w:hAnsi="Times New Roman" w:cs="Times New Roman"/>
                <w:b/>
                <w:sz w:val="20"/>
                <w:szCs w:val="20"/>
              </w:rPr>
            </w:pPr>
            <w:r w:rsidRPr="001D0846">
              <w:rPr>
                <w:rFonts w:ascii="Times New Roman" w:hAnsi="Times New Roman" w:cs="Times New Roman"/>
                <w:b/>
                <w:sz w:val="20"/>
                <w:szCs w:val="20"/>
              </w:rPr>
              <w:t>451,7</w:t>
            </w:r>
          </w:p>
        </w:tc>
        <w:tc>
          <w:tcPr>
            <w:tcW w:w="966" w:type="dxa"/>
            <w:shd w:val="clear" w:color="auto" w:fill="BDD6EE" w:themeFill="accent1" w:themeFillTint="66"/>
          </w:tcPr>
          <w:p w:rsidR="00714F5D" w:rsidRPr="001D0846" w:rsidRDefault="00714F5D" w:rsidP="008C5C6A">
            <w:pPr>
              <w:spacing w:line="276" w:lineRule="auto"/>
              <w:jc w:val="center"/>
              <w:rPr>
                <w:rFonts w:ascii="Times New Roman" w:hAnsi="Times New Roman" w:cs="Times New Roman"/>
                <w:b/>
                <w:sz w:val="20"/>
                <w:szCs w:val="20"/>
              </w:rPr>
            </w:pPr>
            <w:r w:rsidRPr="001D0846">
              <w:rPr>
                <w:rFonts w:ascii="Times New Roman" w:hAnsi="Times New Roman" w:cs="Times New Roman"/>
                <w:b/>
                <w:sz w:val="20"/>
                <w:szCs w:val="20"/>
              </w:rPr>
              <w:t>6157,1</w:t>
            </w:r>
          </w:p>
        </w:tc>
      </w:tr>
      <w:tr w:rsidR="00714F5D" w:rsidRPr="001D0846" w:rsidTr="008C5C6A">
        <w:tc>
          <w:tcPr>
            <w:tcW w:w="853" w:type="dxa"/>
          </w:tcPr>
          <w:p w:rsidR="00714F5D" w:rsidRPr="001D0846" w:rsidRDefault="00714F5D" w:rsidP="008C5C6A">
            <w:pPr>
              <w:spacing w:line="276" w:lineRule="auto"/>
              <w:ind w:left="360"/>
              <w:jc w:val="center"/>
              <w:rPr>
                <w:rFonts w:ascii="Times New Roman" w:hAnsi="Times New Roman" w:cs="Times New Roman"/>
                <w:b/>
                <w:sz w:val="20"/>
                <w:szCs w:val="20"/>
              </w:rPr>
            </w:pPr>
            <w:r w:rsidRPr="001D0846">
              <w:rPr>
                <w:rFonts w:ascii="Times New Roman" w:hAnsi="Times New Roman" w:cs="Times New Roman"/>
                <w:b/>
                <w:sz w:val="20"/>
                <w:szCs w:val="20"/>
              </w:rPr>
              <w:t>2.1</w:t>
            </w:r>
          </w:p>
        </w:tc>
        <w:tc>
          <w:tcPr>
            <w:tcW w:w="3669" w:type="dxa"/>
          </w:tcPr>
          <w:p w:rsidR="00714F5D" w:rsidRPr="001D0846" w:rsidRDefault="00714F5D" w:rsidP="008C5C6A">
            <w:pPr>
              <w:spacing w:line="276" w:lineRule="auto"/>
              <w:jc w:val="both"/>
              <w:rPr>
                <w:rFonts w:ascii="Times New Roman" w:hAnsi="Times New Roman" w:cs="Times New Roman"/>
                <w:sz w:val="20"/>
                <w:szCs w:val="20"/>
              </w:rPr>
            </w:pPr>
            <w:r w:rsidRPr="001D0846">
              <w:rPr>
                <w:rFonts w:ascii="Times New Roman" w:hAnsi="Times New Roman" w:cs="Times New Roman"/>
                <w:sz w:val="20"/>
                <w:szCs w:val="20"/>
              </w:rPr>
              <w:t>Bunuri comercializate prin intermediul Comisiei permanente</w:t>
            </w:r>
          </w:p>
        </w:tc>
        <w:tc>
          <w:tcPr>
            <w:tcW w:w="1255" w:type="dxa"/>
          </w:tcPr>
          <w:p w:rsidR="00714F5D" w:rsidRPr="001D0846" w:rsidRDefault="00714F5D" w:rsidP="008C5C6A">
            <w:pPr>
              <w:spacing w:line="276" w:lineRule="auto"/>
              <w:jc w:val="center"/>
              <w:rPr>
                <w:rFonts w:ascii="Times New Roman" w:hAnsi="Times New Roman" w:cs="Times New Roman"/>
                <w:sz w:val="20"/>
                <w:szCs w:val="20"/>
              </w:rPr>
            </w:pPr>
            <w:r w:rsidRPr="001D0846">
              <w:rPr>
                <w:rFonts w:ascii="Times New Roman" w:hAnsi="Times New Roman" w:cs="Times New Roman"/>
                <w:sz w:val="20"/>
                <w:szCs w:val="20"/>
              </w:rPr>
              <w:t>3144,0</w:t>
            </w:r>
          </w:p>
        </w:tc>
        <w:tc>
          <w:tcPr>
            <w:tcW w:w="1255" w:type="dxa"/>
          </w:tcPr>
          <w:p w:rsidR="00714F5D" w:rsidRPr="001D0846" w:rsidRDefault="00714F5D" w:rsidP="008C5C6A">
            <w:pPr>
              <w:spacing w:line="276" w:lineRule="auto"/>
              <w:jc w:val="center"/>
              <w:rPr>
                <w:rFonts w:ascii="Times New Roman" w:hAnsi="Times New Roman" w:cs="Times New Roman"/>
                <w:sz w:val="20"/>
                <w:szCs w:val="20"/>
              </w:rPr>
            </w:pPr>
            <w:r w:rsidRPr="001D0846">
              <w:rPr>
                <w:rFonts w:ascii="Times New Roman" w:hAnsi="Times New Roman" w:cs="Times New Roman"/>
                <w:sz w:val="20"/>
                <w:szCs w:val="20"/>
              </w:rPr>
              <w:t>1475,5</w:t>
            </w:r>
          </w:p>
        </w:tc>
        <w:tc>
          <w:tcPr>
            <w:tcW w:w="1357" w:type="dxa"/>
          </w:tcPr>
          <w:p w:rsidR="00714F5D" w:rsidRPr="001D0846" w:rsidRDefault="00714F5D" w:rsidP="008C5C6A">
            <w:pPr>
              <w:spacing w:line="276" w:lineRule="auto"/>
              <w:jc w:val="center"/>
              <w:rPr>
                <w:rFonts w:ascii="Times New Roman" w:hAnsi="Times New Roman" w:cs="Times New Roman"/>
                <w:sz w:val="20"/>
                <w:szCs w:val="20"/>
              </w:rPr>
            </w:pPr>
            <w:r w:rsidRPr="001D0846">
              <w:rPr>
                <w:rFonts w:ascii="Times New Roman" w:hAnsi="Times New Roman" w:cs="Times New Roman"/>
                <w:sz w:val="20"/>
                <w:szCs w:val="20"/>
              </w:rPr>
              <w:t>451,7</w:t>
            </w:r>
          </w:p>
        </w:tc>
        <w:tc>
          <w:tcPr>
            <w:tcW w:w="966" w:type="dxa"/>
          </w:tcPr>
          <w:p w:rsidR="00714F5D" w:rsidRPr="001D0846" w:rsidRDefault="00714F5D" w:rsidP="008C5C6A">
            <w:pPr>
              <w:spacing w:line="276" w:lineRule="auto"/>
              <w:jc w:val="center"/>
              <w:rPr>
                <w:rFonts w:ascii="Times New Roman" w:hAnsi="Times New Roman" w:cs="Times New Roman"/>
                <w:sz w:val="20"/>
                <w:szCs w:val="20"/>
              </w:rPr>
            </w:pPr>
            <w:r w:rsidRPr="001D0846">
              <w:rPr>
                <w:rFonts w:ascii="Times New Roman" w:hAnsi="Times New Roman" w:cs="Times New Roman"/>
                <w:sz w:val="20"/>
                <w:szCs w:val="20"/>
              </w:rPr>
              <w:t>5071,2</w:t>
            </w:r>
          </w:p>
        </w:tc>
      </w:tr>
      <w:tr w:rsidR="00714F5D" w:rsidRPr="001D0846" w:rsidTr="008C5C6A">
        <w:tc>
          <w:tcPr>
            <w:tcW w:w="853" w:type="dxa"/>
          </w:tcPr>
          <w:p w:rsidR="00714F5D" w:rsidRPr="001D0846" w:rsidRDefault="00714F5D" w:rsidP="008C5C6A">
            <w:pPr>
              <w:spacing w:line="276" w:lineRule="auto"/>
              <w:ind w:left="360"/>
              <w:jc w:val="center"/>
              <w:rPr>
                <w:rFonts w:ascii="Times New Roman" w:hAnsi="Times New Roman" w:cs="Times New Roman"/>
                <w:b/>
                <w:sz w:val="20"/>
                <w:szCs w:val="20"/>
              </w:rPr>
            </w:pPr>
            <w:r w:rsidRPr="001D0846">
              <w:rPr>
                <w:rFonts w:ascii="Times New Roman" w:hAnsi="Times New Roman" w:cs="Times New Roman"/>
                <w:b/>
                <w:sz w:val="20"/>
                <w:szCs w:val="20"/>
              </w:rPr>
              <w:t>2.2</w:t>
            </w:r>
          </w:p>
        </w:tc>
        <w:tc>
          <w:tcPr>
            <w:tcW w:w="3669" w:type="dxa"/>
          </w:tcPr>
          <w:p w:rsidR="00714F5D" w:rsidRPr="001D0846" w:rsidRDefault="00714F5D" w:rsidP="008C5C6A">
            <w:pPr>
              <w:spacing w:line="276" w:lineRule="auto"/>
              <w:jc w:val="both"/>
              <w:rPr>
                <w:rFonts w:ascii="Times New Roman" w:hAnsi="Times New Roman" w:cs="Times New Roman"/>
                <w:sz w:val="20"/>
                <w:szCs w:val="20"/>
              </w:rPr>
            </w:pPr>
            <w:r w:rsidRPr="001D0846">
              <w:rPr>
                <w:rFonts w:ascii="Times New Roman" w:hAnsi="Times New Roman" w:cs="Times New Roman"/>
                <w:sz w:val="20"/>
                <w:szCs w:val="20"/>
              </w:rPr>
              <w:t>Bunuri comercializate prin BUMM</w:t>
            </w:r>
          </w:p>
        </w:tc>
        <w:tc>
          <w:tcPr>
            <w:tcW w:w="1255" w:type="dxa"/>
          </w:tcPr>
          <w:p w:rsidR="00714F5D" w:rsidRPr="001D0846" w:rsidRDefault="00714F5D" w:rsidP="008C5C6A">
            <w:pPr>
              <w:spacing w:line="276" w:lineRule="auto"/>
              <w:jc w:val="center"/>
              <w:rPr>
                <w:rFonts w:ascii="Times New Roman" w:hAnsi="Times New Roman" w:cs="Times New Roman"/>
                <w:sz w:val="20"/>
                <w:szCs w:val="20"/>
              </w:rPr>
            </w:pPr>
            <w:r w:rsidRPr="001D0846">
              <w:rPr>
                <w:rFonts w:ascii="Times New Roman" w:hAnsi="Times New Roman" w:cs="Times New Roman"/>
                <w:sz w:val="20"/>
                <w:szCs w:val="20"/>
              </w:rPr>
              <w:t>6,6</w:t>
            </w:r>
          </w:p>
        </w:tc>
        <w:tc>
          <w:tcPr>
            <w:tcW w:w="1255" w:type="dxa"/>
          </w:tcPr>
          <w:p w:rsidR="00714F5D" w:rsidRPr="001D0846" w:rsidRDefault="00714F5D" w:rsidP="008C5C6A">
            <w:pPr>
              <w:spacing w:line="276" w:lineRule="auto"/>
              <w:jc w:val="center"/>
              <w:rPr>
                <w:rFonts w:ascii="Times New Roman" w:hAnsi="Times New Roman" w:cs="Times New Roman"/>
                <w:sz w:val="20"/>
                <w:szCs w:val="20"/>
              </w:rPr>
            </w:pPr>
            <w:r w:rsidRPr="001D0846">
              <w:rPr>
                <w:rFonts w:ascii="Times New Roman" w:hAnsi="Times New Roman" w:cs="Times New Roman"/>
                <w:sz w:val="20"/>
                <w:szCs w:val="20"/>
              </w:rPr>
              <w:t>1078,2</w:t>
            </w:r>
          </w:p>
        </w:tc>
        <w:tc>
          <w:tcPr>
            <w:tcW w:w="1357" w:type="dxa"/>
          </w:tcPr>
          <w:p w:rsidR="00714F5D" w:rsidRPr="001D0846" w:rsidRDefault="00714F5D" w:rsidP="008C5C6A">
            <w:pPr>
              <w:spacing w:line="276" w:lineRule="auto"/>
              <w:jc w:val="center"/>
              <w:rPr>
                <w:rFonts w:ascii="Times New Roman" w:hAnsi="Times New Roman" w:cs="Times New Roman"/>
                <w:sz w:val="20"/>
                <w:szCs w:val="20"/>
              </w:rPr>
            </w:pPr>
            <w:r w:rsidRPr="001D0846">
              <w:rPr>
                <w:rFonts w:ascii="Times New Roman" w:hAnsi="Times New Roman" w:cs="Times New Roman"/>
                <w:sz w:val="20"/>
                <w:szCs w:val="20"/>
              </w:rPr>
              <w:t>0,0</w:t>
            </w:r>
          </w:p>
        </w:tc>
        <w:tc>
          <w:tcPr>
            <w:tcW w:w="966" w:type="dxa"/>
          </w:tcPr>
          <w:p w:rsidR="00714F5D" w:rsidRPr="001D0846" w:rsidRDefault="00714F5D" w:rsidP="008C5C6A">
            <w:pPr>
              <w:spacing w:line="276" w:lineRule="auto"/>
              <w:jc w:val="center"/>
              <w:rPr>
                <w:rFonts w:ascii="Times New Roman" w:hAnsi="Times New Roman" w:cs="Times New Roman"/>
                <w:sz w:val="20"/>
                <w:szCs w:val="20"/>
              </w:rPr>
            </w:pPr>
            <w:r w:rsidRPr="001D0846">
              <w:rPr>
                <w:rFonts w:ascii="Times New Roman" w:hAnsi="Times New Roman" w:cs="Times New Roman"/>
                <w:sz w:val="20"/>
                <w:szCs w:val="20"/>
              </w:rPr>
              <w:t>1084,8</w:t>
            </w:r>
          </w:p>
        </w:tc>
      </w:tr>
      <w:tr w:rsidR="00714F5D" w:rsidRPr="001D0846" w:rsidTr="008C5C6A">
        <w:tc>
          <w:tcPr>
            <w:tcW w:w="853" w:type="dxa"/>
          </w:tcPr>
          <w:p w:rsidR="00714F5D" w:rsidRPr="001D0846" w:rsidRDefault="00714F5D" w:rsidP="008C5C6A">
            <w:pPr>
              <w:spacing w:line="276" w:lineRule="auto"/>
              <w:ind w:left="360"/>
              <w:jc w:val="center"/>
              <w:rPr>
                <w:rFonts w:ascii="Times New Roman" w:hAnsi="Times New Roman" w:cs="Times New Roman"/>
                <w:b/>
                <w:sz w:val="20"/>
                <w:szCs w:val="20"/>
              </w:rPr>
            </w:pPr>
            <w:r w:rsidRPr="001D0846">
              <w:rPr>
                <w:rFonts w:ascii="Times New Roman" w:hAnsi="Times New Roman" w:cs="Times New Roman"/>
                <w:b/>
                <w:sz w:val="20"/>
                <w:szCs w:val="20"/>
              </w:rPr>
              <w:t>2.3</w:t>
            </w:r>
          </w:p>
        </w:tc>
        <w:tc>
          <w:tcPr>
            <w:tcW w:w="3669" w:type="dxa"/>
          </w:tcPr>
          <w:p w:rsidR="00714F5D" w:rsidRPr="001D0846" w:rsidRDefault="00714F5D" w:rsidP="008C5C6A">
            <w:pPr>
              <w:spacing w:line="276" w:lineRule="auto"/>
              <w:jc w:val="both"/>
              <w:rPr>
                <w:rFonts w:ascii="Times New Roman" w:hAnsi="Times New Roman" w:cs="Times New Roman"/>
                <w:sz w:val="20"/>
                <w:szCs w:val="20"/>
              </w:rPr>
            </w:pPr>
            <w:r w:rsidRPr="001D0846">
              <w:rPr>
                <w:rFonts w:ascii="Times New Roman" w:hAnsi="Times New Roman" w:cs="Times New Roman"/>
                <w:sz w:val="20"/>
                <w:szCs w:val="20"/>
              </w:rPr>
              <w:t xml:space="preserve">Bunuri comercializate </w:t>
            </w:r>
            <w:r w:rsidRPr="00E330C1">
              <w:rPr>
                <w:rFonts w:ascii="Times New Roman" w:hAnsi="Times New Roman" w:cs="Times New Roman"/>
                <w:sz w:val="20"/>
                <w:szCs w:val="20"/>
              </w:rPr>
              <w:t>prin APP</w:t>
            </w:r>
          </w:p>
        </w:tc>
        <w:tc>
          <w:tcPr>
            <w:tcW w:w="1255" w:type="dxa"/>
          </w:tcPr>
          <w:p w:rsidR="00714F5D" w:rsidRPr="001D0846" w:rsidRDefault="00714F5D" w:rsidP="008C5C6A">
            <w:pPr>
              <w:spacing w:line="276" w:lineRule="auto"/>
              <w:jc w:val="center"/>
              <w:rPr>
                <w:rFonts w:ascii="Times New Roman" w:hAnsi="Times New Roman" w:cs="Times New Roman"/>
                <w:sz w:val="20"/>
                <w:szCs w:val="20"/>
              </w:rPr>
            </w:pPr>
            <w:r w:rsidRPr="001D0846">
              <w:rPr>
                <w:rFonts w:ascii="Times New Roman" w:hAnsi="Times New Roman" w:cs="Times New Roman"/>
                <w:sz w:val="20"/>
                <w:szCs w:val="20"/>
              </w:rPr>
              <w:t>0,0</w:t>
            </w:r>
          </w:p>
        </w:tc>
        <w:tc>
          <w:tcPr>
            <w:tcW w:w="1255" w:type="dxa"/>
          </w:tcPr>
          <w:p w:rsidR="00714F5D" w:rsidRPr="001D0846" w:rsidRDefault="00714F5D" w:rsidP="008C5C6A">
            <w:pPr>
              <w:spacing w:line="276" w:lineRule="auto"/>
              <w:jc w:val="center"/>
              <w:rPr>
                <w:rFonts w:ascii="Times New Roman" w:hAnsi="Times New Roman" w:cs="Times New Roman"/>
                <w:sz w:val="20"/>
                <w:szCs w:val="20"/>
              </w:rPr>
            </w:pPr>
            <w:r w:rsidRPr="001D0846">
              <w:rPr>
                <w:rFonts w:ascii="Times New Roman" w:hAnsi="Times New Roman" w:cs="Times New Roman"/>
                <w:sz w:val="20"/>
                <w:szCs w:val="20"/>
              </w:rPr>
              <w:t>0,0</w:t>
            </w:r>
          </w:p>
        </w:tc>
        <w:tc>
          <w:tcPr>
            <w:tcW w:w="1357" w:type="dxa"/>
          </w:tcPr>
          <w:p w:rsidR="00714F5D" w:rsidRPr="001D0846" w:rsidRDefault="00714F5D" w:rsidP="008C5C6A">
            <w:pPr>
              <w:spacing w:line="276" w:lineRule="auto"/>
              <w:jc w:val="center"/>
              <w:rPr>
                <w:rFonts w:ascii="Times New Roman" w:hAnsi="Times New Roman" w:cs="Times New Roman"/>
                <w:sz w:val="20"/>
                <w:szCs w:val="20"/>
              </w:rPr>
            </w:pPr>
            <w:r w:rsidRPr="001D0846">
              <w:rPr>
                <w:rFonts w:ascii="Times New Roman" w:hAnsi="Times New Roman" w:cs="Times New Roman"/>
                <w:sz w:val="20"/>
                <w:szCs w:val="20"/>
              </w:rPr>
              <w:t>0,0</w:t>
            </w:r>
          </w:p>
        </w:tc>
        <w:tc>
          <w:tcPr>
            <w:tcW w:w="966" w:type="dxa"/>
          </w:tcPr>
          <w:p w:rsidR="00714F5D" w:rsidRPr="001D0846" w:rsidRDefault="00714F5D" w:rsidP="008C5C6A">
            <w:pPr>
              <w:spacing w:line="276" w:lineRule="auto"/>
              <w:jc w:val="center"/>
              <w:rPr>
                <w:rFonts w:ascii="Times New Roman" w:hAnsi="Times New Roman" w:cs="Times New Roman"/>
                <w:sz w:val="20"/>
                <w:szCs w:val="20"/>
              </w:rPr>
            </w:pPr>
            <w:r w:rsidRPr="001D0846">
              <w:rPr>
                <w:rFonts w:ascii="Times New Roman" w:hAnsi="Times New Roman" w:cs="Times New Roman"/>
                <w:sz w:val="20"/>
                <w:szCs w:val="20"/>
              </w:rPr>
              <w:t>0,0</w:t>
            </w:r>
          </w:p>
        </w:tc>
      </w:tr>
      <w:tr w:rsidR="00714F5D" w:rsidRPr="001D0846" w:rsidTr="008C5C6A">
        <w:tc>
          <w:tcPr>
            <w:tcW w:w="853" w:type="dxa"/>
          </w:tcPr>
          <w:p w:rsidR="00714F5D" w:rsidRPr="001D0846" w:rsidRDefault="00714F5D" w:rsidP="008C5C6A">
            <w:pPr>
              <w:spacing w:line="276" w:lineRule="auto"/>
              <w:ind w:left="360"/>
              <w:jc w:val="center"/>
              <w:rPr>
                <w:rFonts w:ascii="Times New Roman" w:hAnsi="Times New Roman" w:cs="Times New Roman"/>
                <w:b/>
                <w:sz w:val="20"/>
                <w:szCs w:val="20"/>
              </w:rPr>
            </w:pPr>
            <w:r w:rsidRPr="001D0846">
              <w:rPr>
                <w:rFonts w:ascii="Times New Roman" w:hAnsi="Times New Roman" w:cs="Times New Roman"/>
                <w:b/>
                <w:sz w:val="20"/>
                <w:szCs w:val="20"/>
              </w:rPr>
              <w:t>2.4</w:t>
            </w:r>
          </w:p>
        </w:tc>
        <w:tc>
          <w:tcPr>
            <w:tcW w:w="3669" w:type="dxa"/>
          </w:tcPr>
          <w:p w:rsidR="00714F5D" w:rsidRPr="001D0846" w:rsidRDefault="00714F5D" w:rsidP="008C5C6A">
            <w:pPr>
              <w:spacing w:line="276" w:lineRule="auto"/>
              <w:jc w:val="both"/>
              <w:rPr>
                <w:rFonts w:ascii="Times New Roman" w:hAnsi="Times New Roman" w:cs="Times New Roman"/>
                <w:sz w:val="20"/>
                <w:szCs w:val="20"/>
              </w:rPr>
            </w:pPr>
            <w:r w:rsidRPr="001D0846">
              <w:rPr>
                <w:rFonts w:ascii="Times New Roman" w:hAnsi="Times New Roman" w:cs="Times New Roman"/>
                <w:sz w:val="20"/>
                <w:szCs w:val="20"/>
              </w:rPr>
              <w:t xml:space="preserve">Bunuri comercializate cu valoarea mai mică de 10 000 lei </w:t>
            </w:r>
          </w:p>
        </w:tc>
        <w:tc>
          <w:tcPr>
            <w:tcW w:w="1255" w:type="dxa"/>
          </w:tcPr>
          <w:p w:rsidR="00714F5D" w:rsidRPr="001D0846" w:rsidRDefault="00714F5D" w:rsidP="008C5C6A">
            <w:pPr>
              <w:spacing w:line="276" w:lineRule="auto"/>
              <w:jc w:val="center"/>
              <w:rPr>
                <w:rFonts w:ascii="Times New Roman" w:hAnsi="Times New Roman" w:cs="Times New Roman"/>
                <w:sz w:val="20"/>
                <w:szCs w:val="20"/>
              </w:rPr>
            </w:pPr>
            <w:r w:rsidRPr="001D0846">
              <w:rPr>
                <w:rFonts w:ascii="Times New Roman" w:hAnsi="Times New Roman" w:cs="Times New Roman"/>
                <w:sz w:val="20"/>
                <w:szCs w:val="20"/>
              </w:rPr>
              <w:t>0,5</w:t>
            </w:r>
          </w:p>
        </w:tc>
        <w:tc>
          <w:tcPr>
            <w:tcW w:w="1255" w:type="dxa"/>
          </w:tcPr>
          <w:p w:rsidR="00714F5D" w:rsidRPr="001D0846" w:rsidRDefault="00714F5D" w:rsidP="008C5C6A">
            <w:pPr>
              <w:spacing w:line="276" w:lineRule="auto"/>
              <w:jc w:val="center"/>
              <w:rPr>
                <w:rFonts w:ascii="Times New Roman" w:hAnsi="Times New Roman" w:cs="Times New Roman"/>
                <w:sz w:val="20"/>
                <w:szCs w:val="20"/>
              </w:rPr>
            </w:pPr>
            <w:r w:rsidRPr="001D0846">
              <w:rPr>
                <w:rFonts w:ascii="Times New Roman" w:hAnsi="Times New Roman" w:cs="Times New Roman"/>
                <w:sz w:val="20"/>
                <w:szCs w:val="20"/>
              </w:rPr>
              <w:t>0,6</w:t>
            </w:r>
          </w:p>
        </w:tc>
        <w:tc>
          <w:tcPr>
            <w:tcW w:w="1357" w:type="dxa"/>
          </w:tcPr>
          <w:p w:rsidR="00714F5D" w:rsidRPr="001D0846" w:rsidRDefault="00714F5D" w:rsidP="008C5C6A">
            <w:pPr>
              <w:spacing w:line="276" w:lineRule="auto"/>
              <w:jc w:val="center"/>
              <w:rPr>
                <w:rFonts w:ascii="Times New Roman" w:hAnsi="Times New Roman" w:cs="Times New Roman"/>
                <w:sz w:val="20"/>
                <w:szCs w:val="20"/>
              </w:rPr>
            </w:pPr>
            <w:r w:rsidRPr="001D0846">
              <w:rPr>
                <w:rFonts w:ascii="Times New Roman" w:hAnsi="Times New Roman" w:cs="Times New Roman"/>
                <w:sz w:val="20"/>
                <w:szCs w:val="20"/>
              </w:rPr>
              <w:t>0,0</w:t>
            </w:r>
          </w:p>
        </w:tc>
        <w:tc>
          <w:tcPr>
            <w:tcW w:w="966" w:type="dxa"/>
          </w:tcPr>
          <w:p w:rsidR="00714F5D" w:rsidRPr="001D0846" w:rsidRDefault="00714F5D" w:rsidP="008C5C6A">
            <w:pPr>
              <w:spacing w:line="276" w:lineRule="auto"/>
              <w:jc w:val="center"/>
              <w:rPr>
                <w:rFonts w:ascii="Times New Roman" w:hAnsi="Times New Roman" w:cs="Times New Roman"/>
                <w:sz w:val="20"/>
                <w:szCs w:val="20"/>
              </w:rPr>
            </w:pPr>
            <w:r w:rsidRPr="001D0846">
              <w:rPr>
                <w:rFonts w:ascii="Times New Roman" w:hAnsi="Times New Roman" w:cs="Times New Roman"/>
                <w:sz w:val="20"/>
                <w:szCs w:val="20"/>
              </w:rPr>
              <w:t>1,1</w:t>
            </w:r>
          </w:p>
        </w:tc>
      </w:tr>
    </w:tbl>
    <w:p w:rsidR="00714F5D" w:rsidRPr="001D0846" w:rsidRDefault="00714F5D" w:rsidP="00714F5D">
      <w:pPr>
        <w:spacing w:after="0" w:line="276" w:lineRule="auto"/>
        <w:jc w:val="both"/>
        <w:rPr>
          <w:rFonts w:ascii="Times New Roman" w:hAnsi="Times New Roman" w:cs="Times New Roman"/>
          <w:i/>
          <w:sz w:val="20"/>
          <w:szCs w:val="20"/>
        </w:rPr>
      </w:pPr>
      <w:r w:rsidRPr="001D0846">
        <w:rPr>
          <w:rFonts w:ascii="Times New Roman" w:hAnsi="Times New Roman" w:cs="Times New Roman"/>
          <w:b/>
          <w:i/>
          <w:sz w:val="20"/>
          <w:szCs w:val="20"/>
        </w:rPr>
        <w:t>Sursă:</w:t>
      </w:r>
      <w:r w:rsidRPr="001D0846">
        <w:rPr>
          <w:rFonts w:ascii="Times New Roman" w:hAnsi="Times New Roman" w:cs="Times New Roman"/>
          <w:i/>
          <w:sz w:val="20"/>
          <w:szCs w:val="20"/>
        </w:rPr>
        <w:t xml:space="preserve"> Informația privind rezultatele comercializării bunurilor sechestrate a DGAF (Forma 8SF).</w:t>
      </w:r>
    </w:p>
    <w:p w:rsidR="00714F5D" w:rsidRPr="001D0846" w:rsidRDefault="00714F5D" w:rsidP="00714F5D">
      <w:pPr>
        <w:spacing w:after="0" w:line="276" w:lineRule="auto"/>
        <w:jc w:val="both"/>
        <w:rPr>
          <w:rFonts w:ascii="Times New Roman" w:hAnsi="Times New Roman" w:cs="Times New Roman"/>
          <w:i/>
          <w:sz w:val="20"/>
          <w:szCs w:val="20"/>
        </w:rPr>
      </w:pPr>
    </w:p>
    <w:p w:rsidR="00714F5D" w:rsidRPr="001D0846" w:rsidRDefault="00714F5D" w:rsidP="00714F5D">
      <w:pPr>
        <w:spacing w:after="0" w:line="276" w:lineRule="auto"/>
        <w:rPr>
          <w:rFonts w:ascii="Times New Roman" w:eastAsia="Times New Roman" w:hAnsi="Times New Roman" w:cs="Times New Roman"/>
          <w:b/>
          <w:i/>
          <w:sz w:val="28"/>
          <w:szCs w:val="28"/>
        </w:rPr>
      </w:pPr>
    </w:p>
    <w:p w:rsidR="00714F5D" w:rsidRPr="001D0846" w:rsidRDefault="00714F5D" w:rsidP="00714F5D">
      <w:pPr>
        <w:spacing w:after="0" w:line="240" w:lineRule="auto"/>
        <w:jc w:val="right"/>
        <w:rPr>
          <w:rFonts w:ascii="Times New Roman" w:eastAsia="Times New Roman" w:hAnsi="Times New Roman" w:cs="Times New Roman"/>
          <w:b/>
          <w:i/>
          <w:sz w:val="28"/>
          <w:szCs w:val="28"/>
        </w:rPr>
      </w:pPr>
      <w:r w:rsidRPr="001D0846">
        <w:rPr>
          <w:rFonts w:ascii="Times New Roman" w:eastAsia="Times New Roman" w:hAnsi="Times New Roman" w:cs="Times New Roman"/>
          <w:b/>
          <w:i/>
          <w:sz w:val="28"/>
          <w:szCs w:val="28"/>
        </w:rPr>
        <w:t>Tabelul nr.1</w:t>
      </w:r>
      <w:r>
        <w:rPr>
          <w:rFonts w:ascii="Times New Roman" w:eastAsia="Times New Roman" w:hAnsi="Times New Roman" w:cs="Times New Roman"/>
          <w:b/>
          <w:i/>
          <w:sz w:val="28"/>
          <w:szCs w:val="28"/>
        </w:rPr>
        <w:t>8</w:t>
      </w:r>
    </w:p>
    <w:p w:rsidR="00714F5D" w:rsidRDefault="00714F5D" w:rsidP="00714F5D">
      <w:pPr>
        <w:spacing w:after="0" w:line="240" w:lineRule="auto"/>
        <w:jc w:val="center"/>
        <w:rPr>
          <w:rFonts w:ascii="Times New Roman" w:eastAsia="Times New Roman" w:hAnsi="Times New Roman" w:cs="Times New Roman"/>
          <w:i/>
          <w:sz w:val="28"/>
          <w:szCs w:val="28"/>
        </w:rPr>
      </w:pPr>
      <w:r w:rsidRPr="001D0846">
        <w:rPr>
          <w:rFonts w:ascii="Times New Roman" w:eastAsia="Times New Roman" w:hAnsi="Times New Roman" w:cs="Times New Roman"/>
          <w:i/>
          <w:sz w:val="28"/>
          <w:szCs w:val="28"/>
        </w:rPr>
        <w:t>Informația privind evoluția restanțelor la BS administrate de SV pentru</w:t>
      </w:r>
      <w:r>
        <w:rPr>
          <w:rFonts w:ascii="Times New Roman" w:eastAsia="Times New Roman" w:hAnsi="Times New Roman" w:cs="Times New Roman"/>
          <w:i/>
          <w:sz w:val="28"/>
          <w:szCs w:val="28"/>
        </w:rPr>
        <w:t xml:space="preserve"> perioada</w:t>
      </w:r>
    </w:p>
    <w:p w:rsidR="00714F5D" w:rsidRPr="001D0846" w:rsidRDefault="00714F5D" w:rsidP="00714F5D">
      <w:pPr>
        <w:spacing w:after="0" w:line="240" w:lineRule="auto"/>
        <w:jc w:val="center"/>
        <w:rPr>
          <w:rFonts w:ascii="Times New Roman" w:eastAsia="Times New Roman" w:hAnsi="Times New Roman" w:cs="Times New Roman"/>
          <w:b/>
          <w:i/>
          <w:sz w:val="28"/>
          <w:szCs w:val="28"/>
        </w:rPr>
      </w:pPr>
      <w:r w:rsidRPr="001D0846">
        <w:rPr>
          <w:rFonts w:ascii="Times New Roman" w:eastAsia="Times New Roman" w:hAnsi="Times New Roman" w:cs="Times New Roman"/>
          <w:i/>
          <w:sz w:val="28"/>
          <w:szCs w:val="28"/>
        </w:rPr>
        <w:t>2015-2017</w:t>
      </w:r>
    </w:p>
    <w:p w:rsidR="00714F5D" w:rsidRPr="00E76097" w:rsidRDefault="00714F5D" w:rsidP="00714F5D">
      <w:pPr>
        <w:pStyle w:val="NormalWeb"/>
        <w:spacing w:after="0" w:line="240" w:lineRule="auto"/>
        <w:jc w:val="right"/>
        <w:rPr>
          <w:i/>
          <w:sz w:val="28"/>
          <w:szCs w:val="28"/>
        </w:rPr>
      </w:pPr>
      <w:r w:rsidRPr="00E76097">
        <w:rPr>
          <w:i/>
          <w:sz w:val="28"/>
          <w:szCs w:val="28"/>
        </w:rPr>
        <w:t xml:space="preserve">                                                                                                       (mil.lei)</w:t>
      </w:r>
    </w:p>
    <w:tbl>
      <w:tblPr>
        <w:tblStyle w:val="TableGrid"/>
        <w:tblW w:w="0" w:type="auto"/>
        <w:tblLook w:val="04A0"/>
      </w:tblPr>
      <w:tblGrid>
        <w:gridCol w:w="697"/>
        <w:gridCol w:w="662"/>
        <w:gridCol w:w="847"/>
        <w:gridCol w:w="661"/>
        <w:gridCol w:w="847"/>
        <w:gridCol w:w="655"/>
        <w:gridCol w:w="847"/>
        <w:gridCol w:w="655"/>
        <w:gridCol w:w="847"/>
        <w:gridCol w:w="655"/>
        <w:gridCol w:w="847"/>
        <w:gridCol w:w="655"/>
        <w:gridCol w:w="716"/>
      </w:tblGrid>
      <w:tr w:rsidR="00714F5D" w:rsidRPr="001D0846" w:rsidTr="008C5C6A">
        <w:trPr>
          <w:trHeight w:val="300"/>
        </w:trPr>
        <w:tc>
          <w:tcPr>
            <w:tcW w:w="723" w:type="dxa"/>
            <w:vMerge w:val="restart"/>
          </w:tcPr>
          <w:p w:rsidR="00714F5D" w:rsidRPr="001D0846" w:rsidRDefault="00714F5D" w:rsidP="008C5C6A">
            <w:pPr>
              <w:pStyle w:val="NormalWeb"/>
              <w:spacing w:line="276" w:lineRule="auto"/>
              <w:rPr>
                <w:b/>
                <w:sz w:val="18"/>
                <w:szCs w:val="18"/>
              </w:rPr>
            </w:pPr>
            <w:r w:rsidRPr="001D0846">
              <w:rPr>
                <w:b/>
                <w:sz w:val="18"/>
                <w:szCs w:val="18"/>
              </w:rPr>
              <w:t>Anul</w:t>
            </w:r>
          </w:p>
        </w:tc>
        <w:tc>
          <w:tcPr>
            <w:tcW w:w="1555" w:type="dxa"/>
            <w:gridSpan w:val="2"/>
          </w:tcPr>
          <w:p w:rsidR="00714F5D" w:rsidRPr="001D0846" w:rsidRDefault="00714F5D" w:rsidP="0075307B">
            <w:pPr>
              <w:pStyle w:val="NormalWeb"/>
              <w:spacing w:line="276" w:lineRule="auto"/>
              <w:jc w:val="center"/>
              <w:rPr>
                <w:b/>
                <w:sz w:val="18"/>
                <w:szCs w:val="18"/>
              </w:rPr>
            </w:pPr>
            <w:r w:rsidRPr="001D0846">
              <w:rPr>
                <w:b/>
                <w:sz w:val="18"/>
                <w:szCs w:val="18"/>
              </w:rPr>
              <w:t xml:space="preserve">Total </w:t>
            </w:r>
            <w:r w:rsidR="0075307B">
              <w:rPr>
                <w:b/>
                <w:sz w:val="18"/>
                <w:szCs w:val="18"/>
              </w:rPr>
              <w:t>restanțe</w:t>
            </w:r>
          </w:p>
        </w:tc>
        <w:tc>
          <w:tcPr>
            <w:tcW w:w="1555" w:type="dxa"/>
            <w:gridSpan w:val="2"/>
          </w:tcPr>
          <w:p w:rsidR="00714F5D" w:rsidRPr="001D0846" w:rsidRDefault="00714F5D" w:rsidP="008C5C6A">
            <w:pPr>
              <w:pStyle w:val="NormalWeb"/>
              <w:spacing w:line="276" w:lineRule="auto"/>
              <w:jc w:val="center"/>
              <w:rPr>
                <w:b/>
                <w:sz w:val="18"/>
                <w:szCs w:val="18"/>
              </w:rPr>
            </w:pPr>
            <w:r w:rsidRPr="001D0846">
              <w:rPr>
                <w:b/>
                <w:sz w:val="18"/>
                <w:szCs w:val="18"/>
              </w:rPr>
              <w:t>TVA</w:t>
            </w:r>
          </w:p>
        </w:tc>
        <w:tc>
          <w:tcPr>
            <w:tcW w:w="1554" w:type="dxa"/>
            <w:gridSpan w:val="2"/>
          </w:tcPr>
          <w:p w:rsidR="00714F5D" w:rsidRPr="001D0846" w:rsidRDefault="00714F5D" w:rsidP="008C5C6A">
            <w:pPr>
              <w:pStyle w:val="NormalWeb"/>
              <w:spacing w:line="276" w:lineRule="auto"/>
              <w:jc w:val="center"/>
              <w:rPr>
                <w:b/>
                <w:sz w:val="18"/>
                <w:szCs w:val="18"/>
              </w:rPr>
            </w:pPr>
            <w:r w:rsidRPr="001D0846">
              <w:rPr>
                <w:b/>
                <w:sz w:val="18"/>
                <w:szCs w:val="18"/>
              </w:rPr>
              <w:t>Accize</w:t>
            </w:r>
          </w:p>
        </w:tc>
        <w:tc>
          <w:tcPr>
            <w:tcW w:w="1554" w:type="dxa"/>
            <w:gridSpan w:val="2"/>
          </w:tcPr>
          <w:p w:rsidR="00714F5D" w:rsidRPr="001D0846" w:rsidRDefault="00714F5D" w:rsidP="008C5C6A">
            <w:pPr>
              <w:pStyle w:val="NormalWeb"/>
              <w:spacing w:line="276" w:lineRule="auto"/>
              <w:jc w:val="center"/>
              <w:rPr>
                <w:b/>
                <w:sz w:val="18"/>
                <w:szCs w:val="18"/>
              </w:rPr>
            </w:pPr>
            <w:r w:rsidRPr="001D0846">
              <w:rPr>
                <w:b/>
                <w:sz w:val="18"/>
                <w:szCs w:val="18"/>
              </w:rPr>
              <w:t>Taxe vamale</w:t>
            </w:r>
          </w:p>
        </w:tc>
        <w:tc>
          <w:tcPr>
            <w:tcW w:w="1554" w:type="dxa"/>
            <w:gridSpan w:val="2"/>
          </w:tcPr>
          <w:p w:rsidR="00714F5D" w:rsidRPr="001D0846" w:rsidRDefault="00714F5D" w:rsidP="008C5C6A">
            <w:pPr>
              <w:pStyle w:val="NormalWeb"/>
              <w:spacing w:line="276" w:lineRule="auto"/>
              <w:jc w:val="center"/>
              <w:rPr>
                <w:b/>
                <w:sz w:val="18"/>
                <w:szCs w:val="18"/>
              </w:rPr>
            </w:pPr>
            <w:r w:rsidRPr="001D0846">
              <w:rPr>
                <w:b/>
                <w:sz w:val="18"/>
                <w:szCs w:val="18"/>
              </w:rPr>
              <w:t>Taxa pentru proceduri vamale</w:t>
            </w:r>
          </w:p>
        </w:tc>
        <w:tc>
          <w:tcPr>
            <w:tcW w:w="1076" w:type="dxa"/>
            <w:gridSpan w:val="2"/>
          </w:tcPr>
          <w:p w:rsidR="00714F5D" w:rsidRPr="001D0846" w:rsidRDefault="00714F5D" w:rsidP="008C5C6A">
            <w:pPr>
              <w:pStyle w:val="NormalWeb"/>
              <w:spacing w:line="276" w:lineRule="auto"/>
              <w:jc w:val="center"/>
              <w:rPr>
                <w:b/>
                <w:sz w:val="18"/>
                <w:szCs w:val="18"/>
              </w:rPr>
            </w:pPr>
            <w:r w:rsidRPr="001D0846">
              <w:rPr>
                <w:b/>
                <w:sz w:val="18"/>
                <w:szCs w:val="18"/>
              </w:rPr>
              <w:t>Amenzi</w:t>
            </w:r>
          </w:p>
        </w:tc>
      </w:tr>
      <w:tr w:rsidR="00714F5D" w:rsidRPr="001D0846" w:rsidTr="008C5C6A">
        <w:trPr>
          <w:trHeight w:val="812"/>
        </w:trPr>
        <w:tc>
          <w:tcPr>
            <w:tcW w:w="723" w:type="dxa"/>
            <w:vMerge/>
          </w:tcPr>
          <w:p w:rsidR="00714F5D" w:rsidRPr="001D0846" w:rsidRDefault="00714F5D" w:rsidP="008C5C6A">
            <w:pPr>
              <w:pStyle w:val="NormalWeb"/>
              <w:spacing w:line="276" w:lineRule="auto"/>
              <w:rPr>
                <w:sz w:val="18"/>
                <w:szCs w:val="18"/>
              </w:rPr>
            </w:pPr>
          </w:p>
        </w:tc>
        <w:tc>
          <w:tcPr>
            <w:tcW w:w="672" w:type="dxa"/>
            <w:tcBorders>
              <w:right w:val="single" w:sz="4" w:space="0" w:color="auto"/>
            </w:tcBorders>
          </w:tcPr>
          <w:p w:rsidR="00714F5D" w:rsidRPr="001D0846" w:rsidRDefault="00714F5D" w:rsidP="008C5C6A">
            <w:pPr>
              <w:pStyle w:val="NormalWeb"/>
              <w:spacing w:line="276" w:lineRule="auto"/>
              <w:rPr>
                <w:sz w:val="18"/>
                <w:szCs w:val="18"/>
              </w:rPr>
            </w:pPr>
            <w:r w:rsidRPr="001D0846">
              <w:rPr>
                <w:sz w:val="18"/>
                <w:szCs w:val="18"/>
              </w:rPr>
              <w:t>Total</w:t>
            </w:r>
          </w:p>
        </w:tc>
        <w:tc>
          <w:tcPr>
            <w:tcW w:w="883" w:type="dxa"/>
            <w:tcBorders>
              <w:left w:val="single" w:sz="4" w:space="0" w:color="auto"/>
            </w:tcBorders>
          </w:tcPr>
          <w:p w:rsidR="00714F5D" w:rsidRPr="001D0846" w:rsidRDefault="00714F5D" w:rsidP="008C5C6A">
            <w:pPr>
              <w:pStyle w:val="NormalWeb"/>
              <w:spacing w:line="276" w:lineRule="auto"/>
              <w:rPr>
                <w:sz w:val="18"/>
                <w:szCs w:val="18"/>
              </w:rPr>
            </w:pPr>
            <w:r w:rsidRPr="001D0846">
              <w:rPr>
                <w:sz w:val="18"/>
                <w:szCs w:val="18"/>
              </w:rPr>
              <w:t>Cu termen mai mare de 6 ani</w:t>
            </w:r>
          </w:p>
        </w:tc>
        <w:tc>
          <w:tcPr>
            <w:tcW w:w="672" w:type="dxa"/>
          </w:tcPr>
          <w:p w:rsidR="00714F5D" w:rsidRPr="001D0846" w:rsidRDefault="00714F5D" w:rsidP="008C5C6A">
            <w:pPr>
              <w:pStyle w:val="NormalWeb"/>
              <w:spacing w:line="276" w:lineRule="auto"/>
              <w:rPr>
                <w:sz w:val="18"/>
                <w:szCs w:val="18"/>
              </w:rPr>
            </w:pPr>
            <w:r w:rsidRPr="001D0846">
              <w:rPr>
                <w:sz w:val="18"/>
                <w:szCs w:val="18"/>
              </w:rPr>
              <w:t>Total</w:t>
            </w:r>
          </w:p>
        </w:tc>
        <w:tc>
          <w:tcPr>
            <w:tcW w:w="883" w:type="dxa"/>
          </w:tcPr>
          <w:p w:rsidR="00714F5D" w:rsidRPr="001D0846" w:rsidRDefault="00714F5D" w:rsidP="008C5C6A">
            <w:pPr>
              <w:pStyle w:val="NormalWeb"/>
              <w:spacing w:line="276" w:lineRule="auto"/>
              <w:rPr>
                <w:sz w:val="18"/>
                <w:szCs w:val="18"/>
              </w:rPr>
            </w:pPr>
            <w:r w:rsidRPr="001D0846">
              <w:rPr>
                <w:sz w:val="18"/>
                <w:szCs w:val="18"/>
              </w:rPr>
              <w:t>Cu termen mai mare de 6 ani</w:t>
            </w:r>
          </w:p>
        </w:tc>
        <w:tc>
          <w:tcPr>
            <w:tcW w:w="671" w:type="dxa"/>
          </w:tcPr>
          <w:p w:rsidR="00714F5D" w:rsidRPr="001D0846" w:rsidRDefault="00714F5D" w:rsidP="008C5C6A">
            <w:pPr>
              <w:pStyle w:val="NormalWeb"/>
              <w:spacing w:line="276" w:lineRule="auto"/>
              <w:rPr>
                <w:sz w:val="18"/>
                <w:szCs w:val="18"/>
              </w:rPr>
            </w:pPr>
            <w:r w:rsidRPr="001D0846">
              <w:rPr>
                <w:sz w:val="18"/>
                <w:szCs w:val="18"/>
              </w:rPr>
              <w:t>Total</w:t>
            </w:r>
          </w:p>
        </w:tc>
        <w:tc>
          <w:tcPr>
            <w:tcW w:w="883" w:type="dxa"/>
          </w:tcPr>
          <w:p w:rsidR="00714F5D" w:rsidRPr="001D0846" w:rsidRDefault="00714F5D" w:rsidP="008C5C6A">
            <w:pPr>
              <w:pStyle w:val="NormalWeb"/>
              <w:spacing w:line="276" w:lineRule="auto"/>
              <w:rPr>
                <w:sz w:val="18"/>
                <w:szCs w:val="18"/>
              </w:rPr>
            </w:pPr>
            <w:r w:rsidRPr="001D0846">
              <w:rPr>
                <w:sz w:val="18"/>
                <w:szCs w:val="18"/>
              </w:rPr>
              <w:t>Cu termen mai mare de 6 ani</w:t>
            </w:r>
          </w:p>
        </w:tc>
        <w:tc>
          <w:tcPr>
            <w:tcW w:w="671" w:type="dxa"/>
          </w:tcPr>
          <w:p w:rsidR="00714F5D" w:rsidRPr="001D0846" w:rsidRDefault="00714F5D" w:rsidP="008C5C6A">
            <w:pPr>
              <w:pStyle w:val="NormalWeb"/>
              <w:spacing w:line="276" w:lineRule="auto"/>
              <w:rPr>
                <w:sz w:val="18"/>
                <w:szCs w:val="18"/>
              </w:rPr>
            </w:pPr>
            <w:r w:rsidRPr="001D0846">
              <w:rPr>
                <w:sz w:val="18"/>
                <w:szCs w:val="18"/>
              </w:rPr>
              <w:t>Total</w:t>
            </w:r>
          </w:p>
        </w:tc>
        <w:tc>
          <w:tcPr>
            <w:tcW w:w="883" w:type="dxa"/>
          </w:tcPr>
          <w:p w:rsidR="00714F5D" w:rsidRPr="001D0846" w:rsidRDefault="00714F5D" w:rsidP="008C5C6A">
            <w:pPr>
              <w:pStyle w:val="NormalWeb"/>
              <w:spacing w:line="276" w:lineRule="auto"/>
              <w:rPr>
                <w:sz w:val="18"/>
                <w:szCs w:val="18"/>
              </w:rPr>
            </w:pPr>
            <w:r w:rsidRPr="001D0846">
              <w:rPr>
                <w:sz w:val="18"/>
                <w:szCs w:val="18"/>
              </w:rPr>
              <w:t>Cu termen mai mare de 6 ani</w:t>
            </w:r>
          </w:p>
        </w:tc>
        <w:tc>
          <w:tcPr>
            <w:tcW w:w="671" w:type="dxa"/>
          </w:tcPr>
          <w:p w:rsidR="00714F5D" w:rsidRPr="001D0846" w:rsidRDefault="00714F5D" w:rsidP="008C5C6A">
            <w:pPr>
              <w:pStyle w:val="NormalWeb"/>
              <w:spacing w:line="276" w:lineRule="auto"/>
              <w:rPr>
                <w:sz w:val="18"/>
                <w:szCs w:val="18"/>
              </w:rPr>
            </w:pPr>
            <w:r w:rsidRPr="001D0846">
              <w:rPr>
                <w:sz w:val="18"/>
                <w:szCs w:val="18"/>
              </w:rPr>
              <w:t>Total</w:t>
            </w:r>
          </w:p>
        </w:tc>
        <w:tc>
          <w:tcPr>
            <w:tcW w:w="883" w:type="dxa"/>
          </w:tcPr>
          <w:p w:rsidR="00714F5D" w:rsidRPr="001D0846" w:rsidRDefault="00714F5D" w:rsidP="008C5C6A">
            <w:pPr>
              <w:pStyle w:val="NormalWeb"/>
              <w:spacing w:line="276" w:lineRule="auto"/>
              <w:rPr>
                <w:sz w:val="18"/>
                <w:szCs w:val="18"/>
              </w:rPr>
            </w:pPr>
            <w:r w:rsidRPr="001D0846">
              <w:rPr>
                <w:sz w:val="18"/>
                <w:szCs w:val="18"/>
              </w:rPr>
              <w:t>Cu termen mai mare de 6 ani</w:t>
            </w:r>
          </w:p>
        </w:tc>
        <w:tc>
          <w:tcPr>
            <w:tcW w:w="671" w:type="dxa"/>
          </w:tcPr>
          <w:p w:rsidR="00714F5D" w:rsidRPr="001D0846" w:rsidRDefault="00714F5D" w:rsidP="008C5C6A">
            <w:pPr>
              <w:pStyle w:val="NormalWeb"/>
              <w:spacing w:line="276" w:lineRule="auto"/>
              <w:rPr>
                <w:sz w:val="18"/>
                <w:szCs w:val="18"/>
              </w:rPr>
            </w:pPr>
            <w:r w:rsidRPr="001D0846">
              <w:rPr>
                <w:sz w:val="18"/>
                <w:szCs w:val="18"/>
              </w:rPr>
              <w:t>Total</w:t>
            </w:r>
          </w:p>
        </w:tc>
        <w:tc>
          <w:tcPr>
            <w:tcW w:w="405" w:type="dxa"/>
          </w:tcPr>
          <w:p w:rsidR="00714F5D" w:rsidRPr="001D0846" w:rsidRDefault="00714F5D" w:rsidP="008C5C6A">
            <w:pPr>
              <w:pStyle w:val="NormalWeb"/>
              <w:spacing w:line="276" w:lineRule="auto"/>
              <w:rPr>
                <w:sz w:val="18"/>
                <w:szCs w:val="18"/>
              </w:rPr>
            </w:pPr>
            <w:r w:rsidRPr="001D0846">
              <w:rPr>
                <w:sz w:val="18"/>
                <w:szCs w:val="18"/>
              </w:rPr>
              <w:t>Cu termen mai mare de 6 ani</w:t>
            </w:r>
          </w:p>
        </w:tc>
      </w:tr>
      <w:tr w:rsidR="00714F5D" w:rsidRPr="001D0846" w:rsidTr="008C5C6A">
        <w:tc>
          <w:tcPr>
            <w:tcW w:w="723" w:type="dxa"/>
          </w:tcPr>
          <w:p w:rsidR="00714F5D" w:rsidRPr="001D0846" w:rsidRDefault="00714F5D" w:rsidP="008C5C6A">
            <w:pPr>
              <w:pStyle w:val="NormalWeb"/>
              <w:spacing w:line="276" w:lineRule="auto"/>
              <w:rPr>
                <w:sz w:val="18"/>
                <w:szCs w:val="18"/>
              </w:rPr>
            </w:pPr>
            <w:r w:rsidRPr="001D0846">
              <w:rPr>
                <w:sz w:val="18"/>
                <w:szCs w:val="18"/>
              </w:rPr>
              <w:t>2015</w:t>
            </w:r>
          </w:p>
        </w:tc>
        <w:tc>
          <w:tcPr>
            <w:tcW w:w="672" w:type="dxa"/>
          </w:tcPr>
          <w:p w:rsidR="00714F5D" w:rsidRPr="001D0846" w:rsidRDefault="00714F5D" w:rsidP="008C5C6A">
            <w:pPr>
              <w:pStyle w:val="NormalWeb"/>
              <w:spacing w:line="276" w:lineRule="auto"/>
              <w:rPr>
                <w:sz w:val="18"/>
                <w:szCs w:val="18"/>
              </w:rPr>
            </w:pPr>
            <w:r w:rsidRPr="001D0846">
              <w:rPr>
                <w:sz w:val="18"/>
                <w:szCs w:val="18"/>
              </w:rPr>
              <w:t>307,2</w:t>
            </w:r>
          </w:p>
        </w:tc>
        <w:tc>
          <w:tcPr>
            <w:tcW w:w="883" w:type="dxa"/>
          </w:tcPr>
          <w:p w:rsidR="00714F5D" w:rsidRPr="001D0846" w:rsidRDefault="00714F5D" w:rsidP="008C5C6A">
            <w:pPr>
              <w:pStyle w:val="NormalWeb"/>
              <w:spacing w:line="276" w:lineRule="auto"/>
              <w:rPr>
                <w:sz w:val="18"/>
                <w:szCs w:val="18"/>
              </w:rPr>
            </w:pPr>
            <w:r w:rsidRPr="001D0846">
              <w:rPr>
                <w:sz w:val="18"/>
                <w:szCs w:val="18"/>
              </w:rPr>
              <w:t>50,0</w:t>
            </w:r>
          </w:p>
        </w:tc>
        <w:tc>
          <w:tcPr>
            <w:tcW w:w="672" w:type="dxa"/>
          </w:tcPr>
          <w:p w:rsidR="00714F5D" w:rsidRPr="001D0846" w:rsidRDefault="00714F5D" w:rsidP="008C5C6A">
            <w:pPr>
              <w:pStyle w:val="NormalWeb"/>
              <w:spacing w:line="276" w:lineRule="auto"/>
              <w:rPr>
                <w:sz w:val="18"/>
                <w:szCs w:val="18"/>
              </w:rPr>
            </w:pPr>
            <w:r w:rsidRPr="001D0846">
              <w:rPr>
                <w:sz w:val="18"/>
                <w:szCs w:val="18"/>
              </w:rPr>
              <w:t>220,1</w:t>
            </w:r>
          </w:p>
        </w:tc>
        <w:tc>
          <w:tcPr>
            <w:tcW w:w="883" w:type="dxa"/>
          </w:tcPr>
          <w:p w:rsidR="00714F5D" w:rsidRPr="001D0846" w:rsidRDefault="00714F5D" w:rsidP="008C5C6A">
            <w:pPr>
              <w:pStyle w:val="NormalWeb"/>
              <w:spacing w:line="276" w:lineRule="auto"/>
              <w:rPr>
                <w:sz w:val="18"/>
                <w:szCs w:val="18"/>
              </w:rPr>
            </w:pPr>
            <w:r w:rsidRPr="001D0846">
              <w:rPr>
                <w:sz w:val="18"/>
                <w:szCs w:val="18"/>
              </w:rPr>
              <w:t>30,6</w:t>
            </w:r>
          </w:p>
        </w:tc>
        <w:tc>
          <w:tcPr>
            <w:tcW w:w="671" w:type="dxa"/>
          </w:tcPr>
          <w:p w:rsidR="00714F5D" w:rsidRPr="001D0846" w:rsidRDefault="00714F5D" w:rsidP="008C5C6A">
            <w:pPr>
              <w:pStyle w:val="NormalWeb"/>
              <w:spacing w:line="276" w:lineRule="auto"/>
              <w:rPr>
                <w:sz w:val="18"/>
                <w:szCs w:val="18"/>
              </w:rPr>
            </w:pPr>
            <w:r w:rsidRPr="001D0846">
              <w:rPr>
                <w:sz w:val="18"/>
                <w:szCs w:val="18"/>
              </w:rPr>
              <w:t>11,7</w:t>
            </w:r>
          </w:p>
        </w:tc>
        <w:tc>
          <w:tcPr>
            <w:tcW w:w="883" w:type="dxa"/>
          </w:tcPr>
          <w:p w:rsidR="00714F5D" w:rsidRPr="001D0846" w:rsidRDefault="00714F5D" w:rsidP="008C5C6A">
            <w:pPr>
              <w:pStyle w:val="NormalWeb"/>
              <w:spacing w:line="276" w:lineRule="auto"/>
              <w:rPr>
                <w:sz w:val="18"/>
                <w:szCs w:val="18"/>
              </w:rPr>
            </w:pPr>
            <w:r w:rsidRPr="001D0846">
              <w:rPr>
                <w:sz w:val="18"/>
                <w:szCs w:val="18"/>
              </w:rPr>
              <w:t>2,5</w:t>
            </w:r>
          </w:p>
        </w:tc>
        <w:tc>
          <w:tcPr>
            <w:tcW w:w="671" w:type="dxa"/>
          </w:tcPr>
          <w:p w:rsidR="00714F5D" w:rsidRPr="001D0846" w:rsidRDefault="00714F5D" w:rsidP="008C5C6A">
            <w:pPr>
              <w:pStyle w:val="NormalWeb"/>
              <w:spacing w:line="276" w:lineRule="auto"/>
              <w:rPr>
                <w:sz w:val="18"/>
                <w:szCs w:val="18"/>
              </w:rPr>
            </w:pPr>
            <w:r w:rsidRPr="001D0846">
              <w:rPr>
                <w:sz w:val="18"/>
                <w:szCs w:val="18"/>
              </w:rPr>
              <w:t>40,5</w:t>
            </w:r>
          </w:p>
        </w:tc>
        <w:tc>
          <w:tcPr>
            <w:tcW w:w="883" w:type="dxa"/>
          </w:tcPr>
          <w:p w:rsidR="00714F5D" w:rsidRPr="001D0846" w:rsidRDefault="00714F5D" w:rsidP="008C5C6A">
            <w:pPr>
              <w:pStyle w:val="NormalWeb"/>
              <w:spacing w:line="276" w:lineRule="auto"/>
              <w:rPr>
                <w:sz w:val="18"/>
                <w:szCs w:val="18"/>
              </w:rPr>
            </w:pPr>
            <w:r w:rsidRPr="001D0846">
              <w:rPr>
                <w:sz w:val="18"/>
                <w:szCs w:val="18"/>
              </w:rPr>
              <w:t>6,3</w:t>
            </w:r>
          </w:p>
        </w:tc>
        <w:tc>
          <w:tcPr>
            <w:tcW w:w="671" w:type="dxa"/>
          </w:tcPr>
          <w:p w:rsidR="00714F5D" w:rsidRPr="001D0846" w:rsidRDefault="00714F5D" w:rsidP="008C5C6A">
            <w:pPr>
              <w:pStyle w:val="NormalWeb"/>
              <w:spacing w:line="276" w:lineRule="auto"/>
              <w:rPr>
                <w:sz w:val="18"/>
                <w:szCs w:val="18"/>
              </w:rPr>
            </w:pPr>
            <w:r w:rsidRPr="001D0846">
              <w:rPr>
                <w:sz w:val="18"/>
                <w:szCs w:val="18"/>
              </w:rPr>
              <w:t>1,9</w:t>
            </w:r>
          </w:p>
        </w:tc>
        <w:tc>
          <w:tcPr>
            <w:tcW w:w="883" w:type="dxa"/>
          </w:tcPr>
          <w:p w:rsidR="00714F5D" w:rsidRPr="001D0846" w:rsidRDefault="00714F5D" w:rsidP="008C5C6A">
            <w:pPr>
              <w:pStyle w:val="NormalWeb"/>
              <w:spacing w:line="276" w:lineRule="auto"/>
              <w:rPr>
                <w:sz w:val="18"/>
                <w:szCs w:val="18"/>
              </w:rPr>
            </w:pPr>
            <w:r w:rsidRPr="001D0846">
              <w:rPr>
                <w:sz w:val="18"/>
                <w:szCs w:val="18"/>
              </w:rPr>
              <w:t>-</w:t>
            </w:r>
          </w:p>
        </w:tc>
        <w:tc>
          <w:tcPr>
            <w:tcW w:w="671" w:type="dxa"/>
          </w:tcPr>
          <w:p w:rsidR="00714F5D" w:rsidRPr="001D0846" w:rsidRDefault="00714F5D" w:rsidP="008C5C6A">
            <w:pPr>
              <w:pStyle w:val="NormalWeb"/>
              <w:spacing w:line="276" w:lineRule="auto"/>
              <w:rPr>
                <w:sz w:val="18"/>
                <w:szCs w:val="18"/>
              </w:rPr>
            </w:pPr>
            <w:r w:rsidRPr="001D0846">
              <w:rPr>
                <w:sz w:val="18"/>
                <w:szCs w:val="18"/>
              </w:rPr>
              <w:t>33,0</w:t>
            </w:r>
          </w:p>
        </w:tc>
        <w:tc>
          <w:tcPr>
            <w:tcW w:w="405" w:type="dxa"/>
          </w:tcPr>
          <w:p w:rsidR="00714F5D" w:rsidRPr="001D0846" w:rsidRDefault="00714F5D" w:rsidP="008C5C6A">
            <w:pPr>
              <w:pStyle w:val="NormalWeb"/>
              <w:spacing w:line="276" w:lineRule="auto"/>
              <w:rPr>
                <w:sz w:val="18"/>
                <w:szCs w:val="18"/>
              </w:rPr>
            </w:pPr>
            <w:r w:rsidRPr="001D0846">
              <w:rPr>
                <w:sz w:val="18"/>
                <w:szCs w:val="18"/>
              </w:rPr>
              <w:t>11,6</w:t>
            </w:r>
          </w:p>
        </w:tc>
      </w:tr>
      <w:tr w:rsidR="00714F5D" w:rsidRPr="001D0846" w:rsidTr="008C5C6A">
        <w:tc>
          <w:tcPr>
            <w:tcW w:w="723" w:type="dxa"/>
          </w:tcPr>
          <w:p w:rsidR="00714F5D" w:rsidRPr="001D0846" w:rsidRDefault="00714F5D" w:rsidP="008C5C6A">
            <w:pPr>
              <w:pStyle w:val="NormalWeb"/>
              <w:spacing w:line="276" w:lineRule="auto"/>
              <w:rPr>
                <w:sz w:val="18"/>
                <w:szCs w:val="18"/>
              </w:rPr>
            </w:pPr>
            <w:r w:rsidRPr="001D0846">
              <w:rPr>
                <w:sz w:val="18"/>
                <w:szCs w:val="18"/>
              </w:rPr>
              <w:t>2016</w:t>
            </w:r>
          </w:p>
        </w:tc>
        <w:tc>
          <w:tcPr>
            <w:tcW w:w="672" w:type="dxa"/>
          </w:tcPr>
          <w:p w:rsidR="00714F5D" w:rsidRPr="001D0846" w:rsidRDefault="00714F5D" w:rsidP="008C5C6A">
            <w:pPr>
              <w:pStyle w:val="NormalWeb"/>
              <w:spacing w:line="276" w:lineRule="auto"/>
              <w:rPr>
                <w:sz w:val="18"/>
                <w:szCs w:val="18"/>
              </w:rPr>
            </w:pPr>
            <w:r w:rsidRPr="001D0846">
              <w:rPr>
                <w:sz w:val="18"/>
                <w:szCs w:val="18"/>
              </w:rPr>
              <w:t>319,5</w:t>
            </w:r>
          </w:p>
        </w:tc>
        <w:tc>
          <w:tcPr>
            <w:tcW w:w="883" w:type="dxa"/>
          </w:tcPr>
          <w:p w:rsidR="00714F5D" w:rsidRPr="001D0846" w:rsidRDefault="00714F5D" w:rsidP="008C5C6A">
            <w:pPr>
              <w:pStyle w:val="NormalWeb"/>
              <w:spacing w:line="276" w:lineRule="auto"/>
              <w:rPr>
                <w:sz w:val="18"/>
                <w:szCs w:val="18"/>
              </w:rPr>
            </w:pPr>
            <w:r w:rsidRPr="001D0846">
              <w:rPr>
                <w:sz w:val="18"/>
                <w:szCs w:val="18"/>
              </w:rPr>
              <w:t>50,4</w:t>
            </w:r>
          </w:p>
        </w:tc>
        <w:tc>
          <w:tcPr>
            <w:tcW w:w="672" w:type="dxa"/>
          </w:tcPr>
          <w:p w:rsidR="00714F5D" w:rsidRPr="001D0846" w:rsidRDefault="00714F5D" w:rsidP="008C5C6A">
            <w:pPr>
              <w:pStyle w:val="NormalWeb"/>
              <w:spacing w:line="276" w:lineRule="auto"/>
              <w:rPr>
                <w:sz w:val="18"/>
                <w:szCs w:val="18"/>
              </w:rPr>
            </w:pPr>
            <w:r w:rsidRPr="001D0846">
              <w:rPr>
                <w:sz w:val="18"/>
                <w:szCs w:val="18"/>
              </w:rPr>
              <w:t>236,7</w:t>
            </w:r>
          </w:p>
        </w:tc>
        <w:tc>
          <w:tcPr>
            <w:tcW w:w="883" w:type="dxa"/>
          </w:tcPr>
          <w:p w:rsidR="00714F5D" w:rsidRPr="001D0846" w:rsidRDefault="00714F5D" w:rsidP="008C5C6A">
            <w:pPr>
              <w:pStyle w:val="NormalWeb"/>
              <w:spacing w:line="276" w:lineRule="auto"/>
              <w:rPr>
                <w:sz w:val="18"/>
                <w:szCs w:val="18"/>
              </w:rPr>
            </w:pPr>
            <w:r w:rsidRPr="001D0846">
              <w:rPr>
                <w:sz w:val="18"/>
                <w:szCs w:val="18"/>
              </w:rPr>
              <w:t>41,0</w:t>
            </w:r>
          </w:p>
        </w:tc>
        <w:tc>
          <w:tcPr>
            <w:tcW w:w="671" w:type="dxa"/>
          </w:tcPr>
          <w:p w:rsidR="00714F5D" w:rsidRPr="001D0846" w:rsidRDefault="00714F5D" w:rsidP="008C5C6A">
            <w:pPr>
              <w:pStyle w:val="NormalWeb"/>
              <w:spacing w:line="276" w:lineRule="auto"/>
              <w:rPr>
                <w:sz w:val="18"/>
                <w:szCs w:val="18"/>
              </w:rPr>
            </w:pPr>
            <w:r w:rsidRPr="001D0846">
              <w:rPr>
                <w:sz w:val="18"/>
                <w:szCs w:val="18"/>
              </w:rPr>
              <w:t>12,2</w:t>
            </w:r>
          </w:p>
        </w:tc>
        <w:tc>
          <w:tcPr>
            <w:tcW w:w="883" w:type="dxa"/>
          </w:tcPr>
          <w:p w:rsidR="00714F5D" w:rsidRPr="001D0846" w:rsidRDefault="00714F5D" w:rsidP="008C5C6A">
            <w:pPr>
              <w:pStyle w:val="NormalWeb"/>
              <w:spacing w:line="276" w:lineRule="auto"/>
              <w:rPr>
                <w:sz w:val="18"/>
                <w:szCs w:val="18"/>
              </w:rPr>
            </w:pPr>
            <w:r w:rsidRPr="001D0846">
              <w:rPr>
                <w:sz w:val="18"/>
                <w:szCs w:val="18"/>
              </w:rPr>
              <w:t>1,2</w:t>
            </w:r>
          </w:p>
        </w:tc>
        <w:tc>
          <w:tcPr>
            <w:tcW w:w="671" w:type="dxa"/>
          </w:tcPr>
          <w:p w:rsidR="00714F5D" w:rsidRPr="001D0846" w:rsidRDefault="00714F5D" w:rsidP="008C5C6A">
            <w:pPr>
              <w:pStyle w:val="NormalWeb"/>
              <w:spacing w:line="276" w:lineRule="auto"/>
              <w:rPr>
                <w:sz w:val="18"/>
                <w:szCs w:val="18"/>
              </w:rPr>
            </w:pPr>
            <w:r w:rsidRPr="001D0846">
              <w:rPr>
                <w:sz w:val="18"/>
                <w:szCs w:val="18"/>
              </w:rPr>
              <w:t>41,4</w:t>
            </w:r>
          </w:p>
        </w:tc>
        <w:tc>
          <w:tcPr>
            <w:tcW w:w="883" w:type="dxa"/>
          </w:tcPr>
          <w:p w:rsidR="00714F5D" w:rsidRPr="001D0846" w:rsidRDefault="00714F5D" w:rsidP="008C5C6A">
            <w:pPr>
              <w:pStyle w:val="NormalWeb"/>
              <w:spacing w:line="276" w:lineRule="auto"/>
              <w:rPr>
                <w:sz w:val="18"/>
                <w:szCs w:val="18"/>
              </w:rPr>
            </w:pPr>
            <w:r w:rsidRPr="001D0846">
              <w:rPr>
                <w:sz w:val="18"/>
                <w:szCs w:val="18"/>
              </w:rPr>
              <w:t>6,8</w:t>
            </w:r>
          </w:p>
        </w:tc>
        <w:tc>
          <w:tcPr>
            <w:tcW w:w="671" w:type="dxa"/>
          </w:tcPr>
          <w:p w:rsidR="00714F5D" w:rsidRPr="001D0846" w:rsidRDefault="00714F5D" w:rsidP="008C5C6A">
            <w:pPr>
              <w:pStyle w:val="NormalWeb"/>
              <w:spacing w:line="276" w:lineRule="auto"/>
              <w:rPr>
                <w:sz w:val="18"/>
                <w:szCs w:val="18"/>
              </w:rPr>
            </w:pPr>
            <w:r w:rsidRPr="001D0846">
              <w:rPr>
                <w:sz w:val="18"/>
                <w:szCs w:val="18"/>
              </w:rPr>
              <w:t>2,0</w:t>
            </w:r>
          </w:p>
        </w:tc>
        <w:tc>
          <w:tcPr>
            <w:tcW w:w="883" w:type="dxa"/>
          </w:tcPr>
          <w:p w:rsidR="00714F5D" w:rsidRPr="001D0846" w:rsidRDefault="00714F5D" w:rsidP="008C5C6A">
            <w:pPr>
              <w:pStyle w:val="NormalWeb"/>
              <w:spacing w:line="276" w:lineRule="auto"/>
              <w:rPr>
                <w:sz w:val="18"/>
                <w:szCs w:val="18"/>
              </w:rPr>
            </w:pPr>
            <w:r w:rsidRPr="001D0846">
              <w:rPr>
                <w:sz w:val="18"/>
                <w:szCs w:val="18"/>
              </w:rPr>
              <w:t>0,3</w:t>
            </w:r>
          </w:p>
        </w:tc>
        <w:tc>
          <w:tcPr>
            <w:tcW w:w="671" w:type="dxa"/>
          </w:tcPr>
          <w:p w:rsidR="00714F5D" w:rsidRPr="001D0846" w:rsidRDefault="00714F5D" w:rsidP="008C5C6A">
            <w:pPr>
              <w:pStyle w:val="NormalWeb"/>
              <w:spacing w:line="276" w:lineRule="auto"/>
              <w:rPr>
                <w:sz w:val="18"/>
                <w:szCs w:val="18"/>
              </w:rPr>
            </w:pPr>
            <w:r w:rsidRPr="001D0846">
              <w:rPr>
                <w:sz w:val="18"/>
                <w:szCs w:val="18"/>
              </w:rPr>
              <w:t>27,2</w:t>
            </w:r>
          </w:p>
        </w:tc>
        <w:tc>
          <w:tcPr>
            <w:tcW w:w="405" w:type="dxa"/>
          </w:tcPr>
          <w:p w:rsidR="00714F5D" w:rsidRPr="001D0846" w:rsidRDefault="00714F5D" w:rsidP="008C5C6A">
            <w:pPr>
              <w:pStyle w:val="NormalWeb"/>
              <w:spacing w:line="276" w:lineRule="auto"/>
              <w:rPr>
                <w:sz w:val="18"/>
                <w:szCs w:val="18"/>
              </w:rPr>
            </w:pPr>
            <w:r w:rsidRPr="001D0846">
              <w:rPr>
                <w:sz w:val="18"/>
                <w:szCs w:val="18"/>
              </w:rPr>
              <w:t>1,0</w:t>
            </w:r>
          </w:p>
        </w:tc>
      </w:tr>
      <w:tr w:rsidR="00714F5D" w:rsidRPr="001D0846" w:rsidTr="008C5C6A">
        <w:tc>
          <w:tcPr>
            <w:tcW w:w="723" w:type="dxa"/>
          </w:tcPr>
          <w:p w:rsidR="00714F5D" w:rsidRPr="001D0846" w:rsidRDefault="00714F5D" w:rsidP="008C5C6A">
            <w:pPr>
              <w:pStyle w:val="NormalWeb"/>
              <w:spacing w:line="276" w:lineRule="auto"/>
              <w:rPr>
                <w:sz w:val="18"/>
                <w:szCs w:val="18"/>
              </w:rPr>
            </w:pPr>
            <w:r w:rsidRPr="001D0846">
              <w:rPr>
                <w:sz w:val="18"/>
                <w:szCs w:val="18"/>
              </w:rPr>
              <w:t>2017</w:t>
            </w:r>
          </w:p>
        </w:tc>
        <w:tc>
          <w:tcPr>
            <w:tcW w:w="672" w:type="dxa"/>
          </w:tcPr>
          <w:p w:rsidR="00714F5D" w:rsidRPr="001D0846" w:rsidRDefault="00714F5D" w:rsidP="008C5C6A">
            <w:pPr>
              <w:pStyle w:val="NormalWeb"/>
              <w:spacing w:line="276" w:lineRule="auto"/>
              <w:rPr>
                <w:sz w:val="18"/>
                <w:szCs w:val="18"/>
              </w:rPr>
            </w:pPr>
            <w:r w:rsidRPr="001D0846">
              <w:rPr>
                <w:sz w:val="18"/>
                <w:szCs w:val="18"/>
              </w:rPr>
              <w:t>385,8</w:t>
            </w:r>
          </w:p>
        </w:tc>
        <w:tc>
          <w:tcPr>
            <w:tcW w:w="883" w:type="dxa"/>
          </w:tcPr>
          <w:p w:rsidR="00714F5D" w:rsidRPr="001D0846" w:rsidRDefault="00714F5D" w:rsidP="008C5C6A">
            <w:pPr>
              <w:pStyle w:val="NormalWeb"/>
              <w:spacing w:line="276" w:lineRule="auto"/>
              <w:rPr>
                <w:sz w:val="18"/>
                <w:szCs w:val="18"/>
              </w:rPr>
            </w:pPr>
            <w:r w:rsidRPr="001D0846">
              <w:rPr>
                <w:sz w:val="18"/>
                <w:szCs w:val="18"/>
              </w:rPr>
              <w:t>69,6</w:t>
            </w:r>
          </w:p>
        </w:tc>
        <w:tc>
          <w:tcPr>
            <w:tcW w:w="672" w:type="dxa"/>
          </w:tcPr>
          <w:p w:rsidR="00714F5D" w:rsidRPr="001D0846" w:rsidRDefault="00714F5D" w:rsidP="008C5C6A">
            <w:pPr>
              <w:pStyle w:val="NormalWeb"/>
              <w:spacing w:line="276" w:lineRule="auto"/>
              <w:rPr>
                <w:sz w:val="18"/>
                <w:szCs w:val="18"/>
              </w:rPr>
            </w:pPr>
            <w:r w:rsidRPr="001D0846">
              <w:rPr>
                <w:sz w:val="18"/>
                <w:szCs w:val="18"/>
              </w:rPr>
              <w:t>273,2</w:t>
            </w:r>
          </w:p>
        </w:tc>
        <w:tc>
          <w:tcPr>
            <w:tcW w:w="883" w:type="dxa"/>
          </w:tcPr>
          <w:p w:rsidR="00714F5D" w:rsidRPr="001D0846" w:rsidRDefault="00714F5D" w:rsidP="008C5C6A">
            <w:pPr>
              <w:pStyle w:val="NormalWeb"/>
              <w:spacing w:line="276" w:lineRule="auto"/>
              <w:rPr>
                <w:sz w:val="18"/>
                <w:szCs w:val="18"/>
              </w:rPr>
            </w:pPr>
            <w:r w:rsidRPr="001D0846">
              <w:rPr>
                <w:sz w:val="18"/>
                <w:szCs w:val="18"/>
              </w:rPr>
              <w:t>55,9</w:t>
            </w:r>
          </w:p>
        </w:tc>
        <w:tc>
          <w:tcPr>
            <w:tcW w:w="671" w:type="dxa"/>
          </w:tcPr>
          <w:p w:rsidR="00714F5D" w:rsidRPr="001D0846" w:rsidRDefault="00714F5D" w:rsidP="008C5C6A">
            <w:pPr>
              <w:pStyle w:val="NormalWeb"/>
              <w:spacing w:line="276" w:lineRule="auto"/>
              <w:rPr>
                <w:sz w:val="18"/>
                <w:szCs w:val="18"/>
              </w:rPr>
            </w:pPr>
            <w:r w:rsidRPr="001D0846">
              <w:rPr>
                <w:sz w:val="18"/>
                <w:szCs w:val="18"/>
              </w:rPr>
              <w:t>12,4</w:t>
            </w:r>
          </w:p>
        </w:tc>
        <w:tc>
          <w:tcPr>
            <w:tcW w:w="883" w:type="dxa"/>
          </w:tcPr>
          <w:p w:rsidR="00714F5D" w:rsidRPr="001D0846" w:rsidRDefault="00714F5D" w:rsidP="008C5C6A">
            <w:pPr>
              <w:pStyle w:val="NormalWeb"/>
              <w:spacing w:line="276" w:lineRule="auto"/>
              <w:rPr>
                <w:sz w:val="18"/>
                <w:szCs w:val="18"/>
              </w:rPr>
            </w:pPr>
            <w:r w:rsidRPr="001D0846">
              <w:rPr>
                <w:sz w:val="18"/>
                <w:szCs w:val="18"/>
              </w:rPr>
              <w:t>1,5</w:t>
            </w:r>
          </w:p>
        </w:tc>
        <w:tc>
          <w:tcPr>
            <w:tcW w:w="671" w:type="dxa"/>
          </w:tcPr>
          <w:p w:rsidR="00714F5D" w:rsidRPr="001D0846" w:rsidRDefault="00714F5D" w:rsidP="008C5C6A">
            <w:pPr>
              <w:pStyle w:val="NormalWeb"/>
              <w:spacing w:line="276" w:lineRule="auto"/>
              <w:rPr>
                <w:sz w:val="18"/>
                <w:szCs w:val="18"/>
              </w:rPr>
            </w:pPr>
            <w:r w:rsidRPr="001D0846">
              <w:rPr>
                <w:sz w:val="18"/>
                <w:szCs w:val="18"/>
              </w:rPr>
              <w:t>48,8</w:t>
            </w:r>
          </w:p>
        </w:tc>
        <w:tc>
          <w:tcPr>
            <w:tcW w:w="883" w:type="dxa"/>
          </w:tcPr>
          <w:p w:rsidR="00714F5D" w:rsidRPr="001D0846" w:rsidRDefault="00714F5D" w:rsidP="008C5C6A">
            <w:pPr>
              <w:pStyle w:val="NormalWeb"/>
              <w:spacing w:line="276" w:lineRule="auto"/>
              <w:rPr>
                <w:sz w:val="18"/>
                <w:szCs w:val="18"/>
              </w:rPr>
            </w:pPr>
            <w:r w:rsidRPr="001D0846">
              <w:rPr>
                <w:sz w:val="18"/>
                <w:szCs w:val="18"/>
              </w:rPr>
              <w:t>9,2</w:t>
            </w:r>
          </w:p>
        </w:tc>
        <w:tc>
          <w:tcPr>
            <w:tcW w:w="671" w:type="dxa"/>
          </w:tcPr>
          <w:p w:rsidR="00714F5D" w:rsidRPr="001D0846" w:rsidRDefault="00714F5D" w:rsidP="008C5C6A">
            <w:pPr>
              <w:pStyle w:val="NormalWeb"/>
              <w:spacing w:line="276" w:lineRule="auto"/>
              <w:rPr>
                <w:sz w:val="18"/>
                <w:szCs w:val="18"/>
              </w:rPr>
            </w:pPr>
            <w:r w:rsidRPr="001D0846">
              <w:rPr>
                <w:sz w:val="18"/>
                <w:szCs w:val="18"/>
              </w:rPr>
              <w:t>2,4</w:t>
            </w:r>
          </w:p>
        </w:tc>
        <w:tc>
          <w:tcPr>
            <w:tcW w:w="883" w:type="dxa"/>
          </w:tcPr>
          <w:p w:rsidR="00714F5D" w:rsidRPr="001D0846" w:rsidRDefault="00714F5D" w:rsidP="008C5C6A">
            <w:pPr>
              <w:pStyle w:val="NormalWeb"/>
              <w:spacing w:line="276" w:lineRule="auto"/>
              <w:rPr>
                <w:sz w:val="18"/>
                <w:szCs w:val="18"/>
              </w:rPr>
            </w:pPr>
            <w:r w:rsidRPr="001D0846">
              <w:rPr>
                <w:sz w:val="18"/>
                <w:szCs w:val="18"/>
              </w:rPr>
              <w:t>0,4</w:t>
            </w:r>
          </w:p>
        </w:tc>
        <w:tc>
          <w:tcPr>
            <w:tcW w:w="671" w:type="dxa"/>
          </w:tcPr>
          <w:p w:rsidR="00714F5D" w:rsidRPr="001D0846" w:rsidRDefault="00714F5D" w:rsidP="008C5C6A">
            <w:pPr>
              <w:pStyle w:val="NormalWeb"/>
              <w:spacing w:line="276" w:lineRule="auto"/>
              <w:rPr>
                <w:sz w:val="18"/>
                <w:szCs w:val="18"/>
              </w:rPr>
            </w:pPr>
            <w:r w:rsidRPr="001D0846">
              <w:rPr>
                <w:sz w:val="18"/>
                <w:szCs w:val="18"/>
              </w:rPr>
              <w:t>49,0</w:t>
            </w:r>
          </w:p>
        </w:tc>
        <w:tc>
          <w:tcPr>
            <w:tcW w:w="405" w:type="dxa"/>
          </w:tcPr>
          <w:p w:rsidR="00714F5D" w:rsidRPr="001D0846" w:rsidRDefault="00714F5D" w:rsidP="008C5C6A">
            <w:pPr>
              <w:pStyle w:val="NormalWeb"/>
              <w:spacing w:line="276" w:lineRule="auto"/>
              <w:rPr>
                <w:sz w:val="18"/>
                <w:szCs w:val="18"/>
              </w:rPr>
            </w:pPr>
            <w:r w:rsidRPr="001D0846">
              <w:rPr>
                <w:sz w:val="18"/>
                <w:szCs w:val="18"/>
              </w:rPr>
              <w:t>2,6</w:t>
            </w:r>
          </w:p>
        </w:tc>
      </w:tr>
    </w:tbl>
    <w:p w:rsidR="00714F5D" w:rsidRPr="001D0846" w:rsidRDefault="00714F5D" w:rsidP="00714F5D">
      <w:pPr>
        <w:spacing w:after="0" w:line="276" w:lineRule="auto"/>
        <w:ind w:right="49"/>
        <w:jc w:val="both"/>
        <w:rPr>
          <w:rFonts w:ascii="Times New Roman" w:eastAsia="Calibri" w:hAnsi="Times New Roman" w:cs="Times New Roman"/>
          <w:i/>
          <w:sz w:val="20"/>
          <w:szCs w:val="20"/>
        </w:rPr>
      </w:pPr>
      <w:r w:rsidRPr="001D0846">
        <w:rPr>
          <w:rFonts w:ascii="Times New Roman" w:eastAsia="Calibri" w:hAnsi="Times New Roman" w:cs="Times New Roman"/>
          <w:b/>
          <w:i/>
          <w:sz w:val="20"/>
          <w:szCs w:val="20"/>
        </w:rPr>
        <w:t>Sursă:</w:t>
      </w:r>
      <w:r w:rsidRPr="001D0846">
        <w:rPr>
          <w:rFonts w:ascii="Times New Roman" w:eastAsia="Calibri" w:hAnsi="Times New Roman" w:cs="Times New Roman"/>
          <w:i/>
          <w:sz w:val="20"/>
          <w:szCs w:val="20"/>
        </w:rPr>
        <w:t xml:space="preserve"> Date</w:t>
      </w:r>
      <w:r>
        <w:rPr>
          <w:rFonts w:ascii="Times New Roman" w:eastAsia="Calibri" w:hAnsi="Times New Roman" w:cs="Times New Roman"/>
          <w:i/>
          <w:sz w:val="20"/>
          <w:szCs w:val="20"/>
        </w:rPr>
        <w:t>le</w:t>
      </w:r>
      <w:r w:rsidRPr="001D0846">
        <w:rPr>
          <w:rFonts w:ascii="Times New Roman" w:eastAsia="Calibri" w:hAnsi="Times New Roman" w:cs="Times New Roman"/>
          <w:i/>
          <w:sz w:val="20"/>
          <w:szCs w:val="20"/>
        </w:rPr>
        <w:t xml:space="preserve"> generalizate de către echipa de audit în baza informațiilor din rapoartele privind datoriile agenților economici față de BS pe anii 2015-2017.</w:t>
      </w:r>
    </w:p>
    <w:p w:rsidR="00714F5D" w:rsidRPr="001D0846" w:rsidRDefault="00714F5D" w:rsidP="00714F5D">
      <w:pPr>
        <w:spacing w:after="0" w:line="276" w:lineRule="auto"/>
        <w:ind w:firstLine="567"/>
        <w:jc w:val="right"/>
        <w:rPr>
          <w:rFonts w:ascii="Times New Roman" w:hAnsi="Times New Roman" w:cs="Times New Roman"/>
          <w:b/>
          <w:i/>
          <w:sz w:val="28"/>
          <w:szCs w:val="28"/>
        </w:rPr>
      </w:pPr>
    </w:p>
    <w:p w:rsidR="00714F5D" w:rsidRPr="001D0846" w:rsidRDefault="00714F5D" w:rsidP="00714F5D">
      <w:pPr>
        <w:spacing w:after="0" w:line="276" w:lineRule="auto"/>
        <w:ind w:firstLine="567"/>
        <w:jc w:val="right"/>
        <w:rPr>
          <w:rFonts w:ascii="Times New Roman" w:hAnsi="Times New Roman" w:cs="Times New Roman"/>
          <w:b/>
          <w:i/>
          <w:sz w:val="28"/>
          <w:szCs w:val="28"/>
        </w:rPr>
      </w:pPr>
    </w:p>
    <w:p w:rsidR="00714F5D" w:rsidRPr="001D0846" w:rsidRDefault="00714F5D" w:rsidP="00714F5D">
      <w:pPr>
        <w:spacing w:after="0" w:line="276" w:lineRule="auto"/>
        <w:ind w:firstLine="567"/>
        <w:jc w:val="right"/>
        <w:rPr>
          <w:rFonts w:ascii="Times New Roman" w:hAnsi="Times New Roman" w:cs="Times New Roman"/>
          <w:b/>
          <w:i/>
          <w:sz w:val="28"/>
          <w:szCs w:val="28"/>
        </w:rPr>
      </w:pPr>
    </w:p>
    <w:p w:rsidR="00714F5D" w:rsidRPr="001D0846" w:rsidRDefault="00714F5D" w:rsidP="00714F5D">
      <w:pPr>
        <w:spacing w:after="0" w:line="276" w:lineRule="auto"/>
        <w:ind w:firstLine="567"/>
        <w:jc w:val="right"/>
        <w:rPr>
          <w:rFonts w:ascii="Times New Roman" w:hAnsi="Times New Roman" w:cs="Times New Roman"/>
          <w:b/>
          <w:i/>
          <w:sz w:val="28"/>
          <w:szCs w:val="28"/>
        </w:rPr>
      </w:pPr>
    </w:p>
    <w:p w:rsidR="00714F5D" w:rsidRPr="001D0846" w:rsidRDefault="00714F5D" w:rsidP="00714F5D">
      <w:pPr>
        <w:spacing w:after="0" w:line="276" w:lineRule="auto"/>
        <w:ind w:firstLine="567"/>
        <w:jc w:val="right"/>
        <w:rPr>
          <w:rFonts w:ascii="Times New Roman" w:hAnsi="Times New Roman" w:cs="Times New Roman"/>
          <w:b/>
          <w:i/>
          <w:sz w:val="28"/>
          <w:szCs w:val="28"/>
        </w:rPr>
      </w:pPr>
    </w:p>
    <w:p w:rsidR="00714F5D" w:rsidRPr="001D0846" w:rsidRDefault="00714F5D" w:rsidP="00714F5D">
      <w:pPr>
        <w:spacing w:after="0" w:line="276" w:lineRule="auto"/>
        <w:ind w:firstLine="567"/>
        <w:jc w:val="right"/>
        <w:rPr>
          <w:rFonts w:ascii="Times New Roman" w:hAnsi="Times New Roman" w:cs="Times New Roman"/>
          <w:b/>
          <w:i/>
          <w:sz w:val="28"/>
          <w:szCs w:val="28"/>
        </w:rPr>
      </w:pPr>
    </w:p>
    <w:p w:rsidR="00714F5D" w:rsidRPr="001D0846" w:rsidRDefault="00714F5D" w:rsidP="00714F5D">
      <w:pPr>
        <w:spacing w:after="0" w:line="276" w:lineRule="auto"/>
        <w:ind w:firstLine="567"/>
        <w:jc w:val="right"/>
        <w:rPr>
          <w:rFonts w:ascii="Times New Roman" w:hAnsi="Times New Roman" w:cs="Times New Roman"/>
          <w:b/>
          <w:i/>
          <w:sz w:val="28"/>
          <w:szCs w:val="28"/>
        </w:rPr>
      </w:pPr>
    </w:p>
    <w:p w:rsidR="00714F5D" w:rsidRPr="001D0846" w:rsidRDefault="00714F5D" w:rsidP="00714F5D">
      <w:pPr>
        <w:spacing w:after="0" w:line="240" w:lineRule="auto"/>
        <w:ind w:firstLine="567"/>
        <w:jc w:val="right"/>
        <w:rPr>
          <w:rFonts w:ascii="Times New Roman" w:hAnsi="Times New Roman" w:cs="Times New Roman"/>
          <w:b/>
          <w:i/>
          <w:sz w:val="28"/>
          <w:szCs w:val="28"/>
        </w:rPr>
      </w:pPr>
      <w:r>
        <w:rPr>
          <w:rFonts w:ascii="Times New Roman" w:hAnsi="Times New Roman" w:cs="Times New Roman"/>
          <w:b/>
          <w:i/>
          <w:sz w:val="28"/>
          <w:szCs w:val="28"/>
        </w:rPr>
        <w:lastRenderedPageBreak/>
        <w:t>Tabelul nr.19</w:t>
      </w:r>
    </w:p>
    <w:p w:rsidR="00714F5D" w:rsidRPr="001D0846" w:rsidRDefault="00714F5D" w:rsidP="00714F5D">
      <w:pPr>
        <w:spacing w:after="0" w:line="240" w:lineRule="auto"/>
        <w:ind w:firstLine="567"/>
        <w:jc w:val="center"/>
        <w:rPr>
          <w:rFonts w:ascii="Times New Roman" w:hAnsi="Times New Roman" w:cs="Times New Roman"/>
          <w:b/>
          <w:i/>
          <w:sz w:val="28"/>
          <w:szCs w:val="28"/>
        </w:rPr>
      </w:pPr>
      <w:r w:rsidRPr="001D0846">
        <w:rPr>
          <w:rFonts w:ascii="Times New Roman" w:hAnsi="Times New Roman" w:cs="Times New Roman"/>
          <w:i/>
          <w:sz w:val="28"/>
          <w:szCs w:val="28"/>
        </w:rPr>
        <w:t>Informația privind evoluția restanțelor istorice la BS</w:t>
      </w:r>
      <w:r>
        <w:rPr>
          <w:rFonts w:ascii="Times New Roman" w:hAnsi="Times New Roman" w:cs="Times New Roman"/>
          <w:i/>
          <w:sz w:val="28"/>
          <w:szCs w:val="28"/>
        </w:rPr>
        <w:t>,</w:t>
      </w:r>
      <w:r w:rsidRPr="001D0846">
        <w:rPr>
          <w:rFonts w:ascii="Times New Roman" w:hAnsi="Times New Roman" w:cs="Times New Roman"/>
          <w:i/>
          <w:sz w:val="28"/>
          <w:szCs w:val="28"/>
        </w:rPr>
        <w:t xml:space="preserve"> administrate de SV</w:t>
      </w:r>
      <w:r>
        <w:rPr>
          <w:rFonts w:ascii="Times New Roman" w:hAnsi="Times New Roman" w:cs="Times New Roman"/>
          <w:i/>
          <w:sz w:val="28"/>
          <w:szCs w:val="28"/>
        </w:rPr>
        <w:t>,</w:t>
      </w:r>
      <w:r w:rsidRPr="001D0846">
        <w:rPr>
          <w:rFonts w:ascii="Times New Roman" w:hAnsi="Times New Roman" w:cs="Times New Roman"/>
          <w:i/>
          <w:sz w:val="28"/>
          <w:szCs w:val="28"/>
        </w:rPr>
        <w:t xml:space="preserve"> și gradul de recuperare a acestora</w:t>
      </w:r>
    </w:p>
    <w:p w:rsidR="00714F5D" w:rsidRPr="00EE1A86" w:rsidRDefault="00714F5D" w:rsidP="00714F5D">
      <w:pPr>
        <w:spacing w:after="0" w:line="240" w:lineRule="auto"/>
        <w:ind w:right="-75" w:firstLine="567"/>
        <w:jc w:val="right"/>
        <w:rPr>
          <w:rFonts w:ascii="Times New Roman" w:hAnsi="Times New Roman" w:cs="Times New Roman"/>
          <w:i/>
          <w:sz w:val="28"/>
          <w:szCs w:val="28"/>
        </w:rPr>
      </w:pPr>
      <w:r w:rsidRPr="00EE1A86">
        <w:rPr>
          <w:rFonts w:ascii="Times New Roman" w:hAnsi="Times New Roman" w:cs="Times New Roman"/>
          <w:i/>
          <w:sz w:val="28"/>
          <w:szCs w:val="28"/>
        </w:rPr>
        <w:t>(mii lei)</w:t>
      </w:r>
    </w:p>
    <w:tbl>
      <w:tblPr>
        <w:tblStyle w:val="TableGrid"/>
        <w:tblW w:w="9445" w:type="dxa"/>
        <w:tblLayout w:type="fixed"/>
        <w:tblLook w:val="04A0"/>
      </w:tblPr>
      <w:tblGrid>
        <w:gridCol w:w="895"/>
        <w:gridCol w:w="1350"/>
        <w:gridCol w:w="35"/>
        <w:gridCol w:w="1080"/>
        <w:gridCol w:w="676"/>
        <w:gridCol w:w="378"/>
        <w:gridCol w:w="1141"/>
        <w:gridCol w:w="172"/>
        <w:gridCol w:w="970"/>
        <w:gridCol w:w="794"/>
        <w:gridCol w:w="323"/>
        <w:gridCol w:w="1631"/>
      </w:tblGrid>
      <w:tr w:rsidR="00714F5D" w:rsidRPr="001D0846" w:rsidTr="008C5C6A">
        <w:trPr>
          <w:trHeight w:val="58"/>
        </w:trPr>
        <w:tc>
          <w:tcPr>
            <w:tcW w:w="895" w:type="dxa"/>
            <w:vMerge w:val="restart"/>
          </w:tcPr>
          <w:p w:rsidR="00714F5D" w:rsidRPr="001D0846" w:rsidRDefault="00714F5D" w:rsidP="008C5C6A">
            <w:pPr>
              <w:spacing w:line="276" w:lineRule="auto"/>
              <w:jc w:val="center"/>
              <w:rPr>
                <w:rFonts w:ascii="Times New Roman" w:hAnsi="Times New Roman" w:cs="Times New Roman"/>
                <w:b/>
                <w:sz w:val="24"/>
                <w:szCs w:val="24"/>
              </w:rPr>
            </w:pPr>
          </w:p>
          <w:p w:rsidR="00714F5D" w:rsidRPr="001D0846" w:rsidRDefault="00714F5D" w:rsidP="008C5C6A">
            <w:pPr>
              <w:spacing w:line="276" w:lineRule="auto"/>
              <w:jc w:val="center"/>
              <w:rPr>
                <w:rFonts w:ascii="Times New Roman" w:hAnsi="Times New Roman" w:cs="Times New Roman"/>
                <w:b/>
                <w:sz w:val="24"/>
                <w:szCs w:val="24"/>
              </w:rPr>
            </w:pPr>
            <w:r w:rsidRPr="001D0846">
              <w:rPr>
                <w:rFonts w:ascii="Times New Roman" w:hAnsi="Times New Roman" w:cs="Times New Roman"/>
                <w:b/>
                <w:sz w:val="24"/>
                <w:szCs w:val="24"/>
              </w:rPr>
              <w:t>Anul</w:t>
            </w:r>
          </w:p>
        </w:tc>
        <w:tc>
          <w:tcPr>
            <w:tcW w:w="1385" w:type="dxa"/>
            <w:gridSpan w:val="2"/>
            <w:vMerge w:val="restart"/>
          </w:tcPr>
          <w:p w:rsidR="00714F5D" w:rsidRPr="001D0846" w:rsidRDefault="00714F5D" w:rsidP="008C5C6A">
            <w:pPr>
              <w:spacing w:line="276" w:lineRule="auto"/>
              <w:jc w:val="center"/>
              <w:rPr>
                <w:rFonts w:ascii="Times New Roman" w:hAnsi="Times New Roman" w:cs="Times New Roman"/>
                <w:b/>
                <w:sz w:val="24"/>
                <w:szCs w:val="24"/>
              </w:rPr>
            </w:pPr>
            <w:r w:rsidRPr="001D0846">
              <w:rPr>
                <w:rFonts w:ascii="Times New Roman" w:hAnsi="Times New Roman" w:cs="Times New Roman"/>
                <w:b/>
                <w:sz w:val="24"/>
                <w:szCs w:val="24"/>
              </w:rPr>
              <w:t xml:space="preserve">Restanța creată la </w:t>
            </w:r>
          </w:p>
          <w:p w:rsidR="00714F5D" w:rsidRPr="001D0846" w:rsidRDefault="00714F5D" w:rsidP="008C5C6A">
            <w:pPr>
              <w:spacing w:line="276" w:lineRule="auto"/>
              <w:jc w:val="center"/>
              <w:rPr>
                <w:rFonts w:ascii="Times New Roman" w:hAnsi="Times New Roman" w:cs="Times New Roman"/>
                <w:b/>
                <w:sz w:val="24"/>
                <w:szCs w:val="24"/>
              </w:rPr>
            </w:pPr>
            <w:r w:rsidRPr="001D0846">
              <w:rPr>
                <w:rFonts w:ascii="Times New Roman" w:hAnsi="Times New Roman" w:cs="Times New Roman"/>
                <w:b/>
                <w:sz w:val="24"/>
                <w:szCs w:val="24"/>
              </w:rPr>
              <w:t>31 decembrie</w:t>
            </w:r>
          </w:p>
        </w:tc>
        <w:tc>
          <w:tcPr>
            <w:tcW w:w="5534" w:type="dxa"/>
            <w:gridSpan w:val="8"/>
          </w:tcPr>
          <w:p w:rsidR="00714F5D" w:rsidRPr="001D0846" w:rsidRDefault="00714F5D" w:rsidP="008C5C6A">
            <w:pPr>
              <w:spacing w:line="276" w:lineRule="auto"/>
              <w:jc w:val="center"/>
              <w:rPr>
                <w:rFonts w:ascii="Times New Roman" w:hAnsi="Times New Roman" w:cs="Times New Roman"/>
                <w:b/>
                <w:sz w:val="24"/>
                <w:szCs w:val="24"/>
              </w:rPr>
            </w:pPr>
            <w:r w:rsidRPr="001D0846">
              <w:rPr>
                <w:rFonts w:ascii="Times New Roman" w:hAnsi="Times New Roman" w:cs="Times New Roman"/>
                <w:b/>
                <w:sz w:val="24"/>
                <w:szCs w:val="24"/>
              </w:rPr>
              <w:t>Restanța recuperată pe ani</w:t>
            </w:r>
          </w:p>
        </w:tc>
        <w:tc>
          <w:tcPr>
            <w:tcW w:w="1631" w:type="dxa"/>
            <w:vMerge w:val="restart"/>
          </w:tcPr>
          <w:p w:rsidR="00714F5D" w:rsidRPr="001D0846" w:rsidRDefault="00714F5D" w:rsidP="008C5C6A">
            <w:pPr>
              <w:spacing w:line="276" w:lineRule="auto"/>
              <w:jc w:val="center"/>
              <w:rPr>
                <w:rFonts w:ascii="Times New Roman" w:hAnsi="Times New Roman" w:cs="Times New Roman"/>
                <w:b/>
                <w:sz w:val="24"/>
                <w:szCs w:val="24"/>
              </w:rPr>
            </w:pPr>
            <w:r w:rsidRPr="001D0846">
              <w:rPr>
                <w:rFonts w:ascii="Times New Roman" w:hAnsi="Times New Roman" w:cs="Times New Roman"/>
                <w:b/>
                <w:sz w:val="24"/>
                <w:szCs w:val="24"/>
              </w:rPr>
              <w:t>Sold la 31.12.2017</w:t>
            </w:r>
          </w:p>
        </w:tc>
      </w:tr>
      <w:tr w:rsidR="00714F5D" w:rsidRPr="001D0846" w:rsidTr="008C5C6A">
        <w:trPr>
          <w:trHeight w:val="341"/>
        </w:trPr>
        <w:tc>
          <w:tcPr>
            <w:tcW w:w="895" w:type="dxa"/>
            <w:vMerge/>
          </w:tcPr>
          <w:p w:rsidR="00714F5D" w:rsidRPr="001D0846" w:rsidRDefault="00714F5D" w:rsidP="008C5C6A">
            <w:pPr>
              <w:spacing w:line="276" w:lineRule="auto"/>
              <w:jc w:val="center"/>
              <w:rPr>
                <w:rFonts w:ascii="Times New Roman" w:hAnsi="Times New Roman" w:cs="Times New Roman"/>
                <w:sz w:val="24"/>
                <w:szCs w:val="24"/>
              </w:rPr>
            </w:pPr>
          </w:p>
        </w:tc>
        <w:tc>
          <w:tcPr>
            <w:tcW w:w="1385" w:type="dxa"/>
            <w:gridSpan w:val="2"/>
            <w:vMerge/>
          </w:tcPr>
          <w:p w:rsidR="00714F5D" w:rsidRPr="001D0846" w:rsidRDefault="00714F5D" w:rsidP="008C5C6A">
            <w:pPr>
              <w:spacing w:line="276" w:lineRule="auto"/>
              <w:jc w:val="center"/>
              <w:rPr>
                <w:rFonts w:ascii="Times New Roman" w:hAnsi="Times New Roman" w:cs="Times New Roman"/>
                <w:sz w:val="24"/>
                <w:szCs w:val="24"/>
              </w:rPr>
            </w:pPr>
          </w:p>
        </w:tc>
        <w:tc>
          <w:tcPr>
            <w:tcW w:w="1080" w:type="dxa"/>
          </w:tcPr>
          <w:p w:rsidR="00714F5D" w:rsidRPr="001D0846" w:rsidRDefault="00714F5D" w:rsidP="008C5C6A">
            <w:pPr>
              <w:spacing w:line="276" w:lineRule="auto"/>
              <w:jc w:val="center"/>
              <w:rPr>
                <w:rFonts w:ascii="Times New Roman" w:hAnsi="Times New Roman" w:cs="Times New Roman"/>
                <w:b/>
                <w:sz w:val="24"/>
                <w:szCs w:val="24"/>
              </w:rPr>
            </w:pPr>
            <w:r w:rsidRPr="001D0846">
              <w:rPr>
                <w:rFonts w:ascii="Times New Roman" w:hAnsi="Times New Roman" w:cs="Times New Roman"/>
                <w:b/>
                <w:sz w:val="24"/>
                <w:szCs w:val="24"/>
              </w:rPr>
              <w:t>2013</w:t>
            </w:r>
          </w:p>
        </w:tc>
        <w:tc>
          <w:tcPr>
            <w:tcW w:w="1054" w:type="dxa"/>
            <w:gridSpan w:val="2"/>
          </w:tcPr>
          <w:p w:rsidR="00714F5D" w:rsidRPr="001D0846" w:rsidRDefault="00714F5D" w:rsidP="008C5C6A">
            <w:pPr>
              <w:spacing w:line="276" w:lineRule="auto"/>
              <w:jc w:val="center"/>
              <w:rPr>
                <w:rFonts w:ascii="Times New Roman" w:hAnsi="Times New Roman" w:cs="Times New Roman"/>
                <w:b/>
                <w:sz w:val="24"/>
                <w:szCs w:val="24"/>
              </w:rPr>
            </w:pPr>
            <w:r w:rsidRPr="001D0846">
              <w:rPr>
                <w:rFonts w:ascii="Times New Roman" w:hAnsi="Times New Roman" w:cs="Times New Roman"/>
                <w:b/>
                <w:sz w:val="24"/>
                <w:szCs w:val="24"/>
              </w:rPr>
              <w:t>2014</w:t>
            </w:r>
          </w:p>
        </w:tc>
        <w:tc>
          <w:tcPr>
            <w:tcW w:w="1141" w:type="dxa"/>
          </w:tcPr>
          <w:p w:rsidR="00714F5D" w:rsidRPr="001D0846" w:rsidRDefault="00714F5D" w:rsidP="008C5C6A">
            <w:pPr>
              <w:spacing w:line="276" w:lineRule="auto"/>
              <w:jc w:val="center"/>
              <w:rPr>
                <w:rFonts w:ascii="Times New Roman" w:hAnsi="Times New Roman" w:cs="Times New Roman"/>
                <w:b/>
                <w:sz w:val="24"/>
                <w:szCs w:val="24"/>
              </w:rPr>
            </w:pPr>
            <w:r w:rsidRPr="001D0846">
              <w:rPr>
                <w:rFonts w:ascii="Times New Roman" w:hAnsi="Times New Roman" w:cs="Times New Roman"/>
                <w:b/>
                <w:sz w:val="24"/>
                <w:szCs w:val="24"/>
              </w:rPr>
              <w:t>2015</w:t>
            </w:r>
          </w:p>
        </w:tc>
        <w:tc>
          <w:tcPr>
            <w:tcW w:w="1142" w:type="dxa"/>
            <w:gridSpan w:val="2"/>
          </w:tcPr>
          <w:p w:rsidR="00714F5D" w:rsidRPr="001D0846" w:rsidRDefault="00714F5D" w:rsidP="008C5C6A">
            <w:pPr>
              <w:spacing w:line="276" w:lineRule="auto"/>
              <w:jc w:val="center"/>
              <w:rPr>
                <w:rFonts w:ascii="Times New Roman" w:hAnsi="Times New Roman" w:cs="Times New Roman"/>
                <w:b/>
                <w:sz w:val="24"/>
                <w:szCs w:val="24"/>
              </w:rPr>
            </w:pPr>
            <w:r w:rsidRPr="001D0846">
              <w:rPr>
                <w:rFonts w:ascii="Times New Roman" w:hAnsi="Times New Roman" w:cs="Times New Roman"/>
                <w:b/>
                <w:sz w:val="24"/>
                <w:szCs w:val="24"/>
              </w:rPr>
              <w:t>2016</w:t>
            </w:r>
          </w:p>
        </w:tc>
        <w:tc>
          <w:tcPr>
            <w:tcW w:w="1117" w:type="dxa"/>
            <w:gridSpan w:val="2"/>
          </w:tcPr>
          <w:p w:rsidR="00714F5D" w:rsidRPr="001D0846" w:rsidRDefault="00714F5D" w:rsidP="008C5C6A">
            <w:pPr>
              <w:spacing w:line="276" w:lineRule="auto"/>
              <w:jc w:val="center"/>
              <w:rPr>
                <w:rFonts w:ascii="Times New Roman" w:hAnsi="Times New Roman" w:cs="Times New Roman"/>
                <w:b/>
                <w:sz w:val="24"/>
                <w:szCs w:val="24"/>
              </w:rPr>
            </w:pPr>
            <w:r w:rsidRPr="001D0846">
              <w:rPr>
                <w:rFonts w:ascii="Times New Roman" w:hAnsi="Times New Roman" w:cs="Times New Roman"/>
                <w:b/>
                <w:sz w:val="24"/>
                <w:szCs w:val="24"/>
              </w:rPr>
              <w:t>2017</w:t>
            </w:r>
          </w:p>
        </w:tc>
        <w:tc>
          <w:tcPr>
            <w:tcW w:w="1631" w:type="dxa"/>
            <w:vMerge/>
          </w:tcPr>
          <w:p w:rsidR="00714F5D" w:rsidRPr="001D0846" w:rsidRDefault="00714F5D" w:rsidP="008C5C6A">
            <w:pPr>
              <w:spacing w:line="276" w:lineRule="auto"/>
              <w:rPr>
                <w:rFonts w:ascii="Times New Roman" w:hAnsi="Times New Roman" w:cs="Times New Roman"/>
                <w:sz w:val="24"/>
                <w:szCs w:val="24"/>
              </w:rPr>
            </w:pPr>
          </w:p>
        </w:tc>
      </w:tr>
      <w:tr w:rsidR="00714F5D" w:rsidRPr="001D0846" w:rsidTr="008C5C6A">
        <w:tc>
          <w:tcPr>
            <w:tcW w:w="895" w:type="dxa"/>
          </w:tcPr>
          <w:p w:rsidR="00714F5D" w:rsidRPr="001D0846" w:rsidRDefault="00714F5D" w:rsidP="008C5C6A">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2012</w:t>
            </w:r>
          </w:p>
        </w:tc>
        <w:tc>
          <w:tcPr>
            <w:tcW w:w="1385" w:type="dxa"/>
            <w:gridSpan w:val="2"/>
          </w:tcPr>
          <w:p w:rsidR="00714F5D" w:rsidRPr="001D0846" w:rsidRDefault="00714F5D" w:rsidP="008C5C6A">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103366,3</w:t>
            </w:r>
          </w:p>
        </w:tc>
        <w:tc>
          <w:tcPr>
            <w:tcW w:w="1080" w:type="dxa"/>
          </w:tcPr>
          <w:p w:rsidR="00714F5D" w:rsidRPr="001D0846" w:rsidRDefault="00714F5D" w:rsidP="008C5C6A">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18515,1</w:t>
            </w:r>
          </w:p>
        </w:tc>
        <w:tc>
          <w:tcPr>
            <w:tcW w:w="1054" w:type="dxa"/>
            <w:gridSpan w:val="2"/>
          </w:tcPr>
          <w:p w:rsidR="00714F5D" w:rsidRPr="001D0846" w:rsidRDefault="00714F5D" w:rsidP="008C5C6A">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6285,1</w:t>
            </w:r>
          </w:p>
        </w:tc>
        <w:tc>
          <w:tcPr>
            <w:tcW w:w="1141" w:type="dxa"/>
          </w:tcPr>
          <w:p w:rsidR="00714F5D" w:rsidRPr="001D0846" w:rsidRDefault="00714F5D" w:rsidP="008C5C6A">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23329,3</w:t>
            </w:r>
          </w:p>
        </w:tc>
        <w:tc>
          <w:tcPr>
            <w:tcW w:w="1142" w:type="dxa"/>
            <w:gridSpan w:val="2"/>
          </w:tcPr>
          <w:p w:rsidR="00714F5D" w:rsidRPr="001D0846" w:rsidRDefault="00714F5D" w:rsidP="008C5C6A">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3404,2</w:t>
            </w:r>
          </w:p>
        </w:tc>
        <w:tc>
          <w:tcPr>
            <w:tcW w:w="1117" w:type="dxa"/>
            <w:gridSpan w:val="2"/>
          </w:tcPr>
          <w:p w:rsidR="00714F5D" w:rsidRPr="001D0846" w:rsidRDefault="00714F5D" w:rsidP="008C5C6A">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115,2</w:t>
            </w:r>
          </w:p>
        </w:tc>
        <w:tc>
          <w:tcPr>
            <w:tcW w:w="1631" w:type="dxa"/>
          </w:tcPr>
          <w:p w:rsidR="00714F5D" w:rsidRPr="001D0846" w:rsidRDefault="00714F5D" w:rsidP="008C5C6A">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51717,4</w:t>
            </w:r>
          </w:p>
        </w:tc>
      </w:tr>
      <w:tr w:rsidR="00714F5D" w:rsidRPr="001D0846" w:rsidTr="008C5C6A">
        <w:tc>
          <w:tcPr>
            <w:tcW w:w="895" w:type="dxa"/>
          </w:tcPr>
          <w:p w:rsidR="00714F5D" w:rsidRPr="001D0846" w:rsidRDefault="00714F5D" w:rsidP="008C5C6A">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2013</w:t>
            </w:r>
          </w:p>
        </w:tc>
        <w:tc>
          <w:tcPr>
            <w:tcW w:w="1385" w:type="dxa"/>
            <w:gridSpan w:val="2"/>
          </w:tcPr>
          <w:p w:rsidR="00714F5D" w:rsidRPr="001D0846" w:rsidRDefault="00714F5D" w:rsidP="008C5C6A">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55653,3</w:t>
            </w:r>
          </w:p>
        </w:tc>
        <w:tc>
          <w:tcPr>
            <w:tcW w:w="1080" w:type="dxa"/>
          </w:tcPr>
          <w:p w:rsidR="00714F5D" w:rsidRPr="001D0846" w:rsidRDefault="00714F5D" w:rsidP="008C5C6A">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x</w:t>
            </w:r>
          </w:p>
        </w:tc>
        <w:tc>
          <w:tcPr>
            <w:tcW w:w="1054" w:type="dxa"/>
            <w:gridSpan w:val="2"/>
          </w:tcPr>
          <w:p w:rsidR="00714F5D" w:rsidRPr="001D0846" w:rsidRDefault="00714F5D" w:rsidP="008C5C6A">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7930,1</w:t>
            </w:r>
          </w:p>
        </w:tc>
        <w:tc>
          <w:tcPr>
            <w:tcW w:w="1141" w:type="dxa"/>
          </w:tcPr>
          <w:p w:rsidR="00714F5D" w:rsidRPr="001D0846" w:rsidRDefault="00714F5D" w:rsidP="008C5C6A">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8631,9</w:t>
            </w:r>
          </w:p>
        </w:tc>
        <w:tc>
          <w:tcPr>
            <w:tcW w:w="1142" w:type="dxa"/>
            <w:gridSpan w:val="2"/>
          </w:tcPr>
          <w:p w:rsidR="00714F5D" w:rsidRPr="001D0846" w:rsidRDefault="00714F5D" w:rsidP="008C5C6A">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1429,8</w:t>
            </w:r>
          </w:p>
        </w:tc>
        <w:tc>
          <w:tcPr>
            <w:tcW w:w="1117" w:type="dxa"/>
            <w:gridSpan w:val="2"/>
          </w:tcPr>
          <w:p w:rsidR="00714F5D" w:rsidRPr="001D0846" w:rsidRDefault="00714F5D" w:rsidP="008C5C6A">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523,4</w:t>
            </w:r>
          </w:p>
        </w:tc>
        <w:tc>
          <w:tcPr>
            <w:tcW w:w="1631" w:type="dxa"/>
          </w:tcPr>
          <w:p w:rsidR="00714F5D" w:rsidRPr="001D0846" w:rsidRDefault="00714F5D" w:rsidP="008C5C6A">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37138,1</w:t>
            </w:r>
          </w:p>
        </w:tc>
      </w:tr>
      <w:tr w:rsidR="00714F5D" w:rsidRPr="001D0846" w:rsidTr="008C5C6A">
        <w:tc>
          <w:tcPr>
            <w:tcW w:w="895" w:type="dxa"/>
          </w:tcPr>
          <w:p w:rsidR="00714F5D" w:rsidRPr="001D0846" w:rsidRDefault="00714F5D" w:rsidP="008C5C6A">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2014</w:t>
            </w:r>
          </w:p>
        </w:tc>
        <w:tc>
          <w:tcPr>
            <w:tcW w:w="1385" w:type="dxa"/>
            <w:gridSpan w:val="2"/>
          </w:tcPr>
          <w:p w:rsidR="00714F5D" w:rsidRPr="001D0846" w:rsidRDefault="00714F5D" w:rsidP="008C5C6A">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36452,1</w:t>
            </w:r>
          </w:p>
        </w:tc>
        <w:tc>
          <w:tcPr>
            <w:tcW w:w="1080" w:type="dxa"/>
          </w:tcPr>
          <w:p w:rsidR="00714F5D" w:rsidRPr="001D0846" w:rsidRDefault="00714F5D" w:rsidP="008C5C6A">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x</w:t>
            </w:r>
          </w:p>
        </w:tc>
        <w:tc>
          <w:tcPr>
            <w:tcW w:w="1054" w:type="dxa"/>
            <w:gridSpan w:val="2"/>
          </w:tcPr>
          <w:p w:rsidR="00714F5D" w:rsidRPr="001D0846" w:rsidRDefault="00714F5D" w:rsidP="008C5C6A">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x</w:t>
            </w:r>
          </w:p>
        </w:tc>
        <w:tc>
          <w:tcPr>
            <w:tcW w:w="1141" w:type="dxa"/>
          </w:tcPr>
          <w:p w:rsidR="00714F5D" w:rsidRPr="001D0846" w:rsidRDefault="00714F5D" w:rsidP="008C5C6A">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1181,5</w:t>
            </w:r>
          </w:p>
        </w:tc>
        <w:tc>
          <w:tcPr>
            <w:tcW w:w="1142" w:type="dxa"/>
            <w:gridSpan w:val="2"/>
          </w:tcPr>
          <w:p w:rsidR="00714F5D" w:rsidRPr="001D0846" w:rsidRDefault="00714F5D" w:rsidP="008C5C6A">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4369,7</w:t>
            </w:r>
          </w:p>
        </w:tc>
        <w:tc>
          <w:tcPr>
            <w:tcW w:w="1117" w:type="dxa"/>
            <w:gridSpan w:val="2"/>
          </w:tcPr>
          <w:p w:rsidR="00714F5D" w:rsidRPr="001D0846" w:rsidRDefault="00714F5D" w:rsidP="008C5C6A">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734,0</w:t>
            </w:r>
          </w:p>
        </w:tc>
        <w:tc>
          <w:tcPr>
            <w:tcW w:w="1631" w:type="dxa"/>
          </w:tcPr>
          <w:p w:rsidR="00714F5D" w:rsidRPr="001D0846" w:rsidRDefault="00714F5D" w:rsidP="008C5C6A">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30166,9</w:t>
            </w:r>
          </w:p>
        </w:tc>
      </w:tr>
      <w:tr w:rsidR="00714F5D" w:rsidRPr="001D0846" w:rsidTr="008C5C6A">
        <w:tc>
          <w:tcPr>
            <w:tcW w:w="895" w:type="dxa"/>
          </w:tcPr>
          <w:p w:rsidR="00714F5D" w:rsidRPr="001D0846" w:rsidRDefault="00714F5D" w:rsidP="008C5C6A">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2015</w:t>
            </w:r>
          </w:p>
        </w:tc>
        <w:tc>
          <w:tcPr>
            <w:tcW w:w="1385" w:type="dxa"/>
            <w:gridSpan w:val="2"/>
          </w:tcPr>
          <w:p w:rsidR="00714F5D" w:rsidRPr="001D0846" w:rsidRDefault="00714F5D" w:rsidP="008C5C6A">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24551,8</w:t>
            </w:r>
          </w:p>
        </w:tc>
        <w:tc>
          <w:tcPr>
            <w:tcW w:w="1080" w:type="dxa"/>
          </w:tcPr>
          <w:p w:rsidR="00714F5D" w:rsidRPr="001D0846" w:rsidRDefault="00714F5D" w:rsidP="008C5C6A">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x</w:t>
            </w:r>
          </w:p>
        </w:tc>
        <w:tc>
          <w:tcPr>
            <w:tcW w:w="1054" w:type="dxa"/>
            <w:gridSpan w:val="2"/>
          </w:tcPr>
          <w:p w:rsidR="00714F5D" w:rsidRPr="001D0846" w:rsidRDefault="00714F5D" w:rsidP="008C5C6A">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x</w:t>
            </w:r>
          </w:p>
        </w:tc>
        <w:tc>
          <w:tcPr>
            <w:tcW w:w="1141" w:type="dxa"/>
          </w:tcPr>
          <w:p w:rsidR="00714F5D" w:rsidRPr="001D0846" w:rsidRDefault="00714F5D" w:rsidP="008C5C6A">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x</w:t>
            </w:r>
          </w:p>
        </w:tc>
        <w:tc>
          <w:tcPr>
            <w:tcW w:w="1142" w:type="dxa"/>
            <w:gridSpan w:val="2"/>
          </w:tcPr>
          <w:p w:rsidR="00714F5D" w:rsidRPr="001D0846" w:rsidRDefault="00714F5D" w:rsidP="008C5C6A">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1961,7</w:t>
            </w:r>
          </w:p>
        </w:tc>
        <w:tc>
          <w:tcPr>
            <w:tcW w:w="1117" w:type="dxa"/>
            <w:gridSpan w:val="2"/>
          </w:tcPr>
          <w:p w:rsidR="00714F5D" w:rsidRPr="001D0846" w:rsidRDefault="00714F5D" w:rsidP="008C5C6A">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955,7</w:t>
            </w:r>
          </w:p>
        </w:tc>
        <w:tc>
          <w:tcPr>
            <w:tcW w:w="1631" w:type="dxa"/>
          </w:tcPr>
          <w:p w:rsidR="00714F5D" w:rsidRPr="001D0846" w:rsidRDefault="00714F5D" w:rsidP="008C5C6A">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21634,4</w:t>
            </w:r>
          </w:p>
        </w:tc>
      </w:tr>
      <w:tr w:rsidR="00714F5D" w:rsidRPr="001D0846" w:rsidTr="008C5C6A">
        <w:tc>
          <w:tcPr>
            <w:tcW w:w="895" w:type="dxa"/>
          </w:tcPr>
          <w:p w:rsidR="00714F5D" w:rsidRPr="001D0846" w:rsidRDefault="00714F5D" w:rsidP="008C5C6A">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2016</w:t>
            </w:r>
          </w:p>
        </w:tc>
        <w:tc>
          <w:tcPr>
            <w:tcW w:w="1385" w:type="dxa"/>
            <w:gridSpan w:val="2"/>
          </w:tcPr>
          <w:p w:rsidR="00714F5D" w:rsidRPr="001D0846" w:rsidRDefault="00714F5D" w:rsidP="008C5C6A">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35925,8</w:t>
            </w:r>
          </w:p>
        </w:tc>
        <w:tc>
          <w:tcPr>
            <w:tcW w:w="1080" w:type="dxa"/>
          </w:tcPr>
          <w:p w:rsidR="00714F5D" w:rsidRPr="001D0846" w:rsidRDefault="00714F5D" w:rsidP="008C5C6A">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x</w:t>
            </w:r>
          </w:p>
        </w:tc>
        <w:tc>
          <w:tcPr>
            <w:tcW w:w="1054" w:type="dxa"/>
            <w:gridSpan w:val="2"/>
          </w:tcPr>
          <w:p w:rsidR="00714F5D" w:rsidRPr="001D0846" w:rsidRDefault="00714F5D" w:rsidP="008C5C6A">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x</w:t>
            </w:r>
          </w:p>
        </w:tc>
        <w:tc>
          <w:tcPr>
            <w:tcW w:w="1141" w:type="dxa"/>
          </w:tcPr>
          <w:p w:rsidR="00714F5D" w:rsidRPr="001D0846" w:rsidRDefault="00714F5D" w:rsidP="008C5C6A">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x</w:t>
            </w:r>
          </w:p>
        </w:tc>
        <w:tc>
          <w:tcPr>
            <w:tcW w:w="1142" w:type="dxa"/>
            <w:gridSpan w:val="2"/>
          </w:tcPr>
          <w:p w:rsidR="00714F5D" w:rsidRPr="001D0846" w:rsidRDefault="00714F5D" w:rsidP="008C5C6A">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x</w:t>
            </w:r>
          </w:p>
        </w:tc>
        <w:tc>
          <w:tcPr>
            <w:tcW w:w="1117" w:type="dxa"/>
            <w:gridSpan w:val="2"/>
          </w:tcPr>
          <w:p w:rsidR="00714F5D" w:rsidRPr="001D0846" w:rsidRDefault="00714F5D" w:rsidP="008C5C6A">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3956,0</w:t>
            </w:r>
          </w:p>
        </w:tc>
        <w:tc>
          <w:tcPr>
            <w:tcW w:w="1631" w:type="dxa"/>
          </w:tcPr>
          <w:p w:rsidR="00714F5D" w:rsidRPr="001D0846" w:rsidRDefault="00714F5D" w:rsidP="008C5C6A">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31969,8</w:t>
            </w:r>
          </w:p>
        </w:tc>
      </w:tr>
      <w:tr w:rsidR="00714F5D" w:rsidRPr="001D0846" w:rsidTr="008C5C6A">
        <w:tc>
          <w:tcPr>
            <w:tcW w:w="895" w:type="dxa"/>
          </w:tcPr>
          <w:p w:rsidR="00714F5D" w:rsidRPr="001D0846" w:rsidRDefault="00714F5D" w:rsidP="008C5C6A">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2017</w:t>
            </w:r>
          </w:p>
        </w:tc>
        <w:tc>
          <w:tcPr>
            <w:tcW w:w="1385" w:type="dxa"/>
            <w:gridSpan w:val="2"/>
          </w:tcPr>
          <w:p w:rsidR="00714F5D" w:rsidRPr="001D0846" w:rsidRDefault="00714F5D" w:rsidP="008C5C6A">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57829,6</w:t>
            </w:r>
          </w:p>
        </w:tc>
        <w:tc>
          <w:tcPr>
            <w:tcW w:w="1080" w:type="dxa"/>
          </w:tcPr>
          <w:p w:rsidR="00714F5D" w:rsidRPr="001D0846" w:rsidRDefault="00714F5D" w:rsidP="008C5C6A">
            <w:pPr>
              <w:spacing w:line="276" w:lineRule="auto"/>
              <w:jc w:val="center"/>
              <w:rPr>
                <w:rFonts w:ascii="Times New Roman" w:hAnsi="Times New Roman" w:cs="Times New Roman"/>
                <w:sz w:val="24"/>
                <w:szCs w:val="24"/>
              </w:rPr>
            </w:pPr>
          </w:p>
        </w:tc>
        <w:tc>
          <w:tcPr>
            <w:tcW w:w="1054" w:type="dxa"/>
            <w:gridSpan w:val="2"/>
          </w:tcPr>
          <w:p w:rsidR="00714F5D" w:rsidRPr="001D0846" w:rsidRDefault="00714F5D" w:rsidP="008C5C6A">
            <w:pPr>
              <w:spacing w:line="276" w:lineRule="auto"/>
              <w:jc w:val="center"/>
              <w:rPr>
                <w:rFonts w:ascii="Times New Roman" w:hAnsi="Times New Roman" w:cs="Times New Roman"/>
                <w:sz w:val="24"/>
                <w:szCs w:val="24"/>
              </w:rPr>
            </w:pPr>
          </w:p>
        </w:tc>
        <w:tc>
          <w:tcPr>
            <w:tcW w:w="1141" w:type="dxa"/>
          </w:tcPr>
          <w:p w:rsidR="00714F5D" w:rsidRPr="001D0846" w:rsidRDefault="00714F5D" w:rsidP="008C5C6A">
            <w:pPr>
              <w:spacing w:line="276" w:lineRule="auto"/>
              <w:jc w:val="center"/>
              <w:rPr>
                <w:rFonts w:ascii="Times New Roman" w:hAnsi="Times New Roman" w:cs="Times New Roman"/>
                <w:sz w:val="24"/>
                <w:szCs w:val="24"/>
              </w:rPr>
            </w:pPr>
          </w:p>
        </w:tc>
        <w:tc>
          <w:tcPr>
            <w:tcW w:w="1142" w:type="dxa"/>
            <w:gridSpan w:val="2"/>
          </w:tcPr>
          <w:p w:rsidR="00714F5D" w:rsidRPr="001D0846" w:rsidRDefault="00714F5D" w:rsidP="008C5C6A">
            <w:pPr>
              <w:spacing w:line="276" w:lineRule="auto"/>
              <w:jc w:val="center"/>
              <w:rPr>
                <w:rFonts w:ascii="Times New Roman" w:hAnsi="Times New Roman" w:cs="Times New Roman"/>
                <w:sz w:val="24"/>
                <w:szCs w:val="24"/>
              </w:rPr>
            </w:pPr>
          </w:p>
        </w:tc>
        <w:tc>
          <w:tcPr>
            <w:tcW w:w="1117" w:type="dxa"/>
            <w:gridSpan w:val="2"/>
          </w:tcPr>
          <w:p w:rsidR="00714F5D" w:rsidRPr="001D0846" w:rsidRDefault="00714F5D" w:rsidP="008C5C6A">
            <w:pPr>
              <w:spacing w:line="276" w:lineRule="auto"/>
              <w:jc w:val="center"/>
              <w:rPr>
                <w:rFonts w:ascii="Times New Roman" w:hAnsi="Times New Roman" w:cs="Times New Roman"/>
                <w:sz w:val="24"/>
                <w:szCs w:val="24"/>
              </w:rPr>
            </w:pPr>
          </w:p>
        </w:tc>
        <w:tc>
          <w:tcPr>
            <w:tcW w:w="1631" w:type="dxa"/>
          </w:tcPr>
          <w:p w:rsidR="00714F5D" w:rsidRPr="001D0846" w:rsidRDefault="00714F5D" w:rsidP="008C5C6A">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57829,6</w:t>
            </w:r>
          </w:p>
        </w:tc>
      </w:tr>
      <w:tr w:rsidR="00714F5D" w:rsidRPr="001D0846" w:rsidTr="008C5C6A">
        <w:tc>
          <w:tcPr>
            <w:tcW w:w="895" w:type="dxa"/>
          </w:tcPr>
          <w:p w:rsidR="00714F5D" w:rsidRPr="001D0846" w:rsidRDefault="00714F5D" w:rsidP="008C5C6A">
            <w:pPr>
              <w:spacing w:line="276" w:lineRule="auto"/>
              <w:jc w:val="center"/>
              <w:rPr>
                <w:rFonts w:ascii="Times New Roman" w:hAnsi="Times New Roman" w:cs="Times New Roman"/>
                <w:b/>
                <w:sz w:val="24"/>
                <w:szCs w:val="24"/>
              </w:rPr>
            </w:pPr>
            <w:r w:rsidRPr="001D0846">
              <w:rPr>
                <w:rFonts w:ascii="Times New Roman" w:hAnsi="Times New Roman" w:cs="Times New Roman"/>
                <w:b/>
                <w:sz w:val="24"/>
                <w:szCs w:val="24"/>
              </w:rPr>
              <w:t>Total</w:t>
            </w:r>
          </w:p>
        </w:tc>
        <w:tc>
          <w:tcPr>
            <w:tcW w:w="1385" w:type="dxa"/>
            <w:gridSpan w:val="2"/>
          </w:tcPr>
          <w:p w:rsidR="00714F5D" w:rsidRPr="001D0846" w:rsidRDefault="00714F5D" w:rsidP="008C5C6A">
            <w:pPr>
              <w:spacing w:line="276" w:lineRule="auto"/>
              <w:jc w:val="center"/>
              <w:rPr>
                <w:rFonts w:ascii="Times New Roman" w:hAnsi="Times New Roman" w:cs="Times New Roman"/>
                <w:b/>
                <w:sz w:val="24"/>
                <w:szCs w:val="24"/>
              </w:rPr>
            </w:pPr>
            <w:r w:rsidRPr="001D0846">
              <w:rPr>
                <w:rFonts w:ascii="Times New Roman" w:hAnsi="Times New Roman" w:cs="Times New Roman"/>
                <w:b/>
                <w:sz w:val="24"/>
                <w:szCs w:val="24"/>
              </w:rPr>
              <w:t>313778,9</w:t>
            </w:r>
          </w:p>
        </w:tc>
        <w:tc>
          <w:tcPr>
            <w:tcW w:w="1080" w:type="dxa"/>
          </w:tcPr>
          <w:p w:rsidR="00714F5D" w:rsidRPr="001D0846" w:rsidRDefault="00714F5D" w:rsidP="008C5C6A">
            <w:pPr>
              <w:spacing w:line="276" w:lineRule="auto"/>
              <w:jc w:val="center"/>
              <w:rPr>
                <w:rFonts w:ascii="Times New Roman" w:hAnsi="Times New Roman" w:cs="Times New Roman"/>
                <w:b/>
                <w:sz w:val="24"/>
                <w:szCs w:val="24"/>
              </w:rPr>
            </w:pPr>
            <w:r w:rsidRPr="001D0846">
              <w:rPr>
                <w:rFonts w:ascii="Times New Roman" w:hAnsi="Times New Roman" w:cs="Times New Roman"/>
                <w:b/>
                <w:sz w:val="24"/>
                <w:szCs w:val="24"/>
              </w:rPr>
              <w:t>18515,1</w:t>
            </w:r>
          </w:p>
        </w:tc>
        <w:tc>
          <w:tcPr>
            <w:tcW w:w="1054" w:type="dxa"/>
            <w:gridSpan w:val="2"/>
          </w:tcPr>
          <w:p w:rsidR="00714F5D" w:rsidRPr="001D0846" w:rsidRDefault="00714F5D" w:rsidP="008C5C6A">
            <w:pPr>
              <w:spacing w:line="276" w:lineRule="auto"/>
              <w:jc w:val="center"/>
              <w:rPr>
                <w:rFonts w:ascii="Times New Roman" w:hAnsi="Times New Roman" w:cs="Times New Roman"/>
                <w:b/>
                <w:sz w:val="24"/>
                <w:szCs w:val="24"/>
              </w:rPr>
            </w:pPr>
            <w:r w:rsidRPr="001D0846">
              <w:rPr>
                <w:rFonts w:ascii="Times New Roman" w:hAnsi="Times New Roman" w:cs="Times New Roman"/>
                <w:b/>
                <w:sz w:val="24"/>
                <w:szCs w:val="24"/>
              </w:rPr>
              <w:t>14215,2</w:t>
            </w:r>
          </w:p>
        </w:tc>
        <w:tc>
          <w:tcPr>
            <w:tcW w:w="1141" w:type="dxa"/>
          </w:tcPr>
          <w:p w:rsidR="00714F5D" w:rsidRPr="001D0846" w:rsidRDefault="00714F5D" w:rsidP="008C5C6A">
            <w:pPr>
              <w:spacing w:line="276" w:lineRule="auto"/>
              <w:jc w:val="center"/>
              <w:rPr>
                <w:rFonts w:ascii="Times New Roman" w:hAnsi="Times New Roman" w:cs="Times New Roman"/>
                <w:b/>
                <w:sz w:val="24"/>
                <w:szCs w:val="24"/>
              </w:rPr>
            </w:pPr>
            <w:r w:rsidRPr="001D0846">
              <w:rPr>
                <w:rFonts w:ascii="Times New Roman" w:hAnsi="Times New Roman" w:cs="Times New Roman"/>
                <w:b/>
                <w:sz w:val="24"/>
                <w:szCs w:val="24"/>
              </w:rPr>
              <w:t>33142,7</w:t>
            </w:r>
          </w:p>
        </w:tc>
        <w:tc>
          <w:tcPr>
            <w:tcW w:w="1142" w:type="dxa"/>
            <w:gridSpan w:val="2"/>
          </w:tcPr>
          <w:p w:rsidR="00714F5D" w:rsidRPr="001D0846" w:rsidRDefault="00714F5D" w:rsidP="008C5C6A">
            <w:pPr>
              <w:spacing w:line="276" w:lineRule="auto"/>
              <w:jc w:val="center"/>
              <w:rPr>
                <w:rFonts w:ascii="Times New Roman" w:hAnsi="Times New Roman" w:cs="Times New Roman"/>
                <w:b/>
                <w:sz w:val="24"/>
                <w:szCs w:val="24"/>
              </w:rPr>
            </w:pPr>
            <w:r w:rsidRPr="001D0846">
              <w:rPr>
                <w:rFonts w:ascii="Times New Roman" w:hAnsi="Times New Roman" w:cs="Times New Roman"/>
                <w:b/>
                <w:sz w:val="24"/>
                <w:szCs w:val="24"/>
              </w:rPr>
              <w:t>11165,4</w:t>
            </w:r>
          </w:p>
        </w:tc>
        <w:tc>
          <w:tcPr>
            <w:tcW w:w="1117" w:type="dxa"/>
            <w:gridSpan w:val="2"/>
          </w:tcPr>
          <w:p w:rsidR="00714F5D" w:rsidRPr="001D0846" w:rsidRDefault="00714F5D" w:rsidP="008C5C6A">
            <w:pPr>
              <w:spacing w:line="276" w:lineRule="auto"/>
              <w:jc w:val="center"/>
              <w:rPr>
                <w:rFonts w:ascii="Times New Roman" w:hAnsi="Times New Roman" w:cs="Times New Roman"/>
                <w:b/>
                <w:sz w:val="24"/>
                <w:szCs w:val="24"/>
              </w:rPr>
            </w:pPr>
            <w:r w:rsidRPr="001D0846">
              <w:rPr>
                <w:rFonts w:ascii="Times New Roman" w:hAnsi="Times New Roman" w:cs="Times New Roman"/>
                <w:b/>
                <w:sz w:val="24"/>
                <w:szCs w:val="24"/>
              </w:rPr>
              <w:t>6284,3</w:t>
            </w:r>
          </w:p>
        </w:tc>
        <w:tc>
          <w:tcPr>
            <w:tcW w:w="1631" w:type="dxa"/>
          </w:tcPr>
          <w:p w:rsidR="00714F5D" w:rsidRPr="001D0846" w:rsidRDefault="00714F5D" w:rsidP="008C5C6A">
            <w:pPr>
              <w:spacing w:line="276" w:lineRule="auto"/>
              <w:jc w:val="center"/>
              <w:rPr>
                <w:rFonts w:ascii="Times New Roman" w:hAnsi="Times New Roman" w:cs="Times New Roman"/>
                <w:b/>
                <w:sz w:val="24"/>
                <w:szCs w:val="24"/>
              </w:rPr>
            </w:pPr>
            <w:r w:rsidRPr="001D0846">
              <w:rPr>
                <w:rFonts w:ascii="Times New Roman" w:hAnsi="Times New Roman" w:cs="Times New Roman"/>
                <w:b/>
                <w:sz w:val="24"/>
                <w:szCs w:val="24"/>
              </w:rPr>
              <w:t>230456,2</w:t>
            </w:r>
          </w:p>
        </w:tc>
      </w:tr>
      <w:tr w:rsidR="00714F5D" w:rsidRPr="001D0846" w:rsidTr="008C5C6A">
        <w:trPr>
          <w:trHeight w:val="269"/>
        </w:trPr>
        <w:tc>
          <w:tcPr>
            <w:tcW w:w="895" w:type="dxa"/>
            <w:vMerge w:val="restart"/>
          </w:tcPr>
          <w:p w:rsidR="00714F5D" w:rsidRPr="001D0846" w:rsidRDefault="00714F5D" w:rsidP="008C5C6A">
            <w:pPr>
              <w:spacing w:line="276" w:lineRule="auto"/>
              <w:jc w:val="center"/>
              <w:rPr>
                <w:rFonts w:ascii="Times New Roman" w:hAnsi="Times New Roman" w:cs="Times New Roman"/>
                <w:b/>
                <w:sz w:val="24"/>
                <w:szCs w:val="24"/>
                <w:shd w:val="clear" w:color="auto" w:fill="FFFFFF"/>
              </w:rPr>
            </w:pPr>
            <w:r w:rsidRPr="001D0846">
              <w:rPr>
                <w:rFonts w:ascii="Times New Roman" w:hAnsi="Times New Roman" w:cs="Times New Roman"/>
                <w:b/>
                <w:sz w:val="24"/>
                <w:szCs w:val="24"/>
                <w:shd w:val="clear" w:color="auto" w:fill="FFFFFF"/>
              </w:rPr>
              <w:t>Anul</w:t>
            </w:r>
          </w:p>
        </w:tc>
        <w:tc>
          <w:tcPr>
            <w:tcW w:w="8550" w:type="dxa"/>
            <w:gridSpan w:val="11"/>
          </w:tcPr>
          <w:p w:rsidR="00714F5D" w:rsidRPr="001D0846" w:rsidRDefault="00714F5D" w:rsidP="008C5C6A">
            <w:pPr>
              <w:spacing w:line="276" w:lineRule="auto"/>
              <w:rPr>
                <w:rFonts w:ascii="Times New Roman" w:hAnsi="Times New Roman" w:cs="Times New Roman"/>
                <w:b/>
                <w:sz w:val="24"/>
                <w:szCs w:val="24"/>
                <w:shd w:val="clear" w:color="auto" w:fill="FFFFFF"/>
              </w:rPr>
            </w:pPr>
            <w:r w:rsidRPr="001D0846">
              <w:rPr>
                <w:rFonts w:ascii="Times New Roman" w:hAnsi="Times New Roman" w:cs="Times New Roman"/>
                <w:b/>
                <w:sz w:val="24"/>
                <w:szCs w:val="24"/>
                <w:shd w:val="clear" w:color="auto" w:fill="FFFFFF"/>
              </w:rPr>
              <w:t xml:space="preserve">                                    Gradul de recuperare (%)</w:t>
            </w:r>
          </w:p>
        </w:tc>
      </w:tr>
      <w:tr w:rsidR="00714F5D" w:rsidRPr="001D0846" w:rsidTr="008C5C6A">
        <w:trPr>
          <w:trHeight w:val="360"/>
        </w:trPr>
        <w:tc>
          <w:tcPr>
            <w:tcW w:w="895" w:type="dxa"/>
            <w:vMerge/>
          </w:tcPr>
          <w:p w:rsidR="00714F5D" w:rsidRPr="001D0846" w:rsidRDefault="00714F5D" w:rsidP="008C5C6A">
            <w:pPr>
              <w:spacing w:line="276" w:lineRule="auto"/>
              <w:rPr>
                <w:rFonts w:ascii="Times New Roman" w:hAnsi="Times New Roman" w:cs="Times New Roman"/>
                <w:b/>
                <w:sz w:val="24"/>
                <w:szCs w:val="24"/>
                <w:shd w:val="clear" w:color="auto" w:fill="FFFFFF"/>
              </w:rPr>
            </w:pPr>
          </w:p>
        </w:tc>
        <w:tc>
          <w:tcPr>
            <w:tcW w:w="1350" w:type="dxa"/>
          </w:tcPr>
          <w:p w:rsidR="00714F5D" w:rsidRPr="001D0846" w:rsidRDefault="00714F5D" w:rsidP="008C5C6A">
            <w:pPr>
              <w:spacing w:line="276" w:lineRule="auto"/>
              <w:jc w:val="center"/>
              <w:rPr>
                <w:rFonts w:ascii="Times New Roman" w:hAnsi="Times New Roman" w:cs="Times New Roman"/>
                <w:b/>
                <w:sz w:val="24"/>
                <w:szCs w:val="24"/>
                <w:shd w:val="clear" w:color="auto" w:fill="FFFFFF"/>
              </w:rPr>
            </w:pPr>
            <w:r w:rsidRPr="001D0846">
              <w:rPr>
                <w:rFonts w:ascii="Times New Roman" w:hAnsi="Times New Roman" w:cs="Times New Roman"/>
                <w:b/>
                <w:sz w:val="24"/>
                <w:szCs w:val="24"/>
                <w:shd w:val="clear" w:color="auto" w:fill="FFFFFF"/>
              </w:rPr>
              <w:t>2013</w:t>
            </w:r>
          </w:p>
        </w:tc>
        <w:tc>
          <w:tcPr>
            <w:tcW w:w="1791" w:type="dxa"/>
            <w:gridSpan w:val="3"/>
          </w:tcPr>
          <w:p w:rsidR="00714F5D" w:rsidRPr="001D0846" w:rsidRDefault="00714F5D" w:rsidP="008C5C6A">
            <w:pPr>
              <w:spacing w:line="276" w:lineRule="auto"/>
              <w:jc w:val="center"/>
              <w:rPr>
                <w:rFonts w:ascii="Times New Roman" w:hAnsi="Times New Roman" w:cs="Times New Roman"/>
                <w:b/>
                <w:sz w:val="24"/>
                <w:szCs w:val="24"/>
                <w:shd w:val="clear" w:color="auto" w:fill="FFFFFF"/>
              </w:rPr>
            </w:pPr>
            <w:r w:rsidRPr="001D0846">
              <w:rPr>
                <w:rFonts w:ascii="Times New Roman" w:hAnsi="Times New Roman" w:cs="Times New Roman"/>
                <w:b/>
                <w:sz w:val="24"/>
                <w:szCs w:val="24"/>
                <w:shd w:val="clear" w:color="auto" w:fill="FFFFFF"/>
              </w:rPr>
              <w:t>2014</w:t>
            </w:r>
          </w:p>
        </w:tc>
        <w:tc>
          <w:tcPr>
            <w:tcW w:w="1691" w:type="dxa"/>
            <w:gridSpan w:val="3"/>
          </w:tcPr>
          <w:p w:rsidR="00714F5D" w:rsidRPr="001D0846" w:rsidRDefault="00714F5D" w:rsidP="008C5C6A">
            <w:pPr>
              <w:spacing w:line="276" w:lineRule="auto"/>
              <w:jc w:val="center"/>
              <w:rPr>
                <w:rFonts w:ascii="Times New Roman" w:hAnsi="Times New Roman" w:cs="Times New Roman"/>
                <w:b/>
                <w:sz w:val="24"/>
                <w:szCs w:val="24"/>
                <w:shd w:val="clear" w:color="auto" w:fill="FFFFFF"/>
              </w:rPr>
            </w:pPr>
            <w:r w:rsidRPr="001D0846">
              <w:rPr>
                <w:rFonts w:ascii="Times New Roman" w:hAnsi="Times New Roman" w:cs="Times New Roman"/>
                <w:b/>
                <w:sz w:val="24"/>
                <w:szCs w:val="24"/>
                <w:shd w:val="clear" w:color="auto" w:fill="FFFFFF"/>
              </w:rPr>
              <w:t>2015</w:t>
            </w:r>
          </w:p>
        </w:tc>
        <w:tc>
          <w:tcPr>
            <w:tcW w:w="1764" w:type="dxa"/>
            <w:gridSpan w:val="2"/>
          </w:tcPr>
          <w:p w:rsidR="00714F5D" w:rsidRPr="001D0846" w:rsidRDefault="00714F5D" w:rsidP="008C5C6A">
            <w:pPr>
              <w:spacing w:line="276" w:lineRule="auto"/>
              <w:jc w:val="center"/>
              <w:rPr>
                <w:rFonts w:ascii="Times New Roman" w:hAnsi="Times New Roman" w:cs="Times New Roman"/>
                <w:b/>
                <w:sz w:val="24"/>
                <w:szCs w:val="24"/>
                <w:shd w:val="clear" w:color="auto" w:fill="FFFFFF"/>
              </w:rPr>
            </w:pPr>
            <w:r w:rsidRPr="001D0846">
              <w:rPr>
                <w:rFonts w:ascii="Times New Roman" w:hAnsi="Times New Roman" w:cs="Times New Roman"/>
                <w:b/>
                <w:sz w:val="24"/>
                <w:szCs w:val="24"/>
                <w:shd w:val="clear" w:color="auto" w:fill="FFFFFF"/>
              </w:rPr>
              <w:t>2016</w:t>
            </w:r>
          </w:p>
        </w:tc>
        <w:tc>
          <w:tcPr>
            <w:tcW w:w="1954" w:type="dxa"/>
            <w:gridSpan w:val="2"/>
          </w:tcPr>
          <w:p w:rsidR="00714F5D" w:rsidRPr="001D0846" w:rsidRDefault="00714F5D" w:rsidP="008C5C6A">
            <w:pPr>
              <w:spacing w:line="276" w:lineRule="auto"/>
              <w:jc w:val="center"/>
              <w:rPr>
                <w:rFonts w:ascii="Times New Roman" w:hAnsi="Times New Roman" w:cs="Times New Roman"/>
                <w:b/>
                <w:sz w:val="24"/>
                <w:szCs w:val="24"/>
                <w:shd w:val="clear" w:color="auto" w:fill="FFFFFF"/>
              </w:rPr>
            </w:pPr>
            <w:r w:rsidRPr="001D0846">
              <w:rPr>
                <w:rFonts w:ascii="Times New Roman" w:hAnsi="Times New Roman" w:cs="Times New Roman"/>
                <w:b/>
                <w:sz w:val="24"/>
                <w:szCs w:val="24"/>
                <w:shd w:val="clear" w:color="auto" w:fill="FFFFFF"/>
              </w:rPr>
              <w:t>2017</w:t>
            </w:r>
          </w:p>
        </w:tc>
      </w:tr>
      <w:tr w:rsidR="00714F5D" w:rsidRPr="001D0846" w:rsidTr="008C5C6A">
        <w:tc>
          <w:tcPr>
            <w:tcW w:w="895" w:type="dxa"/>
          </w:tcPr>
          <w:p w:rsidR="00714F5D" w:rsidRPr="001D0846" w:rsidRDefault="00714F5D" w:rsidP="008C5C6A">
            <w:pPr>
              <w:spacing w:line="276" w:lineRule="auto"/>
              <w:jc w:val="center"/>
              <w:rPr>
                <w:rFonts w:ascii="Times New Roman" w:hAnsi="Times New Roman" w:cs="Times New Roman"/>
                <w:sz w:val="24"/>
                <w:szCs w:val="24"/>
                <w:shd w:val="clear" w:color="auto" w:fill="FFFFFF"/>
              </w:rPr>
            </w:pPr>
            <w:r w:rsidRPr="001D0846">
              <w:rPr>
                <w:rFonts w:ascii="Times New Roman" w:hAnsi="Times New Roman" w:cs="Times New Roman"/>
                <w:sz w:val="24"/>
                <w:szCs w:val="24"/>
                <w:shd w:val="clear" w:color="auto" w:fill="FFFFFF"/>
              </w:rPr>
              <w:t>2012</w:t>
            </w:r>
          </w:p>
        </w:tc>
        <w:tc>
          <w:tcPr>
            <w:tcW w:w="1350" w:type="dxa"/>
          </w:tcPr>
          <w:p w:rsidR="00714F5D" w:rsidRPr="001D0846" w:rsidRDefault="00714F5D" w:rsidP="008C5C6A">
            <w:pPr>
              <w:spacing w:line="276" w:lineRule="auto"/>
              <w:jc w:val="center"/>
              <w:rPr>
                <w:rFonts w:ascii="Times New Roman" w:hAnsi="Times New Roman" w:cs="Times New Roman"/>
                <w:sz w:val="24"/>
                <w:szCs w:val="24"/>
                <w:shd w:val="clear" w:color="auto" w:fill="FFFFFF"/>
              </w:rPr>
            </w:pPr>
            <w:r w:rsidRPr="001D0846">
              <w:rPr>
                <w:rFonts w:ascii="Times New Roman" w:hAnsi="Times New Roman" w:cs="Times New Roman"/>
                <w:sz w:val="24"/>
                <w:szCs w:val="24"/>
                <w:shd w:val="clear" w:color="auto" w:fill="FFFFFF"/>
              </w:rPr>
              <w:t>17,7</w:t>
            </w:r>
          </w:p>
        </w:tc>
        <w:tc>
          <w:tcPr>
            <w:tcW w:w="1791" w:type="dxa"/>
            <w:gridSpan w:val="3"/>
          </w:tcPr>
          <w:p w:rsidR="00714F5D" w:rsidRPr="001D0846" w:rsidRDefault="00714F5D" w:rsidP="008C5C6A">
            <w:pPr>
              <w:spacing w:line="276" w:lineRule="auto"/>
              <w:jc w:val="center"/>
              <w:rPr>
                <w:rFonts w:ascii="Times New Roman" w:hAnsi="Times New Roman" w:cs="Times New Roman"/>
                <w:sz w:val="24"/>
                <w:szCs w:val="24"/>
                <w:shd w:val="clear" w:color="auto" w:fill="FFFFFF"/>
              </w:rPr>
            </w:pPr>
            <w:r w:rsidRPr="001D0846">
              <w:rPr>
                <w:rFonts w:ascii="Times New Roman" w:hAnsi="Times New Roman" w:cs="Times New Roman"/>
                <w:sz w:val="24"/>
                <w:szCs w:val="24"/>
                <w:shd w:val="clear" w:color="auto" w:fill="FFFFFF"/>
              </w:rPr>
              <w:t>7,4</w:t>
            </w:r>
          </w:p>
        </w:tc>
        <w:tc>
          <w:tcPr>
            <w:tcW w:w="1691" w:type="dxa"/>
            <w:gridSpan w:val="3"/>
          </w:tcPr>
          <w:p w:rsidR="00714F5D" w:rsidRPr="001D0846" w:rsidRDefault="00714F5D" w:rsidP="008C5C6A">
            <w:pPr>
              <w:spacing w:line="276" w:lineRule="auto"/>
              <w:jc w:val="center"/>
              <w:rPr>
                <w:rFonts w:ascii="Times New Roman" w:hAnsi="Times New Roman" w:cs="Times New Roman"/>
                <w:sz w:val="24"/>
                <w:szCs w:val="24"/>
                <w:shd w:val="clear" w:color="auto" w:fill="FFFFFF"/>
              </w:rPr>
            </w:pPr>
            <w:r w:rsidRPr="001D0846">
              <w:rPr>
                <w:rFonts w:ascii="Times New Roman" w:hAnsi="Times New Roman" w:cs="Times New Roman"/>
                <w:sz w:val="24"/>
                <w:szCs w:val="24"/>
                <w:shd w:val="clear" w:color="auto" w:fill="FFFFFF"/>
              </w:rPr>
              <w:t>29,7</w:t>
            </w:r>
          </w:p>
        </w:tc>
        <w:tc>
          <w:tcPr>
            <w:tcW w:w="1764" w:type="dxa"/>
            <w:gridSpan w:val="2"/>
          </w:tcPr>
          <w:p w:rsidR="00714F5D" w:rsidRPr="001D0846" w:rsidRDefault="00714F5D" w:rsidP="008C5C6A">
            <w:pPr>
              <w:spacing w:line="276" w:lineRule="auto"/>
              <w:jc w:val="center"/>
              <w:rPr>
                <w:rFonts w:ascii="Times New Roman" w:hAnsi="Times New Roman" w:cs="Times New Roman"/>
                <w:sz w:val="24"/>
                <w:szCs w:val="24"/>
                <w:shd w:val="clear" w:color="auto" w:fill="FFFFFF"/>
              </w:rPr>
            </w:pPr>
            <w:r w:rsidRPr="001D0846">
              <w:rPr>
                <w:rFonts w:ascii="Times New Roman" w:hAnsi="Times New Roman" w:cs="Times New Roman"/>
                <w:sz w:val="24"/>
                <w:szCs w:val="24"/>
                <w:shd w:val="clear" w:color="auto" w:fill="FFFFFF"/>
              </w:rPr>
              <w:t>6,2</w:t>
            </w:r>
          </w:p>
        </w:tc>
        <w:tc>
          <w:tcPr>
            <w:tcW w:w="1954" w:type="dxa"/>
            <w:gridSpan w:val="2"/>
          </w:tcPr>
          <w:p w:rsidR="00714F5D" w:rsidRPr="001D0846" w:rsidRDefault="00714F5D" w:rsidP="008C5C6A">
            <w:pPr>
              <w:spacing w:line="276" w:lineRule="auto"/>
              <w:jc w:val="center"/>
              <w:rPr>
                <w:rFonts w:ascii="Times New Roman" w:hAnsi="Times New Roman" w:cs="Times New Roman"/>
                <w:sz w:val="24"/>
                <w:szCs w:val="24"/>
                <w:shd w:val="clear" w:color="auto" w:fill="FFFFFF"/>
              </w:rPr>
            </w:pPr>
            <w:r w:rsidRPr="001D0846">
              <w:rPr>
                <w:rFonts w:ascii="Times New Roman" w:hAnsi="Times New Roman" w:cs="Times New Roman"/>
                <w:sz w:val="24"/>
                <w:szCs w:val="24"/>
                <w:shd w:val="clear" w:color="auto" w:fill="FFFFFF"/>
              </w:rPr>
              <w:t>0,2</w:t>
            </w:r>
          </w:p>
        </w:tc>
      </w:tr>
      <w:tr w:rsidR="00714F5D" w:rsidRPr="001D0846" w:rsidTr="008C5C6A">
        <w:tc>
          <w:tcPr>
            <w:tcW w:w="895" w:type="dxa"/>
          </w:tcPr>
          <w:p w:rsidR="00714F5D" w:rsidRPr="001D0846" w:rsidRDefault="00714F5D" w:rsidP="008C5C6A">
            <w:pPr>
              <w:spacing w:line="276" w:lineRule="auto"/>
              <w:jc w:val="center"/>
              <w:rPr>
                <w:rFonts w:ascii="Times New Roman" w:hAnsi="Times New Roman" w:cs="Times New Roman"/>
                <w:sz w:val="24"/>
                <w:szCs w:val="24"/>
                <w:shd w:val="clear" w:color="auto" w:fill="FFFFFF"/>
              </w:rPr>
            </w:pPr>
            <w:r w:rsidRPr="001D0846">
              <w:rPr>
                <w:rFonts w:ascii="Times New Roman" w:hAnsi="Times New Roman" w:cs="Times New Roman"/>
                <w:sz w:val="24"/>
                <w:szCs w:val="24"/>
                <w:shd w:val="clear" w:color="auto" w:fill="FFFFFF"/>
              </w:rPr>
              <w:t>2013</w:t>
            </w:r>
          </w:p>
        </w:tc>
        <w:tc>
          <w:tcPr>
            <w:tcW w:w="1350" w:type="dxa"/>
          </w:tcPr>
          <w:p w:rsidR="00714F5D" w:rsidRPr="001D0846" w:rsidRDefault="00714F5D" w:rsidP="008C5C6A">
            <w:pPr>
              <w:spacing w:line="276" w:lineRule="auto"/>
              <w:jc w:val="center"/>
              <w:rPr>
                <w:rFonts w:ascii="Times New Roman" w:hAnsi="Times New Roman" w:cs="Times New Roman"/>
                <w:sz w:val="24"/>
                <w:szCs w:val="24"/>
                <w:shd w:val="clear" w:color="auto" w:fill="FFFFFF"/>
              </w:rPr>
            </w:pPr>
            <w:r w:rsidRPr="001D0846">
              <w:rPr>
                <w:rFonts w:ascii="Times New Roman" w:hAnsi="Times New Roman" w:cs="Times New Roman"/>
                <w:sz w:val="24"/>
                <w:szCs w:val="24"/>
                <w:shd w:val="clear" w:color="auto" w:fill="FFFFFF"/>
              </w:rPr>
              <w:t>x</w:t>
            </w:r>
          </w:p>
        </w:tc>
        <w:tc>
          <w:tcPr>
            <w:tcW w:w="1791" w:type="dxa"/>
            <w:gridSpan w:val="3"/>
          </w:tcPr>
          <w:p w:rsidR="00714F5D" w:rsidRPr="001D0846" w:rsidRDefault="00714F5D" w:rsidP="008C5C6A">
            <w:pPr>
              <w:spacing w:line="276" w:lineRule="auto"/>
              <w:jc w:val="center"/>
              <w:rPr>
                <w:rFonts w:ascii="Times New Roman" w:hAnsi="Times New Roman" w:cs="Times New Roman"/>
                <w:sz w:val="24"/>
                <w:szCs w:val="24"/>
                <w:shd w:val="clear" w:color="auto" w:fill="FFFFFF"/>
              </w:rPr>
            </w:pPr>
            <w:r w:rsidRPr="001D0846">
              <w:rPr>
                <w:rFonts w:ascii="Times New Roman" w:hAnsi="Times New Roman" w:cs="Times New Roman"/>
                <w:sz w:val="24"/>
                <w:szCs w:val="24"/>
                <w:shd w:val="clear" w:color="auto" w:fill="FFFFFF"/>
              </w:rPr>
              <w:t>14,2</w:t>
            </w:r>
          </w:p>
        </w:tc>
        <w:tc>
          <w:tcPr>
            <w:tcW w:w="1691" w:type="dxa"/>
            <w:gridSpan w:val="3"/>
          </w:tcPr>
          <w:p w:rsidR="00714F5D" w:rsidRPr="001D0846" w:rsidRDefault="00714F5D" w:rsidP="008C5C6A">
            <w:pPr>
              <w:spacing w:line="276" w:lineRule="auto"/>
              <w:jc w:val="center"/>
              <w:rPr>
                <w:rFonts w:ascii="Times New Roman" w:hAnsi="Times New Roman" w:cs="Times New Roman"/>
                <w:sz w:val="24"/>
                <w:szCs w:val="24"/>
                <w:shd w:val="clear" w:color="auto" w:fill="FFFFFF"/>
              </w:rPr>
            </w:pPr>
            <w:r w:rsidRPr="001D0846">
              <w:rPr>
                <w:rFonts w:ascii="Times New Roman" w:hAnsi="Times New Roman" w:cs="Times New Roman"/>
                <w:sz w:val="24"/>
                <w:szCs w:val="24"/>
                <w:shd w:val="clear" w:color="auto" w:fill="FFFFFF"/>
              </w:rPr>
              <w:t>18,1</w:t>
            </w:r>
          </w:p>
        </w:tc>
        <w:tc>
          <w:tcPr>
            <w:tcW w:w="1764" w:type="dxa"/>
            <w:gridSpan w:val="2"/>
          </w:tcPr>
          <w:p w:rsidR="00714F5D" w:rsidRPr="001D0846" w:rsidRDefault="00714F5D" w:rsidP="008C5C6A">
            <w:pPr>
              <w:spacing w:line="276" w:lineRule="auto"/>
              <w:jc w:val="center"/>
              <w:rPr>
                <w:rFonts w:ascii="Times New Roman" w:hAnsi="Times New Roman" w:cs="Times New Roman"/>
                <w:sz w:val="24"/>
                <w:szCs w:val="24"/>
                <w:shd w:val="clear" w:color="auto" w:fill="FFFFFF"/>
              </w:rPr>
            </w:pPr>
            <w:r w:rsidRPr="001D0846">
              <w:rPr>
                <w:rFonts w:ascii="Times New Roman" w:hAnsi="Times New Roman" w:cs="Times New Roman"/>
                <w:sz w:val="24"/>
                <w:szCs w:val="24"/>
                <w:shd w:val="clear" w:color="auto" w:fill="FFFFFF"/>
              </w:rPr>
              <w:t>3,65</w:t>
            </w:r>
          </w:p>
        </w:tc>
        <w:tc>
          <w:tcPr>
            <w:tcW w:w="1954" w:type="dxa"/>
            <w:gridSpan w:val="2"/>
          </w:tcPr>
          <w:p w:rsidR="00714F5D" w:rsidRPr="001D0846" w:rsidRDefault="00714F5D" w:rsidP="008C5C6A">
            <w:pPr>
              <w:spacing w:line="276" w:lineRule="auto"/>
              <w:jc w:val="center"/>
              <w:rPr>
                <w:rFonts w:ascii="Times New Roman" w:hAnsi="Times New Roman" w:cs="Times New Roman"/>
                <w:sz w:val="24"/>
                <w:szCs w:val="24"/>
                <w:shd w:val="clear" w:color="auto" w:fill="FFFFFF"/>
              </w:rPr>
            </w:pPr>
            <w:r w:rsidRPr="001D0846">
              <w:rPr>
                <w:rFonts w:ascii="Times New Roman" w:hAnsi="Times New Roman" w:cs="Times New Roman"/>
                <w:sz w:val="24"/>
                <w:szCs w:val="24"/>
                <w:shd w:val="clear" w:color="auto" w:fill="FFFFFF"/>
              </w:rPr>
              <w:t>1,4</w:t>
            </w:r>
          </w:p>
        </w:tc>
      </w:tr>
      <w:tr w:rsidR="00714F5D" w:rsidRPr="001D0846" w:rsidTr="008C5C6A">
        <w:tc>
          <w:tcPr>
            <w:tcW w:w="895" w:type="dxa"/>
          </w:tcPr>
          <w:p w:rsidR="00714F5D" w:rsidRPr="001D0846" w:rsidRDefault="00714F5D" w:rsidP="008C5C6A">
            <w:pPr>
              <w:spacing w:line="276" w:lineRule="auto"/>
              <w:jc w:val="center"/>
              <w:rPr>
                <w:rFonts w:ascii="Times New Roman" w:hAnsi="Times New Roman" w:cs="Times New Roman"/>
                <w:sz w:val="24"/>
                <w:szCs w:val="24"/>
                <w:shd w:val="clear" w:color="auto" w:fill="FFFFFF"/>
              </w:rPr>
            </w:pPr>
            <w:r w:rsidRPr="001D0846">
              <w:rPr>
                <w:rFonts w:ascii="Times New Roman" w:hAnsi="Times New Roman" w:cs="Times New Roman"/>
                <w:sz w:val="24"/>
                <w:szCs w:val="24"/>
                <w:shd w:val="clear" w:color="auto" w:fill="FFFFFF"/>
              </w:rPr>
              <w:t>2014</w:t>
            </w:r>
          </w:p>
        </w:tc>
        <w:tc>
          <w:tcPr>
            <w:tcW w:w="1350" w:type="dxa"/>
          </w:tcPr>
          <w:p w:rsidR="00714F5D" w:rsidRPr="001D0846" w:rsidRDefault="00714F5D" w:rsidP="008C5C6A">
            <w:pPr>
              <w:spacing w:line="276" w:lineRule="auto"/>
              <w:jc w:val="center"/>
              <w:rPr>
                <w:rFonts w:ascii="Times New Roman" w:hAnsi="Times New Roman" w:cs="Times New Roman"/>
                <w:sz w:val="24"/>
                <w:szCs w:val="24"/>
                <w:shd w:val="clear" w:color="auto" w:fill="FFFFFF"/>
              </w:rPr>
            </w:pPr>
            <w:r w:rsidRPr="001D0846">
              <w:rPr>
                <w:rFonts w:ascii="Times New Roman" w:hAnsi="Times New Roman" w:cs="Times New Roman"/>
                <w:sz w:val="24"/>
                <w:szCs w:val="24"/>
                <w:shd w:val="clear" w:color="auto" w:fill="FFFFFF"/>
              </w:rPr>
              <w:t>x</w:t>
            </w:r>
          </w:p>
        </w:tc>
        <w:tc>
          <w:tcPr>
            <w:tcW w:w="1791" w:type="dxa"/>
            <w:gridSpan w:val="3"/>
          </w:tcPr>
          <w:p w:rsidR="00714F5D" w:rsidRPr="001D0846" w:rsidRDefault="00714F5D" w:rsidP="008C5C6A">
            <w:pPr>
              <w:spacing w:line="276" w:lineRule="auto"/>
              <w:jc w:val="center"/>
              <w:rPr>
                <w:rFonts w:ascii="Times New Roman" w:hAnsi="Times New Roman" w:cs="Times New Roman"/>
                <w:sz w:val="24"/>
                <w:szCs w:val="24"/>
                <w:shd w:val="clear" w:color="auto" w:fill="FFFFFF"/>
              </w:rPr>
            </w:pPr>
            <w:r w:rsidRPr="001D0846">
              <w:rPr>
                <w:rFonts w:ascii="Times New Roman" w:hAnsi="Times New Roman" w:cs="Times New Roman"/>
                <w:sz w:val="24"/>
                <w:szCs w:val="24"/>
                <w:shd w:val="clear" w:color="auto" w:fill="FFFFFF"/>
              </w:rPr>
              <w:t>x</w:t>
            </w:r>
          </w:p>
        </w:tc>
        <w:tc>
          <w:tcPr>
            <w:tcW w:w="1691" w:type="dxa"/>
            <w:gridSpan w:val="3"/>
          </w:tcPr>
          <w:p w:rsidR="00714F5D" w:rsidRPr="001D0846" w:rsidRDefault="00714F5D" w:rsidP="008C5C6A">
            <w:pPr>
              <w:spacing w:line="276" w:lineRule="auto"/>
              <w:jc w:val="center"/>
              <w:rPr>
                <w:rFonts w:ascii="Times New Roman" w:hAnsi="Times New Roman" w:cs="Times New Roman"/>
                <w:sz w:val="24"/>
                <w:szCs w:val="24"/>
                <w:shd w:val="clear" w:color="auto" w:fill="FFFFFF"/>
              </w:rPr>
            </w:pPr>
            <w:r w:rsidRPr="001D0846">
              <w:rPr>
                <w:rFonts w:ascii="Times New Roman" w:hAnsi="Times New Roman" w:cs="Times New Roman"/>
                <w:sz w:val="24"/>
                <w:szCs w:val="24"/>
                <w:shd w:val="clear" w:color="auto" w:fill="FFFFFF"/>
              </w:rPr>
              <w:t>3,24</w:t>
            </w:r>
          </w:p>
        </w:tc>
        <w:tc>
          <w:tcPr>
            <w:tcW w:w="1764" w:type="dxa"/>
            <w:gridSpan w:val="2"/>
          </w:tcPr>
          <w:p w:rsidR="00714F5D" w:rsidRPr="001D0846" w:rsidRDefault="00714F5D" w:rsidP="008C5C6A">
            <w:pPr>
              <w:spacing w:line="276" w:lineRule="auto"/>
              <w:jc w:val="center"/>
              <w:rPr>
                <w:rFonts w:ascii="Times New Roman" w:hAnsi="Times New Roman" w:cs="Times New Roman"/>
                <w:sz w:val="24"/>
                <w:szCs w:val="24"/>
                <w:shd w:val="clear" w:color="auto" w:fill="FFFFFF"/>
              </w:rPr>
            </w:pPr>
            <w:r w:rsidRPr="001D0846">
              <w:rPr>
                <w:rFonts w:ascii="Times New Roman" w:hAnsi="Times New Roman" w:cs="Times New Roman"/>
                <w:sz w:val="24"/>
                <w:szCs w:val="24"/>
                <w:shd w:val="clear" w:color="auto" w:fill="FFFFFF"/>
              </w:rPr>
              <w:t>12,3</w:t>
            </w:r>
          </w:p>
        </w:tc>
        <w:tc>
          <w:tcPr>
            <w:tcW w:w="1954" w:type="dxa"/>
            <w:gridSpan w:val="2"/>
          </w:tcPr>
          <w:p w:rsidR="00714F5D" w:rsidRPr="001D0846" w:rsidRDefault="00714F5D" w:rsidP="008C5C6A">
            <w:pPr>
              <w:spacing w:line="276" w:lineRule="auto"/>
              <w:jc w:val="center"/>
              <w:rPr>
                <w:rFonts w:ascii="Times New Roman" w:hAnsi="Times New Roman" w:cs="Times New Roman"/>
                <w:sz w:val="24"/>
                <w:szCs w:val="24"/>
                <w:shd w:val="clear" w:color="auto" w:fill="FFFFFF"/>
              </w:rPr>
            </w:pPr>
            <w:r w:rsidRPr="001D0846">
              <w:rPr>
                <w:rFonts w:ascii="Times New Roman" w:hAnsi="Times New Roman" w:cs="Times New Roman"/>
                <w:sz w:val="24"/>
                <w:szCs w:val="24"/>
                <w:shd w:val="clear" w:color="auto" w:fill="FFFFFF"/>
              </w:rPr>
              <w:t>2,4</w:t>
            </w:r>
          </w:p>
        </w:tc>
      </w:tr>
      <w:tr w:rsidR="00714F5D" w:rsidRPr="001D0846" w:rsidTr="008C5C6A">
        <w:tc>
          <w:tcPr>
            <w:tcW w:w="895" w:type="dxa"/>
          </w:tcPr>
          <w:p w:rsidR="00714F5D" w:rsidRPr="001D0846" w:rsidRDefault="00714F5D" w:rsidP="008C5C6A">
            <w:pPr>
              <w:spacing w:line="276" w:lineRule="auto"/>
              <w:jc w:val="center"/>
              <w:rPr>
                <w:rFonts w:ascii="Times New Roman" w:hAnsi="Times New Roman" w:cs="Times New Roman"/>
                <w:sz w:val="24"/>
                <w:szCs w:val="24"/>
                <w:shd w:val="clear" w:color="auto" w:fill="FFFFFF"/>
              </w:rPr>
            </w:pPr>
            <w:r w:rsidRPr="001D0846">
              <w:rPr>
                <w:rFonts w:ascii="Times New Roman" w:hAnsi="Times New Roman" w:cs="Times New Roman"/>
                <w:sz w:val="24"/>
                <w:szCs w:val="24"/>
                <w:shd w:val="clear" w:color="auto" w:fill="FFFFFF"/>
              </w:rPr>
              <w:t>2015</w:t>
            </w:r>
          </w:p>
        </w:tc>
        <w:tc>
          <w:tcPr>
            <w:tcW w:w="1350" w:type="dxa"/>
          </w:tcPr>
          <w:p w:rsidR="00714F5D" w:rsidRPr="001D0846" w:rsidRDefault="00714F5D" w:rsidP="008C5C6A">
            <w:pPr>
              <w:spacing w:line="276" w:lineRule="auto"/>
              <w:jc w:val="center"/>
              <w:rPr>
                <w:rFonts w:ascii="Times New Roman" w:hAnsi="Times New Roman" w:cs="Times New Roman"/>
                <w:sz w:val="24"/>
                <w:szCs w:val="24"/>
                <w:shd w:val="clear" w:color="auto" w:fill="FFFFFF"/>
              </w:rPr>
            </w:pPr>
            <w:r w:rsidRPr="001D0846">
              <w:rPr>
                <w:rFonts w:ascii="Times New Roman" w:hAnsi="Times New Roman" w:cs="Times New Roman"/>
                <w:sz w:val="24"/>
                <w:szCs w:val="24"/>
                <w:shd w:val="clear" w:color="auto" w:fill="FFFFFF"/>
              </w:rPr>
              <w:t>x</w:t>
            </w:r>
          </w:p>
        </w:tc>
        <w:tc>
          <w:tcPr>
            <w:tcW w:w="1791" w:type="dxa"/>
            <w:gridSpan w:val="3"/>
          </w:tcPr>
          <w:p w:rsidR="00714F5D" w:rsidRPr="001D0846" w:rsidRDefault="00714F5D" w:rsidP="008C5C6A">
            <w:pPr>
              <w:spacing w:line="276" w:lineRule="auto"/>
              <w:jc w:val="center"/>
              <w:rPr>
                <w:rFonts w:ascii="Times New Roman" w:hAnsi="Times New Roman" w:cs="Times New Roman"/>
                <w:sz w:val="24"/>
                <w:szCs w:val="24"/>
                <w:shd w:val="clear" w:color="auto" w:fill="FFFFFF"/>
              </w:rPr>
            </w:pPr>
            <w:r w:rsidRPr="001D0846">
              <w:rPr>
                <w:rFonts w:ascii="Times New Roman" w:hAnsi="Times New Roman" w:cs="Times New Roman"/>
                <w:sz w:val="24"/>
                <w:szCs w:val="24"/>
                <w:shd w:val="clear" w:color="auto" w:fill="FFFFFF"/>
              </w:rPr>
              <w:t>x</w:t>
            </w:r>
          </w:p>
        </w:tc>
        <w:tc>
          <w:tcPr>
            <w:tcW w:w="1691" w:type="dxa"/>
            <w:gridSpan w:val="3"/>
          </w:tcPr>
          <w:p w:rsidR="00714F5D" w:rsidRPr="001D0846" w:rsidRDefault="00714F5D" w:rsidP="008C5C6A">
            <w:pPr>
              <w:spacing w:line="276" w:lineRule="auto"/>
              <w:jc w:val="center"/>
              <w:rPr>
                <w:rFonts w:ascii="Times New Roman" w:hAnsi="Times New Roman" w:cs="Times New Roman"/>
                <w:sz w:val="24"/>
                <w:szCs w:val="24"/>
                <w:shd w:val="clear" w:color="auto" w:fill="FFFFFF"/>
              </w:rPr>
            </w:pPr>
            <w:r w:rsidRPr="001D0846">
              <w:rPr>
                <w:rFonts w:ascii="Times New Roman" w:hAnsi="Times New Roman" w:cs="Times New Roman"/>
                <w:sz w:val="24"/>
                <w:szCs w:val="24"/>
                <w:shd w:val="clear" w:color="auto" w:fill="FFFFFF"/>
              </w:rPr>
              <w:t>x</w:t>
            </w:r>
          </w:p>
        </w:tc>
        <w:tc>
          <w:tcPr>
            <w:tcW w:w="1764" w:type="dxa"/>
            <w:gridSpan w:val="2"/>
          </w:tcPr>
          <w:p w:rsidR="00714F5D" w:rsidRPr="001D0846" w:rsidRDefault="00714F5D" w:rsidP="008C5C6A">
            <w:pPr>
              <w:spacing w:line="276" w:lineRule="auto"/>
              <w:jc w:val="center"/>
              <w:rPr>
                <w:rFonts w:ascii="Times New Roman" w:hAnsi="Times New Roman" w:cs="Times New Roman"/>
                <w:sz w:val="24"/>
                <w:szCs w:val="24"/>
                <w:shd w:val="clear" w:color="auto" w:fill="FFFFFF"/>
              </w:rPr>
            </w:pPr>
            <w:r w:rsidRPr="001D0846">
              <w:rPr>
                <w:rFonts w:ascii="Times New Roman" w:hAnsi="Times New Roman" w:cs="Times New Roman"/>
                <w:sz w:val="24"/>
                <w:szCs w:val="24"/>
                <w:shd w:val="clear" w:color="auto" w:fill="FFFFFF"/>
              </w:rPr>
              <w:t>9,4</w:t>
            </w:r>
          </w:p>
        </w:tc>
        <w:tc>
          <w:tcPr>
            <w:tcW w:w="1954" w:type="dxa"/>
            <w:gridSpan w:val="2"/>
          </w:tcPr>
          <w:p w:rsidR="00714F5D" w:rsidRPr="001D0846" w:rsidRDefault="00714F5D" w:rsidP="008C5C6A">
            <w:pPr>
              <w:spacing w:line="276" w:lineRule="auto"/>
              <w:jc w:val="center"/>
              <w:rPr>
                <w:rFonts w:ascii="Times New Roman" w:hAnsi="Times New Roman" w:cs="Times New Roman"/>
                <w:sz w:val="24"/>
                <w:szCs w:val="24"/>
                <w:shd w:val="clear" w:color="auto" w:fill="FFFFFF"/>
              </w:rPr>
            </w:pPr>
            <w:r w:rsidRPr="001D0846">
              <w:rPr>
                <w:rFonts w:ascii="Times New Roman" w:hAnsi="Times New Roman" w:cs="Times New Roman"/>
                <w:sz w:val="24"/>
                <w:szCs w:val="24"/>
                <w:shd w:val="clear" w:color="auto" w:fill="FFFFFF"/>
              </w:rPr>
              <w:t>2,9</w:t>
            </w:r>
          </w:p>
        </w:tc>
      </w:tr>
      <w:tr w:rsidR="00714F5D" w:rsidRPr="001D0846" w:rsidTr="008C5C6A">
        <w:tc>
          <w:tcPr>
            <w:tcW w:w="895" w:type="dxa"/>
          </w:tcPr>
          <w:p w:rsidR="00714F5D" w:rsidRPr="001D0846" w:rsidRDefault="00714F5D" w:rsidP="008C5C6A">
            <w:pPr>
              <w:spacing w:line="276" w:lineRule="auto"/>
              <w:jc w:val="center"/>
              <w:rPr>
                <w:rFonts w:ascii="Times New Roman" w:hAnsi="Times New Roman" w:cs="Times New Roman"/>
                <w:sz w:val="24"/>
                <w:szCs w:val="24"/>
                <w:shd w:val="clear" w:color="auto" w:fill="FFFFFF"/>
              </w:rPr>
            </w:pPr>
            <w:r w:rsidRPr="001D0846">
              <w:rPr>
                <w:rFonts w:ascii="Times New Roman" w:hAnsi="Times New Roman" w:cs="Times New Roman"/>
                <w:sz w:val="24"/>
                <w:szCs w:val="24"/>
                <w:shd w:val="clear" w:color="auto" w:fill="FFFFFF"/>
              </w:rPr>
              <w:t>2016</w:t>
            </w:r>
          </w:p>
        </w:tc>
        <w:tc>
          <w:tcPr>
            <w:tcW w:w="1350" w:type="dxa"/>
          </w:tcPr>
          <w:p w:rsidR="00714F5D" w:rsidRPr="001D0846" w:rsidRDefault="00714F5D" w:rsidP="008C5C6A">
            <w:pPr>
              <w:spacing w:line="276" w:lineRule="auto"/>
              <w:jc w:val="center"/>
              <w:rPr>
                <w:rFonts w:ascii="Times New Roman" w:hAnsi="Times New Roman" w:cs="Times New Roman"/>
                <w:sz w:val="24"/>
                <w:szCs w:val="24"/>
                <w:shd w:val="clear" w:color="auto" w:fill="FFFFFF"/>
              </w:rPr>
            </w:pPr>
            <w:r w:rsidRPr="001D0846">
              <w:rPr>
                <w:rFonts w:ascii="Times New Roman" w:hAnsi="Times New Roman" w:cs="Times New Roman"/>
                <w:sz w:val="24"/>
                <w:szCs w:val="24"/>
                <w:shd w:val="clear" w:color="auto" w:fill="FFFFFF"/>
              </w:rPr>
              <w:t>x</w:t>
            </w:r>
          </w:p>
        </w:tc>
        <w:tc>
          <w:tcPr>
            <w:tcW w:w="1791" w:type="dxa"/>
            <w:gridSpan w:val="3"/>
          </w:tcPr>
          <w:p w:rsidR="00714F5D" w:rsidRPr="001D0846" w:rsidRDefault="00714F5D" w:rsidP="008C5C6A">
            <w:pPr>
              <w:spacing w:line="276" w:lineRule="auto"/>
              <w:jc w:val="center"/>
              <w:rPr>
                <w:rFonts w:ascii="Times New Roman" w:hAnsi="Times New Roman" w:cs="Times New Roman"/>
                <w:sz w:val="24"/>
                <w:szCs w:val="24"/>
                <w:shd w:val="clear" w:color="auto" w:fill="FFFFFF"/>
              </w:rPr>
            </w:pPr>
            <w:r w:rsidRPr="001D0846">
              <w:rPr>
                <w:rFonts w:ascii="Times New Roman" w:hAnsi="Times New Roman" w:cs="Times New Roman"/>
                <w:sz w:val="24"/>
                <w:szCs w:val="24"/>
                <w:shd w:val="clear" w:color="auto" w:fill="FFFFFF"/>
              </w:rPr>
              <w:t>x</w:t>
            </w:r>
          </w:p>
        </w:tc>
        <w:tc>
          <w:tcPr>
            <w:tcW w:w="1691" w:type="dxa"/>
            <w:gridSpan w:val="3"/>
          </w:tcPr>
          <w:p w:rsidR="00714F5D" w:rsidRPr="001D0846" w:rsidRDefault="00714F5D" w:rsidP="008C5C6A">
            <w:pPr>
              <w:spacing w:line="276" w:lineRule="auto"/>
              <w:jc w:val="center"/>
              <w:rPr>
                <w:rFonts w:ascii="Times New Roman" w:hAnsi="Times New Roman" w:cs="Times New Roman"/>
                <w:sz w:val="24"/>
                <w:szCs w:val="24"/>
                <w:shd w:val="clear" w:color="auto" w:fill="FFFFFF"/>
              </w:rPr>
            </w:pPr>
            <w:r w:rsidRPr="001D0846">
              <w:rPr>
                <w:rFonts w:ascii="Times New Roman" w:hAnsi="Times New Roman" w:cs="Times New Roman"/>
                <w:sz w:val="24"/>
                <w:szCs w:val="24"/>
                <w:shd w:val="clear" w:color="auto" w:fill="FFFFFF"/>
              </w:rPr>
              <w:t>x</w:t>
            </w:r>
          </w:p>
        </w:tc>
        <w:tc>
          <w:tcPr>
            <w:tcW w:w="1764" w:type="dxa"/>
            <w:gridSpan w:val="2"/>
          </w:tcPr>
          <w:p w:rsidR="00714F5D" w:rsidRPr="001D0846" w:rsidRDefault="00714F5D" w:rsidP="008C5C6A">
            <w:pPr>
              <w:spacing w:line="276" w:lineRule="auto"/>
              <w:jc w:val="center"/>
              <w:rPr>
                <w:rFonts w:ascii="Times New Roman" w:hAnsi="Times New Roman" w:cs="Times New Roman"/>
                <w:sz w:val="24"/>
                <w:szCs w:val="24"/>
                <w:shd w:val="clear" w:color="auto" w:fill="FFFFFF"/>
              </w:rPr>
            </w:pPr>
            <w:r w:rsidRPr="001D0846">
              <w:rPr>
                <w:rFonts w:ascii="Times New Roman" w:hAnsi="Times New Roman" w:cs="Times New Roman"/>
                <w:sz w:val="24"/>
                <w:szCs w:val="24"/>
                <w:shd w:val="clear" w:color="auto" w:fill="FFFFFF"/>
              </w:rPr>
              <w:t>x</w:t>
            </w:r>
          </w:p>
        </w:tc>
        <w:tc>
          <w:tcPr>
            <w:tcW w:w="1954" w:type="dxa"/>
            <w:gridSpan w:val="2"/>
          </w:tcPr>
          <w:p w:rsidR="00714F5D" w:rsidRPr="001D0846" w:rsidRDefault="00714F5D" w:rsidP="008C5C6A">
            <w:pPr>
              <w:spacing w:line="276" w:lineRule="auto"/>
              <w:jc w:val="center"/>
              <w:rPr>
                <w:rFonts w:ascii="Times New Roman" w:hAnsi="Times New Roman" w:cs="Times New Roman"/>
                <w:sz w:val="24"/>
                <w:szCs w:val="24"/>
                <w:shd w:val="clear" w:color="auto" w:fill="FFFFFF"/>
              </w:rPr>
            </w:pPr>
            <w:r w:rsidRPr="001D0846">
              <w:rPr>
                <w:rFonts w:ascii="Times New Roman" w:hAnsi="Times New Roman" w:cs="Times New Roman"/>
                <w:sz w:val="24"/>
                <w:szCs w:val="24"/>
                <w:shd w:val="clear" w:color="auto" w:fill="FFFFFF"/>
              </w:rPr>
              <w:t>11,0</w:t>
            </w:r>
          </w:p>
        </w:tc>
      </w:tr>
    </w:tbl>
    <w:p w:rsidR="00714F5D" w:rsidRPr="001D0846" w:rsidRDefault="00714F5D" w:rsidP="00714F5D">
      <w:pPr>
        <w:spacing w:after="0" w:line="240" w:lineRule="auto"/>
        <w:ind w:right="49"/>
        <w:jc w:val="both"/>
        <w:rPr>
          <w:rFonts w:ascii="Times New Roman" w:eastAsia="Calibri" w:hAnsi="Times New Roman" w:cs="Times New Roman"/>
          <w:i/>
          <w:sz w:val="20"/>
          <w:szCs w:val="20"/>
        </w:rPr>
      </w:pPr>
      <w:r w:rsidRPr="001D0846">
        <w:rPr>
          <w:rFonts w:ascii="Times New Roman" w:eastAsia="Calibri" w:hAnsi="Times New Roman" w:cs="Times New Roman"/>
          <w:b/>
          <w:i/>
          <w:sz w:val="20"/>
          <w:szCs w:val="20"/>
        </w:rPr>
        <w:t>Sursă:</w:t>
      </w:r>
      <w:r w:rsidRPr="001D0846">
        <w:rPr>
          <w:rFonts w:ascii="Times New Roman" w:eastAsia="Calibri" w:hAnsi="Times New Roman" w:cs="Times New Roman"/>
          <w:i/>
          <w:sz w:val="20"/>
          <w:szCs w:val="20"/>
        </w:rPr>
        <w:t xml:space="preserve"> Date</w:t>
      </w:r>
      <w:r>
        <w:rPr>
          <w:rFonts w:ascii="Times New Roman" w:eastAsia="Calibri" w:hAnsi="Times New Roman" w:cs="Times New Roman"/>
          <w:i/>
          <w:sz w:val="20"/>
          <w:szCs w:val="20"/>
        </w:rPr>
        <w:t>le</w:t>
      </w:r>
      <w:r w:rsidRPr="001D0846">
        <w:rPr>
          <w:rFonts w:ascii="Times New Roman" w:eastAsia="Calibri" w:hAnsi="Times New Roman" w:cs="Times New Roman"/>
          <w:i/>
          <w:sz w:val="20"/>
          <w:szCs w:val="20"/>
        </w:rPr>
        <w:t xml:space="preserve"> generalizate de către echipa de audit în baza informațiilor din rapoartele privind datoriile agenților economici față de BS pe anii 2015-2017.</w:t>
      </w:r>
    </w:p>
    <w:p w:rsidR="00714F5D" w:rsidRPr="001D0846" w:rsidRDefault="00714F5D" w:rsidP="00714F5D">
      <w:pPr>
        <w:spacing w:after="0" w:line="240" w:lineRule="auto"/>
        <w:ind w:right="-334"/>
        <w:rPr>
          <w:rFonts w:ascii="Times New Roman" w:hAnsi="Times New Roman" w:cs="Times New Roman"/>
        </w:rPr>
      </w:pPr>
    </w:p>
    <w:p w:rsidR="00714F5D" w:rsidRPr="001D0846" w:rsidRDefault="00714F5D" w:rsidP="00714F5D">
      <w:pPr>
        <w:spacing w:after="0" w:line="240" w:lineRule="auto"/>
        <w:ind w:firstLine="720"/>
        <w:jc w:val="right"/>
        <w:rPr>
          <w:rFonts w:ascii="Times New Roman" w:hAnsi="Times New Roman" w:cs="Times New Roman"/>
          <w:b/>
          <w:i/>
          <w:sz w:val="28"/>
          <w:szCs w:val="28"/>
          <w:shd w:val="clear" w:color="auto" w:fill="FFFFFF"/>
        </w:rPr>
      </w:pPr>
      <w:r w:rsidRPr="001D0846">
        <w:rPr>
          <w:rFonts w:ascii="Times New Roman" w:hAnsi="Times New Roman" w:cs="Times New Roman"/>
          <w:b/>
          <w:i/>
          <w:sz w:val="28"/>
          <w:szCs w:val="28"/>
          <w:shd w:val="clear" w:color="auto" w:fill="FFFFFF"/>
        </w:rPr>
        <w:t>Tabelul nr.</w:t>
      </w:r>
      <w:r>
        <w:rPr>
          <w:rFonts w:ascii="Times New Roman" w:hAnsi="Times New Roman" w:cs="Times New Roman"/>
          <w:b/>
          <w:i/>
          <w:sz w:val="28"/>
          <w:szCs w:val="28"/>
          <w:shd w:val="clear" w:color="auto" w:fill="FFFFFF"/>
        </w:rPr>
        <w:t>20</w:t>
      </w:r>
    </w:p>
    <w:p w:rsidR="00714F5D" w:rsidRPr="001D0846" w:rsidRDefault="00714F5D" w:rsidP="00714F5D">
      <w:pPr>
        <w:spacing w:after="0" w:line="240" w:lineRule="auto"/>
        <w:ind w:firstLine="720"/>
        <w:jc w:val="center"/>
        <w:rPr>
          <w:rFonts w:ascii="Times New Roman" w:hAnsi="Times New Roman" w:cs="Times New Roman"/>
          <w:b/>
          <w:i/>
          <w:sz w:val="28"/>
          <w:szCs w:val="28"/>
          <w:shd w:val="clear" w:color="auto" w:fill="FFFFFF"/>
        </w:rPr>
      </w:pPr>
      <w:r w:rsidRPr="001D0846">
        <w:rPr>
          <w:rFonts w:ascii="Times New Roman" w:hAnsi="Times New Roman" w:cs="Times New Roman"/>
          <w:i/>
          <w:sz w:val="28"/>
          <w:szCs w:val="28"/>
        </w:rPr>
        <w:t>Informația privind majorările de înt</w:t>
      </w:r>
      <w:r>
        <w:rPr>
          <w:rFonts w:ascii="Times New Roman" w:hAnsi="Times New Roman" w:cs="Times New Roman"/>
          <w:i/>
          <w:sz w:val="28"/>
          <w:szCs w:val="28"/>
        </w:rPr>
        <w:t>â</w:t>
      </w:r>
      <w:r w:rsidRPr="001D0846">
        <w:rPr>
          <w:rFonts w:ascii="Times New Roman" w:hAnsi="Times New Roman" w:cs="Times New Roman"/>
          <w:i/>
          <w:sz w:val="28"/>
          <w:szCs w:val="28"/>
        </w:rPr>
        <w:t xml:space="preserve">rziere calculate la plățile de bază și încasate la buget de către SV </w:t>
      </w:r>
    </w:p>
    <w:p w:rsidR="00714F5D" w:rsidRPr="00DE7EFA" w:rsidRDefault="00714F5D" w:rsidP="00714F5D">
      <w:pPr>
        <w:spacing w:after="0" w:line="240" w:lineRule="auto"/>
        <w:ind w:right="-75"/>
        <w:jc w:val="right"/>
        <w:rPr>
          <w:rFonts w:ascii="Times New Roman" w:hAnsi="Times New Roman" w:cs="Times New Roman"/>
          <w:i/>
          <w:sz w:val="28"/>
          <w:szCs w:val="28"/>
          <w:shd w:val="clear" w:color="auto" w:fill="FFFFFF"/>
        </w:rPr>
      </w:pPr>
      <w:r w:rsidRPr="00DE7EFA">
        <w:rPr>
          <w:rFonts w:ascii="Times New Roman" w:hAnsi="Times New Roman" w:cs="Times New Roman"/>
          <w:i/>
          <w:sz w:val="28"/>
          <w:szCs w:val="28"/>
          <w:shd w:val="clear" w:color="auto" w:fill="FFFFFF"/>
        </w:rPr>
        <w:t xml:space="preserve">                                                                                                 (mii lei)</w:t>
      </w:r>
    </w:p>
    <w:tbl>
      <w:tblPr>
        <w:tblW w:w="9451" w:type="dxa"/>
        <w:tblInd w:w="-5" w:type="dxa"/>
        <w:tblLook w:val="04A0"/>
      </w:tblPr>
      <w:tblGrid>
        <w:gridCol w:w="1350"/>
        <w:gridCol w:w="1890"/>
        <w:gridCol w:w="900"/>
        <w:gridCol w:w="990"/>
        <w:gridCol w:w="990"/>
        <w:gridCol w:w="990"/>
        <w:gridCol w:w="1080"/>
        <w:gridCol w:w="1261"/>
      </w:tblGrid>
      <w:tr w:rsidR="00714F5D" w:rsidRPr="001D0846" w:rsidTr="008C5C6A">
        <w:trPr>
          <w:trHeight w:val="300"/>
        </w:trPr>
        <w:tc>
          <w:tcPr>
            <w:tcW w:w="1350" w:type="dxa"/>
            <w:vMerge w:val="restart"/>
            <w:tcBorders>
              <w:top w:val="single" w:sz="4" w:space="0" w:color="auto"/>
              <w:left w:val="single" w:sz="4" w:space="0" w:color="auto"/>
              <w:right w:val="single" w:sz="4" w:space="0" w:color="auto"/>
            </w:tcBorders>
            <w:noWrap/>
            <w:vAlign w:val="bottom"/>
            <w:hideMark/>
          </w:tcPr>
          <w:p w:rsidR="00714F5D" w:rsidRPr="001D0846" w:rsidRDefault="00714F5D" w:rsidP="008C5C6A">
            <w:pPr>
              <w:spacing w:after="0" w:line="276" w:lineRule="auto"/>
              <w:jc w:val="center"/>
              <w:rPr>
                <w:rFonts w:ascii="Times New Roman" w:eastAsia="Times New Roman" w:hAnsi="Times New Roman" w:cs="Times New Roman"/>
                <w:b/>
                <w:color w:val="000000"/>
                <w:lang w:eastAsia="ru-RU"/>
              </w:rPr>
            </w:pPr>
            <w:r w:rsidRPr="001D0846">
              <w:rPr>
                <w:rFonts w:ascii="Times New Roman" w:eastAsia="Times New Roman" w:hAnsi="Times New Roman" w:cs="Times New Roman"/>
                <w:b/>
                <w:color w:val="000000"/>
                <w:lang w:eastAsia="ru-RU"/>
              </w:rPr>
              <w:t>Anul</w:t>
            </w:r>
          </w:p>
          <w:p w:rsidR="00714F5D" w:rsidRPr="001D0846" w:rsidRDefault="00714F5D" w:rsidP="008C5C6A">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b/>
                <w:color w:val="000000"/>
                <w:lang w:eastAsia="ru-RU"/>
              </w:rPr>
              <w:t>formării</w:t>
            </w:r>
          </w:p>
        </w:tc>
        <w:tc>
          <w:tcPr>
            <w:tcW w:w="1890" w:type="dxa"/>
            <w:vMerge w:val="restart"/>
            <w:tcBorders>
              <w:top w:val="single" w:sz="4" w:space="0" w:color="auto"/>
              <w:left w:val="nil"/>
              <w:right w:val="single" w:sz="4" w:space="0" w:color="auto"/>
            </w:tcBorders>
            <w:noWrap/>
            <w:vAlign w:val="bottom"/>
            <w:hideMark/>
          </w:tcPr>
          <w:p w:rsidR="00714F5D" w:rsidRPr="001D0846" w:rsidRDefault="00714F5D" w:rsidP="008C5C6A">
            <w:pPr>
              <w:spacing w:after="0" w:line="276" w:lineRule="auto"/>
              <w:jc w:val="center"/>
              <w:rPr>
                <w:rFonts w:ascii="Times New Roman" w:eastAsia="Times New Roman" w:hAnsi="Times New Roman" w:cs="Times New Roman"/>
                <w:b/>
                <w:color w:val="000000"/>
                <w:lang w:eastAsia="ru-RU"/>
              </w:rPr>
            </w:pPr>
            <w:r w:rsidRPr="001D0846">
              <w:rPr>
                <w:rFonts w:ascii="Times New Roman" w:eastAsia="Times New Roman" w:hAnsi="Times New Roman" w:cs="Times New Roman"/>
                <w:b/>
                <w:color w:val="000000"/>
                <w:lang w:eastAsia="ru-RU"/>
              </w:rPr>
              <w:t>Majorări de înt</w:t>
            </w:r>
            <w:r>
              <w:rPr>
                <w:rFonts w:ascii="Times New Roman" w:eastAsia="Times New Roman" w:hAnsi="Times New Roman" w:cs="Times New Roman"/>
                <w:b/>
                <w:color w:val="000000"/>
                <w:lang w:eastAsia="ru-RU"/>
              </w:rPr>
              <w:t>â</w:t>
            </w:r>
            <w:r w:rsidRPr="001D0846">
              <w:rPr>
                <w:rFonts w:ascii="Times New Roman" w:eastAsia="Times New Roman" w:hAnsi="Times New Roman" w:cs="Times New Roman"/>
                <w:b/>
                <w:color w:val="000000"/>
                <w:lang w:eastAsia="ru-RU"/>
              </w:rPr>
              <w:t>rziere calculate (restante)</w:t>
            </w:r>
          </w:p>
        </w:tc>
        <w:tc>
          <w:tcPr>
            <w:tcW w:w="4950" w:type="dxa"/>
            <w:gridSpan w:val="5"/>
            <w:tcBorders>
              <w:top w:val="single" w:sz="4" w:space="0" w:color="auto"/>
              <w:left w:val="nil"/>
              <w:bottom w:val="single" w:sz="4" w:space="0" w:color="auto"/>
              <w:right w:val="single" w:sz="4" w:space="0" w:color="auto"/>
            </w:tcBorders>
            <w:noWrap/>
            <w:vAlign w:val="bottom"/>
            <w:hideMark/>
          </w:tcPr>
          <w:p w:rsidR="00714F5D" w:rsidRPr="001D0846" w:rsidRDefault="00714F5D" w:rsidP="008C5C6A">
            <w:pPr>
              <w:spacing w:after="0" w:line="276" w:lineRule="auto"/>
              <w:jc w:val="center"/>
              <w:rPr>
                <w:rFonts w:ascii="Times New Roman" w:eastAsia="Times New Roman" w:hAnsi="Times New Roman" w:cs="Times New Roman"/>
                <w:b/>
                <w:color w:val="000000"/>
                <w:lang w:eastAsia="ru-RU"/>
              </w:rPr>
            </w:pPr>
            <w:r w:rsidRPr="001D0846">
              <w:rPr>
                <w:rFonts w:ascii="Times New Roman" w:eastAsia="Times New Roman" w:hAnsi="Times New Roman" w:cs="Times New Roman"/>
                <w:b/>
                <w:color w:val="000000"/>
                <w:lang w:eastAsia="ru-RU"/>
              </w:rPr>
              <w:t>Restanța încasată la majorări de înt</w:t>
            </w:r>
            <w:r>
              <w:rPr>
                <w:rFonts w:ascii="Times New Roman" w:eastAsia="Times New Roman" w:hAnsi="Times New Roman" w:cs="Times New Roman"/>
                <w:b/>
                <w:color w:val="000000"/>
                <w:lang w:eastAsia="ru-RU"/>
              </w:rPr>
              <w:t>â</w:t>
            </w:r>
            <w:r w:rsidRPr="001D0846">
              <w:rPr>
                <w:rFonts w:ascii="Times New Roman" w:eastAsia="Times New Roman" w:hAnsi="Times New Roman" w:cs="Times New Roman"/>
                <w:b/>
                <w:color w:val="000000"/>
                <w:lang w:eastAsia="ru-RU"/>
              </w:rPr>
              <w:t>rziere pe ani</w:t>
            </w:r>
          </w:p>
        </w:tc>
        <w:tc>
          <w:tcPr>
            <w:tcW w:w="1261" w:type="dxa"/>
            <w:vMerge w:val="restart"/>
            <w:tcBorders>
              <w:top w:val="single" w:sz="4" w:space="0" w:color="auto"/>
              <w:left w:val="nil"/>
              <w:right w:val="single" w:sz="4" w:space="0" w:color="auto"/>
            </w:tcBorders>
            <w:noWrap/>
            <w:vAlign w:val="bottom"/>
            <w:hideMark/>
          </w:tcPr>
          <w:p w:rsidR="00714F5D" w:rsidRPr="001D0846" w:rsidRDefault="00714F5D" w:rsidP="008C5C6A">
            <w:pPr>
              <w:spacing w:after="0" w:line="276" w:lineRule="auto"/>
              <w:jc w:val="center"/>
              <w:rPr>
                <w:rFonts w:ascii="Times New Roman" w:eastAsia="Times New Roman" w:hAnsi="Times New Roman" w:cs="Times New Roman"/>
                <w:b/>
                <w:color w:val="000000"/>
                <w:lang w:eastAsia="ru-RU"/>
              </w:rPr>
            </w:pPr>
            <w:r w:rsidRPr="001D0846">
              <w:rPr>
                <w:rFonts w:ascii="Times New Roman" w:eastAsia="Times New Roman" w:hAnsi="Times New Roman" w:cs="Times New Roman"/>
                <w:b/>
                <w:color w:val="000000"/>
                <w:lang w:eastAsia="ru-RU"/>
              </w:rPr>
              <w:t>Sold</w:t>
            </w:r>
            <w:r>
              <w:rPr>
                <w:rFonts w:ascii="Times New Roman" w:eastAsia="Times New Roman" w:hAnsi="Times New Roman" w:cs="Times New Roman"/>
                <w:b/>
                <w:color w:val="000000"/>
                <w:lang w:eastAsia="ru-RU"/>
              </w:rPr>
              <w:t>ul</w:t>
            </w:r>
            <w:r w:rsidRPr="001D0846">
              <w:rPr>
                <w:rFonts w:ascii="Times New Roman" w:eastAsia="Times New Roman" w:hAnsi="Times New Roman" w:cs="Times New Roman"/>
                <w:b/>
                <w:color w:val="000000"/>
                <w:lang w:eastAsia="ru-RU"/>
              </w:rPr>
              <w:t xml:space="preserve"> la 29.12.2017</w:t>
            </w:r>
            <w:r w:rsidRPr="001D0846">
              <w:rPr>
                <w:rFonts w:ascii="Times New Roman" w:eastAsia="Times New Roman" w:hAnsi="Times New Roman" w:cs="Times New Roman"/>
                <w:color w:val="000000"/>
                <w:lang w:eastAsia="ru-RU"/>
              </w:rPr>
              <w:t> </w:t>
            </w:r>
          </w:p>
        </w:tc>
      </w:tr>
      <w:tr w:rsidR="00714F5D" w:rsidRPr="001D0846" w:rsidTr="008C5C6A">
        <w:trPr>
          <w:trHeight w:val="107"/>
        </w:trPr>
        <w:tc>
          <w:tcPr>
            <w:tcW w:w="1350" w:type="dxa"/>
            <w:vMerge/>
            <w:tcBorders>
              <w:left w:val="single" w:sz="4" w:space="0" w:color="auto"/>
              <w:bottom w:val="single" w:sz="4" w:space="0" w:color="auto"/>
              <w:right w:val="single" w:sz="4" w:space="0" w:color="auto"/>
            </w:tcBorders>
            <w:noWrap/>
            <w:vAlign w:val="bottom"/>
            <w:hideMark/>
          </w:tcPr>
          <w:p w:rsidR="00714F5D" w:rsidRPr="001D0846" w:rsidRDefault="00714F5D" w:rsidP="008C5C6A">
            <w:pPr>
              <w:spacing w:after="0" w:line="276" w:lineRule="auto"/>
              <w:rPr>
                <w:rFonts w:ascii="Times New Roman" w:eastAsia="Times New Roman" w:hAnsi="Times New Roman" w:cs="Times New Roman"/>
                <w:color w:val="000000"/>
                <w:lang w:eastAsia="ru-RU"/>
              </w:rPr>
            </w:pPr>
          </w:p>
        </w:tc>
        <w:tc>
          <w:tcPr>
            <w:tcW w:w="1890" w:type="dxa"/>
            <w:vMerge/>
            <w:tcBorders>
              <w:left w:val="nil"/>
              <w:bottom w:val="single" w:sz="4" w:space="0" w:color="auto"/>
              <w:right w:val="single" w:sz="4" w:space="0" w:color="auto"/>
            </w:tcBorders>
            <w:noWrap/>
            <w:vAlign w:val="bottom"/>
            <w:hideMark/>
          </w:tcPr>
          <w:p w:rsidR="00714F5D" w:rsidRPr="001D0846" w:rsidRDefault="00714F5D" w:rsidP="008C5C6A">
            <w:pPr>
              <w:spacing w:after="0" w:line="276" w:lineRule="auto"/>
              <w:rPr>
                <w:rFonts w:ascii="Times New Roman" w:eastAsia="Times New Roman" w:hAnsi="Times New Roman" w:cs="Times New Roman"/>
                <w:color w:val="000000"/>
                <w:lang w:eastAsia="ru-RU"/>
              </w:rPr>
            </w:pPr>
          </w:p>
        </w:tc>
        <w:tc>
          <w:tcPr>
            <w:tcW w:w="900" w:type="dxa"/>
            <w:tcBorders>
              <w:top w:val="nil"/>
              <w:left w:val="nil"/>
              <w:bottom w:val="single" w:sz="4" w:space="0" w:color="auto"/>
              <w:right w:val="single" w:sz="4" w:space="0" w:color="auto"/>
            </w:tcBorders>
            <w:noWrap/>
            <w:vAlign w:val="bottom"/>
            <w:hideMark/>
          </w:tcPr>
          <w:p w:rsidR="00714F5D" w:rsidRPr="001D0846" w:rsidRDefault="00714F5D" w:rsidP="008C5C6A">
            <w:pPr>
              <w:spacing w:after="0" w:line="276" w:lineRule="auto"/>
              <w:jc w:val="center"/>
              <w:rPr>
                <w:rFonts w:ascii="Times New Roman" w:eastAsia="Times New Roman" w:hAnsi="Times New Roman" w:cs="Times New Roman"/>
                <w:b/>
                <w:color w:val="000000"/>
                <w:lang w:eastAsia="ru-RU"/>
              </w:rPr>
            </w:pPr>
            <w:r w:rsidRPr="001D0846">
              <w:rPr>
                <w:rFonts w:ascii="Times New Roman" w:eastAsia="Times New Roman" w:hAnsi="Times New Roman" w:cs="Times New Roman"/>
                <w:b/>
                <w:color w:val="000000"/>
                <w:lang w:eastAsia="ru-RU"/>
              </w:rPr>
              <w:t>2013</w:t>
            </w:r>
          </w:p>
        </w:tc>
        <w:tc>
          <w:tcPr>
            <w:tcW w:w="990" w:type="dxa"/>
            <w:tcBorders>
              <w:top w:val="nil"/>
              <w:left w:val="nil"/>
              <w:bottom w:val="single" w:sz="4" w:space="0" w:color="auto"/>
              <w:right w:val="single" w:sz="4" w:space="0" w:color="auto"/>
            </w:tcBorders>
            <w:noWrap/>
            <w:vAlign w:val="bottom"/>
            <w:hideMark/>
          </w:tcPr>
          <w:p w:rsidR="00714F5D" w:rsidRPr="001D0846" w:rsidRDefault="00714F5D" w:rsidP="008C5C6A">
            <w:pPr>
              <w:spacing w:after="0" w:line="276" w:lineRule="auto"/>
              <w:jc w:val="center"/>
              <w:rPr>
                <w:rFonts w:ascii="Times New Roman" w:eastAsia="Times New Roman" w:hAnsi="Times New Roman" w:cs="Times New Roman"/>
                <w:b/>
                <w:color w:val="000000"/>
                <w:lang w:eastAsia="ru-RU"/>
              </w:rPr>
            </w:pPr>
            <w:r w:rsidRPr="001D0846">
              <w:rPr>
                <w:rFonts w:ascii="Times New Roman" w:eastAsia="Times New Roman" w:hAnsi="Times New Roman" w:cs="Times New Roman"/>
                <w:b/>
                <w:color w:val="000000"/>
                <w:lang w:eastAsia="ru-RU"/>
              </w:rPr>
              <w:t>2014</w:t>
            </w:r>
          </w:p>
        </w:tc>
        <w:tc>
          <w:tcPr>
            <w:tcW w:w="990" w:type="dxa"/>
            <w:tcBorders>
              <w:top w:val="nil"/>
              <w:left w:val="nil"/>
              <w:bottom w:val="single" w:sz="4" w:space="0" w:color="auto"/>
              <w:right w:val="single" w:sz="4" w:space="0" w:color="auto"/>
            </w:tcBorders>
            <w:noWrap/>
            <w:vAlign w:val="bottom"/>
            <w:hideMark/>
          </w:tcPr>
          <w:p w:rsidR="00714F5D" w:rsidRPr="001D0846" w:rsidRDefault="00714F5D" w:rsidP="008C5C6A">
            <w:pPr>
              <w:spacing w:after="0" w:line="276" w:lineRule="auto"/>
              <w:jc w:val="center"/>
              <w:rPr>
                <w:rFonts w:ascii="Times New Roman" w:eastAsia="Times New Roman" w:hAnsi="Times New Roman" w:cs="Times New Roman"/>
                <w:b/>
                <w:color w:val="000000"/>
                <w:lang w:eastAsia="ru-RU"/>
              </w:rPr>
            </w:pPr>
            <w:r w:rsidRPr="001D0846">
              <w:rPr>
                <w:rFonts w:ascii="Times New Roman" w:eastAsia="Times New Roman" w:hAnsi="Times New Roman" w:cs="Times New Roman"/>
                <w:b/>
                <w:color w:val="000000"/>
                <w:lang w:eastAsia="ru-RU"/>
              </w:rPr>
              <w:t>2015</w:t>
            </w:r>
          </w:p>
        </w:tc>
        <w:tc>
          <w:tcPr>
            <w:tcW w:w="990" w:type="dxa"/>
            <w:tcBorders>
              <w:top w:val="nil"/>
              <w:left w:val="nil"/>
              <w:bottom w:val="single" w:sz="4" w:space="0" w:color="auto"/>
              <w:right w:val="single" w:sz="4" w:space="0" w:color="auto"/>
            </w:tcBorders>
            <w:noWrap/>
            <w:vAlign w:val="bottom"/>
            <w:hideMark/>
          </w:tcPr>
          <w:p w:rsidR="00714F5D" w:rsidRPr="001D0846" w:rsidRDefault="00714F5D" w:rsidP="008C5C6A">
            <w:pPr>
              <w:spacing w:after="0" w:line="276" w:lineRule="auto"/>
              <w:jc w:val="center"/>
              <w:rPr>
                <w:rFonts w:ascii="Times New Roman" w:eastAsia="Times New Roman" w:hAnsi="Times New Roman" w:cs="Times New Roman"/>
                <w:b/>
                <w:color w:val="000000"/>
                <w:lang w:eastAsia="ru-RU"/>
              </w:rPr>
            </w:pPr>
            <w:r w:rsidRPr="001D0846">
              <w:rPr>
                <w:rFonts w:ascii="Times New Roman" w:eastAsia="Times New Roman" w:hAnsi="Times New Roman" w:cs="Times New Roman"/>
                <w:b/>
                <w:color w:val="000000"/>
                <w:lang w:eastAsia="ru-RU"/>
              </w:rPr>
              <w:t>2016</w:t>
            </w:r>
          </w:p>
        </w:tc>
        <w:tc>
          <w:tcPr>
            <w:tcW w:w="1080" w:type="dxa"/>
            <w:tcBorders>
              <w:top w:val="nil"/>
              <w:left w:val="nil"/>
              <w:bottom w:val="single" w:sz="4" w:space="0" w:color="auto"/>
              <w:right w:val="single" w:sz="4" w:space="0" w:color="auto"/>
            </w:tcBorders>
            <w:noWrap/>
            <w:vAlign w:val="bottom"/>
            <w:hideMark/>
          </w:tcPr>
          <w:p w:rsidR="00714F5D" w:rsidRPr="001D0846" w:rsidRDefault="00714F5D" w:rsidP="008C5C6A">
            <w:pPr>
              <w:spacing w:after="0" w:line="276" w:lineRule="auto"/>
              <w:jc w:val="center"/>
              <w:rPr>
                <w:rFonts w:ascii="Times New Roman" w:eastAsia="Times New Roman" w:hAnsi="Times New Roman" w:cs="Times New Roman"/>
                <w:b/>
                <w:color w:val="000000"/>
                <w:lang w:eastAsia="ru-RU"/>
              </w:rPr>
            </w:pPr>
            <w:r w:rsidRPr="001D0846">
              <w:rPr>
                <w:rFonts w:ascii="Times New Roman" w:eastAsia="Times New Roman" w:hAnsi="Times New Roman" w:cs="Times New Roman"/>
                <w:b/>
                <w:color w:val="000000"/>
                <w:lang w:eastAsia="ru-RU"/>
              </w:rPr>
              <w:t>2017</w:t>
            </w:r>
          </w:p>
        </w:tc>
        <w:tc>
          <w:tcPr>
            <w:tcW w:w="1261" w:type="dxa"/>
            <w:vMerge/>
            <w:tcBorders>
              <w:left w:val="nil"/>
              <w:bottom w:val="single" w:sz="4" w:space="0" w:color="auto"/>
              <w:right w:val="single" w:sz="4" w:space="0" w:color="auto"/>
            </w:tcBorders>
            <w:noWrap/>
            <w:vAlign w:val="bottom"/>
            <w:hideMark/>
          </w:tcPr>
          <w:p w:rsidR="00714F5D" w:rsidRPr="001D0846" w:rsidRDefault="00714F5D" w:rsidP="008C5C6A">
            <w:pPr>
              <w:spacing w:after="0" w:line="276" w:lineRule="auto"/>
              <w:rPr>
                <w:rFonts w:ascii="Times New Roman" w:eastAsia="Times New Roman" w:hAnsi="Times New Roman" w:cs="Times New Roman"/>
                <w:color w:val="000000"/>
                <w:lang w:eastAsia="ru-RU"/>
              </w:rPr>
            </w:pPr>
          </w:p>
        </w:tc>
      </w:tr>
      <w:tr w:rsidR="00714F5D" w:rsidRPr="001D0846" w:rsidTr="008C5C6A">
        <w:trPr>
          <w:trHeight w:val="300"/>
        </w:trPr>
        <w:tc>
          <w:tcPr>
            <w:tcW w:w="1350" w:type="dxa"/>
            <w:tcBorders>
              <w:top w:val="nil"/>
              <w:left w:val="single" w:sz="4" w:space="0" w:color="auto"/>
              <w:bottom w:val="single" w:sz="4" w:space="0" w:color="auto"/>
              <w:right w:val="single" w:sz="4" w:space="0" w:color="auto"/>
            </w:tcBorders>
            <w:noWrap/>
            <w:vAlign w:val="bottom"/>
            <w:hideMark/>
          </w:tcPr>
          <w:p w:rsidR="00714F5D" w:rsidRPr="001D0846" w:rsidRDefault="00714F5D" w:rsidP="008C5C6A">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2012</w:t>
            </w:r>
          </w:p>
        </w:tc>
        <w:tc>
          <w:tcPr>
            <w:tcW w:w="1890" w:type="dxa"/>
            <w:tcBorders>
              <w:top w:val="nil"/>
              <w:left w:val="nil"/>
              <w:bottom w:val="single" w:sz="4" w:space="0" w:color="auto"/>
              <w:right w:val="single" w:sz="4" w:space="0" w:color="auto"/>
            </w:tcBorders>
            <w:noWrap/>
            <w:vAlign w:val="bottom"/>
            <w:hideMark/>
          </w:tcPr>
          <w:p w:rsidR="00714F5D" w:rsidRPr="001D0846" w:rsidRDefault="00714F5D" w:rsidP="008C5C6A">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43535,7</w:t>
            </w:r>
          </w:p>
        </w:tc>
        <w:tc>
          <w:tcPr>
            <w:tcW w:w="900" w:type="dxa"/>
            <w:tcBorders>
              <w:top w:val="nil"/>
              <w:left w:val="nil"/>
              <w:bottom w:val="single" w:sz="4" w:space="0" w:color="auto"/>
              <w:right w:val="single" w:sz="4" w:space="0" w:color="auto"/>
            </w:tcBorders>
            <w:noWrap/>
            <w:vAlign w:val="bottom"/>
            <w:hideMark/>
          </w:tcPr>
          <w:p w:rsidR="00714F5D" w:rsidRPr="001D0846" w:rsidRDefault="00714F5D" w:rsidP="008C5C6A">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3435,8</w:t>
            </w:r>
          </w:p>
        </w:tc>
        <w:tc>
          <w:tcPr>
            <w:tcW w:w="990" w:type="dxa"/>
            <w:tcBorders>
              <w:top w:val="nil"/>
              <w:left w:val="nil"/>
              <w:bottom w:val="single" w:sz="4" w:space="0" w:color="auto"/>
              <w:right w:val="single" w:sz="4" w:space="0" w:color="auto"/>
            </w:tcBorders>
            <w:noWrap/>
            <w:vAlign w:val="bottom"/>
            <w:hideMark/>
          </w:tcPr>
          <w:p w:rsidR="00714F5D" w:rsidRPr="001D0846" w:rsidRDefault="00714F5D" w:rsidP="008C5C6A">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2123,3</w:t>
            </w:r>
          </w:p>
        </w:tc>
        <w:tc>
          <w:tcPr>
            <w:tcW w:w="990" w:type="dxa"/>
            <w:tcBorders>
              <w:top w:val="nil"/>
              <w:left w:val="nil"/>
              <w:bottom w:val="single" w:sz="4" w:space="0" w:color="auto"/>
              <w:right w:val="single" w:sz="4" w:space="0" w:color="auto"/>
            </w:tcBorders>
            <w:noWrap/>
            <w:vAlign w:val="bottom"/>
            <w:hideMark/>
          </w:tcPr>
          <w:p w:rsidR="00714F5D" w:rsidRPr="001D0846" w:rsidRDefault="00714F5D" w:rsidP="008C5C6A">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1474,9</w:t>
            </w:r>
          </w:p>
        </w:tc>
        <w:tc>
          <w:tcPr>
            <w:tcW w:w="990" w:type="dxa"/>
            <w:tcBorders>
              <w:top w:val="nil"/>
              <w:left w:val="nil"/>
              <w:bottom w:val="single" w:sz="4" w:space="0" w:color="auto"/>
              <w:right w:val="single" w:sz="4" w:space="0" w:color="auto"/>
            </w:tcBorders>
            <w:noWrap/>
            <w:vAlign w:val="bottom"/>
            <w:hideMark/>
          </w:tcPr>
          <w:p w:rsidR="00714F5D" w:rsidRPr="001D0846" w:rsidRDefault="00714F5D" w:rsidP="008C5C6A">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1884,9</w:t>
            </w:r>
          </w:p>
        </w:tc>
        <w:tc>
          <w:tcPr>
            <w:tcW w:w="1080" w:type="dxa"/>
            <w:tcBorders>
              <w:top w:val="nil"/>
              <w:left w:val="nil"/>
              <w:bottom w:val="single" w:sz="4" w:space="0" w:color="auto"/>
              <w:right w:val="single" w:sz="4" w:space="0" w:color="auto"/>
            </w:tcBorders>
            <w:noWrap/>
            <w:vAlign w:val="bottom"/>
            <w:hideMark/>
          </w:tcPr>
          <w:p w:rsidR="00714F5D" w:rsidRPr="001D0846" w:rsidRDefault="00714F5D" w:rsidP="008C5C6A">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299,7</w:t>
            </w:r>
          </w:p>
        </w:tc>
        <w:tc>
          <w:tcPr>
            <w:tcW w:w="1261" w:type="dxa"/>
            <w:tcBorders>
              <w:top w:val="nil"/>
              <w:left w:val="nil"/>
              <w:bottom w:val="single" w:sz="4" w:space="0" w:color="auto"/>
              <w:right w:val="single" w:sz="4" w:space="0" w:color="auto"/>
            </w:tcBorders>
            <w:noWrap/>
            <w:vAlign w:val="bottom"/>
            <w:hideMark/>
          </w:tcPr>
          <w:p w:rsidR="00714F5D" w:rsidRPr="001D0846" w:rsidRDefault="00714F5D" w:rsidP="008C5C6A">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34317,1</w:t>
            </w:r>
          </w:p>
        </w:tc>
      </w:tr>
      <w:tr w:rsidR="00714F5D" w:rsidRPr="001D0846" w:rsidTr="008C5C6A">
        <w:trPr>
          <w:trHeight w:val="300"/>
        </w:trPr>
        <w:tc>
          <w:tcPr>
            <w:tcW w:w="1350" w:type="dxa"/>
            <w:tcBorders>
              <w:top w:val="nil"/>
              <w:left w:val="single" w:sz="4" w:space="0" w:color="auto"/>
              <w:bottom w:val="single" w:sz="4" w:space="0" w:color="auto"/>
              <w:right w:val="single" w:sz="4" w:space="0" w:color="auto"/>
            </w:tcBorders>
            <w:noWrap/>
            <w:vAlign w:val="bottom"/>
            <w:hideMark/>
          </w:tcPr>
          <w:p w:rsidR="00714F5D" w:rsidRPr="001D0846" w:rsidRDefault="00714F5D" w:rsidP="008C5C6A">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2013</w:t>
            </w:r>
          </w:p>
        </w:tc>
        <w:tc>
          <w:tcPr>
            <w:tcW w:w="1890" w:type="dxa"/>
            <w:tcBorders>
              <w:top w:val="nil"/>
              <w:left w:val="nil"/>
              <w:bottom w:val="single" w:sz="4" w:space="0" w:color="auto"/>
              <w:right w:val="single" w:sz="4" w:space="0" w:color="auto"/>
            </w:tcBorders>
            <w:noWrap/>
            <w:vAlign w:val="bottom"/>
            <w:hideMark/>
          </w:tcPr>
          <w:p w:rsidR="00714F5D" w:rsidRPr="001D0846" w:rsidRDefault="00714F5D" w:rsidP="008C5C6A">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19888,3</w:t>
            </w:r>
          </w:p>
        </w:tc>
        <w:tc>
          <w:tcPr>
            <w:tcW w:w="900" w:type="dxa"/>
            <w:tcBorders>
              <w:top w:val="nil"/>
              <w:left w:val="nil"/>
              <w:bottom w:val="single" w:sz="4" w:space="0" w:color="auto"/>
              <w:right w:val="single" w:sz="4" w:space="0" w:color="auto"/>
            </w:tcBorders>
            <w:noWrap/>
            <w:vAlign w:val="bottom"/>
            <w:hideMark/>
          </w:tcPr>
          <w:p w:rsidR="00714F5D" w:rsidRPr="001D0846" w:rsidRDefault="00714F5D" w:rsidP="008C5C6A">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0</w:t>
            </w:r>
          </w:p>
        </w:tc>
        <w:tc>
          <w:tcPr>
            <w:tcW w:w="990" w:type="dxa"/>
            <w:tcBorders>
              <w:top w:val="nil"/>
              <w:left w:val="nil"/>
              <w:bottom w:val="single" w:sz="4" w:space="0" w:color="auto"/>
              <w:right w:val="single" w:sz="4" w:space="0" w:color="auto"/>
            </w:tcBorders>
            <w:noWrap/>
            <w:vAlign w:val="bottom"/>
            <w:hideMark/>
          </w:tcPr>
          <w:p w:rsidR="00714F5D" w:rsidRPr="001D0846" w:rsidRDefault="00714F5D" w:rsidP="008C5C6A">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149,0</w:t>
            </w:r>
          </w:p>
        </w:tc>
        <w:tc>
          <w:tcPr>
            <w:tcW w:w="990" w:type="dxa"/>
            <w:tcBorders>
              <w:top w:val="nil"/>
              <w:left w:val="nil"/>
              <w:bottom w:val="single" w:sz="4" w:space="0" w:color="auto"/>
              <w:right w:val="single" w:sz="4" w:space="0" w:color="auto"/>
            </w:tcBorders>
            <w:noWrap/>
            <w:vAlign w:val="bottom"/>
            <w:hideMark/>
          </w:tcPr>
          <w:p w:rsidR="00714F5D" w:rsidRPr="001D0846" w:rsidRDefault="00714F5D" w:rsidP="008C5C6A">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1601,2</w:t>
            </w:r>
          </w:p>
        </w:tc>
        <w:tc>
          <w:tcPr>
            <w:tcW w:w="990" w:type="dxa"/>
            <w:tcBorders>
              <w:top w:val="nil"/>
              <w:left w:val="nil"/>
              <w:bottom w:val="single" w:sz="4" w:space="0" w:color="auto"/>
              <w:right w:val="single" w:sz="4" w:space="0" w:color="auto"/>
            </w:tcBorders>
            <w:noWrap/>
            <w:vAlign w:val="bottom"/>
            <w:hideMark/>
          </w:tcPr>
          <w:p w:rsidR="00714F5D" w:rsidRPr="001D0846" w:rsidRDefault="00714F5D" w:rsidP="008C5C6A">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916,5</w:t>
            </w:r>
          </w:p>
        </w:tc>
        <w:tc>
          <w:tcPr>
            <w:tcW w:w="1080" w:type="dxa"/>
            <w:tcBorders>
              <w:top w:val="nil"/>
              <w:left w:val="nil"/>
              <w:bottom w:val="single" w:sz="4" w:space="0" w:color="auto"/>
              <w:right w:val="single" w:sz="4" w:space="0" w:color="auto"/>
            </w:tcBorders>
            <w:noWrap/>
            <w:vAlign w:val="bottom"/>
            <w:hideMark/>
          </w:tcPr>
          <w:p w:rsidR="00714F5D" w:rsidRPr="001D0846" w:rsidRDefault="00714F5D" w:rsidP="008C5C6A">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260,0</w:t>
            </w:r>
          </w:p>
        </w:tc>
        <w:tc>
          <w:tcPr>
            <w:tcW w:w="1261" w:type="dxa"/>
            <w:tcBorders>
              <w:top w:val="nil"/>
              <w:left w:val="nil"/>
              <w:bottom w:val="single" w:sz="4" w:space="0" w:color="auto"/>
              <w:right w:val="single" w:sz="4" w:space="0" w:color="auto"/>
            </w:tcBorders>
            <w:noWrap/>
            <w:vAlign w:val="bottom"/>
            <w:hideMark/>
          </w:tcPr>
          <w:p w:rsidR="00714F5D" w:rsidRPr="001D0846" w:rsidRDefault="00714F5D" w:rsidP="008C5C6A">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16961,6</w:t>
            </w:r>
          </w:p>
        </w:tc>
      </w:tr>
      <w:tr w:rsidR="00714F5D" w:rsidRPr="001D0846" w:rsidTr="008C5C6A">
        <w:trPr>
          <w:trHeight w:val="300"/>
        </w:trPr>
        <w:tc>
          <w:tcPr>
            <w:tcW w:w="1350" w:type="dxa"/>
            <w:tcBorders>
              <w:top w:val="nil"/>
              <w:left w:val="single" w:sz="4" w:space="0" w:color="auto"/>
              <w:bottom w:val="single" w:sz="4" w:space="0" w:color="auto"/>
              <w:right w:val="single" w:sz="4" w:space="0" w:color="auto"/>
            </w:tcBorders>
            <w:noWrap/>
            <w:vAlign w:val="bottom"/>
            <w:hideMark/>
          </w:tcPr>
          <w:p w:rsidR="00714F5D" w:rsidRPr="001D0846" w:rsidRDefault="00714F5D" w:rsidP="008C5C6A">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2014</w:t>
            </w:r>
          </w:p>
        </w:tc>
        <w:tc>
          <w:tcPr>
            <w:tcW w:w="1890" w:type="dxa"/>
            <w:tcBorders>
              <w:top w:val="nil"/>
              <w:left w:val="nil"/>
              <w:bottom w:val="single" w:sz="4" w:space="0" w:color="auto"/>
              <w:right w:val="single" w:sz="4" w:space="0" w:color="auto"/>
            </w:tcBorders>
            <w:noWrap/>
            <w:vAlign w:val="bottom"/>
            <w:hideMark/>
          </w:tcPr>
          <w:p w:rsidR="00714F5D" w:rsidRPr="001D0846" w:rsidRDefault="00714F5D" w:rsidP="008C5C6A">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19053,5</w:t>
            </w:r>
          </w:p>
        </w:tc>
        <w:tc>
          <w:tcPr>
            <w:tcW w:w="900" w:type="dxa"/>
            <w:tcBorders>
              <w:top w:val="nil"/>
              <w:left w:val="nil"/>
              <w:bottom w:val="single" w:sz="4" w:space="0" w:color="auto"/>
              <w:right w:val="single" w:sz="4" w:space="0" w:color="auto"/>
            </w:tcBorders>
            <w:noWrap/>
            <w:vAlign w:val="bottom"/>
            <w:hideMark/>
          </w:tcPr>
          <w:p w:rsidR="00714F5D" w:rsidRPr="001D0846" w:rsidRDefault="00714F5D" w:rsidP="008C5C6A">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0</w:t>
            </w:r>
          </w:p>
        </w:tc>
        <w:tc>
          <w:tcPr>
            <w:tcW w:w="990" w:type="dxa"/>
            <w:tcBorders>
              <w:top w:val="nil"/>
              <w:left w:val="nil"/>
              <w:bottom w:val="single" w:sz="4" w:space="0" w:color="auto"/>
              <w:right w:val="single" w:sz="4" w:space="0" w:color="auto"/>
            </w:tcBorders>
            <w:noWrap/>
            <w:vAlign w:val="bottom"/>
            <w:hideMark/>
          </w:tcPr>
          <w:p w:rsidR="00714F5D" w:rsidRPr="001D0846" w:rsidRDefault="00714F5D" w:rsidP="008C5C6A">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0</w:t>
            </w:r>
          </w:p>
        </w:tc>
        <w:tc>
          <w:tcPr>
            <w:tcW w:w="990" w:type="dxa"/>
            <w:tcBorders>
              <w:top w:val="nil"/>
              <w:left w:val="nil"/>
              <w:bottom w:val="single" w:sz="4" w:space="0" w:color="auto"/>
              <w:right w:val="single" w:sz="4" w:space="0" w:color="auto"/>
            </w:tcBorders>
            <w:noWrap/>
            <w:vAlign w:val="bottom"/>
            <w:hideMark/>
          </w:tcPr>
          <w:p w:rsidR="00714F5D" w:rsidRPr="001D0846" w:rsidRDefault="00714F5D" w:rsidP="008C5C6A">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-555,6</w:t>
            </w:r>
          </w:p>
        </w:tc>
        <w:tc>
          <w:tcPr>
            <w:tcW w:w="990" w:type="dxa"/>
            <w:tcBorders>
              <w:top w:val="nil"/>
              <w:left w:val="nil"/>
              <w:bottom w:val="single" w:sz="4" w:space="0" w:color="auto"/>
              <w:right w:val="single" w:sz="4" w:space="0" w:color="auto"/>
            </w:tcBorders>
            <w:noWrap/>
            <w:vAlign w:val="bottom"/>
            <w:hideMark/>
          </w:tcPr>
          <w:p w:rsidR="00714F5D" w:rsidRPr="001D0846" w:rsidRDefault="00714F5D" w:rsidP="008C5C6A">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1667,1</w:t>
            </w:r>
          </w:p>
        </w:tc>
        <w:tc>
          <w:tcPr>
            <w:tcW w:w="1080" w:type="dxa"/>
            <w:tcBorders>
              <w:top w:val="nil"/>
              <w:left w:val="nil"/>
              <w:bottom w:val="single" w:sz="4" w:space="0" w:color="auto"/>
              <w:right w:val="single" w:sz="4" w:space="0" w:color="auto"/>
            </w:tcBorders>
            <w:noWrap/>
            <w:vAlign w:val="bottom"/>
            <w:hideMark/>
          </w:tcPr>
          <w:p w:rsidR="00714F5D" w:rsidRPr="001D0846" w:rsidRDefault="00714F5D" w:rsidP="008C5C6A">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373,1</w:t>
            </w:r>
          </w:p>
        </w:tc>
        <w:tc>
          <w:tcPr>
            <w:tcW w:w="1261" w:type="dxa"/>
            <w:tcBorders>
              <w:top w:val="nil"/>
              <w:left w:val="nil"/>
              <w:bottom w:val="single" w:sz="4" w:space="0" w:color="auto"/>
              <w:right w:val="single" w:sz="4" w:space="0" w:color="auto"/>
            </w:tcBorders>
            <w:noWrap/>
            <w:vAlign w:val="bottom"/>
            <w:hideMark/>
          </w:tcPr>
          <w:p w:rsidR="00714F5D" w:rsidRPr="001D0846" w:rsidRDefault="00714F5D" w:rsidP="008C5C6A">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17568,9</w:t>
            </w:r>
          </w:p>
        </w:tc>
      </w:tr>
      <w:tr w:rsidR="00714F5D" w:rsidRPr="001D0846" w:rsidTr="008C5C6A">
        <w:trPr>
          <w:trHeight w:val="212"/>
        </w:trPr>
        <w:tc>
          <w:tcPr>
            <w:tcW w:w="1350" w:type="dxa"/>
            <w:tcBorders>
              <w:top w:val="nil"/>
              <w:left w:val="single" w:sz="4" w:space="0" w:color="auto"/>
              <w:bottom w:val="single" w:sz="4" w:space="0" w:color="auto"/>
              <w:right w:val="single" w:sz="4" w:space="0" w:color="auto"/>
            </w:tcBorders>
            <w:noWrap/>
            <w:vAlign w:val="bottom"/>
            <w:hideMark/>
          </w:tcPr>
          <w:p w:rsidR="00714F5D" w:rsidRPr="001D0846" w:rsidRDefault="00714F5D" w:rsidP="008C5C6A">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2015</w:t>
            </w:r>
          </w:p>
        </w:tc>
        <w:tc>
          <w:tcPr>
            <w:tcW w:w="1890" w:type="dxa"/>
            <w:tcBorders>
              <w:top w:val="nil"/>
              <w:left w:val="nil"/>
              <w:bottom w:val="single" w:sz="4" w:space="0" w:color="auto"/>
              <w:right w:val="single" w:sz="4" w:space="0" w:color="auto"/>
            </w:tcBorders>
            <w:noWrap/>
            <w:vAlign w:val="bottom"/>
            <w:hideMark/>
          </w:tcPr>
          <w:p w:rsidR="00714F5D" w:rsidRPr="001D0846" w:rsidRDefault="00714F5D" w:rsidP="008C5C6A">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-12045,7</w:t>
            </w:r>
          </w:p>
        </w:tc>
        <w:tc>
          <w:tcPr>
            <w:tcW w:w="900" w:type="dxa"/>
            <w:tcBorders>
              <w:top w:val="nil"/>
              <w:left w:val="nil"/>
              <w:bottom w:val="single" w:sz="4" w:space="0" w:color="auto"/>
              <w:right w:val="single" w:sz="4" w:space="0" w:color="auto"/>
            </w:tcBorders>
            <w:noWrap/>
            <w:vAlign w:val="bottom"/>
            <w:hideMark/>
          </w:tcPr>
          <w:p w:rsidR="00714F5D" w:rsidRPr="001D0846" w:rsidRDefault="00714F5D" w:rsidP="008C5C6A">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0</w:t>
            </w:r>
          </w:p>
        </w:tc>
        <w:tc>
          <w:tcPr>
            <w:tcW w:w="990" w:type="dxa"/>
            <w:tcBorders>
              <w:top w:val="nil"/>
              <w:left w:val="nil"/>
              <w:bottom w:val="single" w:sz="4" w:space="0" w:color="auto"/>
              <w:right w:val="single" w:sz="4" w:space="0" w:color="auto"/>
            </w:tcBorders>
            <w:noWrap/>
            <w:vAlign w:val="bottom"/>
            <w:hideMark/>
          </w:tcPr>
          <w:p w:rsidR="00714F5D" w:rsidRPr="001D0846" w:rsidRDefault="00714F5D" w:rsidP="008C5C6A">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0</w:t>
            </w:r>
          </w:p>
        </w:tc>
        <w:tc>
          <w:tcPr>
            <w:tcW w:w="990" w:type="dxa"/>
            <w:tcBorders>
              <w:top w:val="nil"/>
              <w:left w:val="nil"/>
              <w:bottom w:val="single" w:sz="4" w:space="0" w:color="auto"/>
              <w:right w:val="single" w:sz="4" w:space="0" w:color="auto"/>
            </w:tcBorders>
            <w:noWrap/>
            <w:vAlign w:val="bottom"/>
            <w:hideMark/>
          </w:tcPr>
          <w:p w:rsidR="00714F5D" w:rsidRPr="001D0846" w:rsidRDefault="00714F5D" w:rsidP="008C5C6A">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0</w:t>
            </w:r>
          </w:p>
        </w:tc>
        <w:tc>
          <w:tcPr>
            <w:tcW w:w="990" w:type="dxa"/>
            <w:tcBorders>
              <w:top w:val="nil"/>
              <w:left w:val="nil"/>
              <w:bottom w:val="single" w:sz="4" w:space="0" w:color="auto"/>
              <w:right w:val="single" w:sz="4" w:space="0" w:color="auto"/>
            </w:tcBorders>
            <w:noWrap/>
            <w:vAlign w:val="bottom"/>
            <w:hideMark/>
          </w:tcPr>
          <w:p w:rsidR="00714F5D" w:rsidRPr="001D0846" w:rsidRDefault="00714F5D" w:rsidP="008C5C6A">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583,1</w:t>
            </w:r>
          </w:p>
        </w:tc>
        <w:tc>
          <w:tcPr>
            <w:tcW w:w="1080" w:type="dxa"/>
            <w:tcBorders>
              <w:top w:val="nil"/>
              <w:left w:val="nil"/>
              <w:bottom w:val="single" w:sz="4" w:space="0" w:color="auto"/>
              <w:right w:val="single" w:sz="4" w:space="0" w:color="auto"/>
            </w:tcBorders>
            <w:noWrap/>
            <w:vAlign w:val="bottom"/>
            <w:hideMark/>
          </w:tcPr>
          <w:p w:rsidR="00714F5D" w:rsidRPr="001D0846" w:rsidRDefault="00714F5D" w:rsidP="008C5C6A">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172,7</w:t>
            </w:r>
          </w:p>
        </w:tc>
        <w:tc>
          <w:tcPr>
            <w:tcW w:w="1261" w:type="dxa"/>
            <w:tcBorders>
              <w:top w:val="nil"/>
              <w:left w:val="nil"/>
              <w:bottom w:val="single" w:sz="4" w:space="0" w:color="auto"/>
              <w:right w:val="single" w:sz="4" w:space="0" w:color="auto"/>
            </w:tcBorders>
            <w:noWrap/>
            <w:vAlign w:val="bottom"/>
            <w:hideMark/>
          </w:tcPr>
          <w:p w:rsidR="00714F5D" w:rsidRPr="001D0846" w:rsidRDefault="00714F5D" w:rsidP="008C5C6A">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-12801,5</w:t>
            </w:r>
          </w:p>
        </w:tc>
      </w:tr>
      <w:tr w:rsidR="00714F5D" w:rsidRPr="001D0846" w:rsidTr="008C5C6A">
        <w:trPr>
          <w:trHeight w:val="300"/>
        </w:trPr>
        <w:tc>
          <w:tcPr>
            <w:tcW w:w="1350" w:type="dxa"/>
            <w:tcBorders>
              <w:top w:val="nil"/>
              <w:left w:val="single" w:sz="4" w:space="0" w:color="auto"/>
              <w:bottom w:val="single" w:sz="4" w:space="0" w:color="auto"/>
              <w:right w:val="single" w:sz="4" w:space="0" w:color="auto"/>
            </w:tcBorders>
            <w:noWrap/>
            <w:vAlign w:val="bottom"/>
            <w:hideMark/>
          </w:tcPr>
          <w:p w:rsidR="00714F5D" w:rsidRPr="001D0846" w:rsidRDefault="00714F5D" w:rsidP="008C5C6A">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2016</w:t>
            </w:r>
          </w:p>
        </w:tc>
        <w:tc>
          <w:tcPr>
            <w:tcW w:w="1890" w:type="dxa"/>
            <w:tcBorders>
              <w:top w:val="nil"/>
              <w:left w:val="nil"/>
              <w:bottom w:val="single" w:sz="4" w:space="0" w:color="auto"/>
              <w:right w:val="single" w:sz="4" w:space="0" w:color="auto"/>
            </w:tcBorders>
            <w:noWrap/>
            <w:vAlign w:val="bottom"/>
            <w:hideMark/>
          </w:tcPr>
          <w:p w:rsidR="00714F5D" w:rsidRPr="001D0846" w:rsidRDefault="00714F5D" w:rsidP="008C5C6A">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7841,1</w:t>
            </w:r>
          </w:p>
        </w:tc>
        <w:tc>
          <w:tcPr>
            <w:tcW w:w="900" w:type="dxa"/>
            <w:tcBorders>
              <w:top w:val="nil"/>
              <w:left w:val="nil"/>
              <w:bottom w:val="single" w:sz="4" w:space="0" w:color="auto"/>
              <w:right w:val="single" w:sz="4" w:space="0" w:color="auto"/>
            </w:tcBorders>
            <w:noWrap/>
            <w:vAlign w:val="bottom"/>
            <w:hideMark/>
          </w:tcPr>
          <w:p w:rsidR="00714F5D" w:rsidRPr="001D0846" w:rsidRDefault="00714F5D" w:rsidP="008C5C6A">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0</w:t>
            </w:r>
          </w:p>
        </w:tc>
        <w:tc>
          <w:tcPr>
            <w:tcW w:w="990" w:type="dxa"/>
            <w:tcBorders>
              <w:top w:val="nil"/>
              <w:left w:val="nil"/>
              <w:bottom w:val="single" w:sz="4" w:space="0" w:color="auto"/>
              <w:right w:val="single" w:sz="4" w:space="0" w:color="auto"/>
            </w:tcBorders>
            <w:noWrap/>
            <w:vAlign w:val="bottom"/>
            <w:hideMark/>
          </w:tcPr>
          <w:p w:rsidR="00714F5D" w:rsidRPr="001D0846" w:rsidRDefault="00714F5D" w:rsidP="008C5C6A">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0</w:t>
            </w:r>
          </w:p>
        </w:tc>
        <w:tc>
          <w:tcPr>
            <w:tcW w:w="990" w:type="dxa"/>
            <w:tcBorders>
              <w:top w:val="nil"/>
              <w:left w:val="nil"/>
              <w:bottom w:val="single" w:sz="4" w:space="0" w:color="auto"/>
              <w:right w:val="single" w:sz="4" w:space="0" w:color="auto"/>
            </w:tcBorders>
            <w:noWrap/>
            <w:vAlign w:val="bottom"/>
            <w:hideMark/>
          </w:tcPr>
          <w:p w:rsidR="00714F5D" w:rsidRPr="001D0846" w:rsidRDefault="00714F5D" w:rsidP="008C5C6A">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0</w:t>
            </w:r>
          </w:p>
        </w:tc>
        <w:tc>
          <w:tcPr>
            <w:tcW w:w="990" w:type="dxa"/>
            <w:tcBorders>
              <w:top w:val="nil"/>
              <w:left w:val="nil"/>
              <w:bottom w:val="single" w:sz="4" w:space="0" w:color="auto"/>
              <w:right w:val="single" w:sz="4" w:space="0" w:color="auto"/>
            </w:tcBorders>
            <w:noWrap/>
            <w:vAlign w:val="bottom"/>
            <w:hideMark/>
          </w:tcPr>
          <w:p w:rsidR="00714F5D" w:rsidRPr="001D0846" w:rsidRDefault="00714F5D" w:rsidP="008C5C6A">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0</w:t>
            </w:r>
          </w:p>
        </w:tc>
        <w:tc>
          <w:tcPr>
            <w:tcW w:w="1080" w:type="dxa"/>
            <w:tcBorders>
              <w:top w:val="nil"/>
              <w:left w:val="nil"/>
              <w:bottom w:val="single" w:sz="4" w:space="0" w:color="auto"/>
              <w:right w:val="single" w:sz="4" w:space="0" w:color="auto"/>
            </w:tcBorders>
            <w:noWrap/>
            <w:vAlign w:val="bottom"/>
            <w:hideMark/>
          </w:tcPr>
          <w:p w:rsidR="00714F5D" w:rsidRPr="001D0846" w:rsidRDefault="00714F5D" w:rsidP="008C5C6A">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217,7</w:t>
            </w:r>
          </w:p>
        </w:tc>
        <w:tc>
          <w:tcPr>
            <w:tcW w:w="1261" w:type="dxa"/>
            <w:tcBorders>
              <w:top w:val="nil"/>
              <w:left w:val="nil"/>
              <w:bottom w:val="single" w:sz="4" w:space="0" w:color="auto"/>
              <w:right w:val="single" w:sz="4" w:space="0" w:color="auto"/>
            </w:tcBorders>
            <w:noWrap/>
            <w:vAlign w:val="bottom"/>
            <w:hideMark/>
          </w:tcPr>
          <w:p w:rsidR="00714F5D" w:rsidRPr="001D0846" w:rsidRDefault="00714F5D" w:rsidP="008C5C6A">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7623,4</w:t>
            </w:r>
          </w:p>
        </w:tc>
      </w:tr>
      <w:tr w:rsidR="00714F5D" w:rsidRPr="001D0846" w:rsidTr="008C5C6A">
        <w:trPr>
          <w:trHeight w:val="300"/>
        </w:trPr>
        <w:tc>
          <w:tcPr>
            <w:tcW w:w="1350" w:type="dxa"/>
            <w:tcBorders>
              <w:top w:val="nil"/>
              <w:left w:val="single" w:sz="4" w:space="0" w:color="auto"/>
              <w:bottom w:val="single" w:sz="4" w:space="0" w:color="auto"/>
              <w:right w:val="single" w:sz="4" w:space="0" w:color="auto"/>
            </w:tcBorders>
            <w:noWrap/>
            <w:vAlign w:val="bottom"/>
            <w:hideMark/>
          </w:tcPr>
          <w:p w:rsidR="00714F5D" w:rsidRPr="001D0846" w:rsidRDefault="00714F5D" w:rsidP="008C5C6A">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2017</w:t>
            </w:r>
          </w:p>
        </w:tc>
        <w:tc>
          <w:tcPr>
            <w:tcW w:w="1890" w:type="dxa"/>
            <w:tcBorders>
              <w:top w:val="nil"/>
              <w:left w:val="nil"/>
              <w:bottom w:val="single" w:sz="4" w:space="0" w:color="auto"/>
              <w:right w:val="single" w:sz="4" w:space="0" w:color="auto"/>
            </w:tcBorders>
            <w:noWrap/>
            <w:vAlign w:val="bottom"/>
            <w:hideMark/>
          </w:tcPr>
          <w:p w:rsidR="00714F5D" w:rsidRPr="001D0846" w:rsidRDefault="00714F5D" w:rsidP="008C5C6A">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19180,9</w:t>
            </w:r>
          </w:p>
        </w:tc>
        <w:tc>
          <w:tcPr>
            <w:tcW w:w="900" w:type="dxa"/>
            <w:tcBorders>
              <w:top w:val="nil"/>
              <w:left w:val="nil"/>
              <w:bottom w:val="single" w:sz="4" w:space="0" w:color="auto"/>
              <w:right w:val="single" w:sz="4" w:space="0" w:color="auto"/>
            </w:tcBorders>
            <w:noWrap/>
            <w:vAlign w:val="bottom"/>
            <w:hideMark/>
          </w:tcPr>
          <w:p w:rsidR="00714F5D" w:rsidRPr="001D0846" w:rsidRDefault="00714F5D" w:rsidP="008C5C6A">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0</w:t>
            </w:r>
          </w:p>
        </w:tc>
        <w:tc>
          <w:tcPr>
            <w:tcW w:w="990" w:type="dxa"/>
            <w:tcBorders>
              <w:top w:val="nil"/>
              <w:left w:val="nil"/>
              <w:bottom w:val="single" w:sz="4" w:space="0" w:color="auto"/>
              <w:right w:val="single" w:sz="4" w:space="0" w:color="auto"/>
            </w:tcBorders>
            <w:noWrap/>
            <w:vAlign w:val="bottom"/>
            <w:hideMark/>
          </w:tcPr>
          <w:p w:rsidR="00714F5D" w:rsidRPr="001D0846" w:rsidRDefault="00714F5D" w:rsidP="008C5C6A">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0</w:t>
            </w:r>
          </w:p>
        </w:tc>
        <w:tc>
          <w:tcPr>
            <w:tcW w:w="990" w:type="dxa"/>
            <w:tcBorders>
              <w:top w:val="nil"/>
              <w:left w:val="nil"/>
              <w:bottom w:val="single" w:sz="4" w:space="0" w:color="auto"/>
              <w:right w:val="single" w:sz="4" w:space="0" w:color="auto"/>
            </w:tcBorders>
            <w:noWrap/>
            <w:vAlign w:val="bottom"/>
            <w:hideMark/>
          </w:tcPr>
          <w:p w:rsidR="00714F5D" w:rsidRPr="001D0846" w:rsidRDefault="00714F5D" w:rsidP="008C5C6A">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0</w:t>
            </w:r>
          </w:p>
        </w:tc>
        <w:tc>
          <w:tcPr>
            <w:tcW w:w="990" w:type="dxa"/>
            <w:tcBorders>
              <w:top w:val="nil"/>
              <w:left w:val="nil"/>
              <w:bottom w:val="single" w:sz="4" w:space="0" w:color="auto"/>
              <w:right w:val="single" w:sz="4" w:space="0" w:color="auto"/>
            </w:tcBorders>
            <w:noWrap/>
            <w:vAlign w:val="bottom"/>
            <w:hideMark/>
          </w:tcPr>
          <w:p w:rsidR="00714F5D" w:rsidRPr="001D0846" w:rsidRDefault="00714F5D" w:rsidP="008C5C6A">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0</w:t>
            </w:r>
          </w:p>
        </w:tc>
        <w:tc>
          <w:tcPr>
            <w:tcW w:w="1080" w:type="dxa"/>
            <w:tcBorders>
              <w:top w:val="nil"/>
              <w:left w:val="nil"/>
              <w:bottom w:val="single" w:sz="4" w:space="0" w:color="auto"/>
              <w:right w:val="single" w:sz="4" w:space="0" w:color="auto"/>
            </w:tcBorders>
            <w:noWrap/>
            <w:vAlign w:val="bottom"/>
            <w:hideMark/>
          </w:tcPr>
          <w:p w:rsidR="00714F5D" w:rsidRPr="001D0846" w:rsidRDefault="00714F5D" w:rsidP="008C5C6A">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0</w:t>
            </w:r>
          </w:p>
        </w:tc>
        <w:tc>
          <w:tcPr>
            <w:tcW w:w="1261" w:type="dxa"/>
            <w:tcBorders>
              <w:top w:val="nil"/>
              <w:left w:val="nil"/>
              <w:bottom w:val="single" w:sz="4" w:space="0" w:color="auto"/>
              <w:right w:val="single" w:sz="4" w:space="0" w:color="auto"/>
            </w:tcBorders>
            <w:noWrap/>
            <w:vAlign w:val="bottom"/>
            <w:hideMark/>
          </w:tcPr>
          <w:p w:rsidR="00714F5D" w:rsidRPr="001D0846" w:rsidRDefault="00714F5D" w:rsidP="008C5C6A">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19180,9</w:t>
            </w:r>
          </w:p>
        </w:tc>
      </w:tr>
      <w:tr w:rsidR="00714F5D" w:rsidRPr="001D0846" w:rsidTr="008C5C6A">
        <w:trPr>
          <w:trHeight w:val="300"/>
        </w:trPr>
        <w:tc>
          <w:tcPr>
            <w:tcW w:w="1350" w:type="dxa"/>
            <w:tcBorders>
              <w:top w:val="nil"/>
              <w:left w:val="single" w:sz="4" w:space="0" w:color="auto"/>
              <w:bottom w:val="single" w:sz="4" w:space="0" w:color="auto"/>
              <w:right w:val="single" w:sz="4" w:space="0" w:color="auto"/>
            </w:tcBorders>
            <w:noWrap/>
            <w:vAlign w:val="bottom"/>
            <w:hideMark/>
          </w:tcPr>
          <w:p w:rsidR="00714F5D" w:rsidRPr="001D0846" w:rsidRDefault="00714F5D" w:rsidP="008C5C6A">
            <w:pPr>
              <w:spacing w:after="0" w:line="276" w:lineRule="auto"/>
              <w:jc w:val="center"/>
              <w:rPr>
                <w:rFonts w:ascii="Times New Roman" w:eastAsia="Times New Roman" w:hAnsi="Times New Roman" w:cs="Times New Roman"/>
                <w:b/>
                <w:color w:val="000000"/>
                <w:lang w:eastAsia="ru-RU"/>
              </w:rPr>
            </w:pPr>
            <w:r w:rsidRPr="001D0846">
              <w:rPr>
                <w:rFonts w:ascii="Times New Roman" w:eastAsia="Times New Roman" w:hAnsi="Times New Roman" w:cs="Times New Roman"/>
                <w:b/>
                <w:color w:val="000000"/>
                <w:lang w:eastAsia="ru-RU"/>
              </w:rPr>
              <w:t>Total</w:t>
            </w:r>
          </w:p>
        </w:tc>
        <w:tc>
          <w:tcPr>
            <w:tcW w:w="1890" w:type="dxa"/>
            <w:tcBorders>
              <w:top w:val="nil"/>
              <w:left w:val="nil"/>
              <w:bottom w:val="single" w:sz="4" w:space="0" w:color="auto"/>
              <w:right w:val="single" w:sz="4" w:space="0" w:color="auto"/>
            </w:tcBorders>
            <w:noWrap/>
            <w:vAlign w:val="bottom"/>
            <w:hideMark/>
          </w:tcPr>
          <w:p w:rsidR="00714F5D" w:rsidRPr="001D0846" w:rsidRDefault="00714F5D" w:rsidP="008C5C6A">
            <w:pPr>
              <w:spacing w:after="0" w:line="276" w:lineRule="auto"/>
              <w:jc w:val="center"/>
              <w:rPr>
                <w:rFonts w:ascii="Times New Roman" w:eastAsia="Times New Roman" w:hAnsi="Times New Roman" w:cs="Times New Roman"/>
                <w:b/>
                <w:color w:val="000000"/>
                <w:lang w:eastAsia="ru-RU"/>
              </w:rPr>
            </w:pPr>
            <w:r w:rsidRPr="001D0846">
              <w:rPr>
                <w:rFonts w:ascii="Times New Roman" w:eastAsia="Times New Roman" w:hAnsi="Times New Roman" w:cs="Times New Roman"/>
                <w:b/>
                <w:color w:val="000000"/>
                <w:lang w:eastAsia="ru-RU"/>
              </w:rPr>
              <w:t>97453,8</w:t>
            </w:r>
          </w:p>
        </w:tc>
        <w:tc>
          <w:tcPr>
            <w:tcW w:w="900" w:type="dxa"/>
            <w:tcBorders>
              <w:top w:val="nil"/>
              <w:left w:val="nil"/>
              <w:bottom w:val="single" w:sz="4" w:space="0" w:color="auto"/>
              <w:right w:val="single" w:sz="4" w:space="0" w:color="auto"/>
            </w:tcBorders>
            <w:noWrap/>
            <w:vAlign w:val="bottom"/>
            <w:hideMark/>
          </w:tcPr>
          <w:p w:rsidR="00714F5D" w:rsidRPr="001D0846" w:rsidRDefault="00714F5D" w:rsidP="008C5C6A">
            <w:pPr>
              <w:spacing w:after="0" w:line="276" w:lineRule="auto"/>
              <w:jc w:val="center"/>
              <w:rPr>
                <w:rFonts w:ascii="Times New Roman" w:eastAsia="Times New Roman" w:hAnsi="Times New Roman" w:cs="Times New Roman"/>
                <w:b/>
                <w:color w:val="000000"/>
                <w:lang w:eastAsia="ru-RU"/>
              </w:rPr>
            </w:pPr>
            <w:r w:rsidRPr="001D0846">
              <w:rPr>
                <w:rFonts w:ascii="Times New Roman" w:eastAsia="Times New Roman" w:hAnsi="Times New Roman" w:cs="Times New Roman"/>
                <w:b/>
                <w:color w:val="000000"/>
                <w:lang w:eastAsia="ru-RU"/>
              </w:rPr>
              <w:t>3435,8</w:t>
            </w:r>
          </w:p>
        </w:tc>
        <w:tc>
          <w:tcPr>
            <w:tcW w:w="990" w:type="dxa"/>
            <w:tcBorders>
              <w:top w:val="nil"/>
              <w:left w:val="nil"/>
              <w:bottom w:val="single" w:sz="4" w:space="0" w:color="auto"/>
              <w:right w:val="single" w:sz="4" w:space="0" w:color="auto"/>
            </w:tcBorders>
            <w:noWrap/>
            <w:vAlign w:val="bottom"/>
            <w:hideMark/>
          </w:tcPr>
          <w:p w:rsidR="00714F5D" w:rsidRPr="001D0846" w:rsidRDefault="00714F5D" w:rsidP="008C5C6A">
            <w:pPr>
              <w:spacing w:after="0" w:line="276" w:lineRule="auto"/>
              <w:jc w:val="center"/>
              <w:rPr>
                <w:rFonts w:ascii="Times New Roman" w:eastAsia="Times New Roman" w:hAnsi="Times New Roman" w:cs="Times New Roman"/>
                <w:b/>
                <w:color w:val="000000"/>
                <w:lang w:eastAsia="ru-RU"/>
              </w:rPr>
            </w:pPr>
            <w:r w:rsidRPr="001D0846">
              <w:rPr>
                <w:rFonts w:ascii="Times New Roman" w:eastAsia="Times New Roman" w:hAnsi="Times New Roman" w:cs="Times New Roman"/>
                <w:b/>
                <w:color w:val="000000"/>
                <w:lang w:eastAsia="ru-RU"/>
              </w:rPr>
              <w:t>2272,3</w:t>
            </w:r>
          </w:p>
        </w:tc>
        <w:tc>
          <w:tcPr>
            <w:tcW w:w="990" w:type="dxa"/>
            <w:tcBorders>
              <w:top w:val="nil"/>
              <w:left w:val="nil"/>
              <w:bottom w:val="single" w:sz="4" w:space="0" w:color="auto"/>
              <w:right w:val="single" w:sz="4" w:space="0" w:color="auto"/>
            </w:tcBorders>
            <w:noWrap/>
            <w:vAlign w:val="bottom"/>
            <w:hideMark/>
          </w:tcPr>
          <w:p w:rsidR="00714F5D" w:rsidRPr="001D0846" w:rsidRDefault="00714F5D" w:rsidP="008C5C6A">
            <w:pPr>
              <w:spacing w:after="0" w:line="276" w:lineRule="auto"/>
              <w:jc w:val="center"/>
              <w:rPr>
                <w:rFonts w:ascii="Times New Roman" w:eastAsia="Times New Roman" w:hAnsi="Times New Roman" w:cs="Times New Roman"/>
                <w:b/>
                <w:color w:val="000000"/>
                <w:lang w:eastAsia="ru-RU"/>
              </w:rPr>
            </w:pPr>
            <w:r w:rsidRPr="001D0846">
              <w:rPr>
                <w:rFonts w:ascii="Times New Roman" w:eastAsia="Times New Roman" w:hAnsi="Times New Roman" w:cs="Times New Roman"/>
                <w:b/>
                <w:color w:val="000000"/>
                <w:lang w:eastAsia="ru-RU"/>
              </w:rPr>
              <w:t>2520,5</w:t>
            </w:r>
          </w:p>
        </w:tc>
        <w:tc>
          <w:tcPr>
            <w:tcW w:w="990" w:type="dxa"/>
            <w:tcBorders>
              <w:top w:val="nil"/>
              <w:left w:val="nil"/>
              <w:bottom w:val="single" w:sz="4" w:space="0" w:color="auto"/>
              <w:right w:val="single" w:sz="4" w:space="0" w:color="auto"/>
            </w:tcBorders>
            <w:noWrap/>
            <w:vAlign w:val="bottom"/>
            <w:hideMark/>
          </w:tcPr>
          <w:p w:rsidR="00714F5D" w:rsidRPr="001D0846" w:rsidRDefault="00714F5D" w:rsidP="008C5C6A">
            <w:pPr>
              <w:spacing w:after="0" w:line="276" w:lineRule="auto"/>
              <w:jc w:val="center"/>
              <w:rPr>
                <w:rFonts w:ascii="Times New Roman" w:eastAsia="Times New Roman" w:hAnsi="Times New Roman" w:cs="Times New Roman"/>
                <w:b/>
                <w:color w:val="000000"/>
                <w:lang w:eastAsia="ru-RU"/>
              </w:rPr>
            </w:pPr>
            <w:r w:rsidRPr="001D0846">
              <w:rPr>
                <w:rFonts w:ascii="Times New Roman" w:eastAsia="Times New Roman" w:hAnsi="Times New Roman" w:cs="Times New Roman"/>
                <w:b/>
                <w:color w:val="000000"/>
                <w:lang w:eastAsia="ru-RU"/>
              </w:rPr>
              <w:t>5051,6</w:t>
            </w:r>
          </w:p>
        </w:tc>
        <w:tc>
          <w:tcPr>
            <w:tcW w:w="1080" w:type="dxa"/>
            <w:tcBorders>
              <w:top w:val="nil"/>
              <w:left w:val="nil"/>
              <w:bottom w:val="single" w:sz="4" w:space="0" w:color="auto"/>
              <w:right w:val="single" w:sz="4" w:space="0" w:color="auto"/>
            </w:tcBorders>
            <w:noWrap/>
            <w:vAlign w:val="bottom"/>
            <w:hideMark/>
          </w:tcPr>
          <w:p w:rsidR="00714F5D" w:rsidRPr="001D0846" w:rsidRDefault="00714F5D" w:rsidP="008C5C6A">
            <w:pPr>
              <w:spacing w:after="0" w:line="276" w:lineRule="auto"/>
              <w:jc w:val="center"/>
              <w:rPr>
                <w:rFonts w:ascii="Times New Roman" w:eastAsia="Times New Roman" w:hAnsi="Times New Roman" w:cs="Times New Roman"/>
                <w:b/>
                <w:color w:val="000000"/>
                <w:lang w:eastAsia="ru-RU"/>
              </w:rPr>
            </w:pPr>
            <w:r w:rsidRPr="001D0846">
              <w:rPr>
                <w:rFonts w:ascii="Times New Roman" w:eastAsia="Times New Roman" w:hAnsi="Times New Roman" w:cs="Times New Roman"/>
                <w:b/>
                <w:color w:val="000000"/>
                <w:lang w:eastAsia="ru-RU"/>
              </w:rPr>
              <w:t>1323,2</w:t>
            </w:r>
          </w:p>
        </w:tc>
        <w:tc>
          <w:tcPr>
            <w:tcW w:w="1261" w:type="dxa"/>
            <w:tcBorders>
              <w:top w:val="nil"/>
              <w:left w:val="nil"/>
              <w:bottom w:val="single" w:sz="4" w:space="0" w:color="auto"/>
              <w:right w:val="single" w:sz="4" w:space="0" w:color="auto"/>
            </w:tcBorders>
            <w:noWrap/>
            <w:vAlign w:val="bottom"/>
            <w:hideMark/>
          </w:tcPr>
          <w:p w:rsidR="00714F5D" w:rsidRPr="001D0846" w:rsidRDefault="00714F5D" w:rsidP="008C5C6A">
            <w:pPr>
              <w:spacing w:after="0" w:line="276" w:lineRule="auto"/>
              <w:jc w:val="center"/>
              <w:rPr>
                <w:rFonts w:ascii="Times New Roman" w:eastAsia="Times New Roman" w:hAnsi="Times New Roman" w:cs="Times New Roman"/>
                <w:b/>
                <w:color w:val="000000"/>
                <w:lang w:eastAsia="ru-RU"/>
              </w:rPr>
            </w:pPr>
            <w:r w:rsidRPr="001D0846">
              <w:rPr>
                <w:rFonts w:ascii="Times New Roman" w:eastAsia="Times New Roman" w:hAnsi="Times New Roman" w:cs="Times New Roman"/>
                <w:b/>
                <w:color w:val="000000"/>
                <w:lang w:eastAsia="ru-RU"/>
              </w:rPr>
              <w:t>82850,4</w:t>
            </w:r>
          </w:p>
        </w:tc>
      </w:tr>
    </w:tbl>
    <w:p w:rsidR="00714F5D" w:rsidRPr="001D0846" w:rsidRDefault="00714F5D" w:rsidP="00714F5D">
      <w:pPr>
        <w:spacing w:after="0" w:line="276" w:lineRule="auto"/>
        <w:ind w:right="49"/>
        <w:jc w:val="both"/>
        <w:rPr>
          <w:rFonts w:ascii="Times New Roman" w:hAnsi="Times New Roman" w:cs="Times New Roman"/>
          <w:b/>
          <w:i/>
          <w:sz w:val="28"/>
          <w:szCs w:val="28"/>
        </w:rPr>
      </w:pPr>
      <w:r w:rsidRPr="001D0846">
        <w:rPr>
          <w:rFonts w:ascii="Times New Roman" w:eastAsia="Calibri" w:hAnsi="Times New Roman" w:cs="Times New Roman"/>
          <w:b/>
          <w:i/>
          <w:sz w:val="20"/>
          <w:szCs w:val="20"/>
        </w:rPr>
        <w:t>Sursă:</w:t>
      </w:r>
      <w:r w:rsidRPr="001D0846">
        <w:rPr>
          <w:rFonts w:ascii="Times New Roman" w:eastAsia="Calibri" w:hAnsi="Times New Roman" w:cs="Times New Roman"/>
          <w:i/>
          <w:sz w:val="20"/>
          <w:szCs w:val="20"/>
        </w:rPr>
        <w:t xml:space="preserve"> Date</w:t>
      </w:r>
      <w:r>
        <w:rPr>
          <w:rFonts w:ascii="Times New Roman" w:eastAsia="Calibri" w:hAnsi="Times New Roman" w:cs="Times New Roman"/>
          <w:i/>
          <w:sz w:val="20"/>
          <w:szCs w:val="20"/>
        </w:rPr>
        <w:t>le</w:t>
      </w:r>
      <w:r w:rsidRPr="001D0846">
        <w:rPr>
          <w:rFonts w:ascii="Times New Roman" w:eastAsia="Calibri" w:hAnsi="Times New Roman" w:cs="Times New Roman"/>
          <w:i/>
          <w:sz w:val="20"/>
          <w:szCs w:val="20"/>
        </w:rPr>
        <w:t xml:space="preserve"> generalizate de către echipa de audit în baza informațiilor din rapoartele privind datoriile agenților economici față de BS pe anii 2015-2017.</w:t>
      </w:r>
    </w:p>
    <w:p w:rsidR="00714F5D" w:rsidRPr="000C61BF" w:rsidRDefault="00714F5D" w:rsidP="00714F5D">
      <w:pPr>
        <w:spacing w:after="0" w:line="240" w:lineRule="auto"/>
        <w:ind w:right="-334"/>
        <w:jc w:val="right"/>
        <w:rPr>
          <w:rFonts w:ascii="Times New Roman" w:hAnsi="Times New Roman" w:cs="Times New Roman"/>
          <w:b/>
          <w:i/>
          <w:sz w:val="28"/>
          <w:szCs w:val="28"/>
        </w:rPr>
      </w:pPr>
      <w:r w:rsidRPr="000C61BF">
        <w:rPr>
          <w:rFonts w:ascii="Times New Roman" w:hAnsi="Times New Roman" w:cs="Times New Roman"/>
          <w:b/>
          <w:i/>
          <w:sz w:val="28"/>
          <w:szCs w:val="28"/>
        </w:rPr>
        <w:lastRenderedPageBreak/>
        <w:t>Tabelul nr.21</w:t>
      </w:r>
    </w:p>
    <w:p w:rsidR="00714F5D" w:rsidRPr="000C61BF" w:rsidRDefault="00714F5D" w:rsidP="00714F5D">
      <w:pPr>
        <w:tabs>
          <w:tab w:val="left" w:pos="720"/>
        </w:tabs>
        <w:spacing w:after="0" w:line="240" w:lineRule="auto"/>
        <w:contextualSpacing/>
        <w:jc w:val="center"/>
        <w:rPr>
          <w:rFonts w:ascii="Times New Roman" w:hAnsi="Times New Roman" w:cs="Times New Roman"/>
          <w:i/>
        </w:rPr>
      </w:pPr>
      <w:r w:rsidRPr="000C61BF">
        <w:rPr>
          <w:rFonts w:ascii="Times New Roman" w:hAnsi="Times New Roman" w:cs="Times New Roman"/>
          <w:i/>
          <w:sz w:val="28"/>
          <w:szCs w:val="28"/>
        </w:rPr>
        <w:t>Informația privind obligațiile fiscale</w:t>
      </w:r>
      <w:r>
        <w:rPr>
          <w:rFonts w:ascii="Times New Roman" w:hAnsi="Times New Roman" w:cs="Times New Roman"/>
          <w:i/>
          <w:sz w:val="28"/>
          <w:szCs w:val="28"/>
        </w:rPr>
        <w:t xml:space="preserve"> calculate și</w:t>
      </w:r>
      <w:r w:rsidRPr="000C61BF">
        <w:rPr>
          <w:rFonts w:ascii="Times New Roman" w:hAnsi="Times New Roman" w:cs="Times New Roman"/>
          <w:i/>
          <w:sz w:val="28"/>
          <w:szCs w:val="28"/>
        </w:rPr>
        <w:t xml:space="preserve"> achitate la BPN în </w:t>
      </w:r>
      <w:r>
        <w:rPr>
          <w:rFonts w:ascii="Times New Roman" w:hAnsi="Times New Roman" w:cs="Times New Roman"/>
          <w:i/>
          <w:sz w:val="28"/>
          <w:szCs w:val="28"/>
        </w:rPr>
        <w:t>perioada anilor 2016-2017 de către contribuabilii monitorizați prin prisma Programului de conformare voluntară</w:t>
      </w:r>
      <w:r w:rsidR="00283230">
        <w:rPr>
          <w:rFonts w:ascii="Times New Roman" w:hAnsi="Times New Roman" w:cs="Times New Roman"/>
          <w:i/>
          <w:sz w:val="28"/>
          <w:szCs w:val="28"/>
        </w:rPr>
        <w:t xml:space="preserve"> de SFS</w:t>
      </w:r>
    </w:p>
    <w:p w:rsidR="00714F5D" w:rsidRPr="000C61BF" w:rsidRDefault="00714F5D" w:rsidP="00714F5D">
      <w:pPr>
        <w:tabs>
          <w:tab w:val="left" w:pos="720"/>
        </w:tabs>
        <w:spacing w:after="0" w:line="240" w:lineRule="auto"/>
        <w:ind w:right="-345"/>
        <w:contextualSpacing/>
        <w:jc w:val="right"/>
        <w:rPr>
          <w:rFonts w:ascii="Times New Roman" w:hAnsi="Times New Roman" w:cs="Times New Roman"/>
          <w:i/>
          <w:sz w:val="28"/>
          <w:szCs w:val="28"/>
        </w:rPr>
      </w:pPr>
      <w:r w:rsidRPr="000C61BF">
        <w:rPr>
          <w:rFonts w:ascii="Times New Roman" w:hAnsi="Times New Roman" w:cs="Times New Roman"/>
          <w:i/>
          <w:sz w:val="28"/>
          <w:szCs w:val="28"/>
        </w:rPr>
        <w:t xml:space="preserve"> (mil.lei)</w:t>
      </w:r>
    </w:p>
    <w:tbl>
      <w:tblPr>
        <w:tblStyle w:val="TableGrid"/>
        <w:tblW w:w="9715" w:type="dxa"/>
        <w:tblLook w:val="04A0"/>
      </w:tblPr>
      <w:tblGrid>
        <w:gridCol w:w="516"/>
        <w:gridCol w:w="1507"/>
        <w:gridCol w:w="913"/>
        <w:gridCol w:w="887"/>
        <w:gridCol w:w="724"/>
        <w:gridCol w:w="690"/>
        <w:gridCol w:w="1032"/>
        <w:gridCol w:w="1032"/>
        <w:gridCol w:w="1032"/>
        <w:gridCol w:w="1382"/>
      </w:tblGrid>
      <w:tr w:rsidR="00714F5D" w:rsidRPr="001D0846" w:rsidTr="008C5C6A">
        <w:tc>
          <w:tcPr>
            <w:tcW w:w="516" w:type="dxa"/>
            <w:vMerge w:val="restart"/>
          </w:tcPr>
          <w:p w:rsidR="00714F5D" w:rsidRPr="001D0846" w:rsidRDefault="00714F5D" w:rsidP="008C5C6A">
            <w:pPr>
              <w:tabs>
                <w:tab w:val="left" w:pos="720"/>
              </w:tabs>
              <w:spacing w:line="276" w:lineRule="auto"/>
              <w:contextualSpacing/>
              <w:jc w:val="center"/>
              <w:rPr>
                <w:rFonts w:ascii="Times New Roman" w:hAnsi="Times New Roman" w:cs="Times New Roman"/>
                <w:b/>
                <w:sz w:val="20"/>
                <w:szCs w:val="20"/>
              </w:rPr>
            </w:pPr>
            <w:r w:rsidRPr="001D0846">
              <w:rPr>
                <w:rFonts w:ascii="Times New Roman" w:hAnsi="Times New Roman" w:cs="Times New Roman"/>
                <w:b/>
                <w:sz w:val="20"/>
                <w:szCs w:val="20"/>
              </w:rPr>
              <w:t>Nr.</w:t>
            </w:r>
          </w:p>
          <w:p w:rsidR="00714F5D" w:rsidRPr="001D0846" w:rsidRDefault="00714F5D" w:rsidP="008C5C6A">
            <w:pPr>
              <w:tabs>
                <w:tab w:val="left" w:pos="720"/>
              </w:tabs>
              <w:spacing w:line="276" w:lineRule="auto"/>
              <w:contextualSpacing/>
              <w:jc w:val="center"/>
              <w:rPr>
                <w:rFonts w:ascii="Times New Roman" w:hAnsi="Times New Roman" w:cs="Times New Roman"/>
                <w:b/>
                <w:sz w:val="20"/>
                <w:szCs w:val="20"/>
              </w:rPr>
            </w:pPr>
            <w:r w:rsidRPr="001D0846">
              <w:rPr>
                <w:rFonts w:ascii="Times New Roman" w:hAnsi="Times New Roman" w:cs="Times New Roman"/>
                <w:b/>
                <w:sz w:val="20"/>
                <w:szCs w:val="20"/>
              </w:rPr>
              <w:t>d/o</w:t>
            </w:r>
          </w:p>
        </w:tc>
        <w:tc>
          <w:tcPr>
            <w:tcW w:w="1507" w:type="dxa"/>
            <w:vMerge w:val="restart"/>
          </w:tcPr>
          <w:p w:rsidR="00714F5D" w:rsidRPr="001D0846" w:rsidRDefault="00714F5D" w:rsidP="008C5C6A">
            <w:pPr>
              <w:tabs>
                <w:tab w:val="left" w:pos="720"/>
              </w:tabs>
              <w:spacing w:line="276" w:lineRule="auto"/>
              <w:contextualSpacing/>
              <w:jc w:val="center"/>
              <w:rPr>
                <w:rFonts w:ascii="Times New Roman" w:hAnsi="Times New Roman" w:cs="Times New Roman"/>
                <w:b/>
                <w:sz w:val="20"/>
                <w:szCs w:val="20"/>
              </w:rPr>
            </w:pPr>
            <w:r w:rsidRPr="001D0846">
              <w:rPr>
                <w:rFonts w:ascii="Times New Roman" w:hAnsi="Times New Roman" w:cs="Times New Roman"/>
                <w:b/>
                <w:sz w:val="20"/>
                <w:szCs w:val="20"/>
              </w:rPr>
              <w:t>Domenii de activitate</w:t>
            </w:r>
          </w:p>
        </w:tc>
        <w:tc>
          <w:tcPr>
            <w:tcW w:w="3214" w:type="dxa"/>
            <w:gridSpan w:val="4"/>
          </w:tcPr>
          <w:p w:rsidR="00714F5D" w:rsidRPr="001D0846" w:rsidRDefault="00714F5D" w:rsidP="008C5C6A">
            <w:pPr>
              <w:tabs>
                <w:tab w:val="left" w:pos="720"/>
              </w:tabs>
              <w:spacing w:line="276" w:lineRule="auto"/>
              <w:contextualSpacing/>
              <w:jc w:val="center"/>
              <w:rPr>
                <w:rFonts w:ascii="Times New Roman" w:hAnsi="Times New Roman" w:cs="Times New Roman"/>
                <w:b/>
                <w:sz w:val="20"/>
                <w:szCs w:val="20"/>
              </w:rPr>
            </w:pPr>
            <w:r w:rsidRPr="001D0846">
              <w:rPr>
                <w:rFonts w:ascii="Times New Roman" w:hAnsi="Times New Roman" w:cs="Times New Roman"/>
                <w:b/>
                <w:sz w:val="20"/>
                <w:szCs w:val="20"/>
              </w:rPr>
              <w:t>Obligații fiscale calculate la BPN</w:t>
            </w:r>
          </w:p>
        </w:tc>
        <w:tc>
          <w:tcPr>
            <w:tcW w:w="4478" w:type="dxa"/>
            <w:gridSpan w:val="4"/>
          </w:tcPr>
          <w:p w:rsidR="00714F5D" w:rsidRPr="001D0846" w:rsidRDefault="00714F5D" w:rsidP="008C5C6A">
            <w:pPr>
              <w:tabs>
                <w:tab w:val="left" w:pos="720"/>
              </w:tabs>
              <w:spacing w:line="276" w:lineRule="auto"/>
              <w:contextualSpacing/>
              <w:jc w:val="center"/>
              <w:rPr>
                <w:rFonts w:ascii="Times New Roman" w:hAnsi="Times New Roman" w:cs="Times New Roman"/>
                <w:b/>
                <w:sz w:val="20"/>
                <w:szCs w:val="20"/>
              </w:rPr>
            </w:pPr>
            <w:r w:rsidRPr="001D0846">
              <w:rPr>
                <w:rFonts w:ascii="Times New Roman" w:hAnsi="Times New Roman" w:cs="Times New Roman"/>
                <w:b/>
                <w:sz w:val="20"/>
                <w:szCs w:val="20"/>
              </w:rPr>
              <w:t>Obligații fiscale achitate la BPN</w:t>
            </w:r>
          </w:p>
        </w:tc>
      </w:tr>
      <w:tr w:rsidR="00714F5D" w:rsidRPr="001D0846" w:rsidTr="008C5C6A">
        <w:tc>
          <w:tcPr>
            <w:tcW w:w="516" w:type="dxa"/>
            <w:vMerge/>
          </w:tcPr>
          <w:p w:rsidR="00714F5D" w:rsidRPr="001D0846" w:rsidRDefault="00714F5D" w:rsidP="008C5C6A">
            <w:pPr>
              <w:tabs>
                <w:tab w:val="left" w:pos="720"/>
              </w:tabs>
              <w:spacing w:line="276" w:lineRule="auto"/>
              <w:contextualSpacing/>
              <w:jc w:val="center"/>
              <w:rPr>
                <w:rFonts w:ascii="Times New Roman" w:hAnsi="Times New Roman" w:cs="Times New Roman"/>
                <w:b/>
                <w:sz w:val="20"/>
                <w:szCs w:val="20"/>
              </w:rPr>
            </w:pPr>
          </w:p>
        </w:tc>
        <w:tc>
          <w:tcPr>
            <w:tcW w:w="1507" w:type="dxa"/>
            <w:vMerge/>
          </w:tcPr>
          <w:p w:rsidR="00714F5D" w:rsidRPr="001D0846" w:rsidRDefault="00714F5D" w:rsidP="008C5C6A">
            <w:pPr>
              <w:tabs>
                <w:tab w:val="left" w:pos="720"/>
              </w:tabs>
              <w:spacing w:line="276" w:lineRule="auto"/>
              <w:contextualSpacing/>
              <w:jc w:val="center"/>
              <w:rPr>
                <w:rFonts w:ascii="Times New Roman" w:hAnsi="Times New Roman" w:cs="Times New Roman"/>
                <w:b/>
                <w:sz w:val="20"/>
                <w:szCs w:val="20"/>
              </w:rPr>
            </w:pPr>
          </w:p>
        </w:tc>
        <w:tc>
          <w:tcPr>
            <w:tcW w:w="913" w:type="dxa"/>
          </w:tcPr>
          <w:p w:rsidR="00714F5D" w:rsidRPr="001D0846" w:rsidRDefault="00714F5D" w:rsidP="008C5C6A">
            <w:pPr>
              <w:tabs>
                <w:tab w:val="left" w:pos="720"/>
              </w:tabs>
              <w:spacing w:line="276" w:lineRule="auto"/>
              <w:contextualSpacing/>
              <w:jc w:val="center"/>
              <w:rPr>
                <w:rFonts w:ascii="Times New Roman" w:hAnsi="Times New Roman" w:cs="Times New Roman"/>
                <w:b/>
                <w:sz w:val="20"/>
                <w:szCs w:val="20"/>
              </w:rPr>
            </w:pPr>
            <w:r w:rsidRPr="001D0846">
              <w:rPr>
                <w:rFonts w:ascii="Times New Roman" w:hAnsi="Times New Roman" w:cs="Times New Roman"/>
                <w:b/>
                <w:sz w:val="20"/>
                <w:szCs w:val="20"/>
              </w:rPr>
              <w:t>2016</w:t>
            </w:r>
          </w:p>
        </w:tc>
        <w:tc>
          <w:tcPr>
            <w:tcW w:w="887" w:type="dxa"/>
          </w:tcPr>
          <w:p w:rsidR="00714F5D" w:rsidRPr="001D0846" w:rsidRDefault="00714F5D" w:rsidP="008C5C6A">
            <w:pPr>
              <w:tabs>
                <w:tab w:val="left" w:pos="720"/>
              </w:tabs>
              <w:spacing w:line="276" w:lineRule="auto"/>
              <w:contextualSpacing/>
              <w:jc w:val="center"/>
              <w:rPr>
                <w:rFonts w:ascii="Times New Roman" w:hAnsi="Times New Roman" w:cs="Times New Roman"/>
                <w:b/>
                <w:sz w:val="20"/>
                <w:szCs w:val="20"/>
              </w:rPr>
            </w:pPr>
            <w:r w:rsidRPr="001D0846">
              <w:rPr>
                <w:rFonts w:ascii="Times New Roman" w:hAnsi="Times New Roman" w:cs="Times New Roman"/>
                <w:b/>
                <w:sz w:val="20"/>
                <w:szCs w:val="20"/>
              </w:rPr>
              <w:t>2017</w:t>
            </w:r>
          </w:p>
        </w:tc>
        <w:tc>
          <w:tcPr>
            <w:tcW w:w="1414" w:type="dxa"/>
            <w:gridSpan w:val="2"/>
          </w:tcPr>
          <w:p w:rsidR="00714F5D" w:rsidRPr="001D0846" w:rsidRDefault="00714F5D" w:rsidP="008C5C6A">
            <w:pPr>
              <w:tabs>
                <w:tab w:val="left" w:pos="720"/>
              </w:tabs>
              <w:spacing w:line="276" w:lineRule="auto"/>
              <w:contextualSpacing/>
              <w:jc w:val="center"/>
              <w:rPr>
                <w:rFonts w:ascii="Times New Roman" w:hAnsi="Times New Roman" w:cs="Times New Roman"/>
                <w:b/>
                <w:sz w:val="20"/>
                <w:szCs w:val="20"/>
              </w:rPr>
            </w:pPr>
            <w:r w:rsidRPr="001D0846">
              <w:rPr>
                <w:rFonts w:ascii="Times New Roman" w:hAnsi="Times New Roman" w:cs="Times New Roman"/>
                <w:b/>
                <w:sz w:val="20"/>
                <w:szCs w:val="20"/>
              </w:rPr>
              <w:t>Devieri</w:t>
            </w:r>
          </w:p>
        </w:tc>
        <w:tc>
          <w:tcPr>
            <w:tcW w:w="1032" w:type="dxa"/>
          </w:tcPr>
          <w:p w:rsidR="00714F5D" w:rsidRPr="001D0846" w:rsidRDefault="00714F5D" w:rsidP="008C5C6A">
            <w:pPr>
              <w:tabs>
                <w:tab w:val="left" w:pos="720"/>
              </w:tabs>
              <w:spacing w:line="276" w:lineRule="auto"/>
              <w:contextualSpacing/>
              <w:jc w:val="center"/>
              <w:rPr>
                <w:rFonts w:ascii="Times New Roman" w:hAnsi="Times New Roman" w:cs="Times New Roman"/>
                <w:b/>
                <w:sz w:val="20"/>
                <w:szCs w:val="20"/>
              </w:rPr>
            </w:pPr>
            <w:r w:rsidRPr="001D0846">
              <w:rPr>
                <w:rFonts w:ascii="Times New Roman" w:hAnsi="Times New Roman" w:cs="Times New Roman"/>
                <w:b/>
                <w:sz w:val="20"/>
                <w:szCs w:val="20"/>
              </w:rPr>
              <w:t>2016</w:t>
            </w:r>
          </w:p>
        </w:tc>
        <w:tc>
          <w:tcPr>
            <w:tcW w:w="1032" w:type="dxa"/>
          </w:tcPr>
          <w:p w:rsidR="00714F5D" w:rsidRPr="001D0846" w:rsidRDefault="00714F5D" w:rsidP="008C5C6A">
            <w:pPr>
              <w:tabs>
                <w:tab w:val="left" w:pos="720"/>
              </w:tabs>
              <w:spacing w:line="276" w:lineRule="auto"/>
              <w:contextualSpacing/>
              <w:jc w:val="center"/>
              <w:rPr>
                <w:rFonts w:ascii="Times New Roman" w:hAnsi="Times New Roman" w:cs="Times New Roman"/>
                <w:b/>
                <w:sz w:val="20"/>
                <w:szCs w:val="20"/>
              </w:rPr>
            </w:pPr>
            <w:r w:rsidRPr="001D0846">
              <w:rPr>
                <w:rFonts w:ascii="Times New Roman" w:hAnsi="Times New Roman" w:cs="Times New Roman"/>
                <w:b/>
                <w:sz w:val="20"/>
                <w:szCs w:val="20"/>
              </w:rPr>
              <w:t>2017</w:t>
            </w:r>
          </w:p>
        </w:tc>
        <w:tc>
          <w:tcPr>
            <w:tcW w:w="2414" w:type="dxa"/>
            <w:gridSpan w:val="2"/>
          </w:tcPr>
          <w:p w:rsidR="00714F5D" w:rsidRPr="001D0846" w:rsidRDefault="00714F5D" w:rsidP="008C5C6A">
            <w:pPr>
              <w:tabs>
                <w:tab w:val="left" w:pos="720"/>
              </w:tabs>
              <w:spacing w:line="276" w:lineRule="auto"/>
              <w:contextualSpacing/>
              <w:jc w:val="center"/>
              <w:rPr>
                <w:rFonts w:ascii="Times New Roman" w:hAnsi="Times New Roman" w:cs="Times New Roman"/>
                <w:b/>
                <w:sz w:val="20"/>
                <w:szCs w:val="20"/>
              </w:rPr>
            </w:pPr>
            <w:r w:rsidRPr="001D0846">
              <w:rPr>
                <w:rFonts w:ascii="Times New Roman" w:hAnsi="Times New Roman" w:cs="Times New Roman"/>
                <w:b/>
                <w:sz w:val="20"/>
                <w:szCs w:val="20"/>
              </w:rPr>
              <w:t xml:space="preserve">Devieri </w:t>
            </w:r>
          </w:p>
        </w:tc>
      </w:tr>
      <w:tr w:rsidR="00714F5D" w:rsidRPr="001D0846" w:rsidTr="008C5C6A">
        <w:tc>
          <w:tcPr>
            <w:tcW w:w="516" w:type="dxa"/>
            <w:vMerge/>
          </w:tcPr>
          <w:p w:rsidR="00714F5D" w:rsidRPr="001D0846" w:rsidRDefault="00714F5D" w:rsidP="008C5C6A">
            <w:pPr>
              <w:tabs>
                <w:tab w:val="left" w:pos="720"/>
              </w:tabs>
              <w:spacing w:line="276" w:lineRule="auto"/>
              <w:contextualSpacing/>
              <w:jc w:val="center"/>
              <w:rPr>
                <w:rFonts w:ascii="Times New Roman" w:hAnsi="Times New Roman" w:cs="Times New Roman"/>
                <w:b/>
                <w:sz w:val="20"/>
                <w:szCs w:val="20"/>
              </w:rPr>
            </w:pPr>
          </w:p>
        </w:tc>
        <w:tc>
          <w:tcPr>
            <w:tcW w:w="1507" w:type="dxa"/>
            <w:vMerge/>
          </w:tcPr>
          <w:p w:rsidR="00714F5D" w:rsidRPr="001D0846" w:rsidRDefault="00714F5D" w:rsidP="008C5C6A">
            <w:pPr>
              <w:tabs>
                <w:tab w:val="left" w:pos="720"/>
              </w:tabs>
              <w:spacing w:line="276" w:lineRule="auto"/>
              <w:contextualSpacing/>
              <w:jc w:val="center"/>
              <w:rPr>
                <w:rFonts w:ascii="Times New Roman" w:hAnsi="Times New Roman" w:cs="Times New Roman"/>
                <w:b/>
                <w:sz w:val="20"/>
                <w:szCs w:val="20"/>
              </w:rPr>
            </w:pPr>
          </w:p>
        </w:tc>
        <w:tc>
          <w:tcPr>
            <w:tcW w:w="913" w:type="dxa"/>
            <w:tcBorders>
              <w:top w:val="nil"/>
            </w:tcBorders>
          </w:tcPr>
          <w:p w:rsidR="00714F5D" w:rsidRPr="001D0846" w:rsidRDefault="00714F5D" w:rsidP="008C5C6A">
            <w:pPr>
              <w:tabs>
                <w:tab w:val="left" w:pos="720"/>
              </w:tabs>
              <w:spacing w:line="276" w:lineRule="auto"/>
              <w:contextualSpacing/>
              <w:jc w:val="center"/>
              <w:rPr>
                <w:rFonts w:ascii="Times New Roman" w:hAnsi="Times New Roman" w:cs="Times New Roman"/>
                <w:b/>
                <w:sz w:val="20"/>
                <w:szCs w:val="20"/>
              </w:rPr>
            </w:pPr>
          </w:p>
        </w:tc>
        <w:tc>
          <w:tcPr>
            <w:tcW w:w="887" w:type="dxa"/>
          </w:tcPr>
          <w:p w:rsidR="00714F5D" w:rsidRPr="001D0846" w:rsidRDefault="00714F5D" w:rsidP="008C5C6A">
            <w:pPr>
              <w:tabs>
                <w:tab w:val="left" w:pos="720"/>
              </w:tabs>
              <w:spacing w:line="276" w:lineRule="auto"/>
              <w:contextualSpacing/>
              <w:jc w:val="center"/>
              <w:rPr>
                <w:rFonts w:ascii="Times New Roman" w:hAnsi="Times New Roman" w:cs="Times New Roman"/>
                <w:b/>
                <w:sz w:val="20"/>
                <w:szCs w:val="20"/>
              </w:rPr>
            </w:pPr>
          </w:p>
        </w:tc>
        <w:tc>
          <w:tcPr>
            <w:tcW w:w="724" w:type="dxa"/>
          </w:tcPr>
          <w:p w:rsidR="00714F5D" w:rsidRPr="001D0846" w:rsidRDefault="00714F5D" w:rsidP="008C5C6A">
            <w:pPr>
              <w:tabs>
                <w:tab w:val="left" w:pos="720"/>
              </w:tabs>
              <w:spacing w:line="276" w:lineRule="auto"/>
              <w:contextualSpacing/>
              <w:jc w:val="center"/>
              <w:rPr>
                <w:rFonts w:ascii="Times New Roman" w:hAnsi="Times New Roman" w:cs="Times New Roman"/>
                <w:b/>
                <w:sz w:val="20"/>
                <w:szCs w:val="20"/>
              </w:rPr>
            </w:pPr>
            <w:r w:rsidRPr="001D0846">
              <w:rPr>
                <w:rFonts w:ascii="Times New Roman" w:hAnsi="Times New Roman" w:cs="Times New Roman"/>
                <w:b/>
                <w:sz w:val="20"/>
                <w:szCs w:val="20"/>
              </w:rPr>
              <w:t>mii lei</w:t>
            </w:r>
          </w:p>
        </w:tc>
        <w:tc>
          <w:tcPr>
            <w:tcW w:w="690" w:type="dxa"/>
          </w:tcPr>
          <w:p w:rsidR="00714F5D" w:rsidRPr="001D0846" w:rsidRDefault="00714F5D" w:rsidP="008C5C6A">
            <w:pPr>
              <w:tabs>
                <w:tab w:val="left" w:pos="720"/>
              </w:tabs>
              <w:spacing w:line="276" w:lineRule="auto"/>
              <w:contextualSpacing/>
              <w:jc w:val="center"/>
              <w:rPr>
                <w:rFonts w:ascii="Times New Roman" w:hAnsi="Times New Roman" w:cs="Times New Roman"/>
                <w:b/>
                <w:sz w:val="20"/>
                <w:szCs w:val="20"/>
              </w:rPr>
            </w:pPr>
            <w:r w:rsidRPr="001D0846">
              <w:rPr>
                <w:rFonts w:ascii="Times New Roman" w:hAnsi="Times New Roman" w:cs="Times New Roman"/>
                <w:b/>
                <w:sz w:val="20"/>
                <w:szCs w:val="20"/>
              </w:rPr>
              <w:t>%</w:t>
            </w:r>
          </w:p>
        </w:tc>
        <w:tc>
          <w:tcPr>
            <w:tcW w:w="1032" w:type="dxa"/>
          </w:tcPr>
          <w:p w:rsidR="00714F5D" w:rsidRPr="001D0846" w:rsidRDefault="00714F5D" w:rsidP="008C5C6A">
            <w:pPr>
              <w:tabs>
                <w:tab w:val="left" w:pos="720"/>
              </w:tabs>
              <w:spacing w:line="276" w:lineRule="auto"/>
              <w:contextualSpacing/>
              <w:jc w:val="center"/>
              <w:rPr>
                <w:rFonts w:ascii="Times New Roman" w:hAnsi="Times New Roman" w:cs="Times New Roman"/>
                <w:b/>
                <w:sz w:val="20"/>
                <w:szCs w:val="20"/>
              </w:rPr>
            </w:pPr>
          </w:p>
        </w:tc>
        <w:tc>
          <w:tcPr>
            <w:tcW w:w="1032" w:type="dxa"/>
          </w:tcPr>
          <w:p w:rsidR="00714F5D" w:rsidRPr="001D0846" w:rsidRDefault="00714F5D" w:rsidP="008C5C6A">
            <w:pPr>
              <w:tabs>
                <w:tab w:val="left" w:pos="720"/>
              </w:tabs>
              <w:spacing w:line="276" w:lineRule="auto"/>
              <w:contextualSpacing/>
              <w:jc w:val="center"/>
              <w:rPr>
                <w:rFonts w:ascii="Times New Roman" w:hAnsi="Times New Roman" w:cs="Times New Roman"/>
                <w:b/>
                <w:sz w:val="20"/>
                <w:szCs w:val="20"/>
              </w:rPr>
            </w:pPr>
          </w:p>
        </w:tc>
        <w:tc>
          <w:tcPr>
            <w:tcW w:w="1032" w:type="dxa"/>
          </w:tcPr>
          <w:p w:rsidR="00714F5D" w:rsidRPr="001D0846" w:rsidRDefault="00714F5D" w:rsidP="008C5C6A">
            <w:pPr>
              <w:tabs>
                <w:tab w:val="left" w:pos="720"/>
              </w:tabs>
              <w:spacing w:line="276" w:lineRule="auto"/>
              <w:contextualSpacing/>
              <w:jc w:val="center"/>
              <w:rPr>
                <w:rFonts w:ascii="Times New Roman" w:hAnsi="Times New Roman" w:cs="Times New Roman"/>
                <w:b/>
                <w:sz w:val="20"/>
                <w:szCs w:val="20"/>
              </w:rPr>
            </w:pPr>
            <w:r w:rsidRPr="001D0846">
              <w:rPr>
                <w:rFonts w:ascii="Times New Roman" w:hAnsi="Times New Roman" w:cs="Times New Roman"/>
                <w:b/>
                <w:sz w:val="20"/>
                <w:szCs w:val="20"/>
              </w:rPr>
              <w:t>mii lei</w:t>
            </w:r>
          </w:p>
        </w:tc>
        <w:tc>
          <w:tcPr>
            <w:tcW w:w="1382" w:type="dxa"/>
          </w:tcPr>
          <w:p w:rsidR="00714F5D" w:rsidRPr="001D0846" w:rsidRDefault="00714F5D" w:rsidP="008C5C6A">
            <w:pPr>
              <w:tabs>
                <w:tab w:val="left" w:pos="720"/>
              </w:tabs>
              <w:spacing w:line="276" w:lineRule="auto"/>
              <w:contextualSpacing/>
              <w:jc w:val="center"/>
              <w:rPr>
                <w:rFonts w:ascii="Times New Roman" w:hAnsi="Times New Roman" w:cs="Times New Roman"/>
                <w:b/>
                <w:sz w:val="20"/>
                <w:szCs w:val="20"/>
              </w:rPr>
            </w:pPr>
            <w:r w:rsidRPr="001D0846">
              <w:rPr>
                <w:rFonts w:ascii="Times New Roman" w:hAnsi="Times New Roman" w:cs="Times New Roman"/>
                <w:b/>
                <w:sz w:val="20"/>
                <w:szCs w:val="20"/>
              </w:rPr>
              <w:t>%</w:t>
            </w:r>
          </w:p>
        </w:tc>
      </w:tr>
      <w:tr w:rsidR="00714F5D" w:rsidRPr="001D0846" w:rsidTr="008C5C6A">
        <w:tc>
          <w:tcPr>
            <w:tcW w:w="516" w:type="dxa"/>
          </w:tcPr>
          <w:p w:rsidR="00714F5D" w:rsidRPr="001D0846" w:rsidRDefault="00714F5D" w:rsidP="008C5C6A">
            <w:pPr>
              <w:tabs>
                <w:tab w:val="left" w:pos="720"/>
              </w:tabs>
              <w:spacing w:line="276" w:lineRule="auto"/>
              <w:contextualSpacing/>
              <w:jc w:val="center"/>
              <w:rPr>
                <w:rFonts w:ascii="Times New Roman" w:hAnsi="Times New Roman" w:cs="Times New Roman"/>
                <w:b/>
                <w:sz w:val="20"/>
                <w:szCs w:val="20"/>
              </w:rPr>
            </w:pPr>
            <w:r w:rsidRPr="001D0846">
              <w:rPr>
                <w:rFonts w:ascii="Times New Roman" w:hAnsi="Times New Roman" w:cs="Times New Roman"/>
                <w:b/>
                <w:sz w:val="20"/>
                <w:szCs w:val="20"/>
              </w:rPr>
              <w:t>1</w:t>
            </w:r>
            <w:r>
              <w:rPr>
                <w:rFonts w:ascii="Times New Roman" w:hAnsi="Times New Roman" w:cs="Times New Roman"/>
                <w:b/>
                <w:sz w:val="20"/>
                <w:szCs w:val="20"/>
              </w:rPr>
              <w:t>.</w:t>
            </w:r>
          </w:p>
        </w:tc>
        <w:tc>
          <w:tcPr>
            <w:tcW w:w="1507" w:type="dxa"/>
          </w:tcPr>
          <w:p w:rsidR="00714F5D" w:rsidRPr="001D0846" w:rsidRDefault="00714F5D" w:rsidP="008C5C6A">
            <w:pPr>
              <w:tabs>
                <w:tab w:val="left" w:pos="720"/>
              </w:tabs>
              <w:spacing w:line="276" w:lineRule="auto"/>
              <w:contextualSpacing/>
              <w:jc w:val="both"/>
              <w:rPr>
                <w:rFonts w:ascii="Times New Roman" w:hAnsi="Times New Roman" w:cs="Times New Roman"/>
                <w:sz w:val="20"/>
                <w:szCs w:val="20"/>
              </w:rPr>
            </w:pPr>
            <w:r w:rsidRPr="001D0846">
              <w:rPr>
                <w:rFonts w:ascii="Times New Roman" w:hAnsi="Times New Roman" w:cs="Times New Roman"/>
                <w:sz w:val="20"/>
                <w:szCs w:val="20"/>
              </w:rPr>
              <w:t>Agricultura</w:t>
            </w:r>
          </w:p>
        </w:tc>
        <w:tc>
          <w:tcPr>
            <w:tcW w:w="913" w:type="dxa"/>
          </w:tcPr>
          <w:p w:rsidR="00714F5D" w:rsidRPr="001D0846" w:rsidRDefault="00714F5D" w:rsidP="008C5C6A">
            <w:pPr>
              <w:tabs>
                <w:tab w:val="left" w:pos="720"/>
              </w:tabs>
              <w:spacing w:line="276" w:lineRule="auto"/>
              <w:contextualSpacing/>
              <w:jc w:val="center"/>
              <w:rPr>
                <w:rFonts w:ascii="Times New Roman" w:hAnsi="Times New Roman" w:cs="Times New Roman"/>
                <w:sz w:val="20"/>
                <w:szCs w:val="20"/>
              </w:rPr>
            </w:pPr>
            <w:r w:rsidRPr="001D0846">
              <w:rPr>
                <w:rFonts w:ascii="Times New Roman" w:hAnsi="Times New Roman" w:cs="Times New Roman"/>
                <w:sz w:val="20"/>
                <w:szCs w:val="20"/>
              </w:rPr>
              <w:t>486</w:t>
            </w:r>
          </w:p>
        </w:tc>
        <w:tc>
          <w:tcPr>
            <w:tcW w:w="887" w:type="dxa"/>
          </w:tcPr>
          <w:p w:rsidR="00714F5D" w:rsidRPr="001D0846" w:rsidRDefault="00714F5D" w:rsidP="008C5C6A">
            <w:pPr>
              <w:tabs>
                <w:tab w:val="left" w:pos="720"/>
              </w:tabs>
              <w:spacing w:line="276" w:lineRule="auto"/>
              <w:contextualSpacing/>
              <w:jc w:val="center"/>
              <w:rPr>
                <w:rFonts w:ascii="Times New Roman" w:hAnsi="Times New Roman" w:cs="Times New Roman"/>
                <w:sz w:val="20"/>
                <w:szCs w:val="20"/>
              </w:rPr>
            </w:pPr>
            <w:r w:rsidRPr="001D0846">
              <w:rPr>
                <w:rFonts w:ascii="Times New Roman" w:hAnsi="Times New Roman" w:cs="Times New Roman"/>
                <w:sz w:val="20"/>
                <w:szCs w:val="20"/>
              </w:rPr>
              <w:t>456,6</w:t>
            </w:r>
          </w:p>
        </w:tc>
        <w:tc>
          <w:tcPr>
            <w:tcW w:w="724" w:type="dxa"/>
          </w:tcPr>
          <w:p w:rsidR="00714F5D" w:rsidRPr="001D0846" w:rsidRDefault="00714F5D" w:rsidP="008C5C6A">
            <w:pPr>
              <w:tabs>
                <w:tab w:val="left" w:pos="720"/>
              </w:tabs>
              <w:spacing w:line="276" w:lineRule="auto"/>
              <w:contextualSpacing/>
              <w:jc w:val="center"/>
              <w:rPr>
                <w:rFonts w:ascii="Times New Roman" w:hAnsi="Times New Roman" w:cs="Times New Roman"/>
                <w:sz w:val="20"/>
                <w:szCs w:val="20"/>
              </w:rPr>
            </w:pPr>
            <w:r w:rsidRPr="001D0846">
              <w:rPr>
                <w:rFonts w:ascii="Times New Roman" w:hAnsi="Times New Roman" w:cs="Times New Roman"/>
                <w:sz w:val="20"/>
                <w:szCs w:val="20"/>
              </w:rPr>
              <w:t>-29,4</w:t>
            </w:r>
          </w:p>
        </w:tc>
        <w:tc>
          <w:tcPr>
            <w:tcW w:w="690" w:type="dxa"/>
          </w:tcPr>
          <w:p w:rsidR="00714F5D" w:rsidRPr="001D0846" w:rsidRDefault="00714F5D" w:rsidP="008C5C6A">
            <w:pPr>
              <w:tabs>
                <w:tab w:val="left" w:pos="720"/>
              </w:tabs>
              <w:spacing w:line="276" w:lineRule="auto"/>
              <w:contextualSpacing/>
              <w:jc w:val="center"/>
              <w:rPr>
                <w:rFonts w:ascii="Times New Roman" w:hAnsi="Times New Roman" w:cs="Times New Roman"/>
                <w:sz w:val="20"/>
                <w:szCs w:val="20"/>
              </w:rPr>
            </w:pPr>
            <w:r w:rsidRPr="001D0846">
              <w:rPr>
                <w:rFonts w:ascii="Times New Roman" w:hAnsi="Times New Roman" w:cs="Times New Roman"/>
                <w:sz w:val="20"/>
                <w:szCs w:val="20"/>
              </w:rPr>
              <w:t>-6,1</w:t>
            </w:r>
          </w:p>
        </w:tc>
        <w:tc>
          <w:tcPr>
            <w:tcW w:w="1032" w:type="dxa"/>
          </w:tcPr>
          <w:p w:rsidR="00714F5D" w:rsidRPr="001D0846" w:rsidRDefault="00714F5D" w:rsidP="008C5C6A">
            <w:pPr>
              <w:tabs>
                <w:tab w:val="left" w:pos="720"/>
              </w:tabs>
              <w:spacing w:line="276" w:lineRule="auto"/>
              <w:contextualSpacing/>
              <w:jc w:val="center"/>
              <w:rPr>
                <w:rFonts w:ascii="Times New Roman" w:hAnsi="Times New Roman" w:cs="Times New Roman"/>
                <w:sz w:val="20"/>
                <w:szCs w:val="20"/>
              </w:rPr>
            </w:pPr>
            <w:r w:rsidRPr="001D0846">
              <w:rPr>
                <w:rFonts w:ascii="Times New Roman" w:hAnsi="Times New Roman" w:cs="Times New Roman"/>
                <w:sz w:val="20"/>
                <w:szCs w:val="20"/>
              </w:rPr>
              <w:t>388,0</w:t>
            </w:r>
          </w:p>
        </w:tc>
        <w:tc>
          <w:tcPr>
            <w:tcW w:w="1032" w:type="dxa"/>
          </w:tcPr>
          <w:p w:rsidR="00714F5D" w:rsidRPr="001D0846" w:rsidRDefault="00714F5D" w:rsidP="008C5C6A">
            <w:pPr>
              <w:tabs>
                <w:tab w:val="left" w:pos="720"/>
              </w:tabs>
              <w:spacing w:line="276" w:lineRule="auto"/>
              <w:contextualSpacing/>
              <w:jc w:val="center"/>
              <w:rPr>
                <w:rFonts w:ascii="Times New Roman" w:hAnsi="Times New Roman" w:cs="Times New Roman"/>
                <w:sz w:val="20"/>
                <w:szCs w:val="20"/>
              </w:rPr>
            </w:pPr>
            <w:r w:rsidRPr="001D0846">
              <w:rPr>
                <w:rFonts w:ascii="Times New Roman" w:hAnsi="Times New Roman" w:cs="Times New Roman"/>
                <w:sz w:val="20"/>
                <w:szCs w:val="20"/>
              </w:rPr>
              <w:t>505</w:t>
            </w:r>
          </w:p>
        </w:tc>
        <w:tc>
          <w:tcPr>
            <w:tcW w:w="1032" w:type="dxa"/>
          </w:tcPr>
          <w:p w:rsidR="00714F5D" w:rsidRPr="001D0846" w:rsidRDefault="00714F5D" w:rsidP="008C5C6A">
            <w:pPr>
              <w:tabs>
                <w:tab w:val="left" w:pos="720"/>
              </w:tabs>
              <w:spacing w:line="276" w:lineRule="auto"/>
              <w:contextualSpacing/>
              <w:jc w:val="center"/>
              <w:rPr>
                <w:rFonts w:ascii="Times New Roman" w:hAnsi="Times New Roman" w:cs="Times New Roman"/>
                <w:sz w:val="20"/>
                <w:szCs w:val="20"/>
              </w:rPr>
            </w:pPr>
            <w:r w:rsidRPr="001D0846">
              <w:rPr>
                <w:rFonts w:ascii="Times New Roman" w:hAnsi="Times New Roman" w:cs="Times New Roman"/>
                <w:sz w:val="20"/>
                <w:szCs w:val="20"/>
              </w:rPr>
              <w:t>117</w:t>
            </w:r>
          </w:p>
        </w:tc>
        <w:tc>
          <w:tcPr>
            <w:tcW w:w="1382" w:type="dxa"/>
          </w:tcPr>
          <w:p w:rsidR="00714F5D" w:rsidRPr="001D0846" w:rsidRDefault="00714F5D" w:rsidP="008C5C6A">
            <w:pPr>
              <w:tabs>
                <w:tab w:val="left" w:pos="720"/>
              </w:tabs>
              <w:spacing w:line="276" w:lineRule="auto"/>
              <w:contextualSpacing/>
              <w:jc w:val="center"/>
              <w:rPr>
                <w:rFonts w:ascii="Times New Roman" w:hAnsi="Times New Roman" w:cs="Times New Roman"/>
                <w:sz w:val="20"/>
                <w:szCs w:val="20"/>
              </w:rPr>
            </w:pPr>
            <w:r w:rsidRPr="001D0846">
              <w:rPr>
                <w:rFonts w:ascii="Times New Roman" w:hAnsi="Times New Roman" w:cs="Times New Roman"/>
                <w:sz w:val="20"/>
                <w:szCs w:val="20"/>
              </w:rPr>
              <w:t>30,1</w:t>
            </w:r>
          </w:p>
        </w:tc>
      </w:tr>
      <w:tr w:rsidR="00714F5D" w:rsidRPr="001D0846" w:rsidTr="008C5C6A">
        <w:tc>
          <w:tcPr>
            <w:tcW w:w="516" w:type="dxa"/>
          </w:tcPr>
          <w:p w:rsidR="00714F5D" w:rsidRPr="001D0846" w:rsidRDefault="00714F5D" w:rsidP="008C5C6A">
            <w:pPr>
              <w:tabs>
                <w:tab w:val="left" w:pos="720"/>
              </w:tabs>
              <w:spacing w:line="276" w:lineRule="auto"/>
              <w:contextualSpacing/>
              <w:jc w:val="center"/>
              <w:rPr>
                <w:rFonts w:ascii="Times New Roman" w:hAnsi="Times New Roman" w:cs="Times New Roman"/>
                <w:b/>
                <w:sz w:val="20"/>
                <w:szCs w:val="20"/>
              </w:rPr>
            </w:pPr>
            <w:r w:rsidRPr="001D0846">
              <w:rPr>
                <w:rFonts w:ascii="Times New Roman" w:hAnsi="Times New Roman" w:cs="Times New Roman"/>
                <w:b/>
                <w:sz w:val="20"/>
                <w:szCs w:val="20"/>
              </w:rPr>
              <w:t>2</w:t>
            </w:r>
            <w:r>
              <w:rPr>
                <w:rFonts w:ascii="Times New Roman" w:hAnsi="Times New Roman" w:cs="Times New Roman"/>
                <w:b/>
                <w:sz w:val="20"/>
                <w:szCs w:val="20"/>
              </w:rPr>
              <w:t>.</w:t>
            </w:r>
          </w:p>
        </w:tc>
        <w:tc>
          <w:tcPr>
            <w:tcW w:w="1507" w:type="dxa"/>
          </w:tcPr>
          <w:p w:rsidR="00714F5D" w:rsidRPr="001D0846" w:rsidRDefault="00714F5D" w:rsidP="008C5C6A">
            <w:pPr>
              <w:tabs>
                <w:tab w:val="left" w:pos="720"/>
              </w:tabs>
              <w:spacing w:line="276" w:lineRule="auto"/>
              <w:contextualSpacing/>
              <w:jc w:val="both"/>
              <w:rPr>
                <w:rFonts w:ascii="Times New Roman" w:hAnsi="Times New Roman" w:cs="Times New Roman"/>
                <w:sz w:val="20"/>
                <w:szCs w:val="20"/>
              </w:rPr>
            </w:pPr>
            <w:r w:rsidRPr="001D0846">
              <w:rPr>
                <w:rFonts w:ascii="Times New Roman" w:hAnsi="Times New Roman" w:cs="Times New Roman"/>
                <w:sz w:val="20"/>
                <w:szCs w:val="20"/>
              </w:rPr>
              <w:t xml:space="preserve">Comerțul cu ridicata și </w:t>
            </w:r>
            <w:r>
              <w:rPr>
                <w:rFonts w:ascii="Times New Roman" w:hAnsi="Times New Roman" w:cs="Times New Roman"/>
                <w:sz w:val="20"/>
                <w:szCs w:val="20"/>
              </w:rPr>
              <w:t xml:space="preserve">cu </w:t>
            </w:r>
            <w:r w:rsidRPr="001D0846">
              <w:rPr>
                <w:rFonts w:ascii="Times New Roman" w:hAnsi="Times New Roman" w:cs="Times New Roman"/>
                <w:sz w:val="20"/>
                <w:szCs w:val="20"/>
              </w:rPr>
              <w:t>amănuntul</w:t>
            </w:r>
          </w:p>
        </w:tc>
        <w:tc>
          <w:tcPr>
            <w:tcW w:w="913" w:type="dxa"/>
          </w:tcPr>
          <w:p w:rsidR="00714F5D" w:rsidRPr="001D0846" w:rsidRDefault="00714F5D" w:rsidP="008C5C6A">
            <w:pPr>
              <w:tabs>
                <w:tab w:val="left" w:pos="720"/>
              </w:tabs>
              <w:spacing w:line="276" w:lineRule="auto"/>
              <w:contextualSpacing/>
              <w:jc w:val="center"/>
              <w:rPr>
                <w:rFonts w:ascii="Times New Roman" w:hAnsi="Times New Roman" w:cs="Times New Roman"/>
                <w:sz w:val="20"/>
                <w:szCs w:val="20"/>
              </w:rPr>
            </w:pPr>
            <w:r w:rsidRPr="001D0846">
              <w:rPr>
                <w:rFonts w:ascii="Times New Roman" w:hAnsi="Times New Roman" w:cs="Times New Roman"/>
                <w:sz w:val="20"/>
                <w:szCs w:val="20"/>
              </w:rPr>
              <w:t>920,9</w:t>
            </w:r>
          </w:p>
        </w:tc>
        <w:tc>
          <w:tcPr>
            <w:tcW w:w="887" w:type="dxa"/>
          </w:tcPr>
          <w:p w:rsidR="00714F5D" w:rsidRPr="001D0846" w:rsidRDefault="00714F5D" w:rsidP="008C5C6A">
            <w:pPr>
              <w:tabs>
                <w:tab w:val="left" w:pos="720"/>
              </w:tabs>
              <w:spacing w:line="276" w:lineRule="auto"/>
              <w:contextualSpacing/>
              <w:jc w:val="center"/>
              <w:rPr>
                <w:rFonts w:ascii="Times New Roman" w:hAnsi="Times New Roman" w:cs="Times New Roman"/>
                <w:sz w:val="20"/>
                <w:szCs w:val="20"/>
              </w:rPr>
            </w:pPr>
            <w:r w:rsidRPr="001D0846">
              <w:rPr>
                <w:rFonts w:ascii="Times New Roman" w:hAnsi="Times New Roman" w:cs="Times New Roman"/>
                <w:sz w:val="20"/>
                <w:szCs w:val="20"/>
              </w:rPr>
              <w:t>1168,7</w:t>
            </w:r>
          </w:p>
        </w:tc>
        <w:tc>
          <w:tcPr>
            <w:tcW w:w="724" w:type="dxa"/>
          </w:tcPr>
          <w:p w:rsidR="00714F5D" w:rsidRPr="001D0846" w:rsidRDefault="00714F5D" w:rsidP="008C5C6A">
            <w:pPr>
              <w:tabs>
                <w:tab w:val="left" w:pos="720"/>
              </w:tabs>
              <w:spacing w:line="276" w:lineRule="auto"/>
              <w:contextualSpacing/>
              <w:jc w:val="center"/>
              <w:rPr>
                <w:rFonts w:ascii="Times New Roman" w:hAnsi="Times New Roman" w:cs="Times New Roman"/>
                <w:sz w:val="20"/>
                <w:szCs w:val="20"/>
              </w:rPr>
            </w:pPr>
            <w:r w:rsidRPr="001D0846">
              <w:rPr>
                <w:rFonts w:ascii="Times New Roman" w:hAnsi="Times New Roman" w:cs="Times New Roman"/>
                <w:sz w:val="20"/>
                <w:szCs w:val="20"/>
              </w:rPr>
              <w:t>247,8</w:t>
            </w:r>
          </w:p>
        </w:tc>
        <w:tc>
          <w:tcPr>
            <w:tcW w:w="690" w:type="dxa"/>
          </w:tcPr>
          <w:p w:rsidR="00714F5D" w:rsidRPr="001D0846" w:rsidRDefault="00714F5D" w:rsidP="008C5C6A">
            <w:pPr>
              <w:tabs>
                <w:tab w:val="left" w:pos="720"/>
              </w:tabs>
              <w:spacing w:line="276" w:lineRule="auto"/>
              <w:contextualSpacing/>
              <w:jc w:val="center"/>
              <w:rPr>
                <w:rFonts w:ascii="Times New Roman" w:hAnsi="Times New Roman" w:cs="Times New Roman"/>
                <w:sz w:val="20"/>
                <w:szCs w:val="20"/>
              </w:rPr>
            </w:pPr>
            <w:r w:rsidRPr="001D0846">
              <w:rPr>
                <w:rFonts w:ascii="Times New Roman" w:hAnsi="Times New Roman" w:cs="Times New Roman"/>
                <w:sz w:val="20"/>
                <w:szCs w:val="20"/>
              </w:rPr>
              <w:t>26,9</w:t>
            </w:r>
          </w:p>
        </w:tc>
        <w:tc>
          <w:tcPr>
            <w:tcW w:w="1032" w:type="dxa"/>
          </w:tcPr>
          <w:p w:rsidR="00714F5D" w:rsidRPr="001D0846" w:rsidRDefault="00714F5D" w:rsidP="008C5C6A">
            <w:pPr>
              <w:tabs>
                <w:tab w:val="left" w:pos="720"/>
              </w:tabs>
              <w:spacing w:line="276" w:lineRule="auto"/>
              <w:contextualSpacing/>
              <w:jc w:val="center"/>
              <w:rPr>
                <w:rFonts w:ascii="Times New Roman" w:hAnsi="Times New Roman" w:cs="Times New Roman"/>
                <w:sz w:val="20"/>
                <w:szCs w:val="20"/>
              </w:rPr>
            </w:pPr>
            <w:r w:rsidRPr="001D0846">
              <w:rPr>
                <w:rFonts w:ascii="Times New Roman" w:hAnsi="Times New Roman" w:cs="Times New Roman"/>
                <w:sz w:val="20"/>
                <w:szCs w:val="20"/>
              </w:rPr>
              <w:t>956,7</w:t>
            </w:r>
          </w:p>
        </w:tc>
        <w:tc>
          <w:tcPr>
            <w:tcW w:w="1032" w:type="dxa"/>
          </w:tcPr>
          <w:p w:rsidR="00714F5D" w:rsidRPr="001D0846" w:rsidRDefault="00714F5D" w:rsidP="008C5C6A">
            <w:pPr>
              <w:tabs>
                <w:tab w:val="left" w:pos="720"/>
              </w:tabs>
              <w:spacing w:line="276" w:lineRule="auto"/>
              <w:contextualSpacing/>
              <w:jc w:val="center"/>
              <w:rPr>
                <w:rFonts w:ascii="Times New Roman" w:hAnsi="Times New Roman" w:cs="Times New Roman"/>
                <w:sz w:val="20"/>
                <w:szCs w:val="20"/>
              </w:rPr>
            </w:pPr>
            <w:r w:rsidRPr="001D0846">
              <w:rPr>
                <w:rFonts w:ascii="Times New Roman" w:hAnsi="Times New Roman" w:cs="Times New Roman"/>
                <w:sz w:val="20"/>
                <w:szCs w:val="20"/>
              </w:rPr>
              <w:t>1218,3</w:t>
            </w:r>
          </w:p>
        </w:tc>
        <w:tc>
          <w:tcPr>
            <w:tcW w:w="1032" w:type="dxa"/>
          </w:tcPr>
          <w:p w:rsidR="00714F5D" w:rsidRPr="001D0846" w:rsidRDefault="00714F5D" w:rsidP="008C5C6A">
            <w:pPr>
              <w:tabs>
                <w:tab w:val="left" w:pos="720"/>
              </w:tabs>
              <w:spacing w:line="276" w:lineRule="auto"/>
              <w:contextualSpacing/>
              <w:jc w:val="center"/>
              <w:rPr>
                <w:rFonts w:ascii="Times New Roman" w:hAnsi="Times New Roman" w:cs="Times New Roman"/>
                <w:sz w:val="20"/>
                <w:szCs w:val="20"/>
              </w:rPr>
            </w:pPr>
            <w:r w:rsidRPr="001D0846">
              <w:rPr>
                <w:rFonts w:ascii="Times New Roman" w:hAnsi="Times New Roman" w:cs="Times New Roman"/>
                <w:sz w:val="20"/>
                <w:szCs w:val="20"/>
              </w:rPr>
              <w:t>261,6</w:t>
            </w:r>
          </w:p>
        </w:tc>
        <w:tc>
          <w:tcPr>
            <w:tcW w:w="1382" w:type="dxa"/>
          </w:tcPr>
          <w:p w:rsidR="00714F5D" w:rsidRPr="001D0846" w:rsidRDefault="00714F5D" w:rsidP="008C5C6A">
            <w:pPr>
              <w:tabs>
                <w:tab w:val="left" w:pos="720"/>
              </w:tabs>
              <w:spacing w:line="276" w:lineRule="auto"/>
              <w:contextualSpacing/>
              <w:jc w:val="center"/>
              <w:rPr>
                <w:rFonts w:ascii="Times New Roman" w:hAnsi="Times New Roman" w:cs="Times New Roman"/>
                <w:sz w:val="20"/>
                <w:szCs w:val="20"/>
              </w:rPr>
            </w:pPr>
            <w:r w:rsidRPr="001D0846">
              <w:rPr>
                <w:rFonts w:ascii="Times New Roman" w:hAnsi="Times New Roman" w:cs="Times New Roman"/>
                <w:sz w:val="20"/>
                <w:szCs w:val="20"/>
              </w:rPr>
              <w:t>27,3</w:t>
            </w:r>
          </w:p>
        </w:tc>
      </w:tr>
      <w:tr w:rsidR="00714F5D" w:rsidRPr="001D0846" w:rsidTr="008C5C6A">
        <w:tc>
          <w:tcPr>
            <w:tcW w:w="516" w:type="dxa"/>
          </w:tcPr>
          <w:p w:rsidR="00714F5D" w:rsidRPr="001D0846" w:rsidRDefault="00714F5D" w:rsidP="008C5C6A">
            <w:pPr>
              <w:tabs>
                <w:tab w:val="left" w:pos="720"/>
              </w:tabs>
              <w:spacing w:line="276" w:lineRule="auto"/>
              <w:contextualSpacing/>
              <w:jc w:val="center"/>
              <w:rPr>
                <w:rFonts w:ascii="Times New Roman" w:hAnsi="Times New Roman" w:cs="Times New Roman"/>
                <w:b/>
                <w:sz w:val="20"/>
                <w:szCs w:val="20"/>
              </w:rPr>
            </w:pPr>
            <w:r w:rsidRPr="001D0846">
              <w:rPr>
                <w:rFonts w:ascii="Times New Roman" w:hAnsi="Times New Roman" w:cs="Times New Roman"/>
                <w:b/>
                <w:sz w:val="20"/>
                <w:szCs w:val="20"/>
              </w:rPr>
              <w:t>3</w:t>
            </w:r>
            <w:r>
              <w:rPr>
                <w:rFonts w:ascii="Times New Roman" w:hAnsi="Times New Roman" w:cs="Times New Roman"/>
                <w:b/>
                <w:sz w:val="20"/>
                <w:szCs w:val="20"/>
              </w:rPr>
              <w:t>.</w:t>
            </w:r>
          </w:p>
        </w:tc>
        <w:tc>
          <w:tcPr>
            <w:tcW w:w="1507" w:type="dxa"/>
          </w:tcPr>
          <w:p w:rsidR="00714F5D" w:rsidRPr="001D0846" w:rsidRDefault="00714F5D" w:rsidP="008C5C6A">
            <w:pPr>
              <w:tabs>
                <w:tab w:val="left" w:pos="720"/>
              </w:tabs>
              <w:spacing w:line="276" w:lineRule="auto"/>
              <w:contextualSpacing/>
              <w:jc w:val="both"/>
              <w:rPr>
                <w:rFonts w:ascii="Times New Roman" w:hAnsi="Times New Roman" w:cs="Times New Roman"/>
                <w:sz w:val="20"/>
                <w:szCs w:val="20"/>
              </w:rPr>
            </w:pPr>
            <w:r w:rsidRPr="001D0846">
              <w:rPr>
                <w:rFonts w:ascii="Times New Roman" w:hAnsi="Times New Roman" w:cs="Times New Roman"/>
                <w:sz w:val="20"/>
                <w:szCs w:val="20"/>
              </w:rPr>
              <w:t>Construcții</w:t>
            </w:r>
          </w:p>
        </w:tc>
        <w:tc>
          <w:tcPr>
            <w:tcW w:w="913" w:type="dxa"/>
          </w:tcPr>
          <w:p w:rsidR="00714F5D" w:rsidRPr="001D0846" w:rsidRDefault="00714F5D" w:rsidP="008C5C6A">
            <w:pPr>
              <w:tabs>
                <w:tab w:val="left" w:pos="720"/>
              </w:tabs>
              <w:spacing w:line="276" w:lineRule="auto"/>
              <w:contextualSpacing/>
              <w:jc w:val="center"/>
              <w:rPr>
                <w:rFonts w:ascii="Times New Roman" w:hAnsi="Times New Roman" w:cs="Times New Roman"/>
                <w:sz w:val="20"/>
                <w:szCs w:val="20"/>
              </w:rPr>
            </w:pPr>
            <w:r w:rsidRPr="001D0846">
              <w:rPr>
                <w:rFonts w:ascii="Times New Roman" w:hAnsi="Times New Roman" w:cs="Times New Roman"/>
                <w:sz w:val="20"/>
                <w:szCs w:val="20"/>
              </w:rPr>
              <w:t>173</w:t>
            </w:r>
          </w:p>
        </w:tc>
        <w:tc>
          <w:tcPr>
            <w:tcW w:w="887" w:type="dxa"/>
          </w:tcPr>
          <w:p w:rsidR="00714F5D" w:rsidRPr="001D0846" w:rsidRDefault="00714F5D" w:rsidP="008C5C6A">
            <w:pPr>
              <w:tabs>
                <w:tab w:val="left" w:pos="720"/>
              </w:tabs>
              <w:spacing w:line="276" w:lineRule="auto"/>
              <w:contextualSpacing/>
              <w:jc w:val="center"/>
              <w:rPr>
                <w:rFonts w:ascii="Times New Roman" w:hAnsi="Times New Roman" w:cs="Times New Roman"/>
                <w:sz w:val="20"/>
                <w:szCs w:val="20"/>
              </w:rPr>
            </w:pPr>
            <w:r w:rsidRPr="001D0846">
              <w:rPr>
                <w:rFonts w:ascii="Times New Roman" w:hAnsi="Times New Roman" w:cs="Times New Roman"/>
                <w:sz w:val="20"/>
                <w:szCs w:val="20"/>
              </w:rPr>
              <w:t>211,5</w:t>
            </w:r>
          </w:p>
        </w:tc>
        <w:tc>
          <w:tcPr>
            <w:tcW w:w="724" w:type="dxa"/>
          </w:tcPr>
          <w:p w:rsidR="00714F5D" w:rsidRPr="001D0846" w:rsidRDefault="00714F5D" w:rsidP="008C5C6A">
            <w:pPr>
              <w:tabs>
                <w:tab w:val="left" w:pos="720"/>
              </w:tabs>
              <w:spacing w:line="276" w:lineRule="auto"/>
              <w:contextualSpacing/>
              <w:jc w:val="center"/>
              <w:rPr>
                <w:rFonts w:ascii="Times New Roman" w:hAnsi="Times New Roman" w:cs="Times New Roman"/>
                <w:sz w:val="20"/>
                <w:szCs w:val="20"/>
              </w:rPr>
            </w:pPr>
            <w:r w:rsidRPr="001D0846">
              <w:rPr>
                <w:rFonts w:ascii="Times New Roman" w:hAnsi="Times New Roman" w:cs="Times New Roman"/>
                <w:sz w:val="20"/>
                <w:szCs w:val="20"/>
              </w:rPr>
              <w:t>38,4</w:t>
            </w:r>
          </w:p>
        </w:tc>
        <w:tc>
          <w:tcPr>
            <w:tcW w:w="690" w:type="dxa"/>
          </w:tcPr>
          <w:p w:rsidR="00714F5D" w:rsidRPr="001D0846" w:rsidRDefault="00714F5D" w:rsidP="008C5C6A">
            <w:pPr>
              <w:tabs>
                <w:tab w:val="left" w:pos="720"/>
              </w:tabs>
              <w:spacing w:line="276" w:lineRule="auto"/>
              <w:contextualSpacing/>
              <w:jc w:val="center"/>
              <w:rPr>
                <w:rFonts w:ascii="Times New Roman" w:hAnsi="Times New Roman" w:cs="Times New Roman"/>
                <w:sz w:val="20"/>
                <w:szCs w:val="20"/>
              </w:rPr>
            </w:pPr>
            <w:r w:rsidRPr="001D0846">
              <w:rPr>
                <w:rFonts w:ascii="Times New Roman" w:hAnsi="Times New Roman" w:cs="Times New Roman"/>
                <w:sz w:val="20"/>
                <w:szCs w:val="20"/>
              </w:rPr>
              <w:t>22,2</w:t>
            </w:r>
          </w:p>
        </w:tc>
        <w:tc>
          <w:tcPr>
            <w:tcW w:w="1032" w:type="dxa"/>
          </w:tcPr>
          <w:p w:rsidR="00714F5D" w:rsidRPr="001D0846" w:rsidRDefault="00714F5D" w:rsidP="008C5C6A">
            <w:pPr>
              <w:tabs>
                <w:tab w:val="left" w:pos="720"/>
              </w:tabs>
              <w:spacing w:line="276" w:lineRule="auto"/>
              <w:contextualSpacing/>
              <w:jc w:val="center"/>
              <w:rPr>
                <w:rFonts w:ascii="Times New Roman" w:hAnsi="Times New Roman" w:cs="Times New Roman"/>
                <w:sz w:val="20"/>
                <w:szCs w:val="20"/>
              </w:rPr>
            </w:pPr>
            <w:r w:rsidRPr="001D0846">
              <w:rPr>
                <w:rFonts w:ascii="Times New Roman" w:hAnsi="Times New Roman" w:cs="Times New Roman"/>
                <w:sz w:val="20"/>
                <w:szCs w:val="20"/>
              </w:rPr>
              <w:t>163,0</w:t>
            </w:r>
          </w:p>
        </w:tc>
        <w:tc>
          <w:tcPr>
            <w:tcW w:w="1032" w:type="dxa"/>
          </w:tcPr>
          <w:p w:rsidR="00714F5D" w:rsidRPr="001D0846" w:rsidRDefault="00714F5D" w:rsidP="008C5C6A">
            <w:pPr>
              <w:tabs>
                <w:tab w:val="left" w:pos="720"/>
              </w:tabs>
              <w:spacing w:line="276" w:lineRule="auto"/>
              <w:contextualSpacing/>
              <w:jc w:val="center"/>
              <w:rPr>
                <w:rFonts w:ascii="Times New Roman" w:hAnsi="Times New Roman" w:cs="Times New Roman"/>
                <w:sz w:val="20"/>
                <w:szCs w:val="20"/>
              </w:rPr>
            </w:pPr>
            <w:r w:rsidRPr="001D0846">
              <w:rPr>
                <w:rFonts w:ascii="Times New Roman" w:hAnsi="Times New Roman" w:cs="Times New Roman"/>
                <w:sz w:val="20"/>
                <w:szCs w:val="20"/>
              </w:rPr>
              <w:t>227,0</w:t>
            </w:r>
          </w:p>
        </w:tc>
        <w:tc>
          <w:tcPr>
            <w:tcW w:w="1032" w:type="dxa"/>
          </w:tcPr>
          <w:p w:rsidR="00714F5D" w:rsidRPr="001D0846" w:rsidRDefault="00714F5D" w:rsidP="008C5C6A">
            <w:pPr>
              <w:tabs>
                <w:tab w:val="left" w:pos="720"/>
              </w:tabs>
              <w:spacing w:line="276" w:lineRule="auto"/>
              <w:contextualSpacing/>
              <w:jc w:val="center"/>
              <w:rPr>
                <w:rFonts w:ascii="Times New Roman" w:hAnsi="Times New Roman" w:cs="Times New Roman"/>
                <w:sz w:val="20"/>
                <w:szCs w:val="20"/>
              </w:rPr>
            </w:pPr>
            <w:r w:rsidRPr="001D0846">
              <w:rPr>
                <w:rFonts w:ascii="Times New Roman" w:hAnsi="Times New Roman" w:cs="Times New Roman"/>
                <w:sz w:val="20"/>
                <w:szCs w:val="20"/>
              </w:rPr>
              <w:t>64,0</w:t>
            </w:r>
          </w:p>
        </w:tc>
        <w:tc>
          <w:tcPr>
            <w:tcW w:w="1382" w:type="dxa"/>
          </w:tcPr>
          <w:p w:rsidR="00714F5D" w:rsidRPr="001D0846" w:rsidRDefault="00714F5D" w:rsidP="008C5C6A">
            <w:pPr>
              <w:tabs>
                <w:tab w:val="left" w:pos="720"/>
              </w:tabs>
              <w:spacing w:line="276" w:lineRule="auto"/>
              <w:contextualSpacing/>
              <w:jc w:val="center"/>
              <w:rPr>
                <w:rFonts w:ascii="Times New Roman" w:hAnsi="Times New Roman" w:cs="Times New Roman"/>
                <w:sz w:val="20"/>
                <w:szCs w:val="20"/>
              </w:rPr>
            </w:pPr>
            <w:r w:rsidRPr="001D0846">
              <w:rPr>
                <w:rFonts w:ascii="Times New Roman" w:hAnsi="Times New Roman" w:cs="Times New Roman"/>
                <w:sz w:val="20"/>
                <w:szCs w:val="20"/>
              </w:rPr>
              <w:t>39,3</w:t>
            </w:r>
          </w:p>
        </w:tc>
      </w:tr>
      <w:tr w:rsidR="00714F5D" w:rsidRPr="001D0846" w:rsidTr="008C5C6A">
        <w:tc>
          <w:tcPr>
            <w:tcW w:w="516" w:type="dxa"/>
          </w:tcPr>
          <w:p w:rsidR="00714F5D" w:rsidRPr="001D0846" w:rsidRDefault="00714F5D" w:rsidP="008C5C6A">
            <w:pPr>
              <w:tabs>
                <w:tab w:val="left" w:pos="720"/>
              </w:tabs>
              <w:spacing w:line="276" w:lineRule="auto"/>
              <w:contextualSpacing/>
              <w:jc w:val="center"/>
              <w:rPr>
                <w:rFonts w:ascii="Times New Roman" w:hAnsi="Times New Roman" w:cs="Times New Roman"/>
                <w:b/>
                <w:sz w:val="20"/>
                <w:szCs w:val="20"/>
              </w:rPr>
            </w:pPr>
            <w:r w:rsidRPr="001D0846">
              <w:rPr>
                <w:rFonts w:ascii="Times New Roman" w:hAnsi="Times New Roman" w:cs="Times New Roman"/>
                <w:b/>
                <w:sz w:val="20"/>
                <w:szCs w:val="20"/>
              </w:rPr>
              <w:t>4</w:t>
            </w:r>
            <w:r>
              <w:rPr>
                <w:rFonts w:ascii="Times New Roman" w:hAnsi="Times New Roman" w:cs="Times New Roman"/>
                <w:b/>
                <w:sz w:val="20"/>
                <w:szCs w:val="20"/>
              </w:rPr>
              <w:t>.</w:t>
            </w:r>
          </w:p>
        </w:tc>
        <w:tc>
          <w:tcPr>
            <w:tcW w:w="1507" w:type="dxa"/>
          </w:tcPr>
          <w:p w:rsidR="00714F5D" w:rsidRPr="001D0846" w:rsidRDefault="00714F5D" w:rsidP="008C5C6A">
            <w:pPr>
              <w:tabs>
                <w:tab w:val="left" w:pos="720"/>
              </w:tabs>
              <w:spacing w:line="276" w:lineRule="auto"/>
              <w:contextualSpacing/>
              <w:jc w:val="both"/>
              <w:rPr>
                <w:rFonts w:ascii="Times New Roman" w:hAnsi="Times New Roman" w:cs="Times New Roman"/>
                <w:sz w:val="20"/>
                <w:szCs w:val="20"/>
              </w:rPr>
            </w:pPr>
            <w:r w:rsidRPr="001D0846">
              <w:rPr>
                <w:rFonts w:ascii="Times New Roman" w:hAnsi="Times New Roman" w:cs="Times New Roman"/>
                <w:sz w:val="20"/>
                <w:szCs w:val="20"/>
              </w:rPr>
              <w:t xml:space="preserve">Întreținerea și reparația </w:t>
            </w:r>
          </w:p>
          <w:p w:rsidR="00714F5D" w:rsidRPr="001D0846" w:rsidRDefault="00714F5D" w:rsidP="008C5C6A">
            <w:pPr>
              <w:tabs>
                <w:tab w:val="left" w:pos="720"/>
              </w:tabs>
              <w:spacing w:line="276" w:lineRule="auto"/>
              <w:contextualSpacing/>
              <w:jc w:val="both"/>
              <w:rPr>
                <w:rFonts w:ascii="Times New Roman" w:hAnsi="Times New Roman" w:cs="Times New Roman"/>
                <w:sz w:val="20"/>
                <w:szCs w:val="20"/>
              </w:rPr>
            </w:pPr>
            <w:r w:rsidRPr="001D0846">
              <w:rPr>
                <w:rFonts w:ascii="Times New Roman" w:hAnsi="Times New Roman" w:cs="Times New Roman"/>
                <w:sz w:val="20"/>
                <w:szCs w:val="20"/>
              </w:rPr>
              <w:t>autovehiculelor</w:t>
            </w:r>
          </w:p>
        </w:tc>
        <w:tc>
          <w:tcPr>
            <w:tcW w:w="913" w:type="dxa"/>
          </w:tcPr>
          <w:p w:rsidR="00714F5D" w:rsidRPr="001D0846" w:rsidRDefault="00714F5D" w:rsidP="008C5C6A">
            <w:pPr>
              <w:tabs>
                <w:tab w:val="left" w:pos="720"/>
              </w:tabs>
              <w:spacing w:line="276" w:lineRule="auto"/>
              <w:contextualSpacing/>
              <w:jc w:val="center"/>
              <w:rPr>
                <w:rFonts w:ascii="Times New Roman" w:hAnsi="Times New Roman" w:cs="Times New Roman"/>
                <w:sz w:val="20"/>
                <w:szCs w:val="20"/>
              </w:rPr>
            </w:pPr>
            <w:r w:rsidRPr="001D0846">
              <w:rPr>
                <w:rFonts w:ascii="Times New Roman" w:hAnsi="Times New Roman" w:cs="Times New Roman"/>
                <w:sz w:val="20"/>
                <w:szCs w:val="20"/>
              </w:rPr>
              <w:t>78,7</w:t>
            </w:r>
          </w:p>
        </w:tc>
        <w:tc>
          <w:tcPr>
            <w:tcW w:w="887" w:type="dxa"/>
          </w:tcPr>
          <w:p w:rsidR="00714F5D" w:rsidRPr="001D0846" w:rsidRDefault="00714F5D" w:rsidP="008C5C6A">
            <w:pPr>
              <w:tabs>
                <w:tab w:val="left" w:pos="720"/>
              </w:tabs>
              <w:spacing w:line="276" w:lineRule="auto"/>
              <w:contextualSpacing/>
              <w:jc w:val="center"/>
              <w:rPr>
                <w:rFonts w:ascii="Times New Roman" w:hAnsi="Times New Roman" w:cs="Times New Roman"/>
                <w:sz w:val="20"/>
                <w:szCs w:val="20"/>
              </w:rPr>
            </w:pPr>
            <w:r w:rsidRPr="001D0846">
              <w:rPr>
                <w:rFonts w:ascii="Times New Roman" w:hAnsi="Times New Roman" w:cs="Times New Roman"/>
                <w:sz w:val="20"/>
                <w:szCs w:val="20"/>
              </w:rPr>
              <w:t>95,9</w:t>
            </w:r>
          </w:p>
        </w:tc>
        <w:tc>
          <w:tcPr>
            <w:tcW w:w="724" w:type="dxa"/>
          </w:tcPr>
          <w:p w:rsidR="00714F5D" w:rsidRPr="001D0846" w:rsidRDefault="00714F5D" w:rsidP="008C5C6A">
            <w:pPr>
              <w:tabs>
                <w:tab w:val="left" w:pos="720"/>
              </w:tabs>
              <w:spacing w:line="276" w:lineRule="auto"/>
              <w:contextualSpacing/>
              <w:jc w:val="center"/>
              <w:rPr>
                <w:rFonts w:ascii="Times New Roman" w:hAnsi="Times New Roman" w:cs="Times New Roman"/>
                <w:sz w:val="20"/>
                <w:szCs w:val="20"/>
              </w:rPr>
            </w:pPr>
            <w:r w:rsidRPr="001D0846">
              <w:rPr>
                <w:rFonts w:ascii="Times New Roman" w:hAnsi="Times New Roman" w:cs="Times New Roman"/>
                <w:sz w:val="20"/>
                <w:szCs w:val="20"/>
              </w:rPr>
              <w:t>17,2</w:t>
            </w:r>
          </w:p>
        </w:tc>
        <w:tc>
          <w:tcPr>
            <w:tcW w:w="690" w:type="dxa"/>
          </w:tcPr>
          <w:p w:rsidR="00714F5D" w:rsidRPr="001D0846" w:rsidRDefault="00714F5D" w:rsidP="008C5C6A">
            <w:pPr>
              <w:tabs>
                <w:tab w:val="left" w:pos="720"/>
              </w:tabs>
              <w:spacing w:line="276" w:lineRule="auto"/>
              <w:contextualSpacing/>
              <w:jc w:val="center"/>
              <w:rPr>
                <w:rFonts w:ascii="Times New Roman" w:hAnsi="Times New Roman" w:cs="Times New Roman"/>
                <w:sz w:val="20"/>
                <w:szCs w:val="20"/>
              </w:rPr>
            </w:pPr>
            <w:r w:rsidRPr="001D0846">
              <w:rPr>
                <w:rFonts w:ascii="Times New Roman" w:hAnsi="Times New Roman" w:cs="Times New Roman"/>
                <w:sz w:val="20"/>
                <w:szCs w:val="20"/>
              </w:rPr>
              <w:t>21,9</w:t>
            </w:r>
          </w:p>
        </w:tc>
        <w:tc>
          <w:tcPr>
            <w:tcW w:w="1032" w:type="dxa"/>
          </w:tcPr>
          <w:p w:rsidR="00714F5D" w:rsidRPr="001D0846" w:rsidRDefault="00714F5D" w:rsidP="008C5C6A">
            <w:pPr>
              <w:tabs>
                <w:tab w:val="left" w:pos="720"/>
              </w:tabs>
              <w:spacing w:line="276" w:lineRule="auto"/>
              <w:contextualSpacing/>
              <w:jc w:val="center"/>
              <w:rPr>
                <w:rFonts w:ascii="Times New Roman" w:hAnsi="Times New Roman" w:cs="Times New Roman"/>
                <w:sz w:val="20"/>
                <w:szCs w:val="20"/>
              </w:rPr>
            </w:pPr>
            <w:r w:rsidRPr="001D0846">
              <w:rPr>
                <w:rFonts w:ascii="Times New Roman" w:hAnsi="Times New Roman" w:cs="Times New Roman"/>
                <w:sz w:val="20"/>
                <w:szCs w:val="20"/>
              </w:rPr>
              <w:t>82,0</w:t>
            </w:r>
          </w:p>
        </w:tc>
        <w:tc>
          <w:tcPr>
            <w:tcW w:w="1032" w:type="dxa"/>
          </w:tcPr>
          <w:p w:rsidR="00714F5D" w:rsidRPr="001D0846" w:rsidRDefault="00714F5D" w:rsidP="008C5C6A">
            <w:pPr>
              <w:tabs>
                <w:tab w:val="left" w:pos="720"/>
              </w:tabs>
              <w:spacing w:line="276" w:lineRule="auto"/>
              <w:contextualSpacing/>
              <w:jc w:val="center"/>
              <w:rPr>
                <w:rFonts w:ascii="Times New Roman" w:hAnsi="Times New Roman" w:cs="Times New Roman"/>
                <w:sz w:val="20"/>
                <w:szCs w:val="20"/>
              </w:rPr>
            </w:pPr>
            <w:r w:rsidRPr="001D0846">
              <w:rPr>
                <w:rFonts w:ascii="Times New Roman" w:hAnsi="Times New Roman" w:cs="Times New Roman"/>
                <w:sz w:val="20"/>
                <w:szCs w:val="20"/>
              </w:rPr>
              <w:t>100,3</w:t>
            </w:r>
          </w:p>
        </w:tc>
        <w:tc>
          <w:tcPr>
            <w:tcW w:w="1032" w:type="dxa"/>
          </w:tcPr>
          <w:p w:rsidR="00714F5D" w:rsidRPr="001D0846" w:rsidRDefault="00714F5D" w:rsidP="008C5C6A">
            <w:pPr>
              <w:tabs>
                <w:tab w:val="left" w:pos="720"/>
              </w:tabs>
              <w:spacing w:line="276" w:lineRule="auto"/>
              <w:contextualSpacing/>
              <w:jc w:val="center"/>
              <w:rPr>
                <w:rFonts w:ascii="Times New Roman" w:hAnsi="Times New Roman" w:cs="Times New Roman"/>
                <w:sz w:val="20"/>
                <w:szCs w:val="20"/>
              </w:rPr>
            </w:pPr>
            <w:r w:rsidRPr="001D0846">
              <w:rPr>
                <w:rFonts w:ascii="Times New Roman" w:hAnsi="Times New Roman" w:cs="Times New Roman"/>
                <w:sz w:val="20"/>
                <w:szCs w:val="20"/>
              </w:rPr>
              <w:t>18,3</w:t>
            </w:r>
          </w:p>
        </w:tc>
        <w:tc>
          <w:tcPr>
            <w:tcW w:w="1382" w:type="dxa"/>
          </w:tcPr>
          <w:p w:rsidR="00714F5D" w:rsidRPr="001D0846" w:rsidRDefault="00714F5D" w:rsidP="008C5C6A">
            <w:pPr>
              <w:tabs>
                <w:tab w:val="left" w:pos="720"/>
              </w:tabs>
              <w:spacing w:line="276" w:lineRule="auto"/>
              <w:contextualSpacing/>
              <w:jc w:val="center"/>
              <w:rPr>
                <w:rFonts w:ascii="Times New Roman" w:hAnsi="Times New Roman" w:cs="Times New Roman"/>
                <w:sz w:val="20"/>
                <w:szCs w:val="20"/>
              </w:rPr>
            </w:pPr>
            <w:r w:rsidRPr="001D0846">
              <w:rPr>
                <w:rFonts w:ascii="Times New Roman" w:hAnsi="Times New Roman" w:cs="Times New Roman"/>
                <w:sz w:val="20"/>
                <w:szCs w:val="20"/>
              </w:rPr>
              <w:t>22,3</w:t>
            </w:r>
          </w:p>
        </w:tc>
      </w:tr>
      <w:tr w:rsidR="00714F5D" w:rsidRPr="001D0846" w:rsidTr="008C5C6A">
        <w:trPr>
          <w:trHeight w:val="58"/>
        </w:trPr>
        <w:tc>
          <w:tcPr>
            <w:tcW w:w="2023" w:type="dxa"/>
            <w:gridSpan w:val="2"/>
          </w:tcPr>
          <w:p w:rsidR="00714F5D" w:rsidRPr="001D0846" w:rsidRDefault="00714F5D" w:rsidP="008C5C6A">
            <w:pPr>
              <w:tabs>
                <w:tab w:val="left" w:pos="720"/>
              </w:tabs>
              <w:spacing w:line="276" w:lineRule="auto"/>
              <w:contextualSpacing/>
              <w:jc w:val="center"/>
              <w:rPr>
                <w:rFonts w:ascii="Times New Roman" w:hAnsi="Times New Roman" w:cs="Times New Roman"/>
                <w:b/>
                <w:sz w:val="20"/>
                <w:szCs w:val="20"/>
              </w:rPr>
            </w:pPr>
            <w:r w:rsidRPr="001D0846">
              <w:rPr>
                <w:rFonts w:ascii="Times New Roman" w:hAnsi="Times New Roman" w:cs="Times New Roman"/>
                <w:b/>
                <w:sz w:val="20"/>
                <w:szCs w:val="20"/>
              </w:rPr>
              <w:t>TOTAL</w:t>
            </w:r>
          </w:p>
        </w:tc>
        <w:tc>
          <w:tcPr>
            <w:tcW w:w="913" w:type="dxa"/>
          </w:tcPr>
          <w:p w:rsidR="00714F5D" w:rsidRPr="001D0846" w:rsidRDefault="00714F5D" w:rsidP="008C5C6A">
            <w:pPr>
              <w:tabs>
                <w:tab w:val="left" w:pos="720"/>
              </w:tabs>
              <w:spacing w:line="276" w:lineRule="auto"/>
              <w:contextualSpacing/>
              <w:jc w:val="center"/>
              <w:rPr>
                <w:rFonts w:ascii="Times New Roman" w:hAnsi="Times New Roman" w:cs="Times New Roman"/>
                <w:b/>
                <w:sz w:val="20"/>
                <w:szCs w:val="20"/>
              </w:rPr>
            </w:pPr>
            <w:r w:rsidRPr="001D0846">
              <w:rPr>
                <w:rFonts w:ascii="Times New Roman" w:hAnsi="Times New Roman" w:cs="Times New Roman"/>
                <w:b/>
                <w:sz w:val="20"/>
                <w:szCs w:val="20"/>
              </w:rPr>
              <w:t>1658,6</w:t>
            </w:r>
          </w:p>
        </w:tc>
        <w:tc>
          <w:tcPr>
            <w:tcW w:w="887" w:type="dxa"/>
          </w:tcPr>
          <w:p w:rsidR="00714F5D" w:rsidRPr="001D0846" w:rsidRDefault="00714F5D" w:rsidP="008C5C6A">
            <w:pPr>
              <w:tabs>
                <w:tab w:val="left" w:pos="720"/>
              </w:tabs>
              <w:spacing w:line="276" w:lineRule="auto"/>
              <w:contextualSpacing/>
              <w:jc w:val="center"/>
              <w:rPr>
                <w:rFonts w:ascii="Times New Roman" w:hAnsi="Times New Roman" w:cs="Times New Roman"/>
                <w:b/>
                <w:sz w:val="20"/>
                <w:szCs w:val="20"/>
              </w:rPr>
            </w:pPr>
            <w:r w:rsidRPr="001D0846">
              <w:rPr>
                <w:rFonts w:ascii="Times New Roman" w:hAnsi="Times New Roman" w:cs="Times New Roman"/>
                <w:b/>
                <w:sz w:val="20"/>
                <w:szCs w:val="20"/>
              </w:rPr>
              <w:t>1932,6</w:t>
            </w:r>
          </w:p>
        </w:tc>
        <w:tc>
          <w:tcPr>
            <w:tcW w:w="724" w:type="dxa"/>
          </w:tcPr>
          <w:p w:rsidR="00714F5D" w:rsidRPr="001D0846" w:rsidRDefault="00714F5D" w:rsidP="008C5C6A">
            <w:pPr>
              <w:tabs>
                <w:tab w:val="left" w:pos="720"/>
              </w:tabs>
              <w:spacing w:line="276" w:lineRule="auto"/>
              <w:contextualSpacing/>
              <w:jc w:val="center"/>
              <w:rPr>
                <w:rFonts w:ascii="Times New Roman" w:hAnsi="Times New Roman" w:cs="Times New Roman"/>
                <w:b/>
                <w:sz w:val="20"/>
                <w:szCs w:val="20"/>
              </w:rPr>
            </w:pPr>
            <w:r w:rsidRPr="001D0846">
              <w:rPr>
                <w:rFonts w:ascii="Times New Roman" w:hAnsi="Times New Roman" w:cs="Times New Roman"/>
                <w:b/>
                <w:sz w:val="20"/>
                <w:szCs w:val="20"/>
              </w:rPr>
              <w:t>274</w:t>
            </w:r>
          </w:p>
        </w:tc>
        <w:tc>
          <w:tcPr>
            <w:tcW w:w="690" w:type="dxa"/>
          </w:tcPr>
          <w:p w:rsidR="00714F5D" w:rsidRPr="001D0846" w:rsidRDefault="00714F5D" w:rsidP="008C5C6A">
            <w:pPr>
              <w:tabs>
                <w:tab w:val="left" w:pos="720"/>
              </w:tabs>
              <w:spacing w:line="276" w:lineRule="auto"/>
              <w:contextualSpacing/>
              <w:jc w:val="center"/>
              <w:rPr>
                <w:rFonts w:ascii="Times New Roman" w:hAnsi="Times New Roman" w:cs="Times New Roman"/>
                <w:b/>
                <w:sz w:val="20"/>
                <w:szCs w:val="20"/>
              </w:rPr>
            </w:pPr>
            <w:r w:rsidRPr="001D0846">
              <w:rPr>
                <w:rFonts w:ascii="Times New Roman" w:hAnsi="Times New Roman" w:cs="Times New Roman"/>
                <w:b/>
                <w:sz w:val="20"/>
                <w:szCs w:val="20"/>
              </w:rPr>
              <w:t>16,5</w:t>
            </w:r>
          </w:p>
        </w:tc>
        <w:tc>
          <w:tcPr>
            <w:tcW w:w="1032" w:type="dxa"/>
          </w:tcPr>
          <w:p w:rsidR="00714F5D" w:rsidRPr="001D0846" w:rsidRDefault="00714F5D" w:rsidP="008C5C6A">
            <w:pPr>
              <w:tabs>
                <w:tab w:val="left" w:pos="720"/>
              </w:tabs>
              <w:spacing w:line="276" w:lineRule="auto"/>
              <w:contextualSpacing/>
              <w:jc w:val="center"/>
              <w:rPr>
                <w:rFonts w:ascii="Times New Roman" w:hAnsi="Times New Roman" w:cs="Times New Roman"/>
                <w:b/>
                <w:sz w:val="20"/>
                <w:szCs w:val="20"/>
              </w:rPr>
            </w:pPr>
            <w:r w:rsidRPr="001D0846">
              <w:rPr>
                <w:rFonts w:ascii="Times New Roman" w:hAnsi="Times New Roman" w:cs="Times New Roman"/>
                <w:b/>
                <w:sz w:val="20"/>
                <w:szCs w:val="20"/>
              </w:rPr>
              <w:t>1589,7</w:t>
            </w:r>
          </w:p>
        </w:tc>
        <w:tc>
          <w:tcPr>
            <w:tcW w:w="1032" w:type="dxa"/>
          </w:tcPr>
          <w:p w:rsidR="00714F5D" w:rsidRPr="001D0846" w:rsidRDefault="00714F5D" w:rsidP="008C5C6A">
            <w:pPr>
              <w:tabs>
                <w:tab w:val="left" w:pos="720"/>
              </w:tabs>
              <w:spacing w:line="276" w:lineRule="auto"/>
              <w:contextualSpacing/>
              <w:jc w:val="center"/>
              <w:rPr>
                <w:rFonts w:ascii="Times New Roman" w:hAnsi="Times New Roman" w:cs="Times New Roman"/>
                <w:b/>
                <w:sz w:val="20"/>
                <w:szCs w:val="20"/>
              </w:rPr>
            </w:pPr>
            <w:r w:rsidRPr="001D0846">
              <w:rPr>
                <w:rFonts w:ascii="Times New Roman" w:hAnsi="Times New Roman" w:cs="Times New Roman"/>
                <w:b/>
                <w:sz w:val="20"/>
                <w:szCs w:val="20"/>
              </w:rPr>
              <w:t>2050,6</w:t>
            </w:r>
          </w:p>
        </w:tc>
        <w:tc>
          <w:tcPr>
            <w:tcW w:w="1032" w:type="dxa"/>
          </w:tcPr>
          <w:p w:rsidR="00714F5D" w:rsidRPr="001D0846" w:rsidRDefault="00714F5D" w:rsidP="008C5C6A">
            <w:pPr>
              <w:tabs>
                <w:tab w:val="left" w:pos="720"/>
              </w:tabs>
              <w:spacing w:line="276" w:lineRule="auto"/>
              <w:contextualSpacing/>
              <w:jc w:val="center"/>
              <w:rPr>
                <w:rFonts w:ascii="Times New Roman" w:hAnsi="Times New Roman" w:cs="Times New Roman"/>
                <w:b/>
                <w:sz w:val="20"/>
                <w:szCs w:val="20"/>
              </w:rPr>
            </w:pPr>
            <w:r w:rsidRPr="001D0846">
              <w:rPr>
                <w:rFonts w:ascii="Times New Roman" w:hAnsi="Times New Roman" w:cs="Times New Roman"/>
                <w:b/>
                <w:sz w:val="20"/>
                <w:szCs w:val="20"/>
              </w:rPr>
              <w:t>460,9</w:t>
            </w:r>
          </w:p>
        </w:tc>
        <w:tc>
          <w:tcPr>
            <w:tcW w:w="1382" w:type="dxa"/>
          </w:tcPr>
          <w:p w:rsidR="00714F5D" w:rsidRPr="001D0846" w:rsidRDefault="00714F5D" w:rsidP="008C5C6A">
            <w:pPr>
              <w:tabs>
                <w:tab w:val="left" w:pos="720"/>
              </w:tabs>
              <w:spacing w:line="276" w:lineRule="auto"/>
              <w:contextualSpacing/>
              <w:jc w:val="center"/>
              <w:rPr>
                <w:rFonts w:ascii="Times New Roman" w:hAnsi="Times New Roman" w:cs="Times New Roman"/>
                <w:b/>
                <w:sz w:val="20"/>
                <w:szCs w:val="20"/>
              </w:rPr>
            </w:pPr>
            <w:r w:rsidRPr="001D0846">
              <w:rPr>
                <w:rFonts w:ascii="Times New Roman" w:hAnsi="Times New Roman" w:cs="Times New Roman"/>
                <w:b/>
                <w:sz w:val="20"/>
                <w:szCs w:val="20"/>
              </w:rPr>
              <w:t>29</w:t>
            </w:r>
          </w:p>
        </w:tc>
      </w:tr>
    </w:tbl>
    <w:p w:rsidR="00714F5D" w:rsidRPr="001D0846" w:rsidRDefault="00714F5D" w:rsidP="00714F5D">
      <w:pPr>
        <w:spacing w:after="0" w:line="276" w:lineRule="auto"/>
        <w:ind w:right="-334"/>
        <w:rPr>
          <w:rFonts w:ascii="Times New Roman" w:hAnsi="Times New Roman" w:cs="Times New Roman"/>
          <w:i/>
        </w:rPr>
      </w:pPr>
      <w:r w:rsidRPr="001D0846">
        <w:rPr>
          <w:rFonts w:ascii="Times New Roman" w:hAnsi="Times New Roman" w:cs="Times New Roman"/>
          <w:b/>
          <w:i/>
        </w:rPr>
        <w:t>Sursă:</w:t>
      </w:r>
      <w:r w:rsidRPr="001D0846">
        <w:rPr>
          <w:rFonts w:ascii="Times New Roman" w:hAnsi="Times New Roman" w:cs="Times New Roman"/>
          <w:i/>
        </w:rPr>
        <w:t xml:space="preserve"> Informații</w:t>
      </w:r>
      <w:r>
        <w:rPr>
          <w:rFonts w:ascii="Times New Roman" w:hAnsi="Times New Roman" w:cs="Times New Roman"/>
          <w:i/>
        </w:rPr>
        <w:t>le</w:t>
      </w:r>
      <w:r w:rsidRPr="001D0846">
        <w:rPr>
          <w:rFonts w:ascii="Times New Roman" w:hAnsi="Times New Roman" w:cs="Times New Roman"/>
          <w:i/>
        </w:rPr>
        <w:t xml:space="preserve"> prezentate de către SFS.</w:t>
      </w:r>
    </w:p>
    <w:p w:rsidR="00714F5D" w:rsidRPr="001D0846" w:rsidRDefault="00714F5D" w:rsidP="00714F5D">
      <w:pPr>
        <w:pStyle w:val="ListParagraph"/>
        <w:tabs>
          <w:tab w:val="left" w:pos="540"/>
        </w:tabs>
        <w:spacing w:after="0" w:line="276" w:lineRule="auto"/>
        <w:ind w:left="0"/>
        <w:jc w:val="both"/>
        <w:rPr>
          <w:rFonts w:ascii="Times New Roman" w:hAnsi="Times New Roman"/>
          <w:i/>
          <w:color w:val="000000"/>
          <w:sz w:val="28"/>
          <w:szCs w:val="28"/>
        </w:rPr>
      </w:pPr>
    </w:p>
    <w:p w:rsidR="00714F5D" w:rsidRPr="001D0846" w:rsidRDefault="00714F5D" w:rsidP="00714F5D">
      <w:pPr>
        <w:spacing w:after="0" w:line="276" w:lineRule="auto"/>
        <w:ind w:firstLine="567"/>
        <w:jc w:val="right"/>
        <w:rPr>
          <w:rFonts w:ascii="Times New Roman" w:hAnsi="Times New Roman"/>
          <w:b/>
          <w:i/>
          <w:color w:val="000000"/>
          <w:sz w:val="28"/>
          <w:szCs w:val="28"/>
        </w:rPr>
      </w:pPr>
    </w:p>
    <w:p w:rsidR="00714F5D" w:rsidRPr="00C65598" w:rsidRDefault="00714F5D" w:rsidP="00714F5D">
      <w:pPr>
        <w:spacing w:after="0" w:line="276" w:lineRule="auto"/>
        <w:ind w:firstLine="567"/>
        <w:jc w:val="right"/>
        <w:rPr>
          <w:rFonts w:ascii="Times New Roman" w:hAnsi="Times New Roman"/>
          <w:b/>
          <w:i/>
          <w:color w:val="000000"/>
          <w:sz w:val="28"/>
          <w:szCs w:val="28"/>
        </w:rPr>
      </w:pPr>
      <w:r w:rsidRPr="00C65598">
        <w:rPr>
          <w:rFonts w:ascii="Times New Roman" w:hAnsi="Times New Roman"/>
          <w:b/>
          <w:i/>
          <w:color w:val="000000"/>
          <w:sz w:val="28"/>
          <w:szCs w:val="28"/>
        </w:rPr>
        <w:t>Tabelul nr.22</w:t>
      </w:r>
    </w:p>
    <w:p w:rsidR="00714F5D" w:rsidRPr="00C65598" w:rsidRDefault="00714F5D" w:rsidP="00714F5D">
      <w:pPr>
        <w:spacing w:after="0" w:line="276" w:lineRule="auto"/>
        <w:ind w:firstLine="567"/>
        <w:jc w:val="center"/>
        <w:rPr>
          <w:rFonts w:ascii="Times New Roman" w:hAnsi="Times New Roman"/>
          <w:b/>
          <w:i/>
          <w:color w:val="000000"/>
          <w:sz w:val="28"/>
          <w:szCs w:val="28"/>
        </w:rPr>
      </w:pPr>
      <w:r w:rsidRPr="00C65598">
        <w:rPr>
          <w:rFonts w:ascii="Times New Roman" w:hAnsi="Times New Roman"/>
          <w:i/>
          <w:color w:val="000000"/>
          <w:sz w:val="28"/>
          <w:szCs w:val="28"/>
        </w:rPr>
        <w:t xml:space="preserve">Informația privind numărul deciziilor de regularizare adoptate, obligațiile vamale calculate și încasate de </w:t>
      </w:r>
      <w:r>
        <w:rPr>
          <w:rFonts w:ascii="Times New Roman" w:hAnsi="Times New Roman"/>
          <w:i/>
          <w:color w:val="000000"/>
          <w:sz w:val="28"/>
          <w:szCs w:val="28"/>
        </w:rPr>
        <w:t xml:space="preserve">către </w:t>
      </w:r>
      <w:r w:rsidRPr="00C65598">
        <w:rPr>
          <w:rFonts w:ascii="Times New Roman" w:hAnsi="Times New Roman"/>
          <w:i/>
          <w:color w:val="000000"/>
          <w:sz w:val="28"/>
          <w:szCs w:val="28"/>
        </w:rPr>
        <w:t xml:space="preserve">SV în perioada </w:t>
      </w:r>
      <w:r>
        <w:rPr>
          <w:rFonts w:ascii="Times New Roman" w:hAnsi="Times New Roman"/>
          <w:i/>
          <w:color w:val="000000"/>
          <w:sz w:val="28"/>
          <w:szCs w:val="28"/>
        </w:rPr>
        <w:t xml:space="preserve">anilor </w:t>
      </w:r>
      <w:r w:rsidRPr="00C65598">
        <w:rPr>
          <w:rFonts w:ascii="Times New Roman" w:hAnsi="Times New Roman"/>
          <w:i/>
          <w:color w:val="000000"/>
          <w:sz w:val="28"/>
          <w:szCs w:val="28"/>
        </w:rPr>
        <w:t>2015-2017</w:t>
      </w:r>
    </w:p>
    <w:p w:rsidR="00714F5D" w:rsidRPr="00C65598" w:rsidRDefault="00714F5D" w:rsidP="00714F5D">
      <w:pPr>
        <w:spacing w:after="0" w:line="276" w:lineRule="auto"/>
        <w:ind w:left="90" w:firstLine="567"/>
        <w:jc w:val="right"/>
        <w:rPr>
          <w:rFonts w:ascii="Times New Roman" w:hAnsi="Times New Roman"/>
          <w:i/>
          <w:color w:val="000000"/>
          <w:sz w:val="28"/>
          <w:szCs w:val="28"/>
        </w:rPr>
      </w:pPr>
      <w:r w:rsidRPr="00C65598">
        <w:rPr>
          <w:rFonts w:ascii="Times New Roman" w:hAnsi="Times New Roman"/>
          <w:i/>
          <w:color w:val="000000"/>
          <w:sz w:val="28"/>
          <w:szCs w:val="28"/>
        </w:rPr>
        <w:t>(mil.lei)</w:t>
      </w:r>
    </w:p>
    <w:tbl>
      <w:tblPr>
        <w:tblStyle w:val="TableGrid"/>
        <w:tblW w:w="9450" w:type="dxa"/>
        <w:tblInd w:w="-5" w:type="dxa"/>
        <w:tblLook w:val="04A0"/>
      </w:tblPr>
      <w:tblGrid>
        <w:gridCol w:w="763"/>
        <w:gridCol w:w="2217"/>
        <w:gridCol w:w="1771"/>
        <w:gridCol w:w="1277"/>
        <w:gridCol w:w="1530"/>
        <w:gridCol w:w="1892"/>
      </w:tblGrid>
      <w:tr w:rsidR="00714F5D" w:rsidRPr="001D0846" w:rsidTr="008C5C6A">
        <w:trPr>
          <w:trHeight w:val="435"/>
        </w:trPr>
        <w:tc>
          <w:tcPr>
            <w:tcW w:w="763" w:type="dxa"/>
          </w:tcPr>
          <w:p w:rsidR="00714F5D" w:rsidRPr="001D0846" w:rsidRDefault="00714F5D" w:rsidP="008C5C6A">
            <w:pPr>
              <w:spacing w:line="276" w:lineRule="auto"/>
              <w:jc w:val="center"/>
              <w:rPr>
                <w:rFonts w:ascii="Times New Roman" w:hAnsi="Times New Roman"/>
                <w:b/>
                <w:color w:val="000000"/>
                <w:sz w:val="24"/>
                <w:szCs w:val="24"/>
              </w:rPr>
            </w:pPr>
            <w:r w:rsidRPr="001D0846">
              <w:rPr>
                <w:rFonts w:ascii="Times New Roman" w:hAnsi="Times New Roman"/>
                <w:b/>
                <w:color w:val="000000"/>
                <w:sz w:val="24"/>
                <w:szCs w:val="24"/>
              </w:rPr>
              <w:t>Anul</w:t>
            </w:r>
          </w:p>
        </w:tc>
        <w:tc>
          <w:tcPr>
            <w:tcW w:w="2217" w:type="dxa"/>
          </w:tcPr>
          <w:p w:rsidR="00714F5D" w:rsidRPr="001D0846" w:rsidRDefault="00714F5D" w:rsidP="008C5C6A">
            <w:pPr>
              <w:spacing w:line="276" w:lineRule="auto"/>
              <w:jc w:val="center"/>
              <w:rPr>
                <w:rFonts w:ascii="Times New Roman" w:hAnsi="Times New Roman"/>
                <w:b/>
                <w:color w:val="000000"/>
                <w:sz w:val="24"/>
                <w:szCs w:val="24"/>
              </w:rPr>
            </w:pPr>
            <w:r w:rsidRPr="001D0846">
              <w:rPr>
                <w:rFonts w:ascii="Times New Roman" w:hAnsi="Times New Roman"/>
                <w:b/>
                <w:color w:val="000000"/>
                <w:sz w:val="24"/>
                <w:szCs w:val="24"/>
              </w:rPr>
              <w:t>Numărul deciziilor de regularizare</w:t>
            </w:r>
          </w:p>
        </w:tc>
        <w:tc>
          <w:tcPr>
            <w:tcW w:w="1771" w:type="dxa"/>
          </w:tcPr>
          <w:p w:rsidR="00714F5D" w:rsidRPr="001D0846" w:rsidRDefault="00714F5D" w:rsidP="008C5C6A">
            <w:pPr>
              <w:spacing w:line="276" w:lineRule="auto"/>
              <w:jc w:val="center"/>
              <w:rPr>
                <w:rFonts w:ascii="Times New Roman" w:hAnsi="Times New Roman"/>
                <w:b/>
                <w:color w:val="000000"/>
                <w:sz w:val="24"/>
                <w:szCs w:val="24"/>
              </w:rPr>
            </w:pPr>
            <w:r w:rsidRPr="001D0846">
              <w:rPr>
                <w:rFonts w:ascii="Times New Roman" w:hAnsi="Times New Roman"/>
                <w:b/>
                <w:color w:val="000000"/>
                <w:sz w:val="24"/>
                <w:szCs w:val="24"/>
              </w:rPr>
              <w:t>Suma calculată spre încasare</w:t>
            </w:r>
          </w:p>
        </w:tc>
        <w:tc>
          <w:tcPr>
            <w:tcW w:w="1277" w:type="dxa"/>
          </w:tcPr>
          <w:p w:rsidR="00714F5D" w:rsidRPr="001D0846" w:rsidRDefault="00714F5D" w:rsidP="008C5C6A">
            <w:pPr>
              <w:spacing w:line="276" w:lineRule="auto"/>
              <w:jc w:val="center"/>
              <w:rPr>
                <w:rFonts w:ascii="Times New Roman" w:hAnsi="Times New Roman"/>
                <w:b/>
                <w:color w:val="000000"/>
                <w:sz w:val="24"/>
                <w:szCs w:val="24"/>
              </w:rPr>
            </w:pPr>
            <w:r w:rsidRPr="001D0846">
              <w:rPr>
                <w:rFonts w:ascii="Times New Roman" w:hAnsi="Times New Roman"/>
                <w:b/>
                <w:color w:val="000000"/>
                <w:sz w:val="24"/>
                <w:szCs w:val="24"/>
              </w:rPr>
              <w:t>Suma încasată</w:t>
            </w:r>
          </w:p>
          <w:p w:rsidR="00714F5D" w:rsidRPr="001D0846" w:rsidRDefault="00714F5D" w:rsidP="008C5C6A">
            <w:pPr>
              <w:spacing w:line="276" w:lineRule="auto"/>
              <w:jc w:val="center"/>
              <w:rPr>
                <w:rFonts w:ascii="Times New Roman" w:hAnsi="Times New Roman"/>
                <w:b/>
                <w:color w:val="000000"/>
                <w:sz w:val="24"/>
                <w:szCs w:val="24"/>
              </w:rPr>
            </w:pPr>
          </w:p>
        </w:tc>
        <w:tc>
          <w:tcPr>
            <w:tcW w:w="1530" w:type="dxa"/>
          </w:tcPr>
          <w:p w:rsidR="00714F5D" w:rsidRPr="001D0846" w:rsidRDefault="00714F5D" w:rsidP="008C5C6A">
            <w:pPr>
              <w:spacing w:line="276" w:lineRule="auto"/>
              <w:jc w:val="center"/>
              <w:rPr>
                <w:rFonts w:ascii="Times New Roman" w:hAnsi="Times New Roman"/>
                <w:b/>
                <w:color w:val="000000"/>
                <w:sz w:val="24"/>
                <w:szCs w:val="24"/>
              </w:rPr>
            </w:pPr>
            <w:r w:rsidRPr="001D0846">
              <w:rPr>
                <w:rFonts w:ascii="Times New Roman" w:hAnsi="Times New Roman"/>
                <w:b/>
                <w:color w:val="000000"/>
                <w:sz w:val="24"/>
                <w:szCs w:val="24"/>
              </w:rPr>
              <w:t>% de încasări</w:t>
            </w:r>
          </w:p>
        </w:tc>
        <w:tc>
          <w:tcPr>
            <w:tcW w:w="1892" w:type="dxa"/>
          </w:tcPr>
          <w:p w:rsidR="00714F5D" w:rsidRPr="001D0846" w:rsidRDefault="00714F5D" w:rsidP="008C5C6A">
            <w:pPr>
              <w:spacing w:line="276" w:lineRule="auto"/>
              <w:jc w:val="center"/>
              <w:rPr>
                <w:rFonts w:ascii="Times New Roman" w:hAnsi="Times New Roman"/>
                <w:b/>
                <w:color w:val="000000"/>
                <w:sz w:val="24"/>
                <w:szCs w:val="24"/>
              </w:rPr>
            </w:pPr>
            <w:r w:rsidRPr="001D0846">
              <w:rPr>
                <w:rFonts w:ascii="Times New Roman" w:hAnsi="Times New Roman"/>
                <w:b/>
                <w:color w:val="000000"/>
                <w:sz w:val="24"/>
                <w:szCs w:val="24"/>
              </w:rPr>
              <w:t>Datorii formate</w:t>
            </w:r>
          </w:p>
        </w:tc>
      </w:tr>
      <w:tr w:rsidR="00714F5D" w:rsidRPr="001D0846" w:rsidTr="008C5C6A">
        <w:tc>
          <w:tcPr>
            <w:tcW w:w="763" w:type="dxa"/>
          </w:tcPr>
          <w:p w:rsidR="00714F5D" w:rsidRPr="001D0846" w:rsidRDefault="00714F5D" w:rsidP="008C5C6A">
            <w:pPr>
              <w:spacing w:line="276" w:lineRule="auto"/>
              <w:jc w:val="center"/>
              <w:rPr>
                <w:rFonts w:ascii="Times New Roman" w:hAnsi="Times New Roman"/>
                <w:color w:val="000000"/>
                <w:sz w:val="24"/>
                <w:szCs w:val="24"/>
              </w:rPr>
            </w:pPr>
            <w:r w:rsidRPr="001D0846">
              <w:rPr>
                <w:rFonts w:ascii="Times New Roman" w:hAnsi="Times New Roman"/>
                <w:color w:val="000000"/>
                <w:sz w:val="24"/>
                <w:szCs w:val="24"/>
              </w:rPr>
              <w:t>2015</w:t>
            </w:r>
          </w:p>
        </w:tc>
        <w:tc>
          <w:tcPr>
            <w:tcW w:w="2217" w:type="dxa"/>
          </w:tcPr>
          <w:p w:rsidR="00714F5D" w:rsidRPr="001D0846" w:rsidRDefault="00714F5D" w:rsidP="008C5C6A">
            <w:pPr>
              <w:spacing w:line="276" w:lineRule="auto"/>
              <w:jc w:val="center"/>
              <w:rPr>
                <w:rFonts w:ascii="Times New Roman" w:hAnsi="Times New Roman"/>
                <w:color w:val="000000"/>
                <w:sz w:val="24"/>
                <w:szCs w:val="24"/>
              </w:rPr>
            </w:pPr>
            <w:r w:rsidRPr="001D0846">
              <w:rPr>
                <w:rFonts w:ascii="Times New Roman" w:hAnsi="Times New Roman"/>
                <w:color w:val="000000"/>
                <w:sz w:val="24"/>
                <w:szCs w:val="24"/>
              </w:rPr>
              <w:t>2191</w:t>
            </w:r>
          </w:p>
        </w:tc>
        <w:tc>
          <w:tcPr>
            <w:tcW w:w="1771" w:type="dxa"/>
          </w:tcPr>
          <w:p w:rsidR="00714F5D" w:rsidRPr="001D0846" w:rsidRDefault="00714F5D" w:rsidP="008C5C6A">
            <w:pPr>
              <w:spacing w:line="276" w:lineRule="auto"/>
              <w:jc w:val="center"/>
              <w:rPr>
                <w:rFonts w:ascii="Times New Roman" w:hAnsi="Times New Roman"/>
                <w:color w:val="000000"/>
                <w:sz w:val="24"/>
                <w:szCs w:val="24"/>
              </w:rPr>
            </w:pPr>
            <w:r w:rsidRPr="001D0846">
              <w:rPr>
                <w:rFonts w:ascii="Times New Roman" w:hAnsi="Times New Roman"/>
                <w:color w:val="000000"/>
                <w:sz w:val="24"/>
                <w:szCs w:val="24"/>
              </w:rPr>
              <w:t>41,5</w:t>
            </w:r>
          </w:p>
        </w:tc>
        <w:tc>
          <w:tcPr>
            <w:tcW w:w="1277" w:type="dxa"/>
          </w:tcPr>
          <w:p w:rsidR="00714F5D" w:rsidRPr="001D0846" w:rsidRDefault="00714F5D" w:rsidP="008C5C6A">
            <w:pPr>
              <w:spacing w:line="276" w:lineRule="auto"/>
              <w:jc w:val="center"/>
              <w:rPr>
                <w:rFonts w:ascii="Times New Roman" w:hAnsi="Times New Roman"/>
                <w:color w:val="000000"/>
                <w:sz w:val="24"/>
                <w:szCs w:val="24"/>
              </w:rPr>
            </w:pPr>
            <w:r w:rsidRPr="001D0846">
              <w:rPr>
                <w:rFonts w:ascii="Times New Roman" w:hAnsi="Times New Roman"/>
                <w:color w:val="000000"/>
                <w:sz w:val="24"/>
                <w:szCs w:val="24"/>
              </w:rPr>
              <w:t>18,9</w:t>
            </w:r>
          </w:p>
        </w:tc>
        <w:tc>
          <w:tcPr>
            <w:tcW w:w="1530" w:type="dxa"/>
          </w:tcPr>
          <w:p w:rsidR="00714F5D" w:rsidRPr="001D0846" w:rsidRDefault="00714F5D" w:rsidP="008C5C6A">
            <w:pPr>
              <w:spacing w:line="276" w:lineRule="auto"/>
              <w:jc w:val="center"/>
              <w:rPr>
                <w:rFonts w:ascii="Times New Roman" w:hAnsi="Times New Roman"/>
                <w:color w:val="000000"/>
                <w:sz w:val="24"/>
                <w:szCs w:val="24"/>
              </w:rPr>
            </w:pPr>
            <w:r w:rsidRPr="001D0846">
              <w:rPr>
                <w:rFonts w:ascii="Times New Roman" w:hAnsi="Times New Roman"/>
                <w:color w:val="000000"/>
                <w:sz w:val="24"/>
                <w:szCs w:val="24"/>
              </w:rPr>
              <w:t>45,5</w:t>
            </w:r>
          </w:p>
        </w:tc>
        <w:tc>
          <w:tcPr>
            <w:tcW w:w="1892" w:type="dxa"/>
          </w:tcPr>
          <w:p w:rsidR="00714F5D" w:rsidRPr="001D0846" w:rsidRDefault="00714F5D" w:rsidP="008C5C6A">
            <w:pPr>
              <w:spacing w:line="276" w:lineRule="auto"/>
              <w:jc w:val="center"/>
              <w:rPr>
                <w:rFonts w:ascii="Times New Roman" w:hAnsi="Times New Roman"/>
                <w:color w:val="000000"/>
                <w:sz w:val="24"/>
                <w:szCs w:val="24"/>
              </w:rPr>
            </w:pPr>
            <w:r w:rsidRPr="001D0846">
              <w:rPr>
                <w:rFonts w:ascii="Times New Roman" w:hAnsi="Times New Roman"/>
                <w:color w:val="000000"/>
                <w:sz w:val="24"/>
                <w:szCs w:val="24"/>
              </w:rPr>
              <w:t>22,6</w:t>
            </w:r>
          </w:p>
        </w:tc>
      </w:tr>
      <w:tr w:rsidR="00714F5D" w:rsidRPr="001D0846" w:rsidTr="008C5C6A">
        <w:tc>
          <w:tcPr>
            <w:tcW w:w="763" w:type="dxa"/>
          </w:tcPr>
          <w:p w:rsidR="00714F5D" w:rsidRPr="001D0846" w:rsidRDefault="00714F5D" w:rsidP="008C5C6A">
            <w:pPr>
              <w:spacing w:line="276" w:lineRule="auto"/>
              <w:jc w:val="center"/>
              <w:rPr>
                <w:rFonts w:ascii="Times New Roman" w:hAnsi="Times New Roman"/>
                <w:color w:val="000000"/>
                <w:sz w:val="24"/>
                <w:szCs w:val="24"/>
              </w:rPr>
            </w:pPr>
            <w:r w:rsidRPr="001D0846">
              <w:rPr>
                <w:rFonts w:ascii="Times New Roman" w:hAnsi="Times New Roman"/>
                <w:color w:val="000000"/>
                <w:sz w:val="24"/>
                <w:szCs w:val="24"/>
              </w:rPr>
              <w:t>2016</w:t>
            </w:r>
          </w:p>
        </w:tc>
        <w:tc>
          <w:tcPr>
            <w:tcW w:w="2217" w:type="dxa"/>
          </w:tcPr>
          <w:p w:rsidR="00714F5D" w:rsidRPr="001D0846" w:rsidRDefault="00714F5D" w:rsidP="008C5C6A">
            <w:pPr>
              <w:spacing w:line="276" w:lineRule="auto"/>
              <w:jc w:val="center"/>
              <w:rPr>
                <w:rFonts w:ascii="Times New Roman" w:hAnsi="Times New Roman"/>
                <w:color w:val="000000"/>
                <w:sz w:val="24"/>
                <w:szCs w:val="24"/>
              </w:rPr>
            </w:pPr>
            <w:r w:rsidRPr="001D0846">
              <w:rPr>
                <w:rFonts w:ascii="Times New Roman" w:hAnsi="Times New Roman"/>
                <w:color w:val="000000"/>
                <w:sz w:val="24"/>
                <w:szCs w:val="24"/>
              </w:rPr>
              <w:t>2299</w:t>
            </w:r>
          </w:p>
        </w:tc>
        <w:tc>
          <w:tcPr>
            <w:tcW w:w="1771" w:type="dxa"/>
          </w:tcPr>
          <w:p w:rsidR="00714F5D" w:rsidRPr="001D0846" w:rsidRDefault="00714F5D" w:rsidP="008C5C6A">
            <w:pPr>
              <w:spacing w:line="276" w:lineRule="auto"/>
              <w:jc w:val="center"/>
              <w:rPr>
                <w:rFonts w:ascii="Times New Roman" w:hAnsi="Times New Roman"/>
                <w:color w:val="000000"/>
                <w:sz w:val="24"/>
                <w:szCs w:val="24"/>
              </w:rPr>
            </w:pPr>
            <w:r w:rsidRPr="001D0846">
              <w:rPr>
                <w:rFonts w:ascii="Times New Roman" w:hAnsi="Times New Roman"/>
                <w:color w:val="000000"/>
                <w:sz w:val="24"/>
                <w:szCs w:val="24"/>
              </w:rPr>
              <w:t>59,3</w:t>
            </w:r>
          </w:p>
        </w:tc>
        <w:tc>
          <w:tcPr>
            <w:tcW w:w="1277" w:type="dxa"/>
          </w:tcPr>
          <w:p w:rsidR="00714F5D" w:rsidRPr="001D0846" w:rsidRDefault="00714F5D" w:rsidP="008C5C6A">
            <w:pPr>
              <w:spacing w:line="276" w:lineRule="auto"/>
              <w:jc w:val="center"/>
              <w:rPr>
                <w:rFonts w:ascii="Times New Roman" w:hAnsi="Times New Roman"/>
                <w:color w:val="000000"/>
                <w:sz w:val="24"/>
                <w:szCs w:val="24"/>
              </w:rPr>
            </w:pPr>
            <w:r w:rsidRPr="001D0846">
              <w:rPr>
                <w:rFonts w:ascii="Times New Roman" w:hAnsi="Times New Roman"/>
                <w:color w:val="000000"/>
                <w:sz w:val="24"/>
                <w:szCs w:val="24"/>
              </w:rPr>
              <w:t>23,9</w:t>
            </w:r>
          </w:p>
        </w:tc>
        <w:tc>
          <w:tcPr>
            <w:tcW w:w="1530" w:type="dxa"/>
          </w:tcPr>
          <w:p w:rsidR="00714F5D" w:rsidRPr="001D0846" w:rsidRDefault="00714F5D" w:rsidP="008C5C6A">
            <w:pPr>
              <w:spacing w:line="276" w:lineRule="auto"/>
              <w:jc w:val="center"/>
              <w:rPr>
                <w:rFonts w:ascii="Times New Roman" w:hAnsi="Times New Roman"/>
                <w:color w:val="000000"/>
                <w:sz w:val="24"/>
                <w:szCs w:val="24"/>
              </w:rPr>
            </w:pPr>
            <w:r w:rsidRPr="001D0846">
              <w:rPr>
                <w:rFonts w:ascii="Times New Roman" w:hAnsi="Times New Roman"/>
                <w:color w:val="000000"/>
                <w:sz w:val="24"/>
                <w:szCs w:val="24"/>
              </w:rPr>
              <w:t>40,3</w:t>
            </w:r>
          </w:p>
        </w:tc>
        <w:tc>
          <w:tcPr>
            <w:tcW w:w="1892" w:type="dxa"/>
          </w:tcPr>
          <w:p w:rsidR="00714F5D" w:rsidRPr="001D0846" w:rsidRDefault="00714F5D" w:rsidP="008C5C6A">
            <w:pPr>
              <w:spacing w:line="276" w:lineRule="auto"/>
              <w:jc w:val="center"/>
              <w:rPr>
                <w:rFonts w:ascii="Times New Roman" w:hAnsi="Times New Roman"/>
                <w:color w:val="000000"/>
                <w:sz w:val="24"/>
                <w:szCs w:val="24"/>
              </w:rPr>
            </w:pPr>
            <w:r w:rsidRPr="001D0846">
              <w:rPr>
                <w:rFonts w:ascii="Times New Roman" w:hAnsi="Times New Roman"/>
                <w:color w:val="000000"/>
                <w:sz w:val="24"/>
                <w:szCs w:val="24"/>
              </w:rPr>
              <w:t>35,4</w:t>
            </w:r>
          </w:p>
        </w:tc>
      </w:tr>
      <w:tr w:rsidR="00714F5D" w:rsidRPr="001D0846" w:rsidTr="008C5C6A">
        <w:tc>
          <w:tcPr>
            <w:tcW w:w="763" w:type="dxa"/>
          </w:tcPr>
          <w:p w:rsidR="00714F5D" w:rsidRPr="001D0846" w:rsidRDefault="00714F5D" w:rsidP="008C5C6A">
            <w:pPr>
              <w:spacing w:line="276" w:lineRule="auto"/>
              <w:jc w:val="center"/>
              <w:rPr>
                <w:rFonts w:ascii="Times New Roman" w:hAnsi="Times New Roman"/>
                <w:color w:val="000000"/>
                <w:sz w:val="24"/>
                <w:szCs w:val="24"/>
              </w:rPr>
            </w:pPr>
            <w:r w:rsidRPr="001D0846">
              <w:rPr>
                <w:rFonts w:ascii="Times New Roman" w:hAnsi="Times New Roman"/>
                <w:color w:val="000000"/>
                <w:sz w:val="24"/>
                <w:szCs w:val="24"/>
              </w:rPr>
              <w:t>2017</w:t>
            </w:r>
          </w:p>
        </w:tc>
        <w:tc>
          <w:tcPr>
            <w:tcW w:w="2217" w:type="dxa"/>
          </w:tcPr>
          <w:p w:rsidR="00714F5D" w:rsidRPr="001D0846" w:rsidRDefault="00714F5D" w:rsidP="008C5C6A">
            <w:pPr>
              <w:spacing w:line="276" w:lineRule="auto"/>
              <w:jc w:val="center"/>
              <w:rPr>
                <w:rFonts w:ascii="Times New Roman" w:hAnsi="Times New Roman"/>
                <w:color w:val="000000"/>
                <w:sz w:val="24"/>
                <w:szCs w:val="24"/>
              </w:rPr>
            </w:pPr>
            <w:r w:rsidRPr="001D0846">
              <w:rPr>
                <w:rFonts w:ascii="Times New Roman" w:hAnsi="Times New Roman"/>
                <w:color w:val="000000"/>
                <w:sz w:val="24"/>
                <w:szCs w:val="24"/>
              </w:rPr>
              <w:t>2190</w:t>
            </w:r>
          </w:p>
        </w:tc>
        <w:tc>
          <w:tcPr>
            <w:tcW w:w="1771" w:type="dxa"/>
          </w:tcPr>
          <w:p w:rsidR="00714F5D" w:rsidRPr="001D0846" w:rsidRDefault="00714F5D" w:rsidP="008C5C6A">
            <w:pPr>
              <w:spacing w:line="276" w:lineRule="auto"/>
              <w:jc w:val="center"/>
              <w:rPr>
                <w:rFonts w:ascii="Times New Roman" w:hAnsi="Times New Roman"/>
                <w:color w:val="000000"/>
                <w:sz w:val="24"/>
                <w:szCs w:val="24"/>
              </w:rPr>
            </w:pPr>
            <w:r w:rsidRPr="001D0846">
              <w:rPr>
                <w:rFonts w:ascii="Times New Roman" w:hAnsi="Times New Roman"/>
                <w:color w:val="000000"/>
                <w:sz w:val="24"/>
                <w:szCs w:val="24"/>
              </w:rPr>
              <w:t>81,4</w:t>
            </w:r>
          </w:p>
        </w:tc>
        <w:tc>
          <w:tcPr>
            <w:tcW w:w="1277" w:type="dxa"/>
          </w:tcPr>
          <w:p w:rsidR="00714F5D" w:rsidRPr="001D0846" w:rsidRDefault="00714F5D" w:rsidP="008C5C6A">
            <w:pPr>
              <w:spacing w:line="276" w:lineRule="auto"/>
              <w:jc w:val="center"/>
              <w:rPr>
                <w:rFonts w:ascii="Times New Roman" w:hAnsi="Times New Roman"/>
                <w:color w:val="000000"/>
                <w:sz w:val="24"/>
                <w:szCs w:val="24"/>
              </w:rPr>
            </w:pPr>
            <w:r w:rsidRPr="001D0846">
              <w:rPr>
                <w:rFonts w:ascii="Times New Roman" w:hAnsi="Times New Roman"/>
                <w:color w:val="000000"/>
                <w:sz w:val="24"/>
                <w:szCs w:val="24"/>
              </w:rPr>
              <w:t>36,0</w:t>
            </w:r>
          </w:p>
        </w:tc>
        <w:tc>
          <w:tcPr>
            <w:tcW w:w="1530" w:type="dxa"/>
          </w:tcPr>
          <w:p w:rsidR="00714F5D" w:rsidRPr="001D0846" w:rsidRDefault="00714F5D" w:rsidP="008C5C6A">
            <w:pPr>
              <w:spacing w:line="276" w:lineRule="auto"/>
              <w:jc w:val="center"/>
              <w:rPr>
                <w:rFonts w:ascii="Times New Roman" w:hAnsi="Times New Roman"/>
                <w:color w:val="000000"/>
                <w:sz w:val="24"/>
                <w:szCs w:val="24"/>
              </w:rPr>
            </w:pPr>
            <w:r w:rsidRPr="001D0846">
              <w:rPr>
                <w:rFonts w:ascii="Times New Roman" w:hAnsi="Times New Roman"/>
                <w:color w:val="000000"/>
                <w:sz w:val="24"/>
                <w:szCs w:val="24"/>
              </w:rPr>
              <w:t>44,2</w:t>
            </w:r>
          </w:p>
        </w:tc>
        <w:tc>
          <w:tcPr>
            <w:tcW w:w="1892" w:type="dxa"/>
          </w:tcPr>
          <w:p w:rsidR="00714F5D" w:rsidRPr="001D0846" w:rsidRDefault="00714F5D" w:rsidP="008C5C6A">
            <w:pPr>
              <w:spacing w:line="276" w:lineRule="auto"/>
              <w:jc w:val="center"/>
              <w:rPr>
                <w:rFonts w:ascii="Times New Roman" w:hAnsi="Times New Roman"/>
                <w:color w:val="000000"/>
                <w:sz w:val="24"/>
                <w:szCs w:val="24"/>
              </w:rPr>
            </w:pPr>
            <w:r w:rsidRPr="001D0846">
              <w:rPr>
                <w:rFonts w:ascii="Times New Roman" w:hAnsi="Times New Roman"/>
                <w:color w:val="000000"/>
                <w:sz w:val="24"/>
                <w:szCs w:val="24"/>
              </w:rPr>
              <w:t>45,4</w:t>
            </w:r>
          </w:p>
        </w:tc>
      </w:tr>
      <w:tr w:rsidR="00714F5D" w:rsidRPr="001D0846" w:rsidTr="008C5C6A">
        <w:tc>
          <w:tcPr>
            <w:tcW w:w="763" w:type="dxa"/>
          </w:tcPr>
          <w:p w:rsidR="00714F5D" w:rsidRPr="001D0846" w:rsidRDefault="00714F5D" w:rsidP="008C5C6A">
            <w:pPr>
              <w:spacing w:line="276" w:lineRule="auto"/>
              <w:jc w:val="center"/>
              <w:rPr>
                <w:rFonts w:ascii="Times New Roman" w:hAnsi="Times New Roman"/>
                <w:b/>
                <w:color w:val="000000"/>
                <w:sz w:val="24"/>
                <w:szCs w:val="24"/>
              </w:rPr>
            </w:pPr>
            <w:r w:rsidRPr="001D0846">
              <w:rPr>
                <w:rFonts w:ascii="Times New Roman" w:hAnsi="Times New Roman"/>
                <w:b/>
                <w:color w:val="000000"/>
                <w:sz w:val="24"/>
                <w:szCs w:val="24"/>
              </w:rPr>
              <w:t>Total</w:t>
            </w:r>
          </w:p>
        </w:tc>
        <w:tc>
          <w:tcPr>
            <w:tcW w:w="2217" w:type="dxa"/>
          </w:tcPr>
          <w:p w:rsidR="00714F5D" w:rsidRPr="001D0846" w:rsidRDefault="00714F5D" w:rsidP="008C5C6A">
            <w:pPr>
              <w:spacing w:line="276" w:lineRule="auto"/>
              <w:jc w:val="center"/>
              <w:rPr>
                <w:rFonts w:ascii="Times New Roman" w:hAnsi="Times New Roman"/>
                <w:b/>
                <w:color w:val="000000"/>
                <w:sz w:val="24"/>
                <w:szCs w:val="24"/>
              </w:rPr>
            </w:pPr>
            <w:r w:rsidRPr="001D0846">
              <w:rPr>
                <w:rFonts w:ascii="Times New Roman" w:hAnsi="Times New Roman"/>
                <w:b/>
                <w:color w:val="000000"/>
                <w:sz w:val="24"/>
                <w:szCs w:val="24"/>
              </w:rPr>
              <w:t>6680</w:t>
            </w:r>
          </w:p>
        </w:tc>
        <w:tc>
          <w:tcPr>
            <w:tcW w:w="1771" w:type="dxa"/>
          </w:tcPr>
          <w:p w:rsidR="00714F5D" w:rsidRPr="001D0846" w:rsidRDefault="00714F5D" w:rsidP="008C5C6A">
            <w:pPr>
              <w:spacing w:line="276" w:lineRule="auto"/>
              <w:jc w:val="center"/>
              <w:rPr>
                <w:rFonts w:ascii="Times New Roman" w:hAnsi="Times New Roman"/>
                <w:b/>
                <w:color w:val="000000"/>
                <w:sz w:val="24"/>
                <w:szCs w:val="24"/>
              </w:rPr>
            </w:pPr>
            <w:r w:rsidRPr="001D0846">
              <w:rPr>
                <w:rFonts w:ascii="Times New Roman" w:hAnsi="Times New Roman"/>
                <w:b/>
                <w:color w:val="000000"/>
                <w:sz w:val="24"/>
                <w:szCs w:val="24"/>
              </w:rPr>
              <w:t>182,2</w:t>
            </w:r>
          </w:p>
        </w:tc>
        <w:tc>
          <w:tcPr>
            <w:tcW w:w="1277" w:type="dxa"/>
          </w:tcPr>
          <w:p w:rsidR="00714F5D" w:rsidRPr="001D0846" w:rsidRDefault="00714F5D" w:rsidP="008C5C6A">
            <w:pPr>
              <w:spacing w:line="276" w:lineRule="auto"/>
              <w:jc w:val="center"/>
              <w:rPr>
                <w:rFonts w:ascii="Times New Roman" w:hAnsi="Times New Roman"/>
                <w:b/>
                <w:color w:val="000000"/>
                <w:sz w:val="24"/>
                <w:szCs w:val="24"/>
              </w:rPr>
            </w:pPr>
            <w:r w:rsidRPr="001D0846">
              <w:rPr>
                <w:rFonts w:ascii="Times New Roman" w:hAnsi="Times New Roman"/>
                <w:b/>
                <w:color w:val="000000"/>
                <w:sz w:val="24"/>
                <w:szCs w:val="24"/>
              </w:rPr>
              <w:t>78,8</w:t>
            </w:r>
          </w:p>
        </w:tc>
        <w:tc>
          <w:tcPr>
            <w:tcW w:w="1530" w:type="dxa"/>
          </w:tcPr>
          <w:p w:rsidR="00714F5D" w:rsidRPr="001D0846" w:rsidRDefault="00714F5D" w:rsidP="008C5C6A">
            <w:pPr>
              <w:spacing w:line="276" w:lineRule="auto"/>
              <w:jc w:val="center"/>
              <w:rPr>
                <w:rFonts w:ascii="Times New Roman" w:hAnsi="Times New Roman"/>
                <w:b/>
                <w:color w:val="000000"/>
                <w:sz w:val="24"/>
                <w:szCs w:val="24"/>
              </w:rPr>
            </w:pPr>
            <w:r w:rsidRPr="001D0846">
              <w:rPr>
                <w:rFonts w:ascii="Times New Roman" w:hAnsi="Times New Roman"/>
                <w:b/>
                <w:color w:val="000000"/>
                <w:sz w:val="24"/>
                <w:szCs w:val="24"/>
              </w:rPr>
              <w:t>43,2</w:t>
            </w:r>
          </w:p>
        </w:tc>
        <w:tc>
          <w:tcPr>
            <w:tcW w:w="1892" w:type="dxa"/>
          </w:tcPr>
          <w:p w:rsidR="00714F5D" w:rsidRPr="001D0846" w:rsidRDefault="00714F5D" w:rsidP="008C5C6A">
            <w:pPr>
              <w:spacing w:line="276" w:lineRule="auto"/>
              <w:jc w:val="center"/>
              <w:rPr>
                <w:rFonts w:ascii="Times New Roman" w:hAnsi="Times New Roman"/>
                <w:b/>
                <w:color w:val="000000"/>
                <w:sz w:val="24"/>
                <w:szCs w:val="24"/>
              </w:rPr>
            </w:pPr>
            <w:r w:rsidRPr="001D0846">
              <w:rPr>
                <w:rFonts w:ascii="Times New Roman" w:hAnsi="Times New Roman"/>
                <w:b/>
                <w:color w:val="000000"/>
                <w:sz w:val="24"/>
                <w:szCs w:val="24"/>
              </w:rPr>
              <w:t>103,4</w:t>
            </w:r>
          </w:p>
        </w:tc>
      </w:tr>
    </w:tbl>
    <w:p w:rsidR="00714F5D" w:rsidRPr="001D0846" w:rsidRDefault="00714F5D" w:rsidP="00714F5D">
      <w:pPr>
        <w:spacing w:after="0" w:line="276" w:lineRule="auto"/>
        <w:ind w:right="49"/>
        <w:jc w:val="both"/>
        <w:rPr>
          <w:rFonts w:ascii="Times New Roman" w:eastAsia="Calibri" w:hAnsi="Times New Roman" w:cs="Times New Roman"/>
          <w:i/>
          <w:sz w:val="20"/>
          <w:szCs w:val="20"/>
        </w:rPr>
      </w:pPr>
      <w:r w:rsidRPr="001D0846">
        <w:rPr>
          <w:rFonts w:ascii="Times New Roman" w:eastAsia="Calibri" w:hAnsi="Times New Roman" w:cs="Times New Roman"/>
          <w:b/>
          <w:i/>
          <w:sz w:val="20"/>
          <w:szCs w:val="20"/>
        </w:rPr>
        <w:t>Sursă:</w:t>
      </w:r>
      <w:r w:rsidRPr="001D0846">
        <w:rPr>
          <w:rFonts w:ascii="Times New Roman" w:eastAsia="Calibri" w:hAnsi="Times New Roman" w:cs="Times New Roman"/>
          <w:i/>
          <w:sz w:val="20"/>
          <w:szCs w:val="20"/>
        </w:rPr>
        <w:t xml:space="preserve"> Date</w:t>
      </w:r>
      <w:r>
        <w:rPr>
          <w:rFonts w:ascii="Times New Roman" w:eastAsia="Calibri" w:hAnsi="Times New Roman" w:cs="Times New Roman"/>
          <w:i/>
          <w:sz w:val="20"/>
          <w:szCs w:val="20"/>
        </w:rPr>
        <w:t>le</w:t>
      </w:r>
      <w:r w:rsidRPr="001D0846">
        <w:rPr>
          <w:rFonts w:ascii="Times New Roman" w:eastAsia="Calibri" w:hAnsi="Times New Roman" w:cs="Times New Roman"/>
          <w:i/>
          <w:sz w:val="20"/>
          <w:szCs w:val="20"/>
        </w:rPr>
        <w:t xml:space="preserve"> generalizate de către echipa de audit în baza informațiilor din rapoartele privind datoriile agenților economici față de BS pe anii 2015-2017.</w:t>
      </w:r>
    </w:p>
    <w:p w:rsidR="00714F5D" w:rsidRPr="001D0846" w:rsidRDefault="00714F5D" w:rsidP="00714F5D">
      <w:pPr>
        <w:spacing w:after="0" w:line="276" w:lineRule="auto"/>
        <w:ind w:right="49"/>
        <w:jc w:val="both"/>
        <w:rPr>
          <w:rFonts w:ascii="Times New Roman" w:eastAsia="Calibri" w:hAnsi="Times New Roman" w:cs="Times New Roman"/>
          <w:i/>
          <w:sz w:val="20"/>
          <w:szCs w:val="20"/>
        </w:rPr>
      </w:pPr>
    </w:p>
    <w:p w:rsidR="00714F5D" w:rsidRPr="001D0846" w:rsidRDefault="00714F5D" w:rsidP="00714F5D">
      <w:pPr>
        <w:spacing w:after="0" w:line="276" w:lineRule="auto"/>
        <w:ind w:right="-334"/>
        <w:jc w:val="both"/>
        <w:rPr>
          <w:rFonts w:ascii="Times New Roman" w:hAnsi="Times New Roman" w:cs="Times New Roman"/>
          <w:b/>
          <w:i/>
          <w:sz w:val="28"/>
          <w:szCs w:val="28"/>
          <w:lang w:eastAsia="ru-RU"/>
        </w:rPr>
      </w:pPr>
    </w:p>
    <w:p w:rsidR="00714F5D" w:rsidRPr="001D0846" w:rsidRDefault="00714F5D" w:rsidP="00714F5D">
      <w:pPr>
        <w:spacing w:after="0" w:line="276" w:lineRule="auto"/>
        <w:ind w:right="-334"/>
        <w:jc w:val="both"/>
        <w:rPr>
          <w:rFonts w:ascii="Times New Roman" w:hAnsi="Times New Roman" w:cs="Times New Roman"/>
          <w:b/>
          <w:i/>
          <w:sz w:val="28"/>
          <w:szCs w:val="28"/>
          <w:lang w:eastAsia="ru-RU"/>
        </w:rPr>
      </w:pPr>
    </w:p>
    <w:p w:rsidR="00714F5D" w:rsidRPr="001D0846" w:rsidRDefault="00714F5D" w:rsidP="00714F5D">
      <w:pPr>
        <w:spacing w:after="0" w:line="276" w:lineRule="auto"/>
        <w:ind w:right="-334"/>
        <w:jc w:val="both"/>
        <w:rPr>
          <w:rFonts w:ascii="Times New Roman" w:hAnsi="Times New Roman" w:cs="Times New Roman"/>
          <w:b/>
          <w:i/>
          <w:sz w:val="28"/>
          <w:szCs w:val="28"/>
          <w:lang w:eastAsia="ru-RU"/>
        </w:rPr>
      </w:pPr>
    </w:p>
    <w:p w:rsidR="00714F5D" w:rsidRPr="001D0846" w:rsidRDefault="00714F5D" w:rsidP="00714F5D">
      <w:pPr>
        <w:spacing w:after="0" w:line="276" w:lineRule="auto"/>
        <w:ind w:right="-334"/>
        <w:jc w:val="both"/>
        <w:rPr>
          <w:rFonts w:ascii="Times New Roman" w:hAnsi="Times New Roman" w:cs="Times New Roman"/>
          <w:b/>
          <w:i/>
          <w:sz w:val="28"/>
          <w:szCs w:val="28"/>
          <w:lang w:eastAsia="ru-RU"/>
        </w:rPr>
      </w:pPr>
    </w:p>
    <w:p w:rsidR="00714F5D" w:rsidRPr="001D0846" w:rsidRDefault="00714F5D" w:rsidP="00714F5D">
      <w:pPr>
        <w:pStyle w:val="Heading2"/>
        <w:jc w:val="both"/>
        <w:rPr>
          <w:rFonts w:ascii="Times New Roman" w:hAnsi="Times New Roman" w:cs="Times New Roman"/>
          <w:i/>
          <w:color w:val="000000" w:themeColor="text1"/>
          <w:sz w:val="28"/>
          <w:szCs w:val="28"/>
          <w:lang w:eastAsia="ru-RU"/>
        </w:rPr>
      </w:pPr>
      <w:bookmarkStart w:id="35" w:name="_Toc515344964"/>
      <w:bookmarkStart w:id="36" w:name="_Toc515894902"/>
      <w:r w:rsidRPr="001D0846">
        <w:rPr>
          <w:rFonts w:ascii="Times New Roman" w:hAnsi="Times New Roman" w:cs="Times New Roman"/>
          <w:b/>
          <w:i/>
          <w:color w:val="000000" w:themeColor="text1"/>
          <w:sz w:val="28"/>
          <w:szCs w:val="28"/>
          <w:lang w:eastAsia="ru-RU"/>
        </w:rPr>
        <w:lastRenderedPageBreak/>
        <w:t>Anexa nr.4</w:t>
      </w:r>
      <w:r>
        <w:rPr>
          <w:rFonts w:ascii="Times New Roman" w:hAnsi="Times New Roman" w:cs="Times New Roman"/>
          <w:b/>
          <w:i/>
          <w:color w:val="000000" w:themeColor="text1"/>
          <w:sz w:val="28"/>
          <w:szCs w:val="28"/>
          <w:lang w:eastAsia="ru-RU"/>
        </w:rPr>
        <w:t xml:space="preserve">. </w:t>
      </w:r>
      <w:r w:rsidRPr="001D0846">
        <w:rPr>
          <w:rFonts w:ascii="Times New Roman" w:hAnsi="Times New Roman" w:cs="Times New Roman"/>
          <w:i/>
          <w:color w:val="000000" w:themeColor="text1"/>
          <w:sz w:val="28"/>
          <w:szCs w:val="28"/>
          <w:lang w:eastAsia="ru-RU"/>
        </w:rPr>
        <w:t>Diagrame întocmite de către ech</w:t>
      </w:r>
      <w:r>
        <w:rPr>
          <w:rFonts w:ascii="Times New Roman" w:hAnsi="Times New Roman" w:cs="Times New Roman"/>
          <w:i/>
          <w:color w:val="000000" w:themeColor="text1"/>
          <w:sz w:val="28"/>
          <w:szCs w:val="28"/>
          <w:lang w:eastAsia="ru-RU"/>
        </w:rPr>
        <w:t>i</w:t>
      </w:r>
      <w:r w:rsidRPr="001D0846">
        <w:rPr>
          <w:rFonts w:ascii="Times New Roman" w:hAnsi="Times New Roman" w:cs="Times New Roman"/>
          <w:i/>
          <w:color w:val="000000" w:themeColor="text1"/>
          <w:sz w:val="28"/>
          <w:szCs w:val="28"/>
          <w:lang w:eastAsia="ru-RU"/>
        </w:rPr>
        <w:t>pa de audit în baza informațiilor prezentate de entități.</w:t>
      </w:r>
      <w:bookmarkEnd w:id="35"/>
      <w:bookmarkEnd w:id="36"/>
    </w:p>
    <w:p w:rsidR="00714F5D" w:rsidRPr="001D0846" w:rsidRDefault="00714F5D" w:rsidP="00714F5D">
      <w:pPr>
        <w:spacing w:after="0" w:line="276" w:lineRule="auto"/>
        <w:ind w:right="-331"/>
        <w:jc w:val="center"/>
        <w:rPr>
          <w:rFonts w:ascii="Times New Roman" w:eastAsia="Calibri" w:hAnsi="Times New Roman" w:cs="Times New Roman"/>
          <w:i/>
          <w:sz w:val="20"/>
          <w:szCs w:val="20"/>
        </w:rPr>
      </w:pPr>
    </w:p>
    <w:p w:rsidR="00714F5D" w:rsidRPr="001D0846" w:rsidRDefault="00714F5D" w:rsidP="00714F5D">
      <w:pPr>
        <w:spacing w:after="0" w:line="276" w:lineRule="auto"/>
        <w:ind w:right="-334"/>
        <w:jc w:val="right"/>
        <w:rPr>
          <w:rFonts w:ascii="Times New Roman" w:hAnsi="Times New Roman" w:cs="Times New Roman"/>
          <w:i/>
          <w:sz w:val="24"/>
          <w:szCs w:val="24"/>
          <w:lang w:eastAsia="ru-RU"/>
        </w:rPr>
      </w:pPr>
      <w:r>
        <w:rPr>
          <w:rFonts w:ascii="Times New Roman" w:hAnsi="Times New Roman" w:cs="Times New Roman"/>
          <w:b/>
          <w:i/>
          <w:sz w:val="28"/>
          <w:szCs w:val="28"/>
          <w:lang w:eastAsia="ru-RU"/>
        </w:rPr>
        <w:t>Diagrama nr.6</w:t>
      </w:r>
    </w:p>
    <w:p w:rsidR="00714F5D" w:rsidRPr="001D0846" w:rsidRDefault="00714F5D" w:rsidP="00714F5D">
      <w:pPr>
        <w:spacing w:after="0" w:line="276" w:lineRule="auto"/>
        <w:ind w:right="-334"/>
        <w:jc w:val="right"/>
        <w:rPr>
          <w:rFonts w:ascii="Times New Roman" w:hAnsi="Times New Roman" w:cs="Times New Roman"/>
          <w:i/>
          <w:sz w:val="24"/>
          <w:szCs w:val="24"/>
          <w:lang w:eastAsia="ru-RU"/>
        </w:rPr>
      </w:pPr>
      <w:r w:rsidRPr="001D0846">
        <w:rPr>
          <w:rFonts w:ascii="Times New Roman" w:hAnsi="Times New Roman" w:cs="Times New Roman"/>
          <w:i/>
          <w:sz w:val="24"/>
          <w:szCs w:val="24"/>
          <w:lang w:eastAsia="ru-RU"/>
        </w:rPr>
        <w:t xml:space="preserve">                                                                                                   (ml</w:t>
      </w:r>
      <w:r>
        <w:rPr>
          <w:rFonts w:ascii="Times New Roman" w:hAnsi="Times New Roman" w:cs="Times New Roman"/>
          <w:i/>
          <w:sz w:val="24"/>
          <w:szCs w:val="24"/>
          <w:lang w:eastAsia="ru-RU"/>
        </w:rPr>
        <w:t>r</w:t>
      </w:r>
      <w:r w:rsidRPr="001D0846">
        <w:rPr>
          <w:rFonts w:ascii="Times New Roman" w:hAnsi="Times New Roman" w:cs="Times New Roman"/>
          <w:i/>
          <w:sz w:val="24"/>
          <w:szCs w:val="24"/>
          <w:lang w:eastAsia="ru-RU"/>
        </w:rPr>
        <w:t>d.lei)</w:t>
      </w:r>
    </w:p>
    <w:p w:rsidR="00714F5D" w:rsidRPr="001D0846" w:rsidRDefault="00714F5D" w:rsidP="00714F5D">
      <w:pPr>
        <w:tabs>
          <w:tab w:val="left" w:pos="5316"/>
        </w:tabs>
        <w:spacing w:after="0" w:line="276" w:lineRule="auto"/>
        <w:ind w:right="-334"/>
        <w:rPr>
          <w:rFonts w:ascii="Times New Roman" w:hAnsi="Times New Roman" w:cs="Times New Roman"/>
          <w:sz w:val="28"/>
          <w:szCs w:val="28"/>
        </w:rPr>
      </w:pPr>
      <w:r w:rsidRPr="001D0846">
        <w:rPr>
          <w:rFonts w:ascii="Times New Roman" w:hAnsi="Times New Roman" w:cs="Times New Roman"/>
          <w:noProof/>
          <w:sz w:val="16"/>
          <w:szCs w:val="16"/>
          <w:lang w:val="en-GB" w:eastAsia="en-GB"/>
        </w:rPr>
        <w:drawing>
          <wp:inline distT="0" distB="0" distL="0" distR="0">
            <wp:extent cx="6152515" cy="2926080"/>
            <wp:effectExtent l="0" t="0" r="635" b="7620"/>
            <wp:docPr id="31" name="Chart 3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14F5D" w:rsidRPr="001D0846" w:rsidRDefault="00714F5D" w:rsidP="00714F5D">
      <w:pPr>
        <w:spacing w:after="0" w:line="240" w:lineRule="auto"/>
        <w:ind w:right="-331"/>
        <w:jc w:val="both"/>
        <w:rPr>
          <w:rFonts w:ascii="Times New Roman" w:eastAsia="Calibri" w:hAnsi="Times New Roman" w:cs="Times New Roman"/>
          <w:i/>
          <w:sz w:val="20"/>
          <w:szCs w:val="20"/>
        </w:rPr>
      </w:pPr>
      <w:r w:rsidRPr="001D0846">
        <w:rPr>
          <w:rFonts w:ascii="Times New Roman" w:eastAsia="Calibri" w:hAnsi="Times New Roman" w:cs="Times New Roman"/>
          <w:b/>
          <w:i/>
          <w:sz w:val="20"/>
          <w:szCs w:val="20"/>
        </w:rPr>
        <w:t>Sursă:</w:t>
      </w:r>
      <w:r w:rsidRPr="001D0846">
        <w:rPr>
          <w:rFonts w:ascii="Times New Roman" w:eastAsia="Calibri" w:hAnsi="Times New Roman" w:cs="Times New Roman"/>
          <w:i/>
          <w:sz w:val="20"/>
          <w:szCs w:val="20"/>
        </w:rPr>
        <w:t xml:space="preserve"> Date</w:t>
      </w:r>
      <w:r>
        <w:rPr>
          <w:rFonts w:ascii="Times New Roman" w:eastAsia="Calibri" w:hAnsi="Times New Roman" w:cs="Times New Roman"/>
          <w:i/>
          <w:sz w:val="20"/>
          <w:szCs w:val="20"/>
        </w:rPr>
        <w:t>le</w:t>
      </w:r>
      <w:r w:rsidRPr="001D0846">
        <w:rPr>
          <w:rFonts w:ascii="Times New Roman" w:eastAsia="Calibri" w:hAnsi="Times New Roman" w:cs="Times New Roman"/>
          <w:i/>
          <w:sz w:val="20"/>
          <w:szCs w:val="20"/>
        </w:rPr>
        <w:t xml:space="preserve"> generalizate de către echipa de audit în baza informațiilor din dările de seamă privind încasările la BPN administrate de SFS pe anii 2015-2017, precum și anuarul statistic.</w:t>
      </w:r>
    </w:p>
    <w:p w:rsidR="00714F5D" w:rsidRDefault="00714F5D" w:rsidP="00714F5D">
      <w:pPr>
        <w:spacing w:after="0" w:line="276" w:lineRule="auto"/>
        <w:ind w:right="-331" w:firstLine="720"/>
        <w:jc w:val="right"/>
        <w:rPr>
          <w:rFonts w:ascii="Times New Roman" w:hAnsi="Times New Roman" w:cs="Times New Roman"/>
          <w:b/>
          <w:i/>
          <w:sz w:val="28"/>
          <w:szCs w:val="28"/>
          <w:highlight w:val="magenta"/>
        </w:rPr>
      </w:pPr>
    </w:p>
    <w:p w:rsidR="00714F5D" w:rsidRPr="001D0846" w:rsidRDefault="00714F5D" w:rsidP="00714F5D">
      <w:pPr>
        <w:tabs>
          <w:tab w:val="left" w:pos="284"/>
          <w:tab w:val="left" w:pos="851"/>
          <w:tab w:val="left" w:pos="1134"/>
        </w:tabs>
        <w:spacing w:after="0" w:line="276" w:lineRule="auto"/>
        <w:ind w:right="-334"/>
        <w:jc w:val="right"/>
        <w:rPr>
          <w:rFonts w:ascii="Times New Roman" w:hAnsi="Times New Roman" w:cs="Times New Roman"/>
          <w:b/>
          <w:i/>
          <w:sz w:val="28"/>
          <w:szCs w:val="28"/>
        </w:rPr>
      </w:pPr>
      <w:r w:rsidRPr="001D0846">
        <w:rPr>
          <w:rFonts w:ascii="Times New Roman" w:hAnsi="Times New Roman" w:cs="Times New Roman"/>
          <w:b/>
          <w:i/>
          <w:sz w:val="28"/>
          <w:szCs w:val="28"/>
        </w:rPr>
        <w:t>Diagrama nr.</w:t>
      </w:r>
      <w:r>
        <w:rPr>
          <w:rFonts w:ascii="Times New Roman" w:hAnsi="Times New Roman" w:cs="Times New Roman"/>
          <w:b/>
          <w:i/>
          <w:sz w:val="28"/>
          <w:szCs w:val="28"/>
        </w:rPr>
        <w:t>7</w:t>
      </w:r>
    </w:p>
    <w:p w:rsidR="00714F5D" w:rsidRPr="00FD037B" w:rsidRDefault="00714F5D" w:rsidP="00714F5D">
      <w:pPr>
        <w:tabs>
          <w:tab w:val="left" w:pos="284"/>
          <w:tab w:val="left" w:pos="851"/>
          <w:tab w:val="left" w:pos="1134"/>
        </w:tabs>
        <w:spacing w:after="0" w:line="276" w:lineRule="auto"/>
        <w:ind w:right="-334"/>
        <w:jc w:val="right"/>
        <w:rPr>
          <w:rFonts w:ascii="Times New Roman" w:hAnsi="Times New Roman" w:cs="Times New Roman"/>
          <w:sz w:val="24"/>
          <w:szCs w:val="24"/>
        </w:rPr>
      </w:pPr>
      <w:r w:rsidRPr="00FD037B">
        <w:rPr>
          <w:rFonts w:ascii="Times New Roman" w:hAnsi="Times New Roman" w:cs="Times New Roman"/>
          <w:i/>
          <w:sz w:val="24"/>
          <w:szCs w:val="24"/>
        </w:rPr>
        <w:t>(mil.lei)</w:t>
      </w:r>
    </w:p>
    <w:p w:rsidR="00714F5D" w:rsidRPr="001D0846" w:rsidRDefault="00714F5D" w:rsidP="00714F5D">
      <w:pPr>
        <w:tabs>
          <w:tab w:val="left" w:pos="284"/>
          <w:tab w:val="left" w:pos="851"/>
          <w:tab w:val="left" w:pos="1134"/>
        </w:tabs>
        <w:spacing w:after="0" w:line="276" w:lineRule="auto"/>
        <w:ind w:right="-334"/>
        <w:jc w:val="both"/>
        <w:rPr>
          <w:rFonts w:ascii="Times New Roman" w:hAnsi="Times New Roman" w:cs="Times New Roman"/>
          <w:sz w:val="28"/>
          <w:szCs w:val="28"/>
        </w:rPr>
      </w:pPr>
      <w:r w:rsidRPr="001D0846">
        <w:rPr>
          <w:rFonts w:ascii="Times New Roman" w:hAnsi="Times New Roman" w:cs="Times New Roman"/>
          <w:noProof/>
          <w:lang w:val="en-GB" w:eastAsia="en-GB"/>
        </w:rPr>
        <w:drawing>
          <wp:inline distT="0" distB="0" distL="0" distR="0">
            <wp:extent cx="6126480" cy="2811780"/>
            <wp:effectExtent l="0" t="0" r="7620" b="7620"/>
            <wp:docPr id="1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14F5D" w:rsidRPr="001D0846" w:rsidRDefault="00714F5D" w:rsidP="00714F5D">
      <w:pPr>
        <w:tabs>
          <w:tab w:val="left" w:pos="7896"/>
          <w:tab w:val="left" w:pos="8680"/>
        </w:tabs>
        <w:spacing w:after="0" w:line="240" w:lineRule="auto"/>
        <w:ind w:right="-331"/>
        <w:jc w:val="both"/>
        <w:rPr>
          <w:rFonts w:ascii="Times New Roman" w:hAnsi="Times New Roman" w:cs="Times New Roman"/>
          <w:i/>
          <w:sz w:val="20"/>
          <w:szCs w:val="20"/>
        </w:rPr>
      </w:pPr>
      <w:r w:rsidRPr="001D0846">
        <w:rPr>
          <w:rFonts w:ascii="Times New Roman" w:hAnsi="Times New Roman" w:cs="Times New Roman"/>
          <w:b/>
          <w:i/>
          <w:sz w:val="20"/>
          <w:szCs w:val="20"/>
        </w:rPr>
        <w:t>Sursă:</w:t>
      </w:r>
      <w:r w:rsidRPr="001D0846">
        <w:rPr>
          <w:rFonts w:ascii="Times New Roman" w:hAnsi="Times New Roman" w:cs="Times New Roman"/>
          <w:i/>
          <w:sz w:val="20"/>
          <w:szCs w:val="20"/>
        </w:rPr>
        <w:t xml:space="preserve"> Dările de seamă privind încasările la </w:t>
      </w:r>
      <w:r w:rsidRPr="00E330C1">
        <w:rPr>
          <w:rFonts w:ascii="Times New Roman" w:hAnsi="Times New Roman" w:cs="Times New Roman"/>
          <w:i/>
          <w:sz w:val="20"/>
          <w:szCs w:val="20"/>
        </w:rPr>
        <w:t>b</w:t>
      </w:r>
      <w:r w:rsidRPr="00E77D9A">
        <w:rPr>
          <w:rFonts w:ascii="Times New Roman" w:hAnsi="Times New Roman" w:cs="Times New Roman"/>
          <w:i/>
          <w:sz w:val="20"/>
          <w:szCs w:val="20"/>
        </w:rPr>
        <w:t xml:space="preserve">ugetul </w:t>
      </w:r>
      <w:r w:rsidRPr="00E330C1">
        <w:rPr>
          <w:rFonts w:ascii="Times New Roman" w:hAnsi="Times New Roman" w:cs="Times New Roman"/>
          <w:i/>
          <w:sz w:val="20"/>
          <w:szCs w:val="20"/>
        </w:rPr>
        <w:t>p</w:t>
      </w:r>
      <w:r w:rsidRPr="00E77D9A">
        <w:rPr>
          <w:rFonts w:ascii="Times New Roman" w:hAnsi="Times New Roman" w:cs="Times New Roman"/>
          <w:i/>
          <w:sz w:val="20"/>
          <w:szCs w:val="20"/>
        </w:rPr>
        <w:t xml:space="preserve">ublic </w:t>
      </w:r>
      <w:r w:rsidRPr="00E330C1">
        <w:rPr>
          <w:rFonts w:ascii="Times New Roman" w:hAnsi="Times New Roman" w:cs="Times New Roman"/>
          <w:i/>
          <w:sz w:val="20"/>
          <w:szCs w:val="20"/>
        </w:rPr>
        <w:t>n</w:t>
      </w:r>
      <w:r w:rsidRPr="00E77D9A">
        <w:rPr>
          <w:rFonts w:ascii="Times New Roman" w:hAnsi="Times New Roman" w:cs="Times New Roman"/>
          <w:i/>
          <w:sz w:val="20"/>
          <w:szCs w:val="20"/>
        </w:rPr>
        <w:t>ațional</w:t>
      </w:r>
      <w:r w:rsidRPr="001D0846">
        <w:rPr>
          <w:rFonts w:ascii="Times New Roman" w:hAnsi="Times New Roman" w:cs="Times New Roman"/>
          <w:i/>
          <w:sz w:val="20"/>
          <w:szCs w:val="20"/>
        </w:rPr>
        <w:t xml:space="preserve"> administrate de </w:t>
      </w:r>
      <w:r>
        <w:rPr>
          <w:rFonts w:ascii="Times New Roman" w:hAnsi="Times New Roman" w:cs="Times New Roman"/>
          <w:i/>
          <w:sz w:val="20"/>
          <w:szCs w:val="20"/>
        </w:rPr>
        <w:t xml:space="preserve">către </w:t>
      </w:r>
      <w:r w:rsidRPr="001D0846">
        <w:rPr>
          <w:rFonts w:ascii="Times New Roman" w:hAnsi="Times New Roman" w:cs="Times New Roman"/>
          <w:i/>
          <w:sz w:val="20"/>
          <w:szCs w:val="20"/>
        </w:rPr>
        <w:t>SFS corespunzător clasificației veniturilor bugetare pentru anii 2015-2017.</w:t>
      </w:r>
    </w:p>
    <w:p w:rsidR="00714F5D" w:rsidRPr="001D0846" w:rsidRDefault="00714F5D" w:rsidP="00714F5D">
      <w:pPr>
        <w:spacing w:after="0" w:line="240" w:lineRule="auto"/>
        <w:ind w:right="-331"/>
        <w:rPr>
          <w:rFonts w:ascii="Times New Roman" w:hAnsi="Times New Roman" w:cs="Times New Roman"/>
          <w:b/>
          <w:i/>
          <w:sz w:val="28"/>
          <w:szCs w:val="28"/>
        </w:rPr>
      </w:pPr>
    </w:p>
    <w:p w:rsidR="00714F5D" w:rsidRPr="00FD037B" w:rsidRDefault="00714F5D" w:rsidP="00714F5D">
      <w:pPr>
        <w:spacing w:after="0" w:line="276" w:lineRule="auto"/>
        <w:ind w:right="-331" w:firstLine="720"/>
        <w:jc w:val="right"/>
        <w:rPr>
          <w:rFonts w:ascii="Times New Roman" w:hAnsi="Times New Roman" w:cs="Times New Roman"/>
          <w:b/>
          <w:i/>
          <w:sz w:val="28"/>
          <w:szCs w:val="28"/>
        </w:rPr>
      </w:pPr>
      <w:r w:rsidRPr="00FD037B">
        <w:rPr>
          <w:rFonts w:ascii="Times New Roman" w:hAnsi="Times New Roman" w:cs="Times New Roman"/>
          <w:b/>
          <w:i/>
          <w:sz w:val="28"/>
          <w:szCs w:val="28"/>
        </w:rPr>
        <w:lastRenderedPageBreak/>
        <w:t>Diagrama nr.</w:t>
      </w:r>
      <w:r>
        <w:rPr>
          <w:rFonts w:ascii="Times New Roman" w:hAnsi="Times New Roman" w:cs="Times New Roman"/>
          <w:b/>
          <w:i/>
          <w:sz w:val="28"/>
          <w:szCs w:val="28"/>
        </w:rPr>
        <w:t>8</w:t>
      </w:r>
    </w:p>
    <w:p w:rsidR="00714F5D" w:rsidRPr="00FD037B" w:rsidRDefault="00714F5D" w:rsidP="00714F5D">
      <w:pPr>
        <w:spacing w:after="0" w:line="276" w:lineRule="auto"/>
        <w:ind w:right="-331" w:firstLine="720"/>
        <w:jc w:val="right"/>
        <w:rPr>
          <w:rFonts w:ascii="Times New Roman" w:hAnsi="Times New Roman" w:cs="Times New Roman"/>
          <w:i/>
          <w:sz w:val="24"/>
          <w:szCs w:val="24"/>
        </w:rPr>
      </w:pPr>
      <w:r w:rsidRPr="00FD037B">
        <w:rPr>
          <w:rFonts w:ascii="Times New Roman" w:hAnsi="Times New Roman" w:cs="Times New Roman"/>
          <w:i/>
          <w:sz w:val="24"/>
          <w:szCs w:val="24"/>
        </w:rPr>
        <w:t>(mlrd.lei)</w:t>
      </w:r>
    </w:p>
    <w:p w:rsidR="00714F5D" w:rsidRPr="001D0846" w:rsidRDefault="00714F5D" w:rsidP="00714F5D">
      <w:pPr>
        <w:spacing w:after="0" w:line="276" w:lineRule="auto"/>
        <w:ind w:right="-334"/>
        <w:jc w:val="both"/>
        <w:rPr>
          <w:rFonts w:ascii="Times New Roman" w:hAnsi="Times New Roman" w:cs="Times New Roman"/>
          <w:sz w:val="28"/>
          <w:szCs w:val="28"/>
        </w:rPr>
      </w:pPr>
      <w:r w:rsidRPr="001D0846">
        <w:rPr>
          <w:rFonts w:ascii="Times New Roman" w:hAnsi="Times New Roman" w:cs="Times New Roman"/>
          <w:noProof/>
          <w:lang w:val="en-GB" w:eastAsia="en-GB"/>
        </w:rPr>
        <w:drawing>
          <wp:inline distT="0" distB="0" distL="0" distR="0">
            <wp:extent cx="6134100" cy="3133725"/>
            <wp:effectExtent l="0" t="0" r="0" b="9525"/>
            <wp:docPr id="3"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14F5D" w:rsidRPr="001D0846" w:rsidRDefault="00714F5D" w:rsidP="00714F5D">
      <w:pPr>
        <w:spacing w:after="0" w:line="276" w:lineRule="auto"/>
        <w:ind w:right="-334"/>
        <w:jc w:val="both"/>
        <w:rPr>
          <w:rFonts w:ascii="Times New Roman" w:eastAsia="Calibri" w:hAnsi="Times New Roman" w:cs="Times New Roman"/>
          <w:i/>
          <w:sz w:val="20"/>
          <w:szCs w:val="20"/>
        </w:rPr>
      </w:pPr>
      <w:r w:rsidRPr="001D0846">
        <w:rPr>
          <w:rFonts w:ascii="Times New Roman" w:eastAsia="Calibri" w:hAnsi="Times New Roman" w:cs="Times New Roman"/>
          <w:b/>
          <w:i/>
          <w:sz w:val="20"/>
          <w:szCs w:val="20"/>
        </w:rPr>
        <w:t>Sursă:</w:t>
      </w:r>
      <w:r w:rsidRPr="001D0846">
        <w:rPr>
          <w:rFonts w:ascii="Times New Roman" w:eastAsia="Calibri" w:hAnsi="Times New Roman" w:cs="Times New Roman"/>
          <w:i/>
          <w:sz w:val="20"/>
          <w:szCs w:val="20"/>
        </w:rPr>
        <w:t xml:space="preserve"> Date</w:t>
      </w:r>
      <w:r>
        <w:rPr>
          <w:rFonts w:ascii="Times New Roman" w:eastAsia="Calibri" w:hAnsi="Times New Roman" w:cs="Times New Roman"/>
          <w:i/>
          <w:sz w:val="20"/>
          <w:szCs w:val="20"/>
        </w:rPr>
        <w:t>le</w:t>
      </w:r>
      <w:r w:rsidRPr="001D0846">
        <w:rPr>
          <w:rFonts w:ascii="Times New Roman" w:eastAsia="Calibri" w:hAnsi="Times New Roman" w:cs="Times New Roman"/>
          <w:i/>
          <w:sz w:val="20"/>
          <w:szCs w:val="20"/>
        </w:rPr>
        <w:t xml:space="preserve"> generalizate de către echipa de audit în baza informațiilor din dările de seamă privind încasările la</w:t>
      </w:r>
      <w:r>
        <w:rPr>
          <w:rFonts w:ascii="Times New Roman" w:eastAsia="Calibri" w:hAnsi="Times New Roman" w:cs="Times New Roman"/>
          <w:i/>
          <w:sz w:val="20"/>
          <w:szCs w:val="20"/>
        </w:rPr>
        <w:t xml:space="preserve"> BS</w:t>
      </w:r>
    </w:p>
    <w:p w:rsidR="00714F5D" w:rsidRPr="001D0846" w:rsidRDefault="00714F5D" w:rsidP="00714F5D">
      <w:pPr>
        <w:spacing w:after="0" w:line="276" w:lineRule="auto"/>
        <w:ind w:right="-334"/>
        <w:jc w:val="both"/>
        <w:rPr>
          <w:rFonts w:ascii="Times New Roman" w:eastAsia="Calibri" w:hAnsi="Times New Roman" w:cs="Times New Roman"/>
          <w:i/>
          <w:sz w:val="20"/>
          <w:szCs w:val="20"/>
        </w:rPr>
      </w:pPr>
      <w:r w:rsidRPr="001D0846">
        <w:rPr>
          <w:rFonts w:ascii="Times New Roman" w:eastAsia="Calibri" w:hAnsi="Times New Roman" w:cs="Times New Roman"/>
          <w:i/>
          <w:sz w:val="20"/>
          <w:szCs w:val="20"/>
        </w:rPr>
        <w:t>administrate de SV pe anii 2015-2017, precum și anuarul statistic.</w:t>
      </w:r>
    </w:p>
    <w:p w:rsidR="00714F5D" w:rsidRPr="001D0846" w:rsidRDefault="00714F5D" w:rsidP="00714F5D">
      <w:pPr>
        <w:tabs>
          <w:tab w:val="left" w:pos="284"/>
          <w:tab w:val="left" w:pos="851"/>
          <w:tab w:val="left" w:pos="1134"/>
        </w:tabs>
        <w:spacing w:after="0" w:line="276" w:lineRule="auto"/>
        <w:ind w:right="-334"/>
        <w:rPr>
          <w:rFonts w:ascii="Times New Roman" w:hAnsi="Times New Roman" w:cs="Times New Roman"/>
          <w:b/>
          <w:i/>
          <w:sz w:val="28"/>
          <w:szCs w:val="28"/>
        </w:rPr>
      </w:pPr>
    </w:p>
    <w:p w:rsidR="00714F5D" w:rsidRPr="001D0846" w:rsidRDefault="00714F5D" w:rsidP="00714F5D">
      <w:pPr>
        <w:spacing w:after="0" w:line="276" w:lineRule="auto"/>
        <w:ind w:right="-334" w:firstLine="720"/>
        <w:jc w:val="right"/>
        <w:rPr>
          <w:rFonts w:ascii="Times New Roman" w:hAnsi="Times New Roman" w:cs="Times New Roman"/>
          <w:b/>
          <w:i/>
          <w:sz w:val="28"/>
          <w:szCs w:val="28"/>
        </w:rPr>
      </w:pPr>
      <w:r>
        <w:rPr>
          <w:rFonts w:ascii="Times New Roman" w:hAnsi="Times New Roman" w:cs="Times New Roman"/>
          <w:b/>
          <w:i/>
          <w:sz w:val="28"/>
          <w:szCs w:val="28"/>
        </w:rPr>
        <w:t>Diagrama nr.9</w:t>
      </w:r>
    </w:p>
    <w:p w:rsidR="00714F5D" w:rsidRPr="001D0846" w:rsidRDefault="00714F5D" w:rsidP="00714F5D">
      <w:pPr>
        <w:spacing w:after="0" w:line="276" w:lineRule="auto"/>
        <w:ind w:right="-334" w:firstLine="720"/>
        <w:jc w:val="right"/>
        <w:rPr>
          <w:rFonts w:ascii="Times New Roman" w:hAnsi="Times New Roman" w:cs="Times New Roman"/>
          <w:i/>
          <w:sz w:val="28"/>
          <w:szCs w:val="28"/>
        </w:rPr>
      </w:pPr>
      <w:r w:rsidRPr="001D0846">
        <w:rPr>
          <w:rFonts w:ascii="Times New Roman" w:hAnsi="Times New Roman" w:cs="Times New Roman"/>
          <w:i/>
          <w:sz w:val="28"/>
          <w:szCs w:val="28"/>
        </w:rPr>
        <w:t xml:space="preserve"> (ml</w:t>
      </w:r>
      <w:r>
        <w:rPr>
          <w:rFonts w:ascii="Times New Roman" w:hAnsi="Times New Roman" w:cs="Times New Roman"/>
          <w:i/>
          <w:sz w:val="28"/>
          <w:szCs w:val="28"/>
        </w:rPr>
        <w:t>r</w:t>
      </w:r>
      <w:r w:rsidRPr="001D0846">
        <w:rPr>
          <w:rFonts w:ascii="Times New Roman" w:hAnsi="Times New Roman" w:cs="Times New Roman"/>
          <w:i/>
          <w:sz w:val="28"/>
          <w:szCs w:val="28"/>
        </w:rPr>
        <w:t>d.lei)</w:t>
      </w:r>
    </w:p>
    <w:p w:rsidR="00714F5D" w:rsidRPr="001D0846" w:rsidRDefault="00714F5D" w:rsidP="00714F5D">
      <w:pPr>
        <w:spacing w:after="0" w:line="276" w:lineRule="auto"/>
        <w:ind w:right="-334"/>
        <w:jc w:val="both"/>
        <w:rPr>
          <w:rFonts w:ascii="Times New Roman" w:hAnsi="Times New Roman" w:cs="Times New Roman"/>
          <w:i/>
          <w:sz w:val="20"/>
          <w:szCs w:val="20"/>
        </w:rPr>
      </w:pPr>
      <w:r w:rsidRPr="001D0846">
        <w:rPr>
          <w:rFonts w:ascii="Times New Roman" w:hAnsi="Times New Roman" w:cs="Times New Roman"/>
          <w:noProof/>
          <w:sz w:val="28"/>
          <w:szCs w:val="28"/>
          <w:lang w:val="en-GB" w:eastAsia="en-GB"/>
        </w:rPr>
        <w:drawing>
          <wp:inline distT="0" distB="0" distL="0" distR="0">
            <wp:extent cx="6141720" cy="3063240"/>
            <wp:effectExtent l="0" t="0" r="11430" b="3810"/>
            <wp:docPr id="3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14F5D" w:rsidRPr="001D0846" w:rsidRDefault="00714F5D" w:rsidP="00714F5D">
      <w:pPr>
        <w:spacing w:after="0" w:line="240" w:lineRule="auto"/>
        <w:ind w:right="-331"/>
        <w:jc w:val="both"/>
        <w:rPr>
          <w:rFonts w:ascii="Times New Roman" w:eastAsia="Calibri" w:hAnsi="Times New Roman" w:cs="Times New Roman"/>
          <w:i/>
          <w:sz w:val="20"/>
          <w:szCs w:val="20"/>
        </w:rPr>
      </w:pPr>
      <w:r w:rsidRPr="001D0846">
        <w:rPr>
          <w:rFonts w:ascii="Times New Roman" w:eastAsia="Calibri" w:hAnsi="Times New Roman" w:cs="Times New Roman"/>
          <w:b/>
          <w:i/>
          <w:sz w:val="20"/>
          <w:szCs w:val="20"/>
        </w:rPr>
        <w:t>Sursă:</w:t>
      </w:r>
      <w:r w:rsidRPr="001D0846">
        <w:rPr>
          <w:rFonts w:ascii="Times New Roman" w:eastAsia="Calibri" w:hAnsi="Times New Roman" w:cs="Times New Roman"/>
          <w:i/>
          <w:sz w:val="20"/>
          <w:szCs w:val="20"/>
        </w:rPr>
        <w:t xml:space="preserve"> Date</w:t>
      </w:r>
      <w:r>
        <w:rPr>
          <w:rFonts w:ascii="Times New Roman" w:eastAsia="Calibri" w:hAnsi="Times New Roman" w:cs="Times New Roman"/>
          <w:i/>
          <w:sz w:val="20"/>
          <w:szCs w:val="20"/>
        </w:rPr>
        <w:t>le</w:t>
      </w:r>
      <w:r w:rsidRPr="001D0846">
        <w:rPr>
          <w:rFonts w:ascii="Times New Roman" w:eastAsia="Calibri" w:hAnsi="Times New Roman" w:cs="Times New Roman"/>
          <w:i/>
          <w:sz w:val="20"/>
          <w:szCs w:val="20"/>
        </w:rPr>
        <w:t xml:space="preserve"> generalizate de către echipa de audit în baza informațiilor din dările de seamă privind încasările la BS administrate de SV pe anii 2015-2017.</w:t>
      </w:r>
    </w:p>
    <w:p w:rsidR="00714F5D" w:rsidRPr="001D0846" w:rsidRDefault="00714F5D" w:rsidP="00714F5D">
      <w:pPr>
        <w:spacing w:after="0" w:line="240" w:lineRule="auto"/>
        <w:ind w:right="-331"/>
        <w:jc w:val="both"/>
        <w:rPr>
          <w:rFonts w:ascii="Times New Roman" w:hAnsi="Times New Roman" w:cs="Times New Roman"/>
          <w:i/>
          <w:sz w:val="20"/>
          <w:szCs w:val="20"/>
        </w:rPr>
      </w:pPr>
    </w:p>
    <w:p w:rsidR="00714F5D" w:rsidRPr="00576E18" w:rsidRDefault="00714F5D" w:rsidP="00714F5D">
      <w:pPr>
        <w:spacing w:after="0" w:line="276" w:lineRule="auto"/>
        <w:ind w:right="-255" w:firstLine="720"/>
        <w:jc w:val="right"/>
        <w:rPr>
          <w:rFonts w:ascii="Times New Roman" w:eastAsia="Calibri" w:hAnsi="Times New Roman" w:cs="Times New Roman"/>
          <w:b/>
          <w:sz w:val="28"/>
          <w:szCs w:val="28"/>
        </w:rPr>
      </w:pPr>
      <w:r w:rsidRPr="00576E18">
        <w:rPr>
          <w:rFonts w:ascii="Times New Roman" w:eastAsia="Calibri" w:hAnsi="Times New Roman" w:cs="Times New Roman"/>
          <w:b/>
          <w:sz w:val="28"/>
          <w:szCs w:val="28"/>
        </w:rPr>
        <w:lastRenderedPageBreak/>
        <w:t>Diagrama nr.10</w:t>
      </w:r>
    </w:p>
    <w:p w:rsidR="00714F5D" w:rsidRPr="001D0846" w:rsidRDefault="00714F5D" w:rsidP="00714F5D">
      <w:pPr>
        <w:spacing w:after="0" w:line="276" w:lineRule="auto"/>
        <w:ind w:right="-255" w:firstLine="720"/>
        <w:jc w:val="right"/>
        <w:rPr>
          <w:rFonts w:ascii="Times New Roman" w:eastAsia="Calibri" w:hAnsi="Times New Roman" w:cs="Times New Roman"/>
          <w:i/>
          <w:sz w:val="28"/>
          <w:szCs w:val="28"/>
        </w:rPr>
      </w:pPr>
      <w:r w:rsidRPr="00576E18">
        <w:rPr>
          <w:rFonts w:ascii="Times New Roman" w:eastAsia="Calibri" w:hAnsi="Times New Roman" w:cs="Times New Roman"/>
          <w:i/>
          <w:sz w:val="28"/>
          <w:szCs w:val="28"/>
        </w:rPr>
        <w:t>(mil.lei)</w:t>
      </w:r>
    </w:p>
    <w:p w:rsidR="00714F5D" w:rsidRPr="001D0846" w:rsidRDefault="00714F5D" w:rsidP="00714F5D">
      <w:pPr>
        <w:spacing w:after="0" w:line="276" w:lineRule="auto"/>
        <w:jc w:val="center"/>
        <w:rPr>
          <w:rFonts w:ascii="Times New Roman" w:eastAsia="Calibri" w:hAnsi="Times New Roman" w:cs="Times New Roman"/>
          <w:b/>
          <w:sz w:val="24"/>
          <w:szCs w:val="24"/>
        </w:rPr>
      </w:pPr>
      <w:r w:rsidRPr="001D0846">
        <w:rPr>
          <w:rFonts w:ascii="Times New Roman" w:eastAsia="Times New Roman" w:hAnsi="Times New Roman" w:cs="Times New Roman"/>
          <w:noProof/>
          <w:color w:val="2E74B5"/>
          <w:sz w:val="32"/>
          <w:szCs w:val="32"/>
          <w:lang w:val="en-GB" w:eastAsia="en-GB"/>
        </w:rPr>
        <w:drawing>
          <wp:inline distT="0" distB="0" distL="0" distR="0">
            <wp:extent cx="6126480" cy="2270760"/>
            <wp:effectExtent l="0" t="0" r="7620" b="1524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14F5D" w:rsidRPr="001D0846" w:rsidRDefault="00714F5D" w:rsidP="00714F5D">
      <w:pPr>
        <w:spacing w:after="0" w:line="276" w:lineRule="auto"/>
        <w:ind w:right="49"/>
        <w:jc w:val="both"/>
        <w:rPr>
          <w:rFonts w:ascii="Times New Roman" w:eastAsia="Calibri" w:hAnsi="Times New Roman" w:cs="Times New Roman"/>
          <w:i/>
          <w:sz w:val="20"/>
          <w:szCs w:val="20"/>
        </w:rPr>
      </w:pPr>
      <w:r w:rsidRPr="001D0846">
        <w:rPr>
          <w:rFonts w:ascii="Times New Roman" w:eastAsia="Calibri" w:hAnsi="Times New Roman" w:cs="Times New Roman"/>
          <w:b/>
          <w:i/>
          <w:sz w:val="20"/>
          <w:szCs w:val="20"/>
        </w:rPr>
        <w:t>Sursă:</w:t>
      </w:r>
      <w:r w:rsidRPr="001D0846">
        <w:rPr>
          <w:rFonts w:ascii="Times New Roman" w:eastAsia="Calibri" w:hAnsi="Times New Roman" w:cs="Times New Roman"/>
          <w:i/>
          <w:sz w:val="20"/>
          <w:szCs w:val="20"/>
        </w:rPr>
        <w:t xml:space="preserve"> Date</w:t>
      </w:r>
      <w:r>
        <w:rPr>
          <w:rFonts w:ascii="Times New Roman" w:eastAsia="Calibri" w:hAnsi="Times New Roman" w:cs="Times New Roman"/>
          <w:i/>
          <w:sz w:val="20"/>
          <w:szCs w:val="20"/>
        </w:rPr>
        <w:t>le</w:t>
      </w:r>
      <w:r w:rsidRPr="001D0846">
        <w:rPr>
          <w:rFonts w:ascii="Times New Roman" w:eastAsia="Calibri" w:hAnsi="Times New Roman" w:cs="Times New Roman"/>
          <w:i/>
          <w:sz w:val="20"/>
          <w:szCs w:val="20"/>
        </w:rPr>
        <w:t xml:space="preserve"> generalizate de către echipa de audit în baza informațiilor din dările de seamă privind restanțele la BPN administrate de SFS pe anii 2015-2017.</w:t>
      </w:r>
    </w:p>
    <w:p w:rsidR="00714F5D" w:rsidRPr="001D0846" w:rsidRDefault="00714F5D" w:rsidP="00714F5D">
      <w:pPr>
        <w:spacing w:after="0" w:line="276" w:lineRule="auto"/>
        <w:ind w:right="-334"/>
        <w:rPr>
          <w:rFonts w:ascii="Times New Roman" w:hAnsi="Times New Roman" w:cs="Times New Roman"/>
        </w:rPr>
      </w:pPr>
    </w:p>
    <w:p w:rsidR="00714F5D" w:rsidRDefault="00714F5D" w:rsidP="00714F5D">
      <w:pPr>
        <w:spacing w:after="0" w:line="276" w:lineRule="auto"/>
        <w:ind w:right="-334"/>
        <w:rPr>
          <w:rFonts w:ascii="Times New Roman" w:hAnsi="Times New Roman" w:cs="Times New Roman"/>
        </w:rPr>
      </w:pPr>
    </w:p>
    <w:p w:rsidR="00714F5D" w:rsidRPr="001D0846" w:rsidRDefault="00714F5D" w:rsidP="00714F5D">
      <w:pPr>
        <w:spacing w:after="0" w:line="276" w:lineRule="auto"/>
        <w:ind w:right="-334"/>
        <w:rPr>
          <w:rFonts w:ascii="Times New Roman" w:hAnsi="Times New Roman" w:cs="Times New Roman"/>
        </w:rPr>
      </w:pPr>
    </w:p>
    <w:p w:rsidR="00714F5D" w:rsidRPr="001D0846" w:rsidRDefault="00714F5D" w:rsidP="00714F5D">
      <w:pPr>
        <w:spacing w:after="0" w:line="276" w:lineRule="auto"/>
        <w:ind w:firstLine="709"/>
        <w:jc w:val="right"/>
        <w:rPr>
          <w:rFonts w:ascii="Times New Roman" w:eastAsia="Times New Roman" w:hAnsi="Times New Roman" w:cs="Times New Roman"/>
          <w:b/>
          <w:i/>
          <w:iCs/>
          <w:sz w:val="28"/>
          <w:szCs w:val="28"/>
        </w:rPr>
      </w:pPr>
      <w:r>
        <w:rPr>
          <w:rFonts w:ascii="Times New Roman" w:eastAsia="Times New Roman" w:hAnsi="Times New Roman" w:cs="Times New Roman"/>
          <w:b/>
          <w:i/>
          <w:iCs/>
          <w:sz w:val="28"/>
          <w:szCs w:val="28"/>
        </w:rPr>
        <w:t>Diagrama nr.11</w:t>
      </w:r>
    </w:p>
    <w:p w:rsidR="00714F5D" w:rsidRPr="00576E18" w:rsidRDefault="00714F5D" w:rsidP="00714F5D">
      <w:pPr>
        <w:spacing w:after="0" w:line="276" w:lineRule="auto"/>
        <w:ind w:firstLine="709"/>
        <w:jc w:val="center"/>
        <w:rPr>
          <w:rFonts w:ascii="Times New Roman" w:eastAsia="Times New Roman" w:hAnsi="Times New Roman" w:cs="Times New Roman"/>
          <w:i/>
          <w:iCs/>
          <w:sz w:val="28"/>
          <w:szCs w:val="28"/>
        </w:rPr>
      </w:pPr>
      <w:r w:rsidRPr="00576E18">
        <w:rPr>
          <w:rFonts w:ascii="Times New Roman" w:eastAsia="Times New Roman" w:hAnsi="Times New Roman" w:cs="Times New Roman"/>
          <w:i/>
          <w:iCs/>
          <w:sz w:val="28"/>
          <w:szCs w:val="28"/>
        </w:rPr>
        <w:t>Evoluția restanțelor la plăți</w:t>
      </w:r>
      <w:r>
        <w:rPr>
          <w:rFonts w:ascii="Times New Roman" w:eastAsia="Times New Roman" w:hAnsi="Times New Roman" w:cs="Times New Roman"/>
          <w:i/>
          <w:iCs/>
          <w:sz w:val="28"/>
          <w:szCs w:val="28"/>
        </w:rPr>
        <w:t>le</w:t>
      </w:r>
      <w:r w:rsidRPr="00576E18">
        <w:rPr>
          <w:rFonts w:ascii="Times New Roman" w:eastAsia="Times New Roman" w:hAnsi="Times New Roman" w:cs="Times New Roman"/>
          <w:i/>
          <w:iCs/>
          <w:sz w:val="28"/>
          <w:szCs w:val="28"/>
        </w:rPr>
        <w:t xml:space="preserve"> de bază în aspectul tipurilor de impozite și taxe la BS/BUAT administrate de SFS pentru anii 2015-2017</w:t>
      </w:r>
    </w:p>
    <w:p w:rsidR="00714F5D" w:rsidRPr="001D0846" w:rsidRDefault="00714F5D" w:rsidP="00714F5D">
      <w:pPr>
        <w:spacing w:after="0" w:line="276" w:lineRule="auto"/>
        <w:ind w:firstLine="709"/>
        <w:jc w:val="right"/>
        <w:rPr>
          <w:rFonts w:ascii="Times New Roman" w:eastAsia="Times New Roman" w:hAnsi="Times New Roman" w:cs="Times New Roman"/>
          <w:i/>
          <w:iCs/>
          <w:sz w:val="28"/>
          <w:szCs w:val="28"/>
        </w:rPr>
      </w:pPr>
      <w:r w:rsidRPr="001D0846">
        <w:rPr>
          <w:rFonts w:ascii="Times New Roman" w:eastAsia="Times New Roman" w:hAnsi="Times New Roman" w:cs="Times New Roman"/>
          <w:i/>
          <w:iCs/>
          <w:sz w:val="28"/>
          <w:szCs w:val="28"/>
        </w:rPr>
        <w:t>(mil.lei)</w:t>
      </w:r>
    </w:p>
    <w:p w:rsidR="00714F5D" w:rsidRPr="001D0846" w:rsidRDefault="00714F5D" w:rsidP="00714F5D">
      <w:pPr>
        <w:spacing w:after="0" w:line="276" w:lineRule="auto"/>
        <w:jc w:val="right"/>
        <w:rPr>
          <w:rFonts w:ascii="Times New Roman" w:eastAsia="Times New Roman" w:hAnsi="Times New Roman" w:cs="Times New Roman"/>
          <w:b/>
          <w:iCs/>
          <w:sz w:val="28"/>
          <w:szCs w:val="28"/>
        </w:rPr>
      </w:pPr>
      <w:r w:rsidRPr="001D0846">
        <w:rPr>
          <w:rFonts w:ascii="Times New Roman" w:hAnsi="Times New Roman" w:cs="Times New Roman"/>
          <w:noProof/>
          <w:lang w:val="en-GB" w:eastAsia="en-GB"/>
        </w:rPr>
        <w:drawing>
          <wp:inline distT="0" distB="0" distL="0" distR="0">
            <wp:extent cx="5928360" cy="2781300"/>
            <wp:effectExtent l="0" t="0" r="15240" b="0"/>
            <wp:docPr id="3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14F5D" w:rsidRPr="001D0846" w:rsidRDefault="00714F5D" w:rsidP="00714F5D">
      <w:pPr>
        <w:spacing w:after="0" w:line="240" w:lineRule="auto"/>
        <w:ind w:right="49"/>
        <w:jc w:val="both"/>
        <w:rPr>
          <w:rFonts w:ascii="Times New Roman" w:eastAsia="Calibri" w:hAnsi="Times New Roman" w:cs="Times New Roman"/>
          <w:i/>
          <w:sz w:val="20"/>
          <w:szCs w:val="20"/>
        </w:rPr>
      </w:pPr>
      <w:r w:rsidRPr="001D0846">
        <w:rPr>
          <w:rFonts w:ascii="Times New Roman" w:eastAsia="Calibri" w:hAnsi="Times New Roman" w:cs="Times New Roman"/>
          <w:b/>
          <w:i/>
          <w:sz w:val="20"/>
          <w:szCs w:val="20"/>
        </w:rPr>
        <w:t>Sursă:</w:t>
      </w:r>
      <w:r w:rsidRPr="001D0846">
        <w:rPr>
          <w:rFonts w:ascii="Times New Roman" w:eastAsia="Calibri" w:hAnsi="Times New Roman" w:cs="Times New Roman"/>
          <w:i/>
          <w:sz w:val="20"/>
          <w:szCs w:val="20"/>
        </w:rPr>
        <w:t xml:space="preserve"> Date</w:t>
      </w:r>
      <w:r>
        <w:rPr>
          <w:rFonts w:ascii="Times New Roman" w:eastAsia="Calibri" w:hAnsi="Times New Roman" w:cs="Times New Roman"/>
          <w:i/>
          <w:sz w:val="20"/>
          <w:szCs w:val="20"/>
        </w:rPr>
        <w:t>le</w:t>
      </w:r>
      <w:r w:rsidRPr="001D0846">
        <w:rPr>
          <w:rFonts w:ascii="Times New Roman" w:eastAsia="Calibri" w:hAnsi="Times New Roman" w:cs="Times New Roman"/>
          <w:i/>
          <w:sz w:val="20"/>
          <w:szCs w:val="20"/>
        </w:rPr>
        <w:t xml:space="preserve"> generalizate de către echipa de audit în baza informațiilor din dările de seamă privind restanțele la BPN administrate de SFS pe anii 2015-2017.</w:t>
      </w:r>
    </w:p>
    <w:p w:rsidR="00714F5D" w:rsidRPr="001D0846" w:rsidRDefault="00714F5D" w:rsidP="00714F5D">
      <w:pPr>
        <w:spacing w:after="0" w:line="240" w:lineRule="auto"/>
        <w:ind w:right="-334"/>
        <w:rPr>
          <w:rFonts w:ascii="Times New Roman" w:hAnsi="Times New Roman" w:cs="Times New Roman"/>
        </w:rPr>
      </w:pPr>
    </w:p>
    <w:p w:rsidR="00714F5D" w:rsidRPr="001D0846" w:rsidRDefault="00714F5D" w:rsidP="00714F5D">
      <w:pPr>
        <w:spacing w:after="0" w:line="276" w:lineRule="auto"/>
        <w:ind w:right="26" w:firstLine="706"/>
        <w:jc w:val="right"/>
        <w:rPr>
          <w:rFonts w:ascii="Times New Roman" w:eastAsia="Times New Roman" w:hAnsi="Times New Roman" w:cs="Times New Roman"/>
          <w:b/>
          <w:i/>
          <w:sz w:val="28"/>
          <w:szCs w:val="28"/>
        </w:rPr>
      </w:pPr>
    </w:p>
    <w:p w:rsidR="00714F5D" w:rsidRPr="001D0846" w:rsidRDefault="00714F5D" w:rsidP="00714F5D">
      <w:pPr>
        <w:spacing w:after="0" w:line="276" w:lineRule="auto"/>
        <w:ind w:right="26" w:firstLine="706"/>
        <w:jc w:val="right"/>
        <w:rPr>
          <w:rFonts w:ascii="Times New Roman" w:eastAsia="Times New Roman" w:hAnsi="Times New Roman" w:cs="Times New Roman"/>
          <w:b/>
          <w:i/>
          <w:sz w:val="28"/>
          <w:szCs w:val="28"/>
        </w:rPr>
      </w:pPr>
    </w:p>
    <w:p w:rsidR="00714F5D" w:rsidRPr="001D0846" w:rsidRDefault="00714F5D" w:rsidP="00714F5D">
      <w:pPr>
        <w:spacing w:after="0" w:line="276" w:lineRule="auto"/>
        <w:ind w:right="26" w:firstLine="706"/>
        <w:jc w:val="right"/>
        <w:rPr>
          <w:rFonts w:ascii="Times New Roman" w:eastAsia="Times New Roman" w:hAnsi="Times New Roman" w:cs="Times New Roman"/>
          <w:b/>
          <w:i/>
          <w:sz w:val="28"/>
          <w:szCs w:val="28"/>
        </w:rPr>
      </w:pPr>
      <w:r w:rsidRPr="001D0846">
        <w:rPr>
          <w:rFonts w:ascii="Times New Roman" w:eastAsia="Times New Roman" w:hAnsi="Times New Roman" w:cs="Times New Roman"/>
          <w:b/>
          <w:i/>
          <w:sz w:val="28"/>
          <w:szCs w:val="28"/>
        </w:rPr>
        <w:lastRenderedPageBreak/>
        <w:t>Diagrama nr.</w:t>
      </w:r>
      <w:r>
        <w:rPr>
          <w:rFonts w:ascii="Times New Roman" w:eastAsia="Times New Roman" w:hAnsi="Times New Roman" w:cs="Times New Roman"/>
          <w:b/>
          <w:i/>
          <w:sz w:val="28"/>
          <w:szCs w:val="28"/>
        </w:rPr>
        <w:t>12</w:t>
      </w:r>
    </w:p>
    <w:p w:rsidR="00714F5D" w:rsidRPr="001D0846" w:rsidRDefault="00714F5D" w:rsidP="00714F5D">
      <w:pPr>
        <w:spacing w:after="0" w:line="276" w:lineRule="auto"/>
        <w:ind w:right="26" w:firstLine="706"/>
        <w:jc w:val="right"/>
        <w:rPr>
          <w:rFonts w:ascii="Times New Roman" w:eastAsia="Times New Roman" w:hAnsi="Times New Roman" w:cs="Times New Roman"/>
          <w:i/>
          <w:sz w:val="28"/>
          <w:szCs w:val="28"/>
        </w:rPr>
      </w:pPr>
      <w:r w:rsidRPr="001D0846">
        <w:rPr>
          <w:rFonts w:ascii="Times New Roman" w:eastAsia="Times New Roman" w:hAnsi="Times New Roman" w:cs="Times New Roman"/>
          <w:i/>
          <w:sz w:val="28"/>
          <w:szCs w:val="28"/>
        </w:rPr>
        <w:t>(mil. lei)</w:t>
      </w:r>
    </w:p>
    <w:p w:rsidR="00714F5D" w:rsidRPr="001D0846" w:rsidRDefault="00714F5D" w:rsidP="00714F5D">
      <w:pPr>
        <w:spacing w:after="0" w:line="276" w:lineRule="auto"/>
        <w:jc w:val="center"/>
        <w:rPr>
          <w:rFonts w:ascii="Times New Roman" w:eastAsia="Times New Roman" w:hAnsi="Times New Roman" w:cs="Times New Roman"/>
          <w:sz w:val="28"/>
          <w:szCs w:val="28"/>
        </w:rPr>
      </w:pPr>
      <w:r w:rsidRPr="001D0846">
        <w:rPr>
          <w:rFonts w:ascii="Times New Roman" w:eastAsia="Times New Roman" w:hAnsi="Times New Roman" w:cs="Times New Roman"/>
          <w:noProof/>
          <w:sz w:val="28"/>
          <w:szCs w:val="28"/>
          <w:shd w:val="clear" w:color="auto" w:fill="FF0000"/>
          <w:lang w:val="en-GB" w:eastAsia="en-GB"/>
        </w:rPr>
        <w:drawing>
          <wp:inline distT="0" distB="0" distL="0" distR="0">
            <wp:extent cx="6004560" cy="2301240"/>
            <wp:effectExtent l="0" t="0" r="15240" b="381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14F5D" w:rsidRPr="001D0846" w:rsidRDefault="00714F5D" w:rsidP="00714F5D">
      <w:pPr>
        <w:spacing w:after="0" w:line="276" w:lineRule="auto"/>
        <w:ind w:right="49"/>
        <w:jc w:val="both"/>
        <w:rPr>
          <w:rFonts w:ascii="Times New Roman" w:eastAsia="Calibri" w:hAnsi="Times New Roman" w:cs="Times New Roman"/>
          <w:i/>
          <w:sz w:val="20"/>
          <w:szCs w:val="20"/>
        </w:rPr>
      </w:pPr>
      <w:r w:rsidRPr="001D0846">
        <w:rPr>
          <w:rFonts w:ascii="Times New Roman" w:eastAsia="Calibri" w:hAnsi="Times New Roman" w:cs="Times New Roman"/>
          <w:b/>
          <w:i/>
          <w:sz w:val="20"/>
          <w:szCs w:val="20"/>
        </w:rPr>
        <w:t>Sursă:</w:t>
      </w:r>
      <w:r w:rsidRPr="001D0846">
        <w:rPr>
          <w:rFonts w:ascii="Times New Roman" w:eastAsia="Calibri" w:hAnsi="Times New Roman" w:cs="Times New Roman"/>
          <w:i/>
          <w:sz w:val="20"/>
          <w:szCs w:val="20"/>
        </w:rPr>
        <w:t xml:space="preserve"> Date</w:t>
      </w:r>
      <w:r>
        <w:rPr>
          <w:rFonts w:ascii="Times New Roman" w:eastAsia="Calibri" w:hAnsi="Times New Roman" w:cs="Times New Roman"/>
          <w:i/>
          <w:sz w:val="20"/>
          <w:szCs w:val="20"/>
        </w:rPr>
        <w:t>le</w:t>
      </w:r>
      <w:r w:rsidRPr="001D0846">
        <w:rPr>
          <w:rFonts w:ascii="Times New Roman" w:eastAsia="Calibri" w:hAnsi="Times New Roman" w:cs="Times New Roman"/>
          <w:i/>
          <w:sz w:val="20"/>
          <w:szCs w:val="20"/>
        </w:rPr>
        <w:t xml:space="preserve"> generalizate de către echipa de audit în baza informațiilor din dările de seamă privind restanțele la BPN administrate de SFS pe anii 2015-2017.</w:t>
      </w:r>
    </w:p>
    <w:p w:rsidR="00714F5D" w:rsidRPr="001D0846" w:rsidRDefault="00714F5D" w:rsidP="00714F5D">
      <w:pPr>
        <w:spacing w:after="0" w:line="276" w:lineRule="auto"/>
        <w:ind w:firstLine="709"/>
        <w:jc w:val="both"/>
        <w:rPr>
          <w:rFonts w:ascii="Times New Roman" w:eastAsia="Times New Roman" w:hAnsi="Times New Roman" w:cs="Times New Roman"/>
          <w:iCs/>
          <w:sz w:val="28"/>
          <w:szCs w:val="28"/>
        </w:rPr>
      </w:pPr>
    </w:p>
    <w:p w:rsidR="00714F5D" w:rsidRPr="001D0846" w:rsidRDefault="00714F5D" w:rsidP="00714F5D">
      <w:pPr>
        <w:spacing w:after="0" w:line="276" w:lineRule="auto"/>
        <w:ind w:firstLine="709"/>
        <w:jc w:val="right"/>
        <w:rPr>
          <w:rFonts w:ascii="Times New Roman" w:eastAsia="Times New Roman" w:hAnsi="Times New Roman" w:cs="Times New Roman"/>
          <w:b/>
          <w:iCs/>
          <w:sz w:val="28"/>
          <w:szCs w:val="28"/>
        </w:rPr>
      </w:pPr>
      <w:r w:rsidRPr="001D0846">
        <w:rPr>
          <w:rFonts w:ascii="Times New Roman" w:eastAsia="Times New Roman" w:hAnsi="Times New Roman" w:cs="Times New Roman"/>
          <w:b/>
          <w:iCs/>
          <w:sz w:val="28"/>
          <w:szCs w:val="28"/>
        </w:rPr>
        <w:t>Diagrama nr</w:t>
      </w:r>
      <w:r>
        <w:rPr>
          <w:rFonts w:ascii="Times New Roman" w:eastAsia="Times New Roman" w:hAnsi="Times New Roman" w:cs="Times New Roman"/>
          <w:b/>
          <w:iCs/>
          <w:sz w:val="28"/>
          <w:szCs w:val="28"/>
        </w:rPr>
        <w:t>.14</w:t>
      </w:r>
    </w:p>
    <w:p w:rsidR="00714F5D" w:rsidRPr="001D0846" w:rsidRDefault="00714F5D" w:rsidP="00714F5D">
      <w:pPr>
        <w:spacing w:after="0" w:line="276" w:lineRule="auto"/>
        <w:ind w:firstLine="709"/>
        <w:jc w:val="right"/>
        <w:rPr>
          <w:i/>
          <w:color w:val="000000"/>
          <w:sz w:val="28"/>
          <w:szCs w:val="28"/>
        </w:rPr>
      </w:pPr>
      <w:r w:rsidRPr="001D0846">
        <w:rPr>
          <w:rFonts w:ascii="Times New Roman" w:eastAsia="Times New Roman" w:hAnsi="Times New Roman" w:cs="Times New Roman"/>
          <w:i/>
          <w:iCs/>
          <w:sz w:val="28"/>
          <w:szCs w:val="28"/>
        </w:rPr>
        <w:t>(mil.lei)</w:t>
      </w:r>
    </w:p>
    <w:p w:rsidR="00714F5D" w:rsidRPr="001D0846" w:rsidRDefault="00714F5D" w:rsidP="00714F5D">
      <w:pPr>
        <w:spacing w:after="0" w:line="276" w:lineRule="auto"/>
        <w:jc w:val="both"/>
        <w:rPr>
          <w:rFonts w:ascii="Times New Roman" w:hAnsi="Times New Roman" w:cs="Times New Roman"/>
          <w:sz w:val="28"/>
          <w:szCs w:val="28"/>
        </w:rPr>
      </w:pPr>
      <w:r w:rsidRPr="001D0846">
        <w:rPr>
          <w:noProof/>
          <w:lang w:val="en-GB" w:eastAsia="en-GB"/>
        </w:rPr>
        <w:drawing>
          <wp:inline distT="0" distB="0" distL="0" distR="0">
            <wp:extent cx="5981700" cy="3185160"/>
            <wp:effectExtent l="0" t="0" r="0" b="15240"/>
            <wp:docPr id="4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14F5D" w:rsidRPr="001D0846" w:rsidRDefault="00714F5D" w:rsidP="00714F5D">
      <w:pPr>
        <w:spacing w:after="0" w:line="276" w:lineRule="auto"/>
        <w:ind w:right="49"/>
        <w:jc w:val="both"/>
        <w:rPr>
          <w:rFonts w:ascii="Times New Roman" w:eastAsia="Calibri" w:hAnsi="Times New Roman" w:cs="Times New Roman"/>
          <w:i/>
          <w:sz w:val="20"/>
          <w:szCs w:val="20"/>
        </w:rPr>
      </w:pPr>
      <w:r w:rsidRPr="001D0846">
        <w:rPr>
          <w:rFonts w:ascii="Times New Roman" w:eastAsia="Calibri" w:hAnsi="Times New Roman" w:cs="Times New Roman"/>
          <w:b/>
          <w:i/>
          <w:sz w:val="20"/>
          <w:szCs w:val="20"/>
        </w:rPr>
        <w:t>Sursă:</w:t>
      </w:r>
      <w:r w:rsidRPr="001D0846">
        <w:rPr>
          <w:rFonts w:ascii="Times New Roman" w:eastAsia="Calibri" w:hAnsi="Times New Roman" w:cs="Times New Roman"/>
          <w:i/>
          <w:sz w:val="20"/>
          <w:szCs w:val="20"/>
        </w:rPr>
        <w:t xml:space="preserve"> Date</w:t>
      </w:r>
      <w:r>
        <w:rPr>
          <w:rFonts w:ascii="Times New Roman" w:eastAsia="Calibri" w:hAnsi="Times New Roman" w:cs="Times New Roman"/>
          <w:i/>
          <w:sz w:val="20"/>
          <w:szCs w:val="20"/>
        </w:rPr>
        <w:t>le</w:t>
      </w:r>
      <w:r w:rsidRPr="001D0846">
        <w:rPr>
          <w:rFonts w:ascii="Times New Roman" w:eastAsia="Calibri" w:hAnsi="Times New Roman" w:cs="Times New Roman"/>
          <w:i/>
          <w:sz w:val="20"/>
          <w:szCs w:val="20"/>
        </w:rPr>
        <w:t xml:space="preserve"> generalizate de către echipa de audit în baza informațiilor din rapoartele privind datoriile agenților economici față de BS pe anii 2015-2017.</w:t>
      </w:r>
    </w:p>
    <w:p w:rsidR="00714F5D" w:rsidRPr="001D0846" w:rsidRDefault="00714F5D" w:rsidP="00714F5D">
      <w:pPr>
        <w:spacing w:after="0" w:line="276" w:lineRule="auto"/>
        <w:jc w:val="both"/>
        <w:rPr>
          <w:rFonts w:ascii="Times New Roman" w:hAnsi="Times New Roman" w:cs="Times New Roman"/>
          <w:sz w:val="28"/>
          <w:szCs w:val="28"/>
        </w:rPr>
      </w:pPr>
    </w:p>
    <w:p w:rsidR="00714F5D" w:rsidRPr="001D0846" w:rsidRDefault="00714F5D" w:rsidP="00714F5D">
      <w:pPr>
        <w:spacing w:after="0" w:line="276" w:lineRule="auto"/>
        <w:rPr>
          <w:rFonts w:ascii="Times New Roman" w:hAnsi="Times New Roman" w:cs="Times New Roman"/>
          <w:b/>
          <w:i/>
          <w:sz w:val="28"/>
          <w:szCs w:val="28"/>
        </w:rPr>
      </w:pPr>
    </w:p>
    <w:p w:rsidR="00714F5D" w:rsidRPr="001D0846" w:rsidRDefault="00714F5D" w:rsidP="00714F5D">
      <w:pPr>
        <w:spacing w:after="0" w:line="276" w:lineRule="auto"/>
        <w:rPr>
          <w:rFonts w:ascii="Times New Roman" w:hAnsi="Times New Roman" w:cs="Times New Roman"/>
          <w:b/>
          <w:i/>
          <w:sz w:val="28"/>
          <w:szCs w:val="28"/>
        </w:rPr>
      </w:pPr>
    </w:p>
    <w:p w:rsidR="00714F5D" w:rsidRPr="001D0846" w:rsidRDefault="00714F5D" w:rsidP="00714F5D">
      <w:pPr>
        <w:spacing w:after="0" w:line="276" w:lineRule="auto"/>
        <w:rPr>
          <w:rFonts w:ascii="Times New Roman" w:hAnsi="Times New Roman" w:cs="Times New Roman"/>
          <w:b/>
          <w:i/>
          <w:sz w:val="28"/>
          <w:szCs w:val="28"/>
        </w:rPr>
      </w:pPr>
    </w:p>
    <w:p w:rsidR="00714F5D" w:rsidRPr="00C65598" w:rsidRDefault="00714F5D" w:rsidP="00714F5D">
      <w:pPr>
        <w:spacing w:after="0" w:line="276" w:lineRule="auto"/>
        <w:ind w:firstLine="567"/>
        <w:jc w:val="right"/>
        <w:rPr>
          <w:rFonts w:ascii="Times New Roman" w:hAnsi="Times New Roman"/>
          <w:b/>
          <w:color w:val="000000"/>
          <w:sz w:val="28"/>
          <w:szCs w:val="28"/>
        </w:rPr>
      </w:pPr>
      <w:r w:rsidRPr="00C65598">
        <w:rPr>
          <w:rFonts w:ascii="Times New Roman" w:hAnsi="Times New Roman"/>
          <w:b/>
          <w:color w:val="000000"/>
          <w:sz w:val="28"/>
          <w:szCs w:val="28"/>
        </w:rPr>
        <w:lastRenderedPageBreak/>
        <w:t>Diagrama nr.15</w:t>
      </w:r>
    </w:p>
    <w:p w:rsidR="00714F5D" w:rsidRPr="001D0846" w:rsidRDefault="00714F5D" w:rsidP="00714F5D">
      <w:pPr>
        <w:spacing w:after="0" w:line="276" w:lineRule="auto"/>
        <w:ind w:firstLine="567"/>
        <w:jc w:val="right"/>
        <w:rPr>
          <w:rFonts w:ascii="Times New Roman" w:hAnsi="Times New Roman"/>
          <w:i/>
          <w:color w:val="000000"/>
          <w:sz w:val="28"/>
          <w:szCs w:val="28"/>
        </w:rPr>
      </w:pPr>
      <w:r w:rsidRPr="00C65598">
        <w:rPr>
          <w:rFonts w:ascii="Times New Roman" w:hAnsi="Times New Roman"/>
          <w:i/>
          <w:color w:val="000000"/>
          <w:sz w:val="28"/>
          <w:szCs w:val="28"/>
        </w:rPr>
        <w:t>(mil.lei)</w:t>
      </w:r>
    </w:p>
    <w:p w:rsidR="00714F5D" w:rsidRPr="001D0846" w:rsidRDefault="00714F5D" w:rsidP="00714F5D">
      <w:pPr>
        <w:spacing w:after="0" w:line="276" w:lineRule="auto"/>
        <w:jc w:val="both"/>
        <w:rPr>
          <w:rFonts w:ascii="Times New Roman" w:hAnsi="Times New Roman"/>
          <w:color w:val="000000"/>
          <w:sz w:val="28"/>
          <w:szCs w:val="28"/>
        </w:rPr>
      </w:pPr>
      <w:r w:rsidRPr="001D0846">
        <w:rPr>
          <w:noProof/>
          <w:lang w:val="en-GB" w:eastAsia="en-GB"/>
        </w:rPr>
        <w:drawing>
          <wp:inline distT="0" distB="0" distL="0" distR="0">
            <wp:extent cx="5897880" cy="2836545"/>
            <wp:effectExtent l="0" t="0" r="7620" b="1905"/>
            <wp:docPr id="4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14F5D" w:rsidRPr="00163675" w:rsidRDefault="00714F5D" w:rsidP="00714F5D">
      <w:pPr>
        <w:spacing w:after="0" w:line="276" w:lineRule="auto"/>
        <w:ind w:right="49"/>
        <w:jc w:val="both"/>
        <w:rPr>
          <w:rFonts w:ascii="Times New Roman" w:eastAsia="Calibri" w:hAnsi="Times New Roman" w:cs="Times New Roman"/>
          <w:i/>
          <w:sz w:val="20"/>
          <w:szCs w:val="20"/>
        </w:rPr>
      </w:pPr>
      <w:r w:rsidRPr="001D0846">
        <w:rPr>
          <w:rFonts w:ascii="Times New Roman" w:eastAsia="Calibri" w:hAnsi="Times New Roman" w:cs="Times New Roman"/>
          <w:b/>
          <w:i/>
          <w:sz w:val="20"/>
          <w:szCs w:val="20"/>
        </w:rPr>
        <w:t>Sursă:</w:t>
      </w:r>
      <w:r w:rsidRPr="001D0846">
        <w:rPr>
          <w:rFonts w:ascii="Times New Roman" w:eastAsia="Calibri" w:hAnsi="Times New Roman" w:cs="Times New Roman"/>
          <w:i/>
          <w:sz w:val="20"/>
          <w:szCs w:val="20"/>
        </w:rPr>
        <w:t xml:space="preserve"> Date</w:t>
      </w:r>
      <w:r>
        <w:rPr>
          <w:rFonts w:ascii="Times New Roman" w:eastAsia="Calibri" w:hAnsi="Times New Roman" w:cs="Times New Roman"/>
          <w:i/>
          <w:sz w:val="20"/>
          <w:szCs w:val="20"/>
        </w:rPr>
        <w:t>le</w:t>
      </w:r>
      <w:r w:rsidRPr="001D0846">
        <w:rPr>
          <w:rFonts w:ascii="Times New Roman" w:eastAsia="Calibri" w:hAnsi="Times New Roman" w:cs="Times New Roman"/>
          <w:i/>
          <w:sz w:val="20"/>
          <w:szCs w:val="20"/>
        </w:rPr>
        <w:t xml:space="preserve"> generalizate de către echipa de audit în baza informațiilor din rapoartele privind datoriile agenților economici față de BS pe anii 2015-2017.</w:t>
      </w:r>
    </w:p>
    <w:p w:rsidR="00714F5D" w:rsidRDefault="00714F5D" w:rsidP="00714F5D">
      <w:pPr>
        <w:spacing w:after="0" w:line="276" w:lineRule="auto"/>
        <w:ind w:firstLine="567"/>
        <w:jc w:val="both"/>
        <w:rPr>
          <w:rFonts w:ascii="Times New Roman" w:hAnsi="Times New Roman"/>
          <w:color w:val="000000"/>
          <w:sz w:val="28"/>
          <w:szCs w:val="28"/>
        </w:rPr>
      </w:pPr>
    </w:p>
    <w:p w:rsidR="00714F5D" w:rsidRDefault="00714F5D" w:rsidP="00714F5D">
      <w:pPr>
        <w:pStyle w:val="ListParagraph"/>
        <w:tabs>
          <w:tab w:val="left" w:pos="0"/>
        </w:tabs>
        <w:spacing w:after="0" w:line="276" w:lineRule="auto"/>
        <w:ind w:left="0"/>
        <w:jc w:val="right"/>
        <w:rPr>
          <w:rFonts w:ascii="Times New Roman" w:hAnsi="Times New Roman" w:cs="Times New Roman"/>
          <w:b/>
          <w:sz w:val="28"/>
          <w:szCs w:val="28"/>
        </w:rPr>
      </w:pPr>
    </w:p>
    <w:p w:rsidR="00714F5D" w:rsidRDefault="00714F5D" w:rsidP="00714F5D">
      <w:pPr>
        <w:pStyle w:val="ListParagraph"/>
        <w:tabs>
          <w:tab w:val="left" w:pos="0"/>
        </w:tabs>
        <w:spacing w:after="0" w:line="276" w:lineRule="auto"/>
        <w:ind w:left="0"/>
        <w:jc w:val="right"/>
        <w:rPr>
          <w:rFonts w:ascii="Times New Roman" w:hAnsi="Times New Roman" w:cs="Times New Roman"/>
          <w:b/>
          <w:sz w:val="28"/>
          <w:szCs w:val="28"/>
        </w:rPr>
      </w:pPr>
    </w:p>
    <w:p w:rsidR="00714F5D" w:rsidRPr="00ED77D9" w:rsidRDefault="00714F5D" w:rsidP="00714F5D">
      <w:pPr>
        <w:spacing w:after="0" w:line="276" w:lineRule="auto"/>
        <w:ind w:firstLine="450"/>
        <w:jc w:val="both"/>
        <w:rPr>
          <w:rFonts w:ascii="Times New Roman" w:hAnsi="Times New Roman" w:cs="Times New Roman"/>
          <w:sz w:val="24"/>
          <w:szCs w:val="24"/>
        </w:rPr>
      </w:pPr>
    </w:p>
    <w:p w:rsidR="00714F5D" w:rsidRPr="005B7DDF" w:rsidRDefault="00714F5D" w:rsidP="00714F5D">
      <w:pPr>
        <w:pStyle w:val="ListParagraph"/>
        <w:tabs>
          <w:tab w:val="left" w:pos="284"/>
          <w:tab w:val="left" w:pos="450"/>
          <w:tab w:val="left" w:pos="8730"/>
        </w:tabs>
        <w:spacing w:after="0" w:line="240" w:lineRule="auto"/>
        <w:ind w:left="0" w:right="9"/>
        <w:jc w:val="both"/>
        <w:rPr>
          <w:rFonts w:ascii="Times New Roman" w:hAnsi="Times New Roman" w:cs="Times New Roman"/>
          <w:b/>
          <w:sz w:val="28"/>
          <w:szCs w:val="28"/>
        </w:rPr>
      </w:pPr>
    </w:p>
    <w:p w:rsidR="00714F5D" w:rsidRPr="00D849E4" w:rsidRDefault="00714F5D" w:rsidP="00714F5D">
      <w:pPr>
        <w:pStyle w:val="ListParagraph"/>
        <w:tabs>
          <w:tab w:val="left" w:pos="284"/>
          <w:tab w:val="left" w:pos="450"/>
          <w:tab w:val="left" w:pos="8730"/>
        </w:tabs>
        <w:spacing w:after="0" w:line="276" w:lineRule="auto"/>
        <w:ind w:left="0" w:right="9"/>
        <w:jc w:val="both"/>
        <w:rPr>
          <w:rFonts w:ascii="Times New Roman" w:hAnsi="Times New Roman" w:cs="Times New Roman"/>
        </w:rPr>
      </w:pPr>
    </w:p>
    <w:p w:rsidR="00D849E4" w:rsidRPr="00D849E4" w:rsidRDefault="00D849E4" w:rsidP="00714F5D">
      <w:pPr>
        <w:pStyle w:val="Heading1"/>
        <w:spacing w:line="276" w:lineRule="auto"/>
        <w:jc w:val="center"/>
        <w:rPr>
          <w:rFonts w:ascii="Times New Roman" w:hAnsi="Times New Roman" w:cs="Times New Roman"/>
        </w:rPr>
      </w:pPr>
    </w:p>
    <w:sectPr w:rsidR="00D849E4" w:rsidRPr="00D849E4" w:rsidSect="008E6F50">
      <w:pgSz w:w="12240" w:h="15840"/>
      <w:pgMar w:top="1440" w:right="1166" w:bottom="1138" w:left="1699"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382D" w:rsidRDefault="00C4382D" w:rsidP="00A0239F">
      <w:pPr>
        <w:spacing w:after="0" w:line="240" w:lineRule="auto"/>
      </w:pPr>
      <w:r>
        <w:separator/>
      </w:r>
    </w:p>
  </w:endnote>
  <w:endnote w:type="continuationSeparator" w:id="1">
    <w:p w:rsidR="00C4382D" w:rsidRDefault="00C4382D" w:rsidP="00A023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8568511"/>
      <w:docPartObj>
        <w:docPartGallery w:val="Page Numbers (Bottom of Page)"/>
        <w:docPartUnique/>
      </w:docPartObj>
    </w:sdtPr>
    <w:sdtEndPr>
      <w:rPr>
        <w:noProof/>
      </w:rPr>
    </w:sdtEndPr>
    <w:sdtContent>
      <w:p w:rsidR="00E43F8F" w:rsidRDefault="00B82FB3">
        <w:pPr>
          <w:pStyle w:val="Footer"/>
          <w:jc w:val="right"/>
        </w:pPr>
        <w:r>
          <w:fldChar w:fldCharType="begin"/>
        </w:r>
        <w:r w:rsidR="00E43F8F">
          <w:instrText xml:space="preserve"> PAGE   \* MERGEFORMAT </w:instrText>
        </w:r>
        <w:r>
          <w:fldChar w:fldCharType="separate"/>
        </w:r>
        <w:r w:rsidR="00C30938">
          <w:rPr>
            <w:noProof/>
          </w:rPr>
          <w:t>82</w:t>
        </w:r>
        <w:r>
          <w:rPr>
            <w:noProof/>
          </w:rPr>
          <w:fldChar w:fldCharType="end"/>
        </w:r>
      </w:p>
    </w:sdtContent>
  </w:sdt>
  <w:p w:rsidR="00E43F8F" w:rsidRDefault="00E43F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382D" w:rsidRDefault="00C4382D" w:rsidP="00A0239F">
      <w:pPr>
        <w:spacing w:after="0" w:line="240" w:lineRule="auto"/>
      </w:pPr>
      <w:r>
        <w:separator/>
      </w:r>
    </w:p>
  </w:footnote>
  <w:footnote w:type="continuationSeparator" w:id="1">
    <w:p w:rsidR="00C4382D" w:rsidRDefault="00C4382D" w:rsidP="00A0239F">
      <w:pPr>
        <w:spacing w:after="0" w:line="240" w:lineRule="auto"/>
      </w:pPr>
      <w:r>
        <w:continuationSeparator/>
      </w:r>
    </w:p>
  </w:footnote>
  <w:footnote w:id="2">
    <w:p w:rsidR="00E43F8F" w:rsidRPr="00444DCB" w:rsidRDefault="00E43F8F" w:rsidP="006358AD">
      <w:pPr>
        <w:pStyle w:val="NoSpacing"/>
        <w:jc w:val="both"/>
        <w:rPr>
          <w:rFonts w:ascii="Times New Roman" w:hAnsi="Times New Roman" w:cs="Times New Roman"/>
          <w:color w:val="FF0000"/>
          <w:sz w:val="20"/>
          <w:szCs w:val="20"/>
          <w:lang w:val="ro-RO"/>
        </w:rPr>
      </w:pPr>
      <w:r w:rsidRPr="00444DCB">
        <w:rPr>
          <w:rStyle w:val="FootnoteReference"/>
          <w:rFonts w:ascii="Times New Roman" w:hAnsi="Times New Roman" w:cs="Times New Roman"/>
          <w:sz w:val="20"/>
          <w:szCs w:val="20"/>
        </w:rPr>
        <w:footnoteRef/>
      </w:r>
      <w:r w:rsidRPr="00444DCB">
        <w:rPr>
          <w:rFonts w:ascii="Times New Roman" w:hAnsi="Times New Roman" w:cs="Times New Roman"/>
          <w:sz w:val="20"/>
          <w:szCs w:val="20"/>
          <w:lang w:val="ro-RO"/>
        </w:rPr>
        <w:t>Programul activității de audit a Curții de Conturi pe anul 2017, aprobat prin Hotărârea Curții de Conturi nr.</w:t>
      </w:r>
      <w:r w:rsidRPr="00444DCB">
        <w:rPr>
          <w:rFonts w:ascii="Times New Roman" w:hAnsi="Times New Roman" w:cs="Times New Roman"/>
          <w:sz w:val="20"/>
          <w:szCs w:val="20"/>
        </w:rPr>
        <w:t>47 din 05.12.2016</w:t>
      </w:r>
      <w:r w:rsidRPr="00444DCB">
        <w:rPr>
          <w:rFonts w:ascii="Times New Roman" w:hAnsi="Times New Roman" w:cs="Times New Roman"/>
          <w:sz w:val="20"/>
          <w:szCs w:val="20"/>
          <w:lang w:val="ro-RO"/>
        </w:rPr>
        <w:t xml:space="preserve"> (cu modificările</w:t>
      </w:r>
      <w:r>
        <w:rPr>
          <w:rFonts w:ascii="Times New Roman" w:hAnsi="Times New Roman" w:cs="Times New Roman"/>
          <w:sz w:val="20"/>
          <w:szCs w:val="20"/>
          <w:lang w:val="ro-RO"/>
        </w:rPr>
        <w:t xml:space="preserve"> și completările</w:t>
      </w:r>
      <w:r w:rsidRPr="00444DCB">
        <w:rPr>
          <w:rFonts w:ascii="Times New Roman" w:hAnsi="Times New Roman" w:cs="Times New Roman"/>
          <w:sz w:val="20"/>
          <w:szCs w:val="20"/>
          <w:lang w:val="ro-RO"/>
        </w:rPr>
        <w:t xml:space="preserve"> ulterioare</w:t>
      </w:r>
      <w:r>
        <w:rPr>
          <w:rFonts w:ascii="Times New Roman" w:hAnsi="Times New Roman" w:cs="Times New Roman"/>
          <w:sz w:val="20"/>
          <w:szCs w:val="20"/>
          <w:lang w:val="ro-RO"/>
        </w:rPr>
        <w:t>; în continuare – Programul activității de audit a Curții de Conturi pe anul 2017</w:t>
      </w:r>
      <w:r w:rsidRPr="00444DCB">
        <w:rPr>
          <w:rFonts w:ascii="Times New Roman" w:hAnsi="Times New Roman" w:cs="Times New Roman"/>
          <w:sz w:val="20"/>
          <w:szCs w:val="20"/>
          <w:lang w:val="ro-RO"/>
        </w:rPr>
        <w:t>).</w:t>
      </w:r>
    </w:p>
  </w:footnote>
  <w:footnote w:id="3">
    <w:p w:rsidR="00E43F8F" w:rsidRPr="000258F9" w:rsidRDefault="00E43F8F" w:rsidP="000258F9">
      <w:pPr>
        <w:pStyle w:val="FootnoteText"/>
        <w:jc w:val="both"/>
        <w:rPr>
          <w:rFonts w:ascii="Times New Roman" w:hAnsi="Times New Roman" w:cs="Times New Roman"/>
        </w:rPr>
      </w:pPr>
      <w:r w:rsidRPr="00D22580">
        <w:rPr>
          <w:rStyle w:val="FootnoteReference"/>
          <w:rFonts w:ascii="Times New Roman" w:hAnsi="Times New Roman" w:cs="Times New Roman"/>
        </w:rPr>
        <w:footnoteRef/>
      </w:r>
      <w:r>
        <w:rPr>
          <w:rFonts w:ascii="Times New Roman" w:hAnsi="Times New Roman" w:cs="Times New Roman"/>
        </w:rPr>
        <w:t xml:space="preserve">Regulamentul privind organizarea și funcționarea organelor Serviciului Fiscal de Stat, aprobat prin Hotărârea Guvernului nr.1736 din 31.12.2002; </w:t>
      </w:r>
      <w:r w:rsidRPr="00D22580">
        <w:rPr>
          <w:rFonts w:ascii="Times New Roman" w:hAnsi="Times New Roman" w:cs="Times New Roman"/>
        </w:rPr>
        <w:t>Regulament</w:t>
      </w:r>
      <w:r>
        <w:rPr>
          <w:rFonts w:ascii="Times New Roman" w:hAnsi="Times New Roman" w:cs="Times New Roman"/>
        </w:rPr>
        <w:t>ul privind organizarea și funcționarea Serviciului Fiscal de Stat, aprobat prin Hotărîrea Guvernului nr.395 din 05.06.2017; Legea serviciului în organele vamale nr.1150 din 20.07.2000; Legea nr.302 din 21.12.2017 cu privire la Serviciul Vamal.</w:t>
      </w:r>
    </w:p>
  </w:footnote>
  <w:footnote w:id="4">
    <w:p w:rsidR="00E43F8F" w:rsidRPr="000258F9" w:rsidRDefault="00E43F8F" w:rsidP="000258F9">
      <w:pPr>
        <w:pStyle w:val="ListParagraph"/>
        <w:spacing w:after="0" w:line="240" w:lineRule="auto"/>
        <w:ind w:left="0"/>
        <w:jc w:val="both"/>
        <w:rPr>
          <w:rFonts w:ascii="Times New Roman" w:hAnsi="Times New Roman" w:cs="Times New Roman"/>
          <w:sz w:val="20"/>
          <w:szCs w:val="20"/>
        </w:rPr>
      </w:pPr>
      <w:r w:rsidRPr="000258F9">
        <w:rPr>
          <w:rStyle w:val="FootnoteReference"/>
          <w:rFonts w:ascii="Times New Roman" w:hAnsi="Times New Roman" w:cs="Times New Roman"/>
          <w:sz w:val="20"/>
          <w:szCs w:val="20"/>
        </w:rPr>
        <w:footnoteRef/>
      </w:r>
      <w:r w:rsidRPr="000258F9">
        <w:rPr>
          <w:rFonts w:ascii="Times New Roman" w:hAnsi="Times New Roman" w:cs="Times New Roman"/>
          <w:sz w:val="20"/>
          <w:szCs w:val="20"/>
        </w:rPr>
        <w:t xml:space="preserve"> Planul de Dezvoltare Strategică pe anii 2016-2020, aprobat prin Hotărârea Curții de Conturi nr.39 din 10 noiembrie 2016.</w:t>
      </w:r>
    </w:p>
  </w:footnote>
  <w:footnote w:id="5">
    <w:p w:rsidR="00E43F8F" w:rsidRPr="00444DCB" w:rsidRDefault="00E43F8F" w:rsidP="000258F9">
      <w:pPr>
        <w:pStyle w:val="NoSpacing"/>
        <w:jc w:val="both"/>
        <w:rPr>
          <w:rFonts w:ascii="Times New Roman" w:hAnsi="Times New Roman" w:cs="Times New Roman"/>
          <w:color w:val="FF0000"/>
          <w:sz w:val="20"/>
          <w:szCs w:val="20"/>
          <w:lang w:val="ro-RO"/>
        </w:rPr>
      </w:pPr>
      <w:r w:rsidRPr="000258F9">
        <w:rPr>
          <w:rStyle w:val="FootnoteReference"/>
          <w:rFonts w:ascii="Times New Roman" w:hAnsi="Times New Roman" w:cs="Times New Roman"/>
          <w:sz w:val="20"/>
          <w:szCs w:val="20"/>
        </w:rPr>
        <w:footnoteRef/>
      </w:r>
      <w:r w:rsidRPr="000258F9">
        <w:rPr>
          <w:rFonts w:ascii="Times New Roman" w:hAnsi="Times New Roman" w:cs="Times New Roman"/>
          <w:sz w:val="20"/>
          <w:szCs w:val="20"/>
          <w:lang w:val="ro-RO"/>
        </w:rPr>
        <w:t>Programul activității de audit a Curții de Conturi pe anul 2017</w:t>
      </w:r>
      <w:r>
        <w:rPr>
          <w:rFonts w:ascii="Times New Roman" w:hAnsi="Times New Roman" w:cs="Times New Roman"/>
          <w:sz w:val="20"/>
          <w:szCs w:val="20"/>
          <w:lang w:val="ro-RO"/>
        </w:rPr>
        <w:t>.</w:t>
      </w:r>
    </w:p>
  </w:footnote>
  <w:footnote w:id="6">
    <w:p w:rsidR="00E43F8F" w:rsidRPr="00444DCB" w:rsidRDefault="00E43F8F" w:rsidP="00982BF8">
      <w:pPr>
        <w:pStyle w:val="FootnoteText"/>
        <w:jc w:val="both"/>
        <w:rPr>
          <w:rFonts w:ascii="Times New Roman" w:hAnsi="Times New Roman" w:cs="Times New Roman"/>
        </w:rPr>
      </w:pPr>
      <w:r w:rsidRPr="00444DCB">
        <w:rPr>
          <w:rStyle w:val="FootnoteReference"/>
          <w:rFonts w:ascii="Times New Roman" w:hAnsi="Times New Roman" w:cs="Times New Roman"/>
        </w:rPr>
        <w:footnoteRef/>
      </w:r>
      <w:r>
        <w:rPr>
          <w:rFonts w:ascii="Times New Roman" w:hAnsi="Times New Roman" w:cs="Times New Roman"/>
        </w:rPr>
        <w:t xml:space="preserve">Art.133 alin. (1) din </w:t>
      </w:r>
      <w:r w:rsidRPr="00444DCB">
        <w:rPr>
          <w:rFonts w:ascii="Times New Roman" w:hAnsi="Times New Roman" w:cs="Times New Roman"/>
        </w:rPr>
        <w:t>Constituția Republicii Moldova din 29.07.1994, Legea Curții de Conturi nr.261 din 05.12.2008.</w:t>
      </w:r>
    </w:p>
  </w:footnote>
  <w:footnote w:id="7">
    <w:p w:rsidR="00E43F8F" w:rsidRPr="00D31413" w:rsidRDefault="00E43F8F" w:rsidP="00D31413">
      <w:pPr>
        <w:spacing w:after="0" w:line="276" w:lineRule="auto"/>
        <w:jc w:val="both"/>
        <w:rPr>
          <w:rFonts w:ascii="Times New Roman" w:hAnsi="Times New Roman" w:cs="Times New Roman"/>
          <w:sz w:val="20"/>
          <w:szCs w:val="20"/>
        </w:rPr>
      </w:pPr>
      <w:r w:rsidRPr="00D31413">
        <w:rPr>
          <w:rStyle w:val="FootnoteReference"/>
          <w:rFonts w:ascii="Times New Roman" w:hAnsi="Times New Roman" w:cs="Times New Roman"/>
          <w:sz w:val="20"/>
          <w:szCs w:val="20"/>
        </w:rPr>
        <w:footnoteRef/>
      </w:r>
      <w:r w:rsidRPr="00D31413">
        <w:rPr>
          <w:rFonts w:ascii="Times New Roman" w:eastAsia="Calibri" w:hAnsi="Times New Roman" w:cs="Times New Roman"/>
          <w:sz w:val="20"/>
          <w:szCs w:val="20"/>
        </w:rPr>
        <w:t xml:space="preserve">Strategia de dezvoltare a SFS pentru anii 2016-2020, </w:t>
      </w:r>
      <w:r w:rsidRPr="00D31413">
        <w:rPr>
          <w:rFonts w:ascii="Times New Roman" w:hAnsi="Times New Roman" w:cs="Times New Roman"/>
          <w:sz w:val="20"/>
          <w:szCs w:val="20"/>
        </w:rPr>
        <w:t>aprobată de către Colegiul Ministerului Finanțelor prin Extrasul procesului-verbal nr.4/1 din 03.08.2016.</w:t>
      </w:r>
    </w:p>
  </w:footnote>
  <w:footnote w:id="8">
    <w:p w:rsidR="00E43F8F" w:rsidRPr="00D31413" w:rsidRDefault="00E43F8F" w:rsidP="00D31413">
      <w:pPr>
        <w:spacing w:after="0" w:line="276" w:lineRule="auto"/>
        <w:jc w:val="both"/>
        <w:rPr>
          <w:rFonts w:ascii="Times New Roman" w:hAnsi="Times New Roman" w:cs="Times New Roman"/>
          <w:sz w:val="20"/>
          <w:szCs w:val="20"/>
        </w:rPr>
      </w:pPr>
      <w:r w:rsidRPr="00D31413">
        <w:rPr>
          <w:rStyle w:val="FootnoteReference"/>
          <w:rFonts w:ascii="Times New Roman" w:hAnsi="Times New Roman" w:cs="Times New Roman"/>
          <w:sz w:val="20"/>
          <w:szCs w:val="20"/>
        </w:rPr>
        <w:footnoteRef/>
      </w:r>
      <w:r w:rsidRPr="00D31413">
        <w:rPr>
          <w:rFonts w:ascii="Times New Roman" w:hAnsi="Times New Roman" w:cs="Times New Roman"/>
          <w:sz w:val="20"/>
          <w:szCs w:val="20"/>
        </w:rPr>
        <w:t xml:space="preserve"> Programul Strategic VAMA 2020, aprobat prin Ordinul SV nr.126-O din 06.04.2017.</w:t>
      </w:r>
    </w:p>
    <w:p w:rsidR="00E43F8F" w:rsidRPr="00D31413" w:rsidRDefault="00E43F8F" w:rsidP="00D31413">
      <w:pPr>
        <w:pStyle w:val="FootnoteText"/>
        <w:jc w:val="both"/>
        <w:rPr>
          <w:rFonts w:ascii="Times New Roman" w:hAnsi="Times New Roman" w:cs="Times New Roman"/>
        </w:rPr>
      </w:pPr>
    </w:p>
  </w:footnote>
  <w:footnote w:id="9">
    <w:p w:rsidR="00E43F8F" w:rsidRPr="00E05EC0" w:rsidRDefault="00E43F8F" w:rsidP="00011621">
      <w:pPr>
        <w:pStyle w:val="FootnoteText"/>
        <w:jc w:val="both"/>
        <w:rPr>
          <w:rFonts w:ascii="Times New Roman" w:hAnsi="Times New Roman" w:cs="Times New Roman"/>
          <w:b/>
        </w:rPr>
      </w:pPr>
      <w:r w:rsidRPr="00E05EC0">
        <w:rPr>
          <w:rStyle w:val="FootnoteReference"/>
          <w:rFonts w:ascii="Times New Roman" w:hAnsi="Times New Roman" w:cs="Times New Roman"/>
        </w:rPr>
        <w:footnoteRef/>
      </w:r>
      <w:r w:rsidRPr="00E05EC0">
        <w:rPr>
          <w:rFonts w:ascii="Times New Roman" w:hAnsi="Times New Roman" w:cs="Times New Roman"/>
        </w:rPr>
        <w:t>Raport</w:t>
      </w:r>
      <w:r>
        <w:rPr>
          <w:rFonts w:ascii="Times New Roman" w:hAnsi="Times New Roman" w:cs="Times New Roman"/>
        </w:rPr>
        <w:t>ul</w:t>
      </w:r>
      <w:r w:rsidRPr="00E05EC0">
        <w:rPr>
          <w:rFonts w:ascii="Times New Roman" w:hAnsi="Times New Roman" w:cs="Times New Roman"/>
        </w:rPr>
        <w:t xml:space="preserve"> de performanță </w:t>
      </w:r>
      <w:r>
        <w:rPr>
          <w:rFonts w:ascii="Times New Roman" w:hAnsi="Times New Roman" w:cs="Times New Roman"/>
        </w:rPr>
        <w:t xml:space="preserve">al SFS </w:t>
      </w:r>
      <w:r w:rsidRPr="00E05EC0">
        <w:rPr>
          <w:rFonts w:ascii="Times New Roman" w:hAnsi="Times New Roman" w:cs="Times New Roman"/>
        </w:rPr>
        <w:t>la situația din 01.01.2018</w:t>
      </w:r>
      <w:r>
        <w:rPr>
          <w:rFonts w:ascii="Times New Roman" w:hAnsi="Times New Roman" w:cs="Times New Roman"/>
        </w:rPr>
        <w:t xml:space="preserve"> (Forma FD 053).</w:t>
      </w:r>
    </w:p>
    <w:p w:rsidR="00E43F8F" w:rsidRPr="00E05EC0" w:rsidRDefault="00E43F8F" w:rsidP="00011621">
      <w:pPr>
        <w:pStyle w:val="FootnoteText"/>
      </w:pPr>
    </w:p>
  </w:footnote>
  <w:footnote w:id="10">
    <w:p w:rsidR="00E43F8F" w:rsidRPr="00AD5B7D" w:rsidRDefault="00E43F8F" w:rsidP="00BE46F1">
      <w:pPr>
        <w:pStyle w:val="FootnoteText"/>
        <w:jc w:val="both"/>
        <w:rPr>
          <w:rFonts w:ascii="Times New Roman" w:hAnsi="Times New Roman" w:cs="Times New Roman"/>
        </w:rPr>
      </w:pPr>
      <w:r w:rsidRPr="00AD5B7D">
        <w:rPr>
          <w:rStyle w:val="FootnoteReference"/>
          <w:rFonts w:ascii="Times New Roman" w:hAnsi="Times New Roman" w:cs="Times New Roman"/>
        </w:rPr>
        <w:footnoteRef/>
      </w:r>
      <w:r w:rsidRPr="00AD5B7D">
        <w:rPr>
          <w:rFonts w:ascii="Times New Roman" w:hAnsi="Times New Roman" w:cs="Times New Roman"/>
        </w:rPr>
        <w:t xml:space="preserve">  Legea finanțelor publice și responsabilității bugetar-fiscale nr.181 din 25.07.2014 (în continuare – Legea nr.181 din 25.07.2014).</w:t>
      </w:r>
    </w:p>
  </w:footnote>
  <w:footnote w:id="11">
    <w:p w:rsidR="00E43F8F" w:rsidRPr="00AD5B7D" w:rsidRDefault="00E43F8F" w:rsidP="00BE46F1">
      <w:pPr>
        <w:pStyle w:val="FootnoteText"/>
        <w:jc w:val="both"/>
        <w:rPr>
          <w:rFonts w:ascii="Times New Roman" w:hAnsi="Times New Roman" w:cs="Times New Roman"/>
        </w:rPr>
      </w:pPr>
      <w:r w:rsidRPr="00AD5B7D">
        <w:rPr>
          <w:rStyle w:val="FootnoteReference"/>
          <w:rFonts w:ascii="Times New Roman" w:hAnsi="Times New Roman" w:cs="Times New Roman"/>
        </w:rPr>
        <w:footnoteRef/>
      </w:r>
      <w:r w:rsidRPr="00AD5B7D">
        <w:rPr>
          <w:rFonts w:ascii="Times New Roman" w:hAnsi="Times New Roman" w:cs="Times New Roman"/>
        </w:rPr>
        <w:t xml:space="preserve"> Ordinul </w:t>
      </w:r>
      <w:r>
        <w:rPr>
          <w:rFonts w:ascii="Times New Roman" w:hAnsi="Times New Roman" w:cs="Times New Roman"/>
        </w:rPr>
        <w:t>m</w:t>
      </w:r>
      <w:r w:rsidRPr="00AD5B7D">
        <w:rPr>
          <w:rFonts w:ascii="Times New Roman" w:hAnsi="Times New Roman" w:cs="Times New Roman"/>
        </w:rPr>
        <w:t xml:space="preserve">inistrului </w:t>
      </w:r>
      <w:r>
        <w:rPr>
          <w:rFonts w:ascii="Times New Roman" w:hAnsi="Times New Roman" w:cs="Times New Roman"/>
        </w:rPr>
        <w:t>f</w:t>
      </w:r>
      <w:r w:rsidRPr="00AD5B7D">
        <w:rPr>
          <w:rFonts w:ascii="Times New Roman" w:hAnsi="Times New Roman" w:cs="Times New Roman"/>
        </w:rPr>
        <w:t xml:space="preserve">inanțelor nr.209 din 24.12.2015 </w:t>
      </w:r>
      <w:r>
        <w:rPr>
          <w:rFonts w:ascii="Times New Roman" w:hAnsi="Times New Roman" w:cs="Times New Roman"/>
        </w:rPr>
        <w:t>,,C</w:t>
      </w:r>
      <w:r w:rsidRPr="00AD5B7D">
        <w:rPr>
          <w:rFonts w:ascii="Times New Roman" w:hAnsi="Times New Roman" w:cs="Times New Roman"/>
        </w:rPr>
        <w:t>u privire la aprobarea Setului metodologic privind elaborarea, aprobarea și modificarea bugetului</w:t>
      </w:r>
      <w:r>
        <w:rPr>
          <w:rFonts w:ascii="Times New Roman" w:hAnsi="Times New Roman" w:cs="Times New Roman"/>
        </w:rPr>
        <w:t>”</w:t>
      </w:r>
      <w:r w:rsidRPr="00AD5B7D">
        <w:rPr>
          <w:rFonts w:ascii="Times New Roman" w:hAnsi="Times New Roman" w:cs="Times New Roman"/>
        </w:rPr>
        <w:t xml:space="preserve"> (în continuare - Setul metodologic, aprobat prin Ordinul </w:t>
      </w:r>
      <w:r>
        <w:rPr>
          <w:rFonts w:ascii="Times New Roman" w:hAnsi="Times New Roman" w:cs="Times New Roman"/>
        </w:rPr>
        <w:t>m</w:t>
      </w:r>
      <w:r w:rsidRPr="00AD5B7D">
        <w:rPr>
          <w:rFonts w:ascii="Times New Roman" w:hAnsi="Times New Roman" w:cs="Times New Roman"/>
        </w:rPr>
        <w:t xml:space="preserve">inistrului </w:t>
      </w:r>
      <w:r>
        <w:rPr>
          <w:rFonts w:ascii="Times New Roman" w:hAnsi="Times New Roman" w:cs="Times New Roman"/>
        </w:rPr>
        <w:t>f</w:t>
      </w:r>
      <w:r w:rsidRPr="00AD5B7D">
        <w:rPr>
          <w:rFonts w:ascii="Times New Roman" w:hAnsi="Times New Roman" w:cs="Times New Roman"/>
        </w:rPr>
        <w:t>inanțelor nr.209 din 24.12.2015).</w:t>
      </w:r>
    </w:p>
  </w:footnote>
  <w:footnote w:id="12">
    <w:p w:rsidR="00E43F8F" w:rsidRDefault="00E43F8F" w:rsidP="00BE46F1">
      <w:pPr>
        <w:pStyle w:val="FootnoteText"/>
        <w:jc w:val="both"/>
      </w:pPr>
      <w:r w:rsidRPr="00AD5B7D">
        <w:rPr>
          <w:rStyle w:val="FootnoteReference"/>
          <w:rFonts w:ascii="Times New Roman" w:hAnsi="Times New Roman" w:cs="Times New Roman"/>
        </w:rPr>
        <w:footnoteRef/>
      </w:r>
      <w:r w:rsidRPr="00AD5B7D">
        <w:rPr>
          <w:rFonts w:ascii="Times New Roman" w:hAnsi="Times New Roman" w:cs="Times New Roman"/>
        </w:rPr>
        <w:t xml:space="preserve">  Recomandări metodice privind prognozarea veniturilor și stabilirea sarcinilor de venituri la BPN, aprobate prin Ordinele SFS nr.135 din 30.05.2017 și nr.616 din 29.07.2015.</w:t>
      </w:r>
    </w:p>
  </w:footnote>
  <w:footnote w:id="13">
    <w:p w:rsidR="00E43F8F" w:rsidRPr="00DC3C64" w:rsidRDefault="00E43F8F" w:rsidP="008C1007">
      <w:pPr>
        <w:pStyle w:val="FootnoteText"/>
        <w:jc w:val="both"/>
        <w:rPr>
          <w:rFonts w:ascii="Times New Roman" w:hAnsi="Times New Roman" w:cs="Times New Roman"/>
        </w:rPr>
      </w:pPr>
      <w:r w:rsidRPr="00975002">
        <w:rPr>
          <w:rStyle w:val="FootnoteReference"/>
          <w:rFonts w:ascii="Times New Roman" w:hAnsi="Times New Roman" w:cs="Times New Roman"/>
        </w:rPr>
        <w:footnoteRef/>
      </w:r>
      <w:r w:rsidRPr="00975002">
        <w:rPr>
          <w:rFonts w:ascii="Times New Roman" w:hAnsi="Times New Roman" w:cs="Times New Roman"/>
        </w:rPr>
        <w:t>Evaluarea Cheltuielilor Publice și a Responsabilității Financiare în Republica Moldova 2008-2010 (în continuare - manualul PEFA).</w:t>
      </w:r>
    </w:p>
    <w:p w:rsidR="00E43F8F" w:rsidRPr="00DC3C64" w:rsidRDefault="00E43F8F" w:rsidP="008C1007">
      <w:pPr>
        <w:pStyle w:val="FootnoteText"/>
      </w:pPr>
    </w:p>
  </w:footnote>
  <w:footnote w:id="14">
    <w:p w:rsidR="001F529E" w:rsidRPr="001F529E" w:rsidRDefault="001F529E">
      <w:pPr>
        <w:pStyle w:val="FootnoteText"/>
        <w:rPr>
          <w:rFonts w:ascii="Times New Roman" w:hAnsi="Times New Roman" w:cs="Times New Roman"/>
        </w:rPr>
      </w:pPr>
      <w:r w:rsidRPr="001F529E">
        <w:rPr>
          <w:rStyle w:val="FootnoteReference"/>
          <w:rFonts w:ascii="Times New Roman" w:hAnsi="Times New Roman" w:cs="Times New Roman"/>
        </w:rPr>
        <w:footnoteRef/>
      </w:r>
      <w:r w:rsidRPr="001F529E">
        <w:rPr>
          <w:rFonts w:ascii="Times New Roman" w:hAnsi="Times New Roman" w:cs="Times New Roman"/>
        </w:rPr>
        <w:t xml:space="preserve"> Legea nr.50 din 03.04.2015 pentru modificarea articolul 96 din Codul fiscal nr.1163-XIII din 24 aprilie 1997.</w:t>
      </w:r>
    </w:p>
  </w:footnote>
  <w:footnote w:id="15">
    <w:p w:rsidR="00E43F8F" w:rsidRPr="001F529E" w:rsidRDefault="00E43F8F">
      <w:pPr>
        <w:pStyle w:val="FootnoteText"/>
        <w:rPr>
          <w:rFonts w:ascii="Times New Roman" w:hAnsi="Times New Roman" w:cs="Times New Roman"/>
        </w:rPr>
      </w:pPr>
      <w:r w:rsidRPr="001F529E">
        <w:rPr>
          <w:rStyle w:val="FootnoteReference"/>
          <w:rFonts w:ascii="Times New Roman" w:hAnsi="Times New Roman" w:cs="Times New Roman"/>
        </w:rPr>
        <w:footnoteRef/>
      </w:r>
      <w:r w:rsidR="00780344">
        <w:rPr>
          <w:rFonts w:ascii="Times New Roman" w:hAnsi="Times New Roman" w:cs="Times New Roman"/>
        </w:rPr>
        <w:t xml:space="preserve"> Legea nr.112 din 02.07.2014</w:t>
      </w:r>
      <w:r w:rsidRPr="001F529E">
        <w:rPr>
          <w:rFonts w:ascii="Times New Roman" w:hAnsi="Times New Roman" w:cs="Times New Roman"/>
        </w:rPr>
        <w:t xml:space="preserve"> pentru ratificarea Acordului de Asociere între Republica Moldova, pe de o parte, și Uniunea Europeană și Comunitatea Europeană a Energiei Atomice și statele membre ale acestora, pe de altă parte.</w:t>
      </w:r>
    </w:p>
  </w:footnote>
  <w:footnote w:id="16">
    <w:p w:rsidR="00E43F8F" w:rsidRPr="001F7976" w:rsidRDefault="00E43F8F" w:rsidP="00412223">
      <w:pPr>
        <w:pStyle w:val="FootnoteText"/>
        <w:jc w:val="both"/>
        <w:rPr>
          <w:rFonts w:ascii="Times New Roman" w:hAnsi="Times New Roman" w:cs="Times New Roman"/>
        </w:rPr>
      </w:pPr>
      <w:r w:rsidRPr="001F7976">
        <w:rPr>
          <w:rStyle w:val="FootnoteReference"/>
          <w:rFonts w:ascii="Times New Roman" w:hAnsi="Times New Roman" w:cs="Times New Roman"/>
        </w:rPr>
        <w:footnoteRef/>
      </w:r>
      <w:r>
        <w:rPr>
          <w:rFonts w:ascii="Times New Roman" w:hAnsi="Times New Roman" w:cs="Times New Roman"/>
        </w:rPr>
        <w:t>A</w:t>
      </w:r>
      <w:r w:rsidRPr="001F7976">
        <w:rPr>
          <w:rFonts w:ascii="Times New Roman" w:hAnsi="Times New Roman" w:cs="Times New Roman"/>
        </w:rPr>
        <w:t>rt.36 alin.(5) din Legea nr.1353</w:t>
      </w:r>
      <w:r>
        <w:rPr>
          <w:rFonts w:ascii="Times New Roman" w:hAnsi="Times New Roman" w:cs="Times New Roman"/>
        </w:rPr>
        <w:t>-XIV</w:t>
      </w:r>
      <w:r w:rsidRPr="001F7976">
        <w:rPr>
          <w:rFonts w:ascii="Times New Roman" w:hAnsi="Times New Roman" w:cs="Times New Roman"/>
        </w:rPr>
        <w:t xml:space="preserve"> din 03.11.2000 privind gospodăriile țărănești (de fermier)</w:t>
      </w:r>
      <w:r>
        <w:rPr>
          <w:rFonts w:ascii="Times New Roman" w:hAnsi="Times New Roman" w:cs="Times New Roman"/>
        </w:rPr>
        <w:t>.</w:t>
      </w:r>
    </w:p>
  </w:footnote>
  <w:footnote w:id="17">
    <w:p w:rsidR="00E43F8F" w:rsidRPr="00477706" w:rsidRDefault="00E43F8F">
      <w:pPr>
        <w:pStyle w:val="FootnoteText"/>
        <w:rPr>
          <w:rFonts w:ascii="Times New Roman" w:hAnsi="Times New Roman" w:cs="Times New Roman"/>
        </w:rPr>
      </w:pPr>
      <w:r w:rsidRPr="00477706">
        <w:rPr>
          <w:rStyle w:val="FootnoteReference"/>
          <w:rFonts w:ascii="Times New Roman" w:hAnsi="Times New Roman" w:cs="Times New Roman"/>
        </w:rPr>
        <w:footnoteRef/>
      </w:r>
      <w:r w:rsidRPr="003F4798">
        <w:rPr>
          <w:rFonts w:ascii="Times New Roman" w:hAnsi="Times New Roman" w:cs="Times New Roman"/>
        </w:rPr>
        <w:t xml:space="preserve">Legea insolvabilității </w:t>
      </w:r>
      <w:r w:rsidRPr="003F4798">
        <w:rPr>
          <w:rFonts w:ascii="Times New Roman" w:hAnsi="Times New Roman" w:cs="Times New Roman"/>
          <w:lang w:eastAsia="ro-RO"/>
        </w:rPr>
        <w:t>nr.149 din 29.06.2012</w:t>
      </w:r>
      <w:r w:rsidRPr="00477706">
        <w:rPr>
          <w:rFonts w:ascii="Times New Roman" w:hAnsi="Times New Roman" w:cs="Times New Roman"/>
          <w:lang w:eastAsia="ro-RO"/>
        </w:rPr>
        <w:t>.</w:t>
      </w:r>
    </w:p>
  </w:footnote>
  <w:footnote w:id="18">
    <w:p w:rsidR="00E43F8F" w:rsidRPr="00867EAB" w:rsidRDefault="00E43F8F" w:rsidP="00867EAB">
      <w:pPr>
        <w:jc w:val="both"/>
        <w:rPr>
          <w:rFonts w:ascii="Times New Roman" w:hAnsi="Times New Roman" w:cs="Times New Roman"/>
          <w:sz w:val="20"/>
          <w:szCs w:val="20"/>
        </w:rPr>
      </w:pPr>
      <w:r w:rsidRPr="00867EAB">
        <w:rPr>
          <w:rStyle w:val="FootnoteReference"/>
          <w:rFonts w:ascii="Times New Roman" w:hAnsi="Times New Roman" w:cs="Times New Roman"/>
          <w:sz w:val="20"/>
          <w:szCs w:val="20"/>
        </w:rPr>
        <w:footnoteRef/>
      </w:r>
      <w:r>
        <w:rPr>
          <w:rFonts w:ascii="Times New Roman" w:hAnsi="Times New Roman" w:cs="Times New Roman"/>
          <w:sz w:val="20"/>
          <w:szCs w:val="20"/>
        </w:rPr>
        <w:t>Pe</w:t>
      </w:r>
      <w:r w:rsidRPr="00867EAB">
        <w:rPr>
          <w:rFonts w:ascii="Times New Roman" w:hAnsi="Times New Roman" w:cs="Times New Roman"/>
          <w:sz w:val="20"/>
          <w:szCs w:val="20"/>
        </w:rPr>
        <w:t>ntru executarea Hotăr</w:t>
      </w:r>
      <w:r>
        <w:rPr>
          <w:rFonts w:ascii="Times New Roman" w:hAnsi="Times New Roman" w:cs="Times New Roman"/>
          <w:sz w:val="20"/>
          <w:szCs w:val="20"/>
        </w:rPr>
        <w:t>â</w:t>
      </w:r>
      <w:r w:rsidRPr="00867EAB">
        <w:rPr>
          <w:rFonts w:ascii="Times New Roman" w:hAnsi="Times New Roman" w:cs="Times New Roman"/>
          <w:sz w:val="20"/>
          <w:szCs w:val="20"/>
        </w:rPr>
        <w:t xml:space="preserve">rii Curții de Conturi nr.20 din 26.05.2017 privind Raportul auditului performanței </w:t>
      </w:r>
      <w:r>
        <w:rPr>
          <w:rFonts w:ascii="Times New Roman" w:hAnsi="Times New Roman" w:cs="Times New Roman"/>
          <w:sz w:val="20"/>
          <w:szCs w:val="20"/>
        </w:rPr>
        <w:t>„</w:t>
      </w:r>
      <w:r w:rsidRPr="00867EAB">
        <w:rPr>
          <w:rFonts w:ascii="Times New Roman" w:hAnsi="Times New Roman" w:cs="Times New Roman"/>
          <w:sz w:val="20"/>
          <w:szCs w:val="20"/>
        </w:rPr>
        <w:t>Relevanța instrumentelor de gestiune silită a obligației fiscale/vamale pentru anii 2014-2016”</w:t>
      </w:r>
      <w:r>
        <w:rPr>
          <w:rFonts w:ascii="Times New Roman" w:hAnsi="Times New Roman" w:cs="Times New Roman"/>
          <w:sz w:val="20"/>
          <w:szCs w:val="20"/>
        </w:rPr>
        <w:t>,</w:t>
      </w:r>
      <w:r w:rsidRPr="00867EAB">
        <w:rPr>
          <w:rFonts w:ascii="Times New Roman" w:hAnsi="Times New Roman" w:cs="Times New Roman"/>
          <w:sz w:val="20"/>
          <w:szCs w:val="20"/>
        </w:rPr>
        <w:t xml:space="preserve"> a fost emisă Indicația SFS nr.43 ,,Cu privire la executarea recomandărilor Hotăr</w:t>
      </w:r>
      <w:r>
        <w:rPr>
          <w:rFonts w:ascii="Times New Roman" w:hAnsi="Times New Roman" w:cs="Times New Roman"/>
          <w:sz w:val="20"/>
          <w:szCs w:val="20"/>
        </w:rPr>
        <w:t>â</w:t>
      </w:r>
      <w:r w:rsidRPr="00867EAB">
        <w:rPr>
          <w:rFonts w:ascii="Times New Roman" w:hAnsi="Times New Roman" w:cs="Times New Roman"/>
          <w:sz w:val="20"/>
          <w:szCs w:val="20"/>
        </w:rPr>
        <w:t>rii Curții de Conturi nr.20 din 20  mai 2017”, iar conform Ordinului SFS nr.423 din 03.11.2017,,</w:t>
      </w:r>
      <w:r>
        <w:rPr>
          <w:rFonts w:ascii="Times New Roman" w:hAnsi="Times New Roman" w:cs="Times New Roman"/>
          <w:sz w:val="20"/>
          <w:szCs w:val="20"/>
        </w:rPr>
        <w:t>C</w:t>
      </w:r>
      <w:r w:rsidRPr="00867EAB">
        <w:rPr>
          <w:rFonts w:ascii="Times New Roman" w:hAnsi="Times New Roman" w:cs="Times New Roman"/>
          <w:sz w:val="20"/>
          <w:szCs w:val="20"/>
        </w:rPr>
        <w:t>u privire la crearea grupurilor de lucru responsabile de sechestrarea bunurilor”</w:t>
      </w:r>
      <w:r>
        <w:rPr>
          <w:rFonts w:ascii="Times New Roman" w:hAnsi="Times New Roman" w:cs="Times New Roman"/>
          <w:sz w:val="20"/>
          <w:szCs w:val="20"/>
        </w:rPr>
        <w:t>,</w:t>
      </w:r>
      <w:r w:rsidRPr="00867EAB">
        <w:rPr>
          <w:rFonts w:ascii="Times New Roman" w:hAnsi="Times New Roman" w:cs="Times New Roman"/>
          <w:sz w:val="20"/>
          <w:szCs w:val="20"/>
        </w:rPr>
        <w:t xml:space="preserve"> au fost create grupuri de lucru responsabile de sechestrarea bunurilor și inventarier</w:t>
      </w:r>
      <w:r>
        <w:rPr>
          <w:rFonts w:ascii="Times New Roman" w:hAnsi="Times New Roman" w:cs="Times New Roman"/>
          <w:sz w:val="20"/>
          <w:szCs w:val="20"/>
        </w:rPr>
        <w:t>ea</w:t>
      </w:r>
      <w:r w:rsidRPr="00867EAB">
        <w:rPr>
          <w:rFonts w:ascii="Times New Roman" w:hAnsi="Times New Roman" w:cs="Times New Roman"/>
          <w:sz w:val="20"/>
          <w:szCs w:val="20"/>
        </w:rPr>
        <w:t xml:space="preserve"> bunurilor sechestrate. </w:t>
      </w:r>
    </w:p>
    <w:p w:rsidR="00E43F8F" w:rsidRPr="00944589" w:rsidRDefault="00E43F8F" w:rsidP="00C26C38">
      <w:pPr>
        <w:pStyle w:val="FootnoteText"/>
        <w:jc w:val="both"/>
        <w:rPr>
          <w:rFonts w:ascii="Times New Roman" w:hAnsi="Times New Roman" w:cs="Times New Roman"/>
        </w:rPr>
      </w:pPr>
    </w:p>
  </w:footnote>
  <w:footnote w:id="19">
    <w:p w:rsidR="00E43F8F" w:rsidRPr="00A851CE" w:rsidRDefault="00E43F8F" w:rsidP="00C26C38">
      <w:pPr>
        <w:pStyle w:val="FootnoteText"/>
        <w:jc w:val="both"/>
        <w:rPr>
          <w:rFonts w:ascii="Times New Roman" w:hAnsi="Times New Roman" w:cs="Times New Roman"/>
        </w:rPr>
      </w:pPr>
      <w:r w:rsidRPr="00A851CE">
        <w:rPr>
          <w:rStyle w:val="FootnoteReference"/>
          <w:rFonts w:ascii="Times New Roman" w:hAnsi="Times New Roman" w:cs="Times New Roman"/>
        </w:rPr>
        <w:footnoteRef/>
      </w:r>
      <w:r w:rsidRPr="00A851CE">
        <w:rPr>
          <w:rFonts w:ascii="Times New Roman" w:hAnsi="Times New Roman" w:cs="Times New Roman"/>
        </w:rPr>
        <w:t xml:space="preserve"> Hotărârea Curții de Conturi nr.20 din 26 mai 2017 cu privire la aprobarea Raportului auditului privind relevanța instrumentelor de gestiune silită a obligației fiscal/vamale pentru anii 2014-2016.</w:t>
      </w:r>
    </w:p>
  </w:footnote>
  <w:footnote w:id="20">
    <w:p w:rsidR="00E43F8F" w:rsidRPr="00104B50" w:rsidRDefault="00E43F8F" w:rsidP="00C26C38">
      <w:pPr>
        <w:pStyle w:val="FootnoteText"/>
        <w:rPr>
          <w:rFonts w:ascii="Times New Roman" w:hAnsi="Times New Roman" w:cs="Times New Roman"/>
        </w:rPr>
      </w:pPr>
      <w:r w:rsidRPr="00104B50">
        <w:rPr>
          <w:rStyle w:val="FootnoteReference"/>
          <w:rFonts w:ascii="Times New Roman" w:hAnsi="Times New Roman" w:cs="Times New Roman"/>
        </w:rPr>
        <w:footnoteRef/>
      </w:r>
      <w:r w:rsidRPr="00104B50">
        <w:rPr>
          <w:rFonts w:ascii="Times New Roman" w:hAnsi="Times New Roman" w:cs="Times New Roman"/>
          <w:iCs/>
        </w:rPr>
        <w:t xml:space="preserve">Legea </w:t>
      </w:r>
      <w:r w:rsidRPr="00776A3C">
        <w:rPr>
          <w:rFonts w:ascii="Times New Roman" w:hAnsi="Times New Roman" w:cs="Times New Roman"/>
          <w:iCs/>
        </w:rPr>
        <w:t>nr.324 din 23.12.2013</w:t>
      </w:r>
      <w:r>
        <w:rPr>
          <w:rFonts w:ascii="Times New Roman" w:hAnsi="Times New Roman" w:cs="Times New Roman"/>
          <w:iCs/>
        </w:rPr>
        <w:t>(</w:t>
      </w:r>
      <w:r w:rsidRPr="00776A3C">
        <w:rPr>
          <w:rFonts w:ascii="Times New Roman" w:hAnsi="Times New Roman" w:cs="Times New Roman"/>
          <w:iCs/>
        </w:rPr>
        <w:t xml:space="preserve"> în vigoare din 01</w:t>
      </w:r>
      <w:r>
        <w:rPr>
          <w:rFonts w:ascii="Times New Roman" w:hAnsi="Times New Roman" w:cs="Times New Roman"/>
          <w:iCs/>
        </w:rPr>
        <w:t xml:space="preserve">.01.2014) </w:t>
      </w:r>
      <w:r w:rsidRPr="00104B50">
        <w:rPr>
          <w:rFonts w:ascii="Times New Roman" w:eastAsia="Times New Roman" w:hAnsi="Times New Roman" w:cs="Times New Roman"/>
          <w:bCs/>
        </w:rPr>
        <w:t xml:space="preserve">pentru modificarea şi completarea unor acte </w:t>
      </w:r>
      <w:r w:rsidRPr="00776A3C">
        <w:rPr>
          <w:rFonts w:ascii="Times New Roman" w:eastAsia="Times New Roman" w:hAnsi="Times New Roman" w:cs="Times New Roman"/>
          <w:bCs/>
        </w:rPr>
        <w:t>legisl</w:t>
      </w:r>
      <w:r>
        <w:rPr>
          <w:rFonts w:ascii="Times New Roman" w:eastAsia="Times New Roman" w:hAnsi="Times New Roman" w:cs="Times New Roman"/>
          <w:bCs/>
        </w:rPr>
        <w:t>ative.</w:t>
      </w:r>
    </w:p>
  </w:footnote>
  <w:footnote w:id="21">
    <w:p w:rsidR="00E43F8F" w:rsidRPr="002C076F" w:rsidRDefault="00E43F8F" w:rsidP="004726E0">
      <w:pPr>
        <w:pStyle w:val="FootnoteText"/>
        <w:jc w:val="both"/>
        <w:rPr>
          <w:rFonts w:ascii="Times New Roman" w:hAnsi="Times New Roman" w:cs="Times New Roman"/>
        </w:rPr>
      </w:pPr>
      <w:r w:rsidRPr="002C076F">
        <w:rPr>
          <w:rStyle w:val="FootnoteReference"/>
          <w:rFonts w:ascii="Times New Roman" w:hAnsi="Times New Roman" w:cs="Times New Roman"/>
        </w:rPr>
        <w:footnoteRef/>
      </w:r>
      <w:r w:rsidRPr="002C076F">
        <w:rPr>
          <w:rFonts w:ascii="Times New Roman" w:hAnsi="Times New Roman" w:cs="Times New Roman"/>
        </w:rPr>
        <w:t>Ordinul SFS nr.394 din 26.04.2016 privind aprobarea Programului de conformare voluntară a contribuabililor pentru anul 2017.</w:t>
      </w:r>
    </w:p>
  </w:footnote>
  <w:footnote w:id="22">
    <w:p w:rsidR="00E43F8F" w:rsidRPr="002C076F" w:rsidRDefault="00E43F8F" w:rsidP="004726E0">
      <w:pPr>
        <w:pStyle w:val="FootnoteText"/>
        <w:jc w:val="both"/>
      </w:pPr>
      <w:r w:rsidRPr="002C076F">
        <w:rPr>
          <w:rStyle w:val="FootnoteReference"/>
        </w:rPr>
        <w:footnoteRef/>
      </w:r>
      <w:r>
        <w:rPr>
          <w:rFonts w:ascii="Times New Roman" w:hAnsi="Times New Roman" w:cs="Times New Roman"/>
        </w:rPr>
        <w:t>Ordinul</w:t>
      </w:r>
      <w:r w:rsidRPr="002C076F">
        <w:rPr>
          <w:rFonts w:ascii="Times New Roman" w:hAnsi="Times New Roman" w:cs="Times New Roman"/>
        </w:rPr>
        <w:t xml:space="preserve"> SFS nr.542 din 31.03.2017</w:t>
      </w:r>
      <w:r>
        <w:rPr>
          <w:rFonts w:ascii="Times New Roman" w:hAnsi="Times New Roman" w:cs="Times New Roman"/>
        </w:rPr>
        <w:t xml:space="preserve"> privind aprobarea Listei</w:t>
      </w:r>
      <w:r w:rsidRPr="002C076F">
        <w:rPr>
          <w:rFonts w:ascii="Times New Roman" w:hAnsi="Times New Roman" w:cs="Times New Roman"/>
        </w:rPr>
        <w:t xml:space="preserve"> contribuabililor cu riscuri de neconformare fiscală</w:t>
      </w:r>
      <w:r>
        <w:rPr>
          <w:rFonts w:ascii="Times New Roman" w:hAnsi="Times New Roman" w:cs="Times New Roman"/>
        </w:rPr>
        <w:t>.</w:t>
      </w:r>
    </w:p>
  </w:footnote>
  <w:footnote w:id="23">
    <w:p w:rsidR="00E43F8F" w:rsidRPr="00AC355D" w:rsidRDefault="00E43F8F" w:rsidP="00AC355D">
      <w:pPr>
        <w:pStyle w:val="FootnoteText"/>
        <w:jc w:val="both"/>
        <w:rPr>
          <w:rFonts w:ascii="Times New Roman" w:hAnsi="Times New Roman" w:cs="Times New Roman"/>
        </w:rPr>
      </w:pPr>
      <w:r w:rsidRPr="00AC355D">
        <w:rPr>
          <w:rStyle w:val="FootnoteReference"/>
          <w:rFonts w:ascii="Times New Roman" w:hAnsi="Times New Roman" w:cs="Times New Roman"/>
        </w:rPr>
        <w:footnoteRef/>
      </w:r>
      <w:r w:rsidRPr="00AC355D">
        <w:rPr>
          <w:rFonts w:ascii="Times New Roman" w:hAnsi="Times New Roman" w:cs="Times New Roman"/>
        </w:rPr>
        <w:t xml:space="preserve"> Programul de Agent Economic Autorizat (AEO); Exportator Aprobat; Proceduri simplificate (procedura de vămuire la domiciliu); Procedura de amânare a determinării definitive a valorii în vamă, inclusiv </w:t>
      </w:r>
      <w:r>
        <w:rPr>
          <w:rFonts w:ascii="Times New Roman" w:hAnsi="Times New Roman" w:cs="Times New Roman"/>
        </w:rPr>
        <w:t>a</w:t>
      </w:r>
      <w:r w:rsidRPr="00AC355D">
        <w:rPr>
          <w:rFonts w:ascii="Times New Roman" w:hAnsi="Times New Roman" w:cs="Times New Roman"/>
        </w:rPr>
        <w:t xml:space="preserve"> clasificării mărfurilor, cu condiția constituirii unei garanții suficiente; Declararea electronică la Import, Export și Tranzit; Dezvoltarea controlului comun la frontieră; Micșorarea numărului de documente obligatorii la văm</w:t>
      </w:r>
      <w:r>
        <w:rPr>
          <w:rFonts w:ascii="Times New Roman" w:hAnsi="Times New Roman" w:cs="Times New Roman"/>
        </w:rPr>
        <w:t>uire</w:t>
      </w:r>
      <w:r w:rsidRPr="00AC355D">
        <w:rPr>
          <w:rFonts w:ascii="Times New Roman" w:hAnsi="Times New Roman" w:cs="Times New Roman"/>
        </w:rPr>
        <w:t>.</w:t>
      </w:r>
    </w:p>
    <w:p w:rsidR="00E43F8F" w:rsidRPr="00AC355D" w:rsidRDefault="00E43F8F">
      <w:pPr>
        <w:pStyle w:val="FootnoteText"/>
      </w:pPr>
    </w:p>
  </w:footnote>
  <w:footnote w:id="24">
    <w:p w:rsidR="00E43F8F" w:rsidRPr="008E6F50" w:rsidRDefault="00E43F8F" w:rsidP="00714F5D">
      <w:pPr>
        <w:pStyle w:val="FootnoteText"/>
        <w:rPr>
          <w:rFonts w:ascii="Times New Roman" w:hAnsi="Times New Roman" w:cs="Times New Roman"/>
        </w:rPr>
      </w:pPr>
      <w:r w:rsidRPr="008E6F50">
        <w:rPr>
          <w:rStyle w:val="FootnoteReference"/>
          <w:rFonts w:ascii="Times New Roman" w:hAnsi="Times New Roman" w:cs="Times New Roman"/>
        </w:rPr>
        <w:footnoteRef/>
      </w:r>
      <w:r w:rsidRPr="008E6F50">
        <w:rPr>
          <w:rFonts w:ascii="Times New Roman" w:hAnsi="Times New Roman" w:cs="Times New Roman"/>
        </w:rPr>
        <w:t xml:space="preserve"> Hotărârea Curții de Conturi nr.54 din 05.12.2016 „Cu privire la aprobarea Manualului de audit al performanței”.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4486"/>
    <w:multiLevelType w:val="multilevel"/>
    <w:tmpl w:val="378A1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A45176"/>
    <w:multiLevelType w:val="hybridMultilevel"/>
    <w:tmpl w:val="17CC71F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2D4FB9"/>
    <w:multiLevelType w:val="hybridMultilevel"/>
    <w:tmpl w:val="E2567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A76C5F"/>
    <w:multiLevelType w:val="hybridMultilevel"/>
    <w:tmpl w:val="2A4C0752"/>
    <w:lvl w:ilvl="0" w:tplc="5F3CD702">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7430FE1"/>
    <w:multiLevelType w:val="hybridMultilevel"/>
    <w:tmpl w:val="339C3FAE"/>
    <w:lvl w:ilvl="0" w:tplc="5F3CD70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421441"/>
    <w:multiLevelType w:val="hybridMultilevel"/>
    <w:tmpl w:val="432201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A65368"/>
    <w:multiLevelType w:val="hybridMultilevel"/>
    <w:tmpl w:val="A74ED798"/>
    <w:lvl w:ilvl="0" w:tplc="537E5C34">
      <w:start w:val="58"/>
      <w:numFmt w:val="bullet"/>
      <w:lvlText w:val="–"/>
      <w:lvlJc w:val="left"/>
      <w:pPr>
        <w:ind w:left="785" w:hanging="360"/>
      </w:pPr>
      <w:rPr>
        <w:rFonts w:ascii="Times New Roman" w:eastAsiaTheme="minorHAnsi" w:hAnsi="Times New Roman" w:cs="Times New Roman" w:hint="default"/>
        <w:i w:val="0"/>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7">
    <w:nsid w:val="33810E6B"/>
    <w:multiLevelType w:val="hybridMultilevel"/>
    <w:tmpl w:val="4FCE2510"/>
    <w:lvl w:ilvl="0" w:tplc="0409000D">
      <w:start w:val="1"/>
      <w:numFmt w:val="bullet"/>
      <w:lvlText w:val=""/>
      <w:lvlJc w:val="left"/>
      <w:pPr>
        <w:ind w:left="2345" w:hanging="360"/>
      </w:pPr>
      <w:rPr>
        <w:rFonts w:ascii="Wingdings" w:hAnsi="Wingdings"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8">
    <w:nsid w:val="38EA28CD"/>
    <w:multiLevelType w:val="hybridMultilevel"/>
    <w:tmpl w:val="DB6AF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7652D7"/>
    <w:multiLevelType w:val="hybridMultilevel"/>
    <w:tmpl w:val="CA0837CC"/>
    <w:lvl w:ilvl="0" w:tplc="5F3CD70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B73D95"/>
    <w:multiLevelType w:val="hybridMultilevel"/>
    <w:tmpl w:val="17C66CC6"/>
    <w:lvl w:ilvl="0" w:tplc="556C9284">
      <w:start w:val="1"/>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41CF5BF2"/>
    <w:multiLevelType w:val="hybridMultilevel"/>
    <w:tmpl w:val="11E86D42"/>
    <w:lvl w:ilvl="0" w:tplc="5F3CD70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F04A65"/>
    <w:multiLevelType w:val="hybridMultilevel"/>
    <w:tmpl w:val="3C805D60"/>
    <w:lvl w:ilvl="0" w:tplc="FA02DA8E">
      <w:start w:val="1"/>
      <w:numFmt w:val="decimal"/>
      <w:lvlText w:val="%1."/>
      <w:lvlJc w:val="left"/>
      <w:pPr>
        <w:ind w:left="720" w:hanging="360"/>
      </w:pPr>
      <w:rPr>
        <w:rFonts w:eastAsiaTheme="min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AB76EA"/>
    <w:multiLevelType w:val="hybridMultilevel"/>
    <w:tmpl w:val="80EC82BA"/>
    <w:lvl w:ilvl="0" w:tplc="5F3CD70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BA46B6"/>
    <w:multiLevelType w:val="hybridMultilevel"/>
    <w:tmpl w:val="B7860940"/>
    <w:lvl w:ilvl="0" w:tplc="5F3CD702">
      <w:start w:val="1"/>
      <w:numFmt w:val="bullet"/>
      <w:lvlText w:val="-"/>
      <w:lvlJc w:val="left"/>
      <w:pPr>
        <w:ind w:left="414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965681D"/>
    <w:multiLevelType w:val="hybridMultilevel"/>
    <w:tmpl w:val="70A01FE0"/>
    <w:lvl w:ilvl="0" w:tplc="556C9284">
      <w:start w:val="1"/>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4E427911"/>
    <w:multiLevelType w:val="hybridMultilevel"/>
    <w:tmpl w:val="EADCAA56"/>
    <w:lvl w:ilvl="0" w:tplc="D3C023EE">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7">
    <w:nsid w:val="56624887"/>
    <w:multiLevelType w:val="hybridMultilevel"/>
    <w:tmpl w:val="BCC0B4AA"/>
    <w:lvl w:ilvl="0" w:tplc="76A4F2B2">
      <w:start w:val="1"/>
      <w:numFmt w:val="decimal"/>
      <w:lvlText w:val="%1)"/>
      <w:lvlJc w:val="left"/>
      <w:pPr>
        <w:ind w:left="90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914E66"/>
    <w:multiLevelType w:val="hybridMultilevel"/>
    <w:tmpl w:val="D57EF398"/>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nsid w:val="575178EB"/>
    <w:multiLevelType w:val="hybridMultilevel"/>
    <w:tmpl w:val="2384E95A"/>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0">
    <w:nsid w:val="57756C93"/>
    <w:multiLevelType w:val="hybridMultilevel"/>
    <w:tmpl w:val="99C21E72"/>
    <w:lvl w:ilvl="0" w:tplc="5F3CD70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D30B3C"/>
    <w:multiLevelType w:val="hybridMultilevel"/>
    <w:tmpl w:val="7E18CFA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nsid w:val="59F9722E"/>
    <w:multiLevelType w:val="hybridMultilevel"/>
    <w:tmpl w:val="03AAD69A"/>
    <w:lvl w:ilvl="0" w:tplc="40FC5270">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E122F2A"/>
    <w:multiLevelType w:val="hybridMultilevel"/>
    <w:tmpl w:val="70A01FE0"/>
    <w:lvl w:ilvl="0" w:tplc="556C9284">
      <w:start w:val="1"/>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nsid w:val="6A286072"/>
    <w:multiLevelType w:val="hybridMultilevel"/>
    <w:tmpl w:val="70A01FE0"/>
    <w:lvl w:ilvl="0" w:tplc="556C9284">
      <w:start w:val="1"/>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nsid w:val="703E4937"/>
    <w:multiLevelType w:val="hybridMultilevel"/>
    <w:tmpl w:val="21146EE8"/>
    <w:lvl w:ilvl="0" w:tplc="E32CCE76">
      <w:start w:val="1"/>
      <w:numFmt w:val="decimal"/>
      <w:lvlText w:val="%1)"/>
      <w:lvlJc w:val="left"/>
      <w:pPr>
        <w:ind w:left="1002" w:hanging="372"/>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nsid w:val="70B767E6"/>
    <w:multiLevelType w:val="hybridMultilevel"/>
    <w:tmpl w:val="F91C6C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1A6CC4"/>
    <w:multiLevelType w:val="hybridMultilevel"/>
    <w:tmpl w:val="61BE1B6A"/>
    <w:lvl w:ilvl="0" w:tplc="A976B132">
      <w:start w:val="1"/>
      <w:numFmt w:val="decimal"/>
      <w:lvlText w:val="%1."/>
      <w:lvlJc w:val="left"/>
      <w:pPr>
        <w:ind w:left="720" w:hanging="360"/>
      </w:pPr>
      <w:rPr>
        <w:rFonts w:eastAsiaTheme="min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DA3041"/>
    <w:multiLevelType w:val="hybridMultilevel"/>
    <w:tmpl w:val="C41CD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4"/>
  </w:num>
  <w:num w:numId="3">
    <w:abstractNumId w:val="10"/>
  </w:num>
  <w:num w:numId="4">
    <w:abstractNumId w:val="16"/>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20"/>
  </w:num>
  <w:num w:numId="9">
    <w:abstractNumId w:val="2"/>
  </w:num>
  <w:num w:numId="10">
    <w:abstractNumId w:val="17"/>
  </w:num>
  <w:num w:numId="11">
    <w:abstractNumId w:val="9"/>
  </w:num>
  <w:num w:numId="12">
    <w:abstractNumId w:val="7"/>
  </w:num>
  <w:num w:numId="13">
    <w:abstractNumId w:val="18"/>
  </w:num>
  <w:num w:numId="14">
    <w:abstractNumId w:val="5"/>
  </w:num>
  <w:num w:numId="15">
    <w:abstractNumId w:val="8"/>
  </w:num>
  <w:num w:numId="16">
    <w:abstractNumId w:val="21"/>
  </w:num>
  <w:num w:numId="17">
    <w:abstractNumId w:val="13"/>
  </w:num>
  <w:num w:numId="18">
    <w:abstractNumId w:val="0"/>
  </w:num>
  <w:num w:numId="19">
    <w:abstractNumId w:val="11"/>
  </w:num>
  <w:num w:numId="20">
    <w:abstractNumId w:val="15"/>
  </w:num>
  <w:num w:numId="21">
    <w:abstractNumId w:val="24"/>
  </w:num>
  <w:num w:numId="22">
    <w:abstractNumId w:val="23"/>
  </w:num>
  <w:num w:numId="23">
    <w:abstractNumId w:val="12"/>
  </w:num>
  <w:num w:numId="24">
    <w:abstractNumId w:val="27"/>
  </w:num>
  <w:num w:numId="25">
    <w:abstractNumId w:val="1"/>
  </w:num>
  <w:num w:numId="26">
    <w:abstractNumId w:val="22"/>
  </w:num>
  <w:num w:numId="27">
    <w:abstractNumId w:val="6"/>
  </w:num>
  <w:num w:numId="28">
    <w:abstractNumId w:val="28"/>
  </w:num>
  <w:num w:numId="29">
    <w:abstractNumId w:val="2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B812E6"/>
    <w:rsid w:val="00000345"/>
    <w:rsid w:val="00000C65"/>
    <w:rsid w:val="00001049"/>
    <w:rsid w:val="00001060"/>
    <w:rsid w:val="00001C7B"/>
    <w:rsid w:val="00003323"/>
    <w:rsid w:val="0000393F"/>
    <w:rsid w:val="00005AF3"/>
    <w:rsid w:val="00006999"/>
    <w:rsid w:val="00007E56"/>
    <w:rsid w:val="0001016B"/>
    <w:rsid w:val="000112AC"/>
    <w:rsid w:val="00011621"/>
    <w:rsid w:val="000128B3"/>
    <w:rsid w:val="000159EC"/>
    <w:rsid w:val="00016323"/>
    <w:rsid w:val="00017C3F"/>
    <w:rsid w:val="000202C8"/>
    <w:rsid w:val="00020547"/>
    <w:rsid w:val="00020C9C"/>
    <w:rsid w:val="00020E0A"/>
    <w:rsid w:val="000212F0"/>
    <w:rsid w:val="00021AED"/>
    <w:rsid w:val="00021DAC"/>
    <w:rsid w:val="000222BB"/>
    <w:rsid w:val="00023940"/>
    <w:rsid w:val="00023D22"/>
    <w:rsid w:val="0002481D"/>
    <w:rsid w:val="000251A6"/>
    <w:rsid w:val="0002544F"/>
    <w:rsid w:val="000258F9"/>
    <w:rsid w:val="000260B1"/>
    <w:rsid w:val="000261D8"/>
    <w:rsid w:val="00026819"/>
    <w:rsid w:val="00026DBB"/>
    <w:rsid w:val="00027C98"/>
    <w:rsid w:val="000305FC"/>
    <w:rsid w:val="000317B7"/>
    <w:rsid w:val="00031F3A"/>
    <w:rsid w:val="000321AB"/>
    <w:rsid w:val="0003237D"/>
    <w:rsid w:val="0003322B"/>
    <w:rsid w:val="00033613"/>
    <w:rsid w:val="0003400D"/>
    <w:rsid w:val="00034468"/>
    <w:rsid w:val="000345D5"/>
    <w:rsid w:val="000349B9"/>
    <w:rsid w:val="00035FC6"/>
    <w:rsid w:val="0003789A"/>
    <w:rsid w:val="00040352"/>
    <w:rsid w:val="0004210D"/>
    <w:rsid w:val="00043C6B"/>
    <w:rsid w:val="00045FB6"/>
    <w:rsid w:val="0004672B"/>
    <w:rsid w:val="00047C33"/>
    <w:rsid w:val="0005018A"/>
    <w:rsid w:val="00050379"/>
    <w:rsid w:val="00050B37"/>
    <w:rsid w:val="00051033"/>
    <w:rsid w:val="00051208"/>
    <w:rsid w:val="00051E4C"/>
    <w:rsid w:val="00052486"/>
    <w:rsid w:val="00052B0C"/>
    <w:rsid w:val="00054276"/>
    <w:rsid w:val="00054786"/>
    <w:rsid w:val="0005485C"/>
    <w:rsid w:val="00054E2B"/>
    <w:rsid w:val="000554F1"/>
    <w:rsid w:val="00055B76"/>
    <w:rsid w:val="00055D54"/>
    <w:rsid w:val="000561C7"/>
    <w:rsid w:val="00056535"/>
    <w:rsid w:val="0005689C"/>
    <w:rsid w:val="00056CF6"/>
    <w:rsid w:val="00057602"/>
    <w:rsid w:val="000576F3"/>
    <w:rsid w:val="00061319"/>
    <w:rsid w:val="000615FB"/>
    <w:rsid w:val="00062548"/>
    <w:rsid w:val="000633D4"/>
    <w:rsid w:val="000636F7"/>
    <w:rsid w:val="00064054"/>
    <w:rsid w:val="00064AC5"/>
    <w:rsid w:val="00064C22"/>
    <w:rsid w:val="00065ECB"/>
    <w:rsid w:val="00066154"/>
    <w:rsid w:val="00066A94"/>
    <w:rsid w:val="0006703D"/>
    <w:rsid w:val="0006765D"/>
    <w:rsid w:val="000701B3"/>
    <w:rsid w:val="00070543"/>
    <w:rsid w:val="000707C1"/>
    <w:rsid w:val="00070A53"/>
    <w:rsid w:val="00071441"/>
    <w:rsid w:val="00071D4C"/>
    <w:rsid w:val="000724BC"/>
    <w:rsid w:val="000725CA"/>
    <w:rsid w:val="00072BFC"/>
    <w:rsid w:val="00073D4B"/>
    <w:rsid w:val="00074794"/>
    <w:rsid w:val="00076CF7"/>
    <w:rsid w:val="00076D2D"/>
    <w:rsid w:val="00077911"/>
    <w:rsid w:val="00077A26"/>
    <w:rsid w:val="0008083C"/>
    <w:rsid w:val="000809EB"/>
    <w:rsid w:val="000822B5"/>
    <w:rsid w:val="000822E1"/>
    <w:rsid w:val="00082B05"/>
    <w:rsid w:val="000830E4"/>
    <w:rsid w:val="000836CD"/>
    <w:rsid w:val="000841E8"/>
    <w:rsid w:val="00084F9E"/>
    <w:rsid w:val="000857E7"/>
    <w:rsid w:val="00085BD9"/>
    <w:rsid w:val="00085D11"/>
    <w:rsid w:val="000861AD"/>
    <w:rsid w:val="0008673B"/>
    <w:rsid w:val="000876B4"/>
    <w:rsid w:val="00087C7B"/>
    <w:rsid w:val="00090325"/>
    <w:rsid w:val="00092AB4"/>
    <w:rsid w:val="00092C9C"/>
    <w:rsid w:val="000931A7"/>
    <w:rsid w:val="00095665"/>
    <w:rsid w:val="000965FB"/>
    <w:rsid w:val="0009727D"/>
    <w:rsid w:val="00097B54"/>
    <w:rsid w:val="000A131D"/>
    <w:rsid w:val="000A3203"/>
    <w:rsid w:val="000A329C"/>
    <w:rsid w:val="000A38BF"/>
    <w:rsid w:val="000A421F"/>
    <w:rsid w:val="000A475E"/>
    <w:rsid w:val="000A4AA8"/>
    <w:rsid w:val="000A59C4"/>
    <w:rsid w:val="000A63A4"/>
    <w:rsid w:val="000A6869"/>
    <w:rsid w:val="000A710F"/>
    <w:rsid w:val="000B3FEB"/>
    <w:rsid w:val="000B4386"/>
    <w:rsid w:val="000B46ED"/>
    <w:rsid w:val="000B4A92"/>
    <w:rsid w:val="000B52B4"/>
    <w:rsid w:val="000B5FA4"/>
    <w:rsid w:val="000B740E"/>
    <w:rsid w:val="000B743C"/>
    <w:rsid w:val="000B776C"/>
    <w:rsid w:val="000C1212"/>
    <w:rsid w:val="000C1EB8"/>
    <w:rsid w:val="000C20FC"/>
    <w:rsid w:val="000C4381"/>
    <w:rsid w:val="000C443F"/>
    <w:rsid w:val="000C5903"/>
    <w:rsid w:val="000C5B63"/>
    <w:rsid w:val="000C61BF"/>
    <w:rsid w:val="000C6E0C"/>
    <w:rsid w:val="000C7A31"/>
    <w:rsid w:val="000C7CE1"/>
    <w:rsid w:val="000D02CE"/>
    <w:rsid w:val="000D10E9"/>
    <w:rsid w:val="000D1925"/>
    <w:rsid w:val="000D1E3B"/>
    <w:rsid w:val="000D3CE3"/>
    <w:rsid w:val="000D4755"/>
    <w:rsid w:val="000D4EB0"/>
    <w:rsid w:val="000D5FA3"/>
    <w:rsid w:val="000D6BF7"/>
    <w:rsid w:val="000E0616"/>
    <w:rsid w:val="000E07CC"/>
    <w:rsid w:val="000E21F4"/>
    <w:rsid w:val="000E3069"/>
    <w:rsid w:val="000E3344"/>
    <w:rsid w:val="000E483C"/>
    <w:rsid w:val="000E5101"/>
    <w:rsid w:val="000E5AF9"/>
    <w:rsid w:val="000E5C23"/>
    <w:rsid w:val="000E670F"/>
    <w:rsid w:val="000E7623"/>
    <w:rsid w:val="000F0FE9"/>
    <w:rsid w:val="000F14A2"/>
    <w:rsid w:val="000F17DD"/>
    <w:rsid w:val="000F1E83"/>
    <w:rsid w:val="000F21EA"/>
    <w:rsid w:val="000F222A"/>
    <w:rsid w:val="000F3E54"/>
    <w:rsid w:val="000F403E"/>
    <w:rsid w:val="000F5752"/>
    <w:rsid w:val="000F73CA"/>
    <w:rsid w:val="000F7C95"/>
    <w:rsid w:val="0010000C"/>
    <w:rsid w:val="00102813"/>
    <w:rsid w:val="00102F75"/>
    <w:rsid w:val="00103A80"/>
    <w:rsid w:val="001043CA"/>
    <w:rsid w:val="00104499"/>
    <w:rsid w:val="00104B50"/>
    <w:rsid w:val="00105974"/>
    <w:rsid w:val="001065F8"/>
    <w:rsid w:val="00107C13"/>
    <w:rsid w:val="00107E8A"/>
    <w:rsid w:val="001108C9"/>
    <w:rsid w:val="00110B45"/>
    <w:rsid w:val="00110F74"/>
    <w:rsid w:val="001112F7"/>
    <w:rsid w:val="001118D1"/>
    <w:rsid w:val="001123B7"/>
    <w:rsid w:val="00113A35"/>
    <w:rsid w:val="00114F43"/>
    <w:rsid w:val="001151A1"/>
    <w:rsid w:val="00116114"/>
    <w:rsid w:val="00116979"/>
    <w:rsid w:val="00117E05"/>
    <w:rsid w:val="001207BB"/>
    <w:rsid w:val="001212EE"/>
    <w:rsid w:val="00121F8A"/>
    <w:rsid w:val="0012383A"/>
    <w:rsid w:val="0012392E"/>
    <w:rsid w:val="00123BE4"/>
    <w:rsid w:val="00123CB3"/>
    <w:rsid w:val="001245DF"/>
    <w:rsid w:val="00125164"/>
    <w:rsid w:val="0012608C"/>
    <w:rsid w:val="001272E2"/>
    <w:rsid w:val="001277F2"/>
    <w:rsid w:val="00127E47"/>
    <w:rsid w:val="0013046F"/>
    <w:rsid w:val="00130BE3"/>
    <w:rsid w:val="00131161"/>
    <w:rsid w:val="00131D4C"/>
    <w:rsid w:val="00131D4F"/>
    <w:rsid w:val="00134020"/>
    <w:rsid w:val="00134588"/>
    <w:rsid w:val="00134DFB"/>
    <w:rsid w:val="00135D3E"/>
    <w:rsid w:val="00135DB1"/>
    <w:rsid w:val="001362F7"/>
    <w:rsid w:val="00136D0B"/>
    <w:rsid w:val="00137D2B"/>
    <w:rsid w:val="0014035B"/>
    <w:rsid w:val="00141114"/>
    <w:rsid w:val="00141472"/>
    <w:rsid w:val="00141BA7"/>
    <w:rsid w:val="0014241E"/>
    <w:rsid w:val="0014303B"/>
    <w:rsid w:val="001434B0"/>
    <w:rsid w:val="00143CF3"/>
    <w:rsid w:val="0014557F"/>
    <w:rsid w:val="00145696"/>
    <w:rsid w:val="00145CD5"/>
    <w:rsid w:val="0014715E"/>
    <w:rsid w:val="00150008"/>
    <w:rsid w:val="00150C25"/>
    <w:rsid w:val="0015355F"/>
    <w:rsid w:val="00153BED"/>
    <w:rsid w:val="00154ECF"/>
    <w:rsid w:val="00155E8E"/>
    <w:rsid w:val="0015687E"/>
    <w:rsid w:val="00156B5E"/>
    <w:rsid w:val="0015723C"/>
    <w:rsid w:val="001572B4"/>
    <w:rsid w:val="00157843"/>
    <w:rsid w:val="001601C4"/>
    <w:rsid w:val="00160C66"/>
    <w:rsid w:val="00160C8E"/>
    <w:rsid w:val="00162523"/>
    <w:rsid w:val="00162546"/>
    <w:rsid w:val="00162B3E"/>
    <w:rsid w:val="0016511F"/>
    <w:rsid w:val="00165241"/>
    <w:rsid w:val="00165D8C"/>
    <w:rsid w:val="00166207"/>
    <w:rsid w:val="00166FF5"/>
    <w:rsid w:val="00167C97"/>
    <w:rsid w:val="001710E7"/>
    <w:rsid w:val="00171253"/>
    <w:rsid w:val="00171BDB"/>
    <w:rsid w:val="00172B38"/>
    <w:rsid w:val="00174CC2"/>
    <w:rsid w:val="00175939"/>
    <w:rsid w:val="00175DB9"/>
    <w:rsid w:val="00177A09"/>
    <w:rsid w:val="00177C4A"/>
    <w:rsid w:val="0018031D"/>
    <w:rsid w:val="00181285"/>
    <w:rsid w:val="00181560"/>
    <w:rsid w:val="00181ED9"/>
    <w:rsid w:val="00182516"/>
    <w:rsid w:val="001832DB"/>
    <w:rsid w:val="001837A0"/>
    <w:rsid w:val="00183E36"/>
    <w:rsid w:val="0018436D"/>
    <w:rsid w:val="00184C8D"/>
    <w:rsid w:val="00185FD4"/>
    <w:rsid w:val="00187618"/>
    <w:rsid w:val="0019026C"/>
    <w:rsid w:val="00191A62"/>
    <w:rsid w:val="00191BA5"/>
    <w:rsid w:val="001932E6"/>
    <w:rsid w:val="00194136"/>
    <w:rsid w:val="00194971"/>
    <w:rsid w:val="001949B6"/>
    <w:rsid w:val="001964A0"/>
    <w:rsid w:val="00196678"/>
    <w:rsid w:val="00196A72"/>
    <w:rsid w:val="001A0245"/>
    <w:rsid w:val="001A0B8C"/>
    <w:rsid w:val="001A0DD2"/>
    <w:rsid w:val="001A2AFC"/>
    <w:rsid w:val="001A2B8A"/>
    <w:rsid w:val="001A3464"/>
    <w:rsid w:val="001A37C2"/>
    <w:rsid w:val="001A3A71"/>
    <w:rsid w:val="001A4496"/>
    <w:rsid w:val="001A779F"/>
    <w:rsid w:val="001B04C7"/>
    <w:rsid w:val="001B08EF"/>
    <w:rsid w:val="001B0FE3"/>
    <w:rsid w:val="001B15CA"/>
    <w:rsid w:val="001B32ED"/>
    <w:rsid w:val="001B5715"/>
    <w:rsid w:val="001B5725"/>
    <w:rsid w:val="001C0458"/>
    <w:rsid w:val="001C0686"/>
    <w:rsid w:val="001C1440"/>
    <w:rsid w:val="001C1589"/>
    <w:rsid w:val="001C2284"/>
    <w:rsid w:val="001C25A4"/>
    <w:rsid w:val="001C437F"/>
    <w:rsid w:val="001C4C14"/>
    <w:rsid w:val="001C56BB"/>
    <w:rsid w:val="001C7239"/>
    <w:rsid w:val="001C7B8F"/>
    <w:rsid w:val="001C7CD8"/>
    <w:rsid w:val="001D077D"/>
    <w:rsid w:val="001D0794"/>
    <w:rsid w:val="001D0846"/>
    <w:rsid w:val="001D0AA1"/>
    <w:rsid w:val="001D0DC5"/>
    <w:rsid w:val="001D14D6"/>
    <w:rsid w:val="001D335C"/>
    <w:rsid w:val="001D35B4"/>
    <w:rsid w:val="001D37E4"/>
    <w:rsid w:val="001D3E64"/>
    <w:rsid w:val="001D56BF"/>
    <w:rsid w:val="001D5C0E"/>
    <w:rsid w:val="001D630B"/>
    <w:rsid w:val="001D65B1"/>
    <w:rsid w:val="001D67FA"/>
    <w:rsid w:val="001D68E8"/>
    <w:rsid w:val="001D6EE7"/>
    <w:rsid w:val="001D771F"/>
    <w:rsid w:val="001D7B36"/>
    <w:rsid w:val="001D7CC0"/>
    <w:rsid w:val="001E16F8"/>
    <w:rsid w:val="001E2F6D"/>
    <w:rsid w:val="001E36C3"/>
    <w:rsid w:val="001E38E8"/>
    <w:rsid w:val="001E4120"/>
    <w:rsid w:val="001E4433"/>
    <w:rsid w:val="001E6779"/>
    <w:rsid w:val="001E7847"/>
    <w:rsid w:val="001F0F69"/>
    <w:rsid w:val="001F1CF5"/>
    <w:rsid w:val="001F22AD"/>
    <w:rsid w:val="001F2368"/>
    <w:rsid w:val="001F2399"/>
    <w:rsid w:val="001F28A8"/>
    <w:rsid w:val="001F2D51"/>
    <w:rsid w:val="001F3D17"/>
    <w:rsid w:val="001F529E"/>
    <w:rsid w:val="001F57FF"/>
    <w:rsid w:val="001F651E"/>
    <w:rsid w:val="001F66B9"/>
    <w:rsid w:val="001F7976"/>
    <w:rsid w:val="001F7EFE"/>
    <w:rsid w:val="0020048C"/>
    <w:rsid w:val="002020FB"/>
    <w:rsid w:val="002020FC"/>
    <w:rsid w:val="002036B4"/>
    <w:rsid w:val="002036CE"/>
    <w:rsid w:val="00203957"/>
    <w:rsid w:val="002039A3"/>
    <w:rsid w:val="0020463C"/>
    <w:rsid w:val="00205DC0"/>
    <w:rsid w:val="00206AE2"/>
    <w:rsid w:val="00206E15"/>
    <w:rsid w:val="00207504"/>
    <w:rsid w:val="002079DB"/>
    <w:rsid w:val="00207DBB"/>
    <w:rsid w:val="0021014C"/>
    <w:rsid w:val="00210FCF"/>
    <w:rsid w:val="002130C1"/>
    <w:rsid w:val="0021354F"/>
    <w:rsid w:val="00213AEC"/>
    <w:rsid w:val="00213B0E"/>
    <w:rsid w:val="00214302"/>
    <w:rsid w:val="0021478D"/>
    <w:rsid w:val="00215F5B"/>
    <w:rsid w:val="00216451"/>
    <w:rsid w:val="0022080E"/>
    <w:rsid w:val="002226AC"/>
    <w:rsid w:val="0022341C"/>
    <w:rsid w:val="00223B48"/>
    <w:rsid w:val="002244A7"/>
    <w:rsid w:val="00224B9A"/>
    <w:rsid w:val="0022762C"/>
    <w:rsid w:val="00230114"/>
    <w:rsid w:val="00231071"/>
    <w:rsid w:val="00231BF4"/>
    <w:rsid w:val="002327CC"/>
    <w:rsid w:val="00232A4A"/>
    <w:rsid w:val="0023305A"/>
    <w:rsid w:val="00235023"/>
    <w:rsid w:val="0023585D"/>
    <w:rsid w:val="00235C5C"/>
    <w:rsid w:val="00236832"/>
    <w:rsid w:val="00237C3B"/>
    <w:rsid w:val="00237CDF"/>
    <w:rsid w:val="00240B0C"/>
    <w:rsid w:val="00241ECE"/>
    <w:rsid w:val="002443CA"/>
    <w:rsid w:val="002472B1"/>
    <w:rsid w:val="0024778C"/>
    <w:rsid w:val="00247C26"/>
    <w:rsid w:val="002506A5"/>
    <w:rsid w:val="00255E12"/>
    <w:rsid w:val="0025633F"/>
    <w:rsid w:val="00256B72"/>
    <w:rsid w:val="00262C68"/>
    <w:rsid w:val="00262F79"/>
    <w:rsid w:val="0026356B"/>
    <w:rsid w:val="0026414B"/>
    <w:rsid w:val="00265D49"/>
    <w:rsid w:val="00266801"/>
    <w:rsid w:val="00266A26"/>
    <w:rsid w:val="00266B4F"/>
    <w:rsid w:val="00266CA1"/>
    <w:rsid w:val="00270BFD"/>
    <w:rsid w:val="002713EE"/>
    <w:rsid w:val="002716FB"/>
    <w:rsid w:val="002717B0"/>
    <w:rsid w:val="00272E13"/>
    <w:rsid w:val="002733C9"/>
    <w:rsid w:val="00275267"/>
    <w:rsid w:val="00275A2A"/>
    <w:rsid w:val="0027690B"/>
    <w:rsid w:val="00277E06"/>
    <w:rsid w:val="00280028"/>
    <w:rsid w:val="00282ACD"/>
    <w:rsid w:val="00282F99"/>
    <w:rsid w:val="00283230"/>
    <w:rsid w:val="002835B6"/>
    <w:rsid w:val="002836BE"/>
    <w:rsid w:val="0028429F"/>
    <w:rsid w:val="002846D5"/>
    <w:rsid w:val="00284B58"/>
    <w:rsid w:val="00285362"/>
    <w:rsid w:val="00285A3C"/>
    <w:rsid w:val="00285F97"/>
    <w:rsid w:val="00286329"/>
    <w:rsid w:val="0028678B"/>
    <w:rsid w:val="00290F24"/>
    <w:rsid w:val="00292982"/>
    <w:rsid w:val="00294613"/>
    <w:rsid w:val="00295046"/>
    <w:rsid w:val="00295127"/>
    <w:rsid w:val="0029546B"/>
    <w:rsid w:val="0029582E"/>
    <w:rsid w:val="00296108"/>
    <w:rsid w:val="0029625B"/>
    <w:rsid w:val="00296D78"/>
    <w:rsid w:val="002976DF"/>
    <w:rsid w:val="002A0233"/>
    <w:rsid w:val="002A02AE"/>
    <w:rsid w:val="002A1D8F"/>
    <w:rsid w:val="002A1E4D"/>
    <w:rsid w:val="002A2D9B"/>
    <w:rsid w:val="002A3CBF"/>
    <w:rsid w:val="002A4021"/>
    <w:rsid w:val="002A41CE"/>
    <w:rsid w:val="002A4ECA"/>
    <w:rsid w:val="002A53B9"/>
    <w:rsid w:val="002A60B5"/>
    <w:rsid w:val="002A63A1"/>
    <w:rsid w:val="002A6C2C"/>
    <w:rsid w:val="002A6DBC"/>
    <w:rsid w:val="002A7130"/>
    <w:rsid w:val="002A73A4"/>
    <w:rsid w:val="002B01AA"/>
    <w:rsid w:val="002B04DE"/>
    <w:rsid w:val="002B0C8E"/>
    <w:rsid w:val="002B1340"/>
    <w:rsid w:val="002B1C64"/>
    <w:rsid w:val="002B3491"/>
    <w:rsid w:val="002B369D"/>
    <w:rsid w:val="002B381E"/>
    <w:rsid w:val="002B3856"/>
    <w:rsid w:val="002B3C32"/>
    <w:rsid w:val="002B3FB3"/>
    <w:rsid w:val="002B50A7"/>
    <w:rsid w:val="002B52E7"/>
    <w:rsid w:val="002B6388"/>
    <w:rsid w:val="002B7934"/>
    <w:rsid w:val="002B7EE7"/>
    <w:rsid w:val="002C0A0A"/>
    <w:rsid w:val="002C1437"/>
    <w:rsid w:val="002C2151"/>
    <w:rsid w:val="002C27F3"/>
    <w:rsid w:val="002C2953"/>
    <w:rsid w:val="002C2E1F"/>
    <w:rsid w:val="002C308C"/>
    <w:rsid w:val="002C379F"/>
    <w:rsid w:val="002C3B93"/>
    <w:rsid w:val="002C4595"/>
    <w:rsid w:val="002C5756"/>
    <w:rsid w:val="002C5810"/>
    <w:rsid w:val="002C6859"/>
    <w:rsid w:val="002C72ED"/>
    <w:rsid w:val="002C7714"/>
    <w:rsid w:val="002C7BA9"/>
    <w:rsid w:val="002D2EC7"/>
    <w:rsid w:val="002D4B8D"/>
    <w:rsid w:val="002D4B99"/>
    <w:rsid w:val="002D4C3B"/>
    <w:rsid w:val="002D4CCC"/>
    <w:rsid w:val="002D5F04"/>
    <w:rsid w:val="002D6077"/>
    <w:rsid w:val="002D6A85"/>
    <w:rsid w:val="002D6CBB"/>
    <w:rsid w:val="002D79CA"/>
    <w:rsid w:val="002E0BFC"/>
    <w:rsid w:val="002E1291"/>
    <w:rsid w:val="002E15C7"/>
    <w:rsid w:val="002E19BB"/>
    <w:rsid w:val="002E1A7A"/>
    <w:rsid w:val="002E1E22"/>
    <w:rsid w:val="002E4670"/>
    <w:rsid w:val="002E49B3"/>
    <w:rsid w:val="002E602C"/>
    <w:rsid w:val="002E64E9"/>
    <w:rsid w:val="002E6BCC"/>
    <w:rsid w:val="002F0873"/>
    <w:rsid w:val="002F119A"/>
    <w:rsid w:val="002F12FC"/>
    <w:rsid w:val="002F16E0"/>
    <w:rsid w:val="002F1B56"/>
    <w:rsid w:val="002F36B6"/>
    <w:rsid w:val="002F3B1F"/>
    <w:rsid w:val="002F3EE3"/>
    <w:rsid w:val="002F48EB"/>
    <w:rsid w:val="002F4959"/>
    <w:rsid w:val="002F517B"/>
    <w:rsid w:val="002F622D"/>
    <w:rsid w:val="002F69FF"/>
    <w:rsid w:val="002F71C3"/>
    <w:rsid w:val="002F751A"/>
    <w:rsid w:val="002F79AE"/>
    <w:rsid w:val="00300711"/>
    <w:rsid w:val="00301A36"/>
    <w:rsid w:val="00302211"/>
    <w:rsid w:val="00303F78"/>
    <w:rsid w:val="0030429E"/>
    <w:rsid w:val="0030524E"/>
    <w:rsid w:val="0030554F"/>
    <w:rsid w:val="00305F7A"/>
    <w:rsid w:val="0030644A"/>
    <w:rsid w:val="00307317"/>
    <w:rsid w:val="00311867"/>
    <w:rsid w:val="003119B3"/>
    <w:rsid w:val="00312078"/>
    <w:rsid w:val="00312282"/>
    <w:rsid w:val="003128C6"/>
    <w:rsid w:val="003130EB"/>
    <w:rsid w:val="00314A15"/>
    <w:rsid w:val="00315CE0"/>
    <w:rsid w:val="00316864"/>
    <w:rsid w:val="00316CF4"/>
    <w:rsid w:val="003174AA"/>
    <w:rsid w:val="00317602"/>
    <w:rsid w:val="003206E3"/>
    <w:rsid w:val="003209FF"/>
    <w:rsid w:val="00321C8E"/>
    <w:rsid w:val="0032211A"/>
    <w:rsid w:val="00322B0F"/>
    <w:rsid w:val="00323690"/>
    <w:rsid w:val="0032376B"/>
    <w:rsid w:val="00324D6C"/>
    <w:rsid w:val="003257FF"/>
    <w:rsid w:val="0032673E"/>
    <w:rsid w:val="00326FEB"/>
    <w:rsid w:val="003278FA"/>
    <w:rsid w:val="00327912"/>
    <w:rsid w:val="0033046A"/>
    <w:rsid w:val="00330705"/>
    <w:rsid w:val="003311D9"/>
    <w:rsid w:val="003313E0"/>
    <w:rsid w:val="00333FF3"/>
    <w:rsid w:val="00334E71"/>
    <w:rsid w:val="003352C6"/>
    <w:rsid w:val="003365D5"/>
    <w:rsid w:val="00337117"/>
    <w:rsid w:val="0033794C"/>
    <w:rsid w:val="00337B18"/>
    <w:rsid w:val="0034057C"/>
    <w:rsid w:val="00340858"/>
    <w:rsid w:val="00340C20"/>
    <w:rsid w:val="00340DBB"/>
    <w:rsid w:val="00341FAB"/>
    <w:rsid w:val="00341FB2"/>
    <w:rsid w:val="0034208F"/>
    <w:rsid w:val="003422C2"/>
    <w:rsid w:val="00342D30"/>
    <w:rsid w:val="00343561"/>
    <w:rsid w:val="00343F35"/>
    <w:rsid w:val="00344B2D"/>
    <w:rsid w:val="00345027"/>
    <w:rsid w:val="00345D26"/>
    <w:rsid w:val="00346C2A"/>
    <w:rsid w:val="00346DFB"/>
    <w:rsid w:val="003479E3"/>
    <w:rsid w:val="003532F6"/>
    <w:rsid w:val="00353328"/>
    <w:rsid w:val="00353427"/>
    <w:rsid w:val="003540C6"/>
    <w:rsid w:val="003548EA"/>
    <w:rsid w:val="00354F41"/>
    <w:rsid w:val="0035636A"/>
    <w:rsid w:val="0035758B"/>
    <w:rsid w:val="0035775C"/>
    <w:rsid w:val="0036061E"/>
    <w:rsid w:val="0036175F"/>
    <w:rsid w:val="0036179C"/>
    <w:rsid w:val="003623F9"/>
    <w:rsid w:val="00363294"/>
    <w:rsid w:val="00363558"/>
    <w:rsid w:val="00364354"/>
    <w:rsid w:val="0036545C"/>
    <w:rsid w:val="00365962"/>
    <w:rsid w:val="003679A9"/>
    <w:rsid w:val="00367DB1"/>
    <w:rsid w:val="0037096A"/>
    <w:rsid w:val="0037099B"/>
    <w:rsid w:val="003715DB"/>
    <w:rsid w:val="0037177B"/>
    <w:rsid w:val="00371C8A"/>
    <w:rsid w:val="00371FC2"/>
    <w:rsid w:val="0037313F"/>
    <w:rsid w:val="0037374C"/>
    <w:rsid w:val="00376378"/>
    <w:rsid w:val="003773A1"/>
    <w:rsid w:val="003776F2"/>
    <w:rsid w:val="00381010"/>
    <w:rsid w:val="00381178"/>
    <w:rsid w:val="003825AE"/>
    <w:rsid w:val="00382E5F"/>
    <w:rsid w:val="00383900"/>
    <w:rsid w:val="0038418F"/>
    <w:rsid w:val="00384C73"/>
    <w:rsid w:val="00385FA6"/>
    <w:rsid w:val="00385FE6"/>
    <w:rsid w:val="0038660A"/>
    <w:rsid w:val="003875D0"/>
    <w:rsid w:val="003875EC"/>
    <w:rsid w:val="0038794B"/>
    <w:rsid w:val="00390849"/>
    <w:rsid w:val="003913CB"/>
    <w:rsid w:val="00391929"/>
    <w:rsid w:val="00392899"/>
    <w:rsid w:val="003943B6"/>
    <w:rsid w:val="003967B2"/>
    <w:rsid w:val="00396A7F"/>
    <w:rsid w:val="00397B6A"/>
    <w:rsid w:val="003A06CC"/>
    <w:rsid w:val="003A0F0A"/>
    <w:rsid w:val="003A1527"/>
    <w:rsid w:val="003A3CD8"/>
    <w:rsid w:val="003A3EC4"/>
    <w:rsid w:val="003A45C5"/>
    <w:rsid w:val="003A4C89"/>
    <w:rsid w:val="003A54B4"/>
    <w:rsid w:val="003A619D"/>
    <w:rsid w:val="003A6805"/>
    <w:rsid w:val="003A6A93"/>
    <w:rsid w:val="003A6B94"/>
    <w:rsid w:val="003A76DA"/>
    <w:rsid w:val="003B0641"/>
    <w:rsid w:val="003B105E"/>
    <w:rsid w:val="003B19A0"/>
    <w:rsid w:val="003B2F28"/>
    <w:rsid w:val="003B35D6"/>
    <w:rsid w:val="003B442D"/>
    <w:rsid w:val="003B510A"/>
    <w:rsid w:val="003B5784"/>
    <w:rsid w:val="003B649A"/>
    <w:rsid w:val="003B787A"/>
    <w:rsid w:val="003B7DBA"/>
    <w:rsid w:val="003C185B"/>
    <w:rsid w:val="003C1C5A"/>
    <w:rsid w:val="003C215E"/>
    <w:rsid w:val="003C2EC8"/>
    <w:rsid w:val="003C45FC"/>
    <w:rsid w:val="003C4B9E"/>
    <w:rsid w:val="003C4C19"/>
    <w:rsid w:val="003C53E5"/>
    <w:rsid w:val="003C6863"/>
    <w:rsid w:val="003C6ACE"/>
    <w:rsid w:val="003D035D"/>
    <w:rsid w:val="003D15F6"/>
    <w:rsid w:val="003D26A4"/>
    <w:rsid w:val="003D467E"/>
    <w:rsid w:val="003D4E78"/>
    <w:rsid w:val="003D4F2B"/>
    <w:rsid w:val="003D574C"/>
    <w:rsid w:val="003D59BD"/>
    <w:rsid w:val="003D5AE4"/>
    <w:rsid w:val="003D693D"/>
    <w:rsid w:val="003D6A95"/>
    <w:rsid w:val="003D7229"/>
    <w:rsid w:val="003D7FEE"/>
    <w:rsid w:val="003E074F"/>
    <w:rsid w:val="003E07C3"/>
    <w:rsid w:val="003E090B"/>
    <w:rsid w:val="003E0924"/>
    <w:rsid w:val="003E0F9F"/>
    <w:rsid w:val="003E28D4"/>
    <w:rsid w:val="003E2B26"/>
    <w:rsid w:val="003E31E4"/>
    <w:rsid w:val="003E5046"/>
    <w:rsid w:val="003E51A0"/>
    <w:rsid w:val="003E553B"/>
    <w:rsid w:val="003E5D78"/>
    <w:rsid w:val="003E615A"/>
    <w:rsid w:val="003E62B9"/>
    <w:rsid w:val="003E6C61"/>
    <w:rsid w:val="003E6E39"/>
    <w:rsid w:val="003E6EB5"/>
    <w:rsid w:val="003E737A"/>
    <w:rsid w:val="003F03AA"/>
    <w:rsid w:val="003F08CC"/>
    <w:rsid w:val="003F1410"/>
    <w:rsid w:val="003F15B5"/>
    <w:rsid w:val="003F21A1"/>
    <w:rsid w:val="003F2ED8"/>
    <w:rsid w:val="003F2F7A"/>
    <w:rsid w:val="003F314B"/>
    <w:rsid w:val="003F39E2"/>
    <w:rsid w:val="003F45C5"/>
    <w:rsid w:val="003F4798"/>
    <w:rsid w:val="003F6A2F"/>
    <w:rsid w:val="003F6E73"/>
    <w:rsid w:val="003F7601"/>
    <w:rsid w:val="00400362"/>
    <w:rsid w:val="00402258"/>
    <w:rsid w:val="0040298B"/>
    <w:rsid w:val="00403AA6"/>
    <w:rsid w:val="00404019"/>
    <w:rsid w:val="00404827"/>
    <w:rsid w:val="00405038"/>
    <w:rsid w:val="00406389"/>
    <w:rsid w:val="00407AF9"/>
    <w:rsid w:val="00410F3E"/>
    <w:rsid w:val="00412223"/>
    <w:rsid w:val="004123D4"/>
    <w:rsid w:val="00413D5A"/>
    <w:rsid w:val="00414A52"/>
    <w:rsid w:val="004158DB"/>
    <w:rsid w:val="004164B4"/>
    <w:rsid w:val="00416E0B"/>
    <w:rsid w:val="00417529"/>
    <w:rsid w:val="0042033A"/>
    <w:rsid w:val="004208BC"/>
    <w:rsid w:val="00420AB8"/>
    <w:rsid w:val="00422664"/>
    <w:rsid w:val="00422AB7"/>
    <w:rsid w:val="004234F0"/>
    <w:rsid w:val="00423CC7"/>
    <w:rsid w:val="004251A7"/>
    <w:rsid w:val="00427475"/>
    <w:rsid w:val="00431A64"/>
    <w:rsid w:val="00433118"/>
    <w:rsid w:val="00434CB4"/>
    <w:rsid w:val="00434EC2"/>
    <w:rsid w:val="00435748"/>
    <w:rsid w:val="00440349"/>
    <w:rsid w:val="0044065A"/>
    <w:rsid w:val="00442A33"/>
    <w:rsid w:val="00442FAB"/>
    <w:rsid w:val="00443BB7"/>
    <w:rsid w:val="00444DCB"/>
    <w:rsid w:val="004457A9"/>
    <w:rsid w:val="00445C98"/>
    <w:rsid w:val="0044643C"/>
    <w:rsid w:val="00446701"/>
    <w:rsid w:val="004467CF"/>
    <w:rsid w:val="00446B10"/>
    <w:rsid w:val="00446ECA"/>
    <w:rsid w:val="00447E1B"/>
    <w:rsid w:val="00450350"/>
    <w:rsid w:val="00450399"/>
    <w:rsid w:val="0045061C"/>
    <w:rsid w:val="00450FCF"/>
    <w:rsid w:val="00451C86"/>
    <w:rsid w:val="004523A1"/>
    <w:rsid w:val="00453771"/>
    <w:rsid w:val="00453852"/>
    <w:rsid w:val="004543A2"/>
    <w:rsid w:val="00455CEF"/>
    <w:rsid w:val="00456909"/>
    <w:rsid w:val="00456E4B"/>
    <w:rsid w:val="00462050"/>
    <w:rsid w:val="004621B8"/>
    <w:rsid w:val="00463474"/>
    <w:rsid w:val="00463C5D"/>
    <w:rsid w:val="004649D2"/>
    <w:rsid w:val="00464E01"/>
    <w:rsid w:val="00466025"/>
    <w:rsid w:val="0047045B"/>
    <w:rsid w:val="00471006"/>
    <w:rsid w:val="00471630"/>
    <w:rsid w:val="00471B25"/>
    <w:rsid w:val="00471BC9"/>
    <w:rsid w:val="0047238C"/>
    <w:rsid w:val="0047242C"/>
    <w:rsid w:val="004726E0"/>
    <w:rsid w:val="00472E67"/>
    <w:rsid w:val="00474ABE"/>
    <w:rsid w:val="00474E9B"/>
    <w:rsid w:val="0047708A"/>
    <w:rsid w:val="00477706"/>
    <w:rsid w:val="0048288A"/>
    <w:rsid w:val="00484B85"/>
    <w:rsid w:val="0048526D"/>
    <w:rsid w:val="00485396"/>
    <w:rsid w:val="00485CC8"/>
    <w:rsid w:val="00486071"/>
    <w:rsid w:val="004875E0"/>
    <w:rsid w:val="004877A5"/>
    <w:rsid w:val="00487DB9"/>
    <w:rsid w:val="00490D59"/>
    <w:rsid w:val="00492D2D"/>
    <w:rsid w:val="00493147"/>
    <w:rsid w:val="004939BC"/>
    <w:rsid w:val="004939DE"/>
    <w:rsid w:val="00494DEA"/>
    <w:rsid w:val="00495E4D"/>
    <w:rsid w:val="00496F91"/>
    <w:rsid w:val="00497D1B"/>
    <w:rsid w:val="004A05E4"/>
    <w:rsid w:val="004A14FE"/>
    <w:rsid w:val="004A20CA"/>
    <w:rsid w:val="004A2D93"/>
    <w:rsid w:val="004A310B"/>
    <w:rsid w:val="004A49BA"/>
    <w:rsid w:val="004A5892"/>
    <w:rsid w:val="004A595D"/>
    <w:rsid w:val="004A5D65"/>
    <w:rsid w:val="004B0DE4"/>
    <w:rsid w:val="004B12BB"/>
    <w:rsid w:val="004B1E19"/>
    <w:rsid w:val="004B1FD6"/>
    <w:rsid w:val="004B2165"/>
    <w:rsid w:val="004B2C7B"/>
    <w:rsid w:val="004B3764"/>
    <w:rsid w:val="004B3C17"/>
    <w:rsid w:val="004B41FC"/>
    <w:rsid w:val="004B53E9"/>
    <w:rsid w:val="004B65B6"/>
    <w:rsid w:val="004B6A6A"/>
    <w:rsid w:val="004C03C9"/>
    <w:rsid w:val="004C043F"/>
    <w:rsid w:val="004C0446"/>
    <w:rsid w:val="004C1DF9"/>
    <w:rsid w:val="004C3287"/>
    <w:rsid w:val="004C38B1"/>
    <w:rsid w:val="004C3A2D"/>
    <w:rsid w:val="004C3F5B"/>
    <w:rsid w:val="004C4AC6"/>
    <w:rsid w:val="004C58F6"/>
    <w:rsid w:val="004C70FC"/>
    <w:rsid w:val="004C7FEE"/>
    <w:rsid w:val="004D1783"/>
    <w:rsid w:val="004D2143"/>
    <w:rsid w:val="004D2398"/>
    <w:rsid w:val="004D2556"/>
    <w:rsid w:val="004D2E3F"/>
    <w:rsid w:val="004D2E7B"/>
    <w:rsid w:val="004D3097"/>
    <w:rsid w:val="004D366B"/>
    <w:rsid w:val="004D38E5"/>
    <w:rsid w:val="004D3C11"/>
    <w:rsid w:val="004D3D09"/>
    <w:rsid w:val="004D6979"/>
    <w:rsid w:val="004D7CDF"/>
    <w:rsid w:val="004D7F6F"/>
    <w:rsid w:val="004E04E7"/>
    <w:rsid w:val="004E0CED"/>
    <w:rsid w:val="004E213E"/>
    <w:rsid w:val="004E3667"/>
    <w:rsid w:val="004E4152"/>
    <w:rsid w:val="004E5D4E"/>
    <w:rsid w:val="004E6717"/>
    <w:rsid w:val="004E6757"/>
    <w:rsid w:val="004E6C58"/>
    <w:rsid w:val="004E6EC9"/>
    <w:rsid w:val="004E7BDE"/>
    <w:rsid w:val="004F0BC4"/>
    <w:rsid w:val="004F10C7"/>
    <w:rsid w:val="004F10ED"/>
    <w:rsid w:val="004F11F1"/>
    <w:rsid w:val="004F1977"/>
    <w:rsid w:val="004F23C2"/>
    <w:rsid w:val="004F2D3D"/>
    <w:rsid w:val="004F69A3"/>
    <w:rsid w:val="004F6F6F"/>
    <w:rsid w:val="004F7253"/>
    <w:rsid w:val="0050081B"/>
    <w:rsid w:val="00501E61"/>
    <w:rsid w:val="00502828"/>
    <w:rsid w:val="005042DE"/>
    <w:rsid w:val="00504B42"/>
    <w:rsid w:val="005068D2"/>
    <w:rsid w:val="00511B7B"/>
    <w:rsid w:val="00514A3F"/>
    <w:rsid w:val="005160DD"/>
    <w:rsid w:val="00516738"/>
    <w:rsid w:val="005205D9"/>
    <w:rsid w:val="005210D1"/>
    <w:rsid w:val="005231CE"/>
    <w:rsid w:val="005237CE"/>
    <w:rsid w:val="00523CE0"/>
    <w:rsid w:val="00523D5E"/>
    <w:rsid w:val="00524558"/>
    <w:rsid w:val="00524DA3"/>
    <w:rsid w:val="005254A6"/>
    <w:rsid w:val="00526E16"/>
    <w:rsid w:val="0052764D"/>
    <w:rsid w:val="00527714"/>
    <w:rsid w:val="00530638"/>
    <w:rsid w:val="00531A5C"/>
    <w:rsid w:val="005323F2"/>
    <w:rsid w:val="0053384E"/>
    <w:rsid w:val="00533D54"/>
    <w:rsid w:val="00533D99"/>
    <w:rsid w:val="00534D58"/>
    <w:rsid w:val="005350CB"/>
    <w:rsid w:val="005355A3"/>
    <w:rsid w:val="00535AB6"/>
    <w:rsid w:val="0053667F"/>
    <w:rsid w:val="00536C5F"/>
    <w:rsid w:val="00536E70"/>
    <w:rsid w:val="0053778A"/>
    <w:rsid w:val="005403AB"/>
    <w:rsid w:val="005410A0"/>
    <w:rsid w:val="00541C5C"/>
    <w:rsid w:val="005422FD"/>
    <w:rsid w:val="00542C78"/>
    <w:rsid w:val="00543295"/>
    <w:rsid w:val="00544EE7"/>
    <w:rsid w:val="005453C0"/>
    <w:rsid w:val="00546E92"/>
    <w:rsid w:val="005471FA"/>
    <w:rsid w:val="005477BB"/>
    <w:rsid w:val="0055048F"/>
    <w:rsid w:val="00550D62"/>
    <w:rsid w:val="0055119B"/>
    <w:rsid w:val="00551AAC"/>
    <w:rsid w:val="00551BA8"/>
    <w:rsid w:val="0055207B"/>
    <w:rsid w:val="00552660"/>
    <w:rsid w:val="00554FB1"/>
    <w:rsid w:val="005556FE"/>
    <w:rsid w:val="00555B62"/>
    <w:rsid w:val="00555E19"/>
    <w:rsid w:val="00557463"/>
    <w:rsid w:val="00557D2F"/>
    <w:rsid w:val="005607AB"/>
    <w:rsid w:val="005615E3"/>
    <w:rsid w:val="00562759"/>
    <w:rsid w:val="00563BB7"/>
    <w:rsid w:val="0056421A"/>
    <w:rsid w:val="00564585"/>
    <w:rsid w:val="005647BC"/>
    <w:rsid w:val="0056508E"/>
    <w:rsid w:val="00566DB2"/>
    <w:rsid w:val="00566E2F"/>
    <w:rsid w:val="0056768B"/>
    <w:rsid w:val="005677D7"/>
    <w:rsid w:val="00567A2A"/>
    <w:rsid w:val="005706EA"/>
    <w:rsid w:val="00571853"/>
    <w:rsid w:val="005733CC"/>
    <w:rsid w:val="0057360C"/>
    <w:rsid w:val="00573F67"/>
    <w:rsid w:val="00575828"/>
    <w:rsid w:val="00575837"/>
    <w:rsid w:val="00575841"/>
    <w:rsid w:val="00575C56"/>
    <w:rsid w:val="00576324"/>
    <w:rsid w:val="00576E18"/>
    <w:rsid w:val="00576E8A"/>
    <w:rsid w:val="005772B2"/>
    <w:rsid w:val="005779FC"/>
    <w:rsid w:val="00581FC5"/>
    <w:rsid w:val="00582676"/>
    <w:rsid w:val="00582AA1"/>
    <w:rsid w:val="005839D7"/>
    <w:rsid w:val="00583E4C"/>
    <w:rsid w:val="005852E8"/>
    <w:rsid w:val="005869AB"/>
    <w:rsid w:val="0058797F"/>
    <w:rsid w:val="00590D21"/>
    <w:rsid w:val="00590FDF"/>
    <w:rsid w:val="00591943"/>
    <w:rsid w:val="00591CB3"/>
    <w:rsid w:val="005956CD"/>
    <w:rsid w:val="005968BC"/>
    <w:rsid w:val="00596E0B"/>
    <w:rsid w:val="005978FF"/>
    <w:rsid w:val="005A0310"/>
    <w:rsid w:val="005A08D1"/>
    <w:rsid w:val="005A0B84"/>
    <w:rsid w:val="005A0BDD"/>
    <w:rsid w:val="005A0E8D"/>
    <w:rsid w:val="005A209E"/>
    <w:rsid w:val="005A23A6"/>
    <w:rsid w:val="005A2ADC"/>
    <w:rsid w:val="005A2BBF"/>
    <w:rsid w:val="005A2C89"/>
    <w:rsid w:val="005A2EDF"/>
    <w:rsid w:val="005A3009"/>
    <w:rsid w:val="005A3023"/>
    <w:rsid w:val="005A329C"/>
    <w:rsid w:val="005A33C9"/>
    <w:rsid w:val="005A3736"/>
    <w:rsid w:val="005A392A"/>
    <w:rsid w:val="005A3D1C"/>
    <w:rsid w:val="005A5243"/>
    <w:rsid w:val="005A5259"/>
    <w:rsid w:val="005A5704"/>
    <w:rsid w:val="005A5AB0"/>
    <w:rsid w:val="005A7DD8"/>
    <w:rsid w:val="005B018C"/>
    <w:rsid w:val="005B029B"/>
    <w:rsid w:val="005B0843"/>
    <w:rsid w:val="005B1685"/>
    <w:rsid w:val="005B1B3A"/>
    <w:rsid w:val="005B2FEC"/>
    <w:rsid w:val="005B3DC9"/>
    <w:rsid w:val="005B54DC"/>
    <w:rsid w:val="005B55CC"/>
    <w:rsid w:val="005B55EB"/>
    <w:rsid w:val="005B60A3"/>
    <w:rsid w:val="005B732A"/>
    <w:rsid w:val="005B7DDF"/>
    <w:rsid w:val="005C012B"/>
    <w:rsid w:val="005C0CA1"/>
    <w:rsid w:val="005C0D6D"/>
    <w:rsid w:val="005C1D36"/>
    <w:rsid w:val="005C5CAB"/>
    <w:rsid w:val="005C5D2C"/>
    <w:rsid w:val="005C6907"/>
    <w:rsid w:val="005C69FE"/>
    <w:rsid w:val="005C72CF"/>
    <w:rsid w:val="005C79E3"/>
    <w:rsid w:val="005D127D"/>
    <w:rsid w:val="005D2598"/>
    <w:rsid w:val="005D25D6"/>
    <w:rsid w:val="005D2AA1"/>
    <w:rsid w:val="005D3082"/>
    <w:rsid w:val="005D3C51"/>
    <w:rsid w:val="005D3E25"/>
    <w:rsid w:val="005D61F2"/>
    <w:rsid w:val="005D65D9"/>
    <w:rsid w:val="005D7E4B"/>
    <w:rsid w:val="005D7F62"/>
    <w:rsid w:val="005E2881"/>
    <w:rsid w:val="005E2BD3"/>
    <w:rsid w:val="005E33F0"/>
    <w:rsid w:val="005E3B1B"/>
    <w:rsid w:val="005E3B73"/>
    <w:rsid w:val="005E3F2A"/>
    <w:rsid w:val="005E5997"/>
    <w:rsid w:val="005E7037"/>
    <w:rsid w:val="005F10A2"/>
    <w:rsid w:val="005F2214"/>
    <w:rsid w:val="005F25F3"/>
    <w:rsid w:val="005F28F4"/>
    <w:rsid w:val="005F2B84"/>
    <w:rsid w:val="005F2BB2"/>
    <w:rsid w:val="005F2D5C"/>
    <w:rsid w:val="005F31E0"/>
    <w:rsid w:val="005F3A05"/>
    <w:rsid w:val="005F3A88"/>
    <w:rsid w:val="005F58E0"/>
    <w:rsid w:val="005F66C3"/>
    <w:rsid w:val="005F68E3"/>
    <w:rsid w:val="005F6BC7"/>
    <w:rsid w:val="005F7D9A"/>
    <w:rsid w:val="006007B4"/>
    <w:rsid w:val="006011DD"/>
    <w:rsid w:val="00601637"/>
    <w:rsid w:val="0060196F"/>
    <w:rsid w:val="006023A7"/>
    <w:rsid w:val="00603178"/>
    <w:rsid w:val="00603195"/>
    <w:rsid w:val="00603B13"/>
    <w:rsid w:val="006041F2"/>
    <w:rsid w:val="00604832"/>
    <w:rsid w:val="00604E5B"/>
    <w:rsid w:val="00606373"/>
    <w:rsid w:val="00607BAD"/>
    <w:rsid w:val="00607E12"/>
    <w:rsid w:val="00607FA2"/>
    <w:rsid w:val="006118C2"/>
    <w:rsid w:val="006119B2"/>
    <w:rsid w:val="00611D3B"/>
    <w:rsid w:val="00612330"/>
    <w:rsid w:val="00613A4B"/>
    <w:rsid w:val="006151D1"/>
    <w:rsid w:val="00615785"/>
    <w:rsid w:val="00616A4E"/>
    <w:rsid w:val="00617730"/>
    <w:rsid w:val="006178E2"/>
    <w:rsid w:val="00617EB8"/>
    <w:rsid w:val="00622743"/>
    <w:rsid w:val="0062367D"/>
    <w:rsid w:val="00623AA8"/>
    <w:rsid w:val="0062592A"/>
    <w:rsid w:val="006265C1"/>
    <w:rsid w:val="00626646"/>
    <w:rsid w:val="00626AFE"/>
    <w:rsid w:val="0063061D"/>
    <w:rsid w:val="00630D80"/>
    <w:rsid w:val="00632252"/>
    <w:rsid w:val="00632438"/>
    <w:rsid w:val="006326D4"/>
    <w:rsid w:val="00632A50"/>
    <w:rsid w:val="00632AB1"/>
    <w:rsid w:val="00633788"/>
    <w:rsid w:val="006358AD"/>
    <w:rsid w:val="00635BBA"/>
    <w:rsid w:val="00635FA8"/>
    <w:rsid w:val="00636F6A"/>
    <w:rsid w:val="00637A81"/>
    <w:rsid w:val="006402AC"/>
    <w:rsid w:val="00640D76"/>
    <w:rsid w:val="00642CD4"/>
    <w:rsid w:val="0064468C"/>
    <w:rsid w:val="006447DF"/>
    <w:rsid w:val="006447E1"/>
    <w:rsid w:val="00644A4C"/>
    <w:rsid w:val="00644A87"/>
    <w:rsid w:val="006457C5"/>
    <w:rsid w:val="00645804"/>
    <w:rsid w:val="00645F15"/>
    <w:rsid w:val="00646660"/>
    <w:rsid w:val="00646842"/>
    <w:rsid w:val="00647BBA"/>
    <w:rsid w:val="006507B1"/>
    <w:rsid w:val="0065154A"/>
    <w:rsid w:val="006519E5"/>
    <w:rsid w:val="006522E0"/>
    <w:rsid w:val="00653B45"/>
    <w:rsid w:val="00653F5B"/>
    <w:rsid w:val="006541F0"/>
    <w:rsid w:val="0065429B"/>
    <w:rsid w:val="0065554E"/>
    <w:rsid w:val="00656820"/>
    <w:rsid w:val="0066206A"/>
    <w:rsid w:val="006621BE"/>
    <w:rsid w:val="006627B7"/>
    <w:rsid w:val="0066297C"/>
    <w:rsid w:val="00662C9F"/>
    <w:rsid w:val="00663DC7"/>
    <w:rsid w:val="00663E6F"/>
    <w:rsid w:val="006641EF"/>
    <w:rsid w:val="00666BC1"/>
    <w:rsid w:val="00666D40"/>
    <w:rsid w:val="00666F2F"/>
    <w:rsid w:val="006670B5"/>
    <w:rsid w:val="00667BF8"/>
    <w:rsid w:val="00667E83"/>
    <w:rsid w:val="00670345"/>
    <w:rsid w:val="00670368"/>
    <w:rsid w:val="00670ED8"/>
    <w:rsid w:val="0067200A"/>
    <w:rsid w:val="006756EE"/>
    <w:rsid w:val="00675DC0"/>
    <w:rsid w:val="00675E28"/>
    <w:rsid w:val="00677607"/>
    <w:rsid w:val="00677888"/>
    <w:rsid w:val="006779EB"/>
    <w:rsid w:val="006801FB"/>
    <w:rsid w:val="00681740"/>
    <w:rsid w:val="006820E2"/>
    <w:rsid w:val="00683352"/>
    <w:rsid w:val="00683B26"/>
    <w:rsid w:val="0068467F"/>
    <w:rsid w:val="006864A4"/>
    <w:rsid w:val="00687D8B"/>
    <w:rsid w:val="00690357"/>
    <w:rsid w:val="006903FD"/>
    <w:rsid w:val="00690A4C"/>
    <w:rsid w:val="00690A83"/>
    <w:rsid w:val="00691310"/>
    <w:rsid w:val="00691F49"/>
    <w:rsid w:val="00693E8E"/>
    <w:rsid w:val="00695087"/>
    <w:rsid w:val="00695358"/>
    <w:rsid w:val="006A0D87"/>
    <w:rsid w:val="006A2C2A"/>
    <w:rsid w:val="006A3A9F"/>
    <w:rsid w:val="006A54E6"/>
    <w:rsid w:val="006A6130"/>
    <w:rsid w:val="006A6A9A"/>
    <w:rsid w:val="006A71D5"/>
    <w:rsid w:val="006B04DC"/>
    <w:rsid w:val="006B0A03"/>
    <w:rsid w:val="006B1516"/>
    <w:rsid w:val="006B1FCB"/>
    <w:rsid w:val="006B2A4B"/>
    <w:rsid w:val="006B38E0"/>
    <w:rsid w:val="006B4240"/>
    <w:rsid w:val="006B51ED"/>
    <w:rsid w:val="006B66CF"/>
    <w:rsid w:val="006B713D"/>
    <w:rsid w:val="006B73FE"/>
    <w:rsid w:val="006B7626"/>
    <w:rsid w:val="006C0048"/>
    <w:rsid w:val="006C02BF"/>
    <w:rsid w:val="006C0507"/>
    <w:rsid w:val="006C0543"/>
    <w:rsid w:val="006C089C"/>
    <w:rsid w:val="006C10A0"/>
    <w:rsid w:val="006C1578"/>
    <w:rsid w:val="006C1ACD"/>
    <w:rsid w:val="006C20B7"/>
    <w:rsid w:val="006C2EBF"/>
    <w:rsid w:val="006C3123"/>
    <w:rsid w:val="006C449E"/>
    <w:rsid w:val="006C4681"/>
    <w:rsid w:val="006C47E5"/>
    <w:rsid w:val="006C4B17"/>
    <w:rsid w:val="006C4D22"/>
    <w:rsid w:val="006C5161"/>
    <w:rsid w:val="006C55AB"/>
    <w:rsid w:val="006C5636"/>
    <w:rsid w:val="006C6030"/>
    <w:rsid w:val="006D1A8D"/>
    <w:rsid w:val="006D28BA"/>
    <w:rsid w:val="006D5397"/>
    <w:rsid w:val="006D546E"/>
    <w:rsid w:val="006D590D"/>
    <w:rsid w:val="006D6642"/>
    <w:rsid w:val="006D6C33"/>
    <w:rsid w:val="006D7460"/>
    <w:rsid w:val="006D7D3F"/>
    <w:rsid w:val="006E07CE"/>
    <w:rsid w:val="006E0C94"/>
    <w:rsid w:val="006E1241"/>
    <w:rsid w:val="006E2167"/>
    <w:rsid w:val="006E23A6"/>
    <w:rsid w:val="006E4206"/>
    <w:rsid w:val="006E55A6"/>
    <w:rsid w:val="006E5604"/>
    <w:rsid w:val="006E7BBB"/>
    <w:rsid w:val="006F00FB"/>
    <w:rsid w:val="006F11E9"/>
    <w:rsid w:val="006F1775"/>
    <w:rsid w:val="006F1E99"/>
    <w:rsid w:val="006F3041"/>
    <w:rsid w:val="006F3E1D"/>
    <w:rsid w:val="006F527C"/>
    <w:rsid w:val="006F53B0"/>
    <w:rsid w:val="006F6F86"/>
    <w:rsid w:val="007000B1"/>
    <w:rsid w:val="00700238"/>
    <w:rsid w:val="00700B14"/>
    <w:rsid w:val="0070136C"/>
    <w:rsid w:val="007033A1"/>
    <w:rsid w:val="00703842"/>
    <w:rsid w:val="0070471E"/>
    <w:rsid w:val="00704AF9"/>
    <w:rsid w:val="00705CB0"/>
    <w:rsid w:val="00706617"/>
    <w:rsid w:val="007067AA"/>
    <w:rsid w:val="00707D3C"/>
    <w:rsid w:val="00707DC5"/>
    <w:rsid w:val="00710958"/>
    <w:rsid w:val="007116A5"/>
    <w:rsid w:val="00711CD0"/>
    <w:rsid w:val="007126B2"/>
    <w:rsid w:val="007126D0"/>
    <w:rsid w:val="0071350B"/>
    <w:rsid w:val="007143DD"/>
    <w:rsid w:val="007148D7"/>
    <w:rsid w:val="00714F5D"/>
    <w:rsid w:val="00715695"/>
    <w:rsid w:val="00715824"/>
    <w:rsid w:val="00715952"/>
    <w:rsid w:val="00715B65"/>
    <w:rsid w:val="00715ECF"/>
    <w:rsid w:val="0071724B"/>
    <w:rsid w:val="00717724"/>
    <w:rsid w:val="00717FCE"/>
    <w:rsid w:val="00720637"/>
    <w:rsid w:val="0072093D"/>
    <w:rsid w:val="00720ADC"/>
    <w:rsid w:val="00721405"/>
    <w:rsid w:val="0072277F"/>
    <w:rsid w:val="007229F4"/>
    <w:rsid w:val="00722DE9"/>
    <w:rsid w:val="00722F66"/>
    <w:rsid w:val="00725DA5"/>
    <w:rsid w:val="00726B69"/>
    <w:rsid w:val="007272C1"/>
    <w:rsid w:val="00727E22"/>
    <w:rsid w:val="007302C1"/>
    <w:rsid w:val="0073080F"/>
    <w:rsid w:val="00731B8F"/>
    <w:rsid w:val="007321C0"/>
    <w:rsid w:val="00733CD4"/>
    <w:rsid w:val="00734532"/>
    <w:rsid w:val="007348EF"/>
    <w:rsid w:val="00734E40"/>
    <w:rsid w:val="00734E84"/>
    <w:rsid w:val="00735291"/>
    <w:rsid w:val="00735AD2"/>
    <w:rsid w:val="00735BC3"/>
    <w:rsid w:val="00736CF0"/>
    <w:rsid w:val="00736FA7"/>
    <w:rsid w:val="00740A86"/>
    <w:rsid w:val="00740C50"/>
    <w:rsid w:val="00741536"/>
    <w:rsid w:val="007415A2"/>
    <w:rsid w:val="00742003"/>
    <w:rsid w:val="0074292C"/>
    <w:rsid w:val="00743411"/>
    <w:rsid w:val="00743790"/>
    <w:rsid w:val="00743B22"/>
    <w:rsid w:val="00743F1E"/>
    <w:rsid w:val="0074452F"/>
    <w:rsid w:val="0074518B"/>
    <w:rsid w:val="00746700"/>
    <w:rsid w:val="00746B5A"/>
    <w:rsid w:val="00746BC3"/>
    <w:rsid w:val="00747A81"/>
    <w:rsid w:val="007501E7"/>
    <w:rsid w:val="007528E6"/>
    <w:rsid w:val="0075307B"/>
    <w:rsid w:val="007533DD"/>
    <w:rsid w:val="00753789"/>
    <w:rsid w:val="007546D9"/>
    <w:rsid w:val="007553E9"/>
    <w:rsid w:val="00755744"/>
    <w:rsid w:val="00755753"/>
    <w:rsid w:val="007561A5"/>
    <w:rsid w:val="00756282"/>
    <w:rsid w:val="00756EB2"/>
    <w:rsid w:val="00757E4A"/>
    <w:rsid w:val="00757F86"/>
    <w:rsid w:val="00761D6F"/>
    <w:rsid w:val="007632F1"/>
    <w:rsid w:val="0076488A"/>
    <w:rsid w:val="00765415"/>
    <w:rsid w:val="007663AB"/>
    <w:rsid w:val="007676C2"/>
    <w:rsid w:val="007708B6"/>
    <w:rsid w:val="00770B53"/>
    <w:rsid w:val="00771592"/>
    <w:rsid w:val="00772A41"/>
    <w:rsid w:val="00773DB2"/>
    <w:rsid w:val="0077671A"/>
    <w:rsid w:val="00776A3C"/>
    <w:rsid w:val="007775EE"/>
    <w:rsid w:val="00777E48"/>
    <w:rsid w:val="00780344"/>
    <w:rsid w:val="00780C9A"/>
    <w:rsid w:val="00783A49"/>
    <w:rsid w:val="00783CFA"/>
    <w:rsid w:val="0078504D"/>
    <w:rsid w:val="0078560A"/>
    <w:rsid w:val="00785F64"/>
    <w:rsid w:val="007864B6"/>
    <w:rsid w:val="00787269"/>
    <w:rsid w:val="007874AD"/>
    <w:rsid w:val="0078759E"/>
    <w:rsid w:val="00790D7D"/>
    <w:rsid w:val="00791059"/>
    <w:rsid w:val="00791E32"/>
    <w:rsid w:val="007920D9"/>
    <w:rsid w:val="007933A5"/>
    <w:rsid w:val="00793542"/>
    <w:rsid w:val="007936CE"/>
    <w:rsid w:val="00795200"/>
    <w:rsid w:val="00795204"/>
    <w:rsid w:val="007965A0"/>
    <w:rsid w:val="00797EFF"/>
    <w:rsid w:val="007A08FB"/>
    <w:rsid w:val="007A091A"/>
    <w:rsid w:val="007A1438"/>
    <w:rsid w:val="007A1B74"/>
    <w:rsid w:val="007A28D2"/>
    <w:rsid w:val="007A2E7E"/>
    <w:rsid w:val="007A2F99"/>
    <w:rsid w:val="007A379D"/>
    <w:rsid w:val="007A5394"/>
    <w:rsid w:val="007A7F40"/>
    <w:rsid w:val="007B053C"/>
    <w:rsid w:val="007B0BFB"/>
    <w:rsid w:val="007B1415"/>
    <w:rsid w:val="007B1691"/>
    <w:rsid w:val="007B2014"/>
    <w:rsid w:val="007B34AC"/>
    <w:rsid w:val="007B36D3"/>
    <w:rsid w:val="007B3729"/>
    <w:rsid w:val="007B393C"/>
    <w:rsid w:val="007B460C"/>
    <w:rsid w:val="007B464D"/>
    <w:rsid w:val="007B4863"/>
    <w:rsid w:val="007B6A4B"/>
    <w:rsid w:val="007B7135"/>
    <w:rsid w:val="007B786F"/>
    <w:rsid w:val="007C0595"/>
    <w:rsid w:val="007C066E"/>
    <w:rsid w:val="007C1FFD"/>
    <w:rsid w:val="007C2341"/>
    <w:rsid w:val="007C3F1A"/>
    <w:rsid w:val="007C5F27"/>
    <w:rsid w:val="007C6B61"/>
    <w:rsid w:val="007C71AE"/>
    <w:rsid w:val="007C7E93"/>
    <w:rsid w:val="007D06AC"/>
    <w:rsid w:val="007D132A"/>
    <w:rsid w:val="007D147F"/>
    <w:rsid w:val="007D19EB"/>
    <w:rsid w:val="007D2A25"/>
    <w:rsid w:val="007D2A2C"/>
    <w:rsid w:val="007D2D45"/>
    <w:rsid w:val="007D2D75"/>
    <w:rsid w:val="007D4466"/>
    <w:rsid w:val="007D62B6"/>
    <w:rsid w:val="007D6FA0"/>
    <w:rsid w:val="007D7EE2"/>
    <w:rsid w:val="007E11D5"/>
    <w:rsid w:val="007E19F9"/>
    <w:rsid w:val="007E3B38"/>
    <w:rsid w:val="007E41C7"/>
    <w:rsid w:val="007E44A7"/>
    <w:rsid w:val="007E4924"/>
    <w:rsid w:val="007E56FE"/>
    <w:rsid w:val="007E580C"/>
    <w:rsid w:val="007E6C39"/>
    <w:rsid w:val="007E7CF7"/>
    <w:rsid w:val="007F059F"/>
    <w:rsid w:val="007F06FA"/>
    <w:rsid w:val="007F0897"/>
    <w:rsid w:val="007F0BDA"/>
    <w:rsid w:val="007F3041"/>
    <w:rsid w:val="007F4139"/>
    <w:rsid w:val="007F4E53"/>
    <w:rsid w:val="007F5A20"/>
    <w:rsid w:val="007F6BBF"/>
    <w:rsid w:val="0080045C"/>
    <w:rsid w:val="008011FA"/>
    <w:rsid w:val="0080159E"/>
    <w:rsid w:val="00801EC8"/>
    <w:rsid w:val="00802EB3"/>
    <w:rsid w:val="0080605A"/>
    <w:rsid w:val="008064AA"/>
    <w:rsid w:val="00806A81"/>
    <w:rsid w:val="008101B5"/>
    <w:rsid w:val="00811863"/>
    <w:rsid w:val="008120BF"/>
    <w:rsid w:val="00812D86"/>
    <w:rsid w:val="008145C5"/>
    <w:rsid w:val="008150B5"/>
    <w:rsid w:val="00815D3E"/>
    <w:rsid w:val="008161EE"/>
    <w:rsid w:val="00816744"/>
    <w:rsid w:val="00816E1A"/>
    <w:rsid w:val="008175A4"/>
    <w:rsid w:val="00817A3E"/>
    <w:rsid w:val="00820F36"/>
    <w:rsid w:val="008226C5"/>
    <w:rsid w:val="00822DB7"/>
    <w:rsid w:val="00822FCC"/>
    <w:rsid w:val="00825106"/>
    <w:rsid w:val="008267E1"/>
    <w:rsid w:val="008268DA"/>
    <w:rsid w:val="008269AD"/>
    <w:rsid w:val="00826DE7"/>
    <w:rsid w:val="00827131"/>
    <w:rsid w:val="00827B4A"/>
    <w:rsid w:val="00831877"/>
    <w:rsid w:val="00831E12"/>
    <w:rsid w:val="00832965"/>
    <w:rsid w:val="00832BB1"/>
    <w:rsid w:val="008331E9"/>
    <w:rsid w:val="00834715"/>
    <w:rsid w:val="00834875"/>
    <w:rsid w:val="00835583"/>
    <w:rsid w:val="00837772"/>
    <w:rsid w:val="00837AED"/>
    <w:rsid w:val="00840311"/>
    <w:rsid w:val="008406CE"/>
    <w:rsid w:val="00840A0B"/>
    <w:rsid w:val="008411DF"/>
    <w:rsid w:val="008415B7"/>
    <w:rsid w:val="00842CE4"/>
    <w:rsid w:val="00843C1D"/>
    <w:rsid w:val="008446AE"/>
    <w:rsid w:val="00845DBF"/>
    <w:rsid w:val="0084772D"/>
    <w:rsid w:val="008502CF"/>
    <w:rsid w:val="008502DA"/>
    <w:rsid w:val="00850CBA"/>
    <w:rsid w:val="00850FF8"/>
    <w:rsid w:val="00852BBB"/>
    <w:rsid w:val="00852CF1"/>
    <w:rsid w:val="00853A92"/>
    <w:rsid w:val="00853E77"/>
    <w:rsid w:val="00855453"/>
    <w:rsid w:val="0085636F"/>
    <w:rsid w:val="00857002"/>
    <w:rsid w:val="00860641"/>
    <w:rsid w:val="00860C34"/>
    <w:rsid w:val="00860FB4"/>
    <w:rsid w:val="00861477"/>
    <w:rsid w:val="00862B65"/>
    <w:rsid w:val="0086326D"/>
    <w:rsid w:val="00864622"/>
    <w:rsid w:val="0086782C"/>
    <w:rsid w:val="00867EAB"/>
    <w:rsid w:val="00867EE4"/>
    <w:rsid w:val="00867F12"/>
    <w:rsid w:val="00870D89"/>
    <w:rsid w:val="00871534"/>
    <w:rsid w:val="00871726"/>
    <w:rsid w:val="00871FE1"/>
    <w:rsid w:val="00873155"/>
    <w:rsid w:val="00873A15"/>
    <w:rsid w:val="00873CA8"/>
    <w:rsid w:val="008740F2"/>
    <w:rsid w:val="00874CEF"/>
    <w:rsid w:val="00877F76"/>
    <w:rsid w:val="00880D0B"/>
    <w:rsid w:val="00880F92"/>
    <w:rsid w:val="00881002"/>
    <w:rsid w:val="00881508"/>
    <w:rsid w:val="0088151C"/>
    <w:rsid w:val="008818CC"/>
    <w:rsid w:val="008820F1"/>
    <w:rsid w:val="00882744"/>
    <w:rsid w:val="00883BBB"/>
    <w:rsid w:val="00883D47"/>
    <w:rsid w:val="00883EB4"/>
    <w:rsid w:val="00885A10"/>
    <w:rsid w:val="008870D6"/>
    <w:rsid w:val="00887C60"/>
    <w:rsid w:val="00891AE3"/>
    <w:rsid w:val="00892045"/>
    <w:rsid w:val="00892292"/>
    <w:rsid w:val="00892407"/>
    <w:rsid w:val="00894D39"/>
    <w:rsid w:val="008A0246"/>
    <w:rsid w:val="008A03A5"/>
    <w:rsid w:val="008A0BCE"/>
    <w:rsid w:val="008A14B0"/>
    <w:rsid w:val="008A2266"/>
    <w:rsid w:val="008A27C1"/>
    <w:rsid w:val="008A2D27"/>
    <w:rsid w:val="008A3140"/>
    <w:rsid w:val="008A53CA"/>
    <w:rsid w:val="008A56BB"/>
    <w:rsid w:val="008A5A85"/>
    <w:rsid w:val="008A5EC9"/>
    <w:rsid w:val="008B1262"/>
    <w:rsid w:val="008B295F"/>
    <w:rsid w:val="008B44C8"/>
    <w:rsid w:val="008B517B"/>
    <w:rsid w:val="008B51B9"/>
    <w:rsid w:val="008B6155"/>
    <w:rsid w:val="008B62EF"/>
    <w:rsid w:val="008B6316"/>
    <w:rsid w:val="008B6C26"/>
    <w:rsid w:val="008B7A4E"/>
    <w:rsid w:val="008C0114"/>
    <w:rsid w:val="008C02DA"/>
    <w:rsid w:val="008C0504"/>
    <w:rsid w:val="008C1007"/>
    <w:rsid w:val="008C1DF2"/>
    <w:rsid w:val="008C1F04"/>
    <w:rsid w:val="008C1F62"/>
    <w:rsid w:val="008C2F8B"/>
    <w:rsid w:val="008C3BBD"/>
    <w:rsid w:val="008C4E40"/>
    <w:rsid w:val="008C59FA"/>
    <w:rsid w:val="008C5C6A"/>
    <w:rsid w:val="008C66E5"/>
    <w:rsid w:val="008C679A"/>
    <w:rsid w:val="008C69C0"/>
    <w:rsid w:val="008C7223"/>
    <w:rsid w:val="008D0DCA"/>
    <w:rsid w:val="008D1A9A"/>
    <w:rsid w:val="008D219C"/>
    <w:rsid w:val="008D2944"/>
    <w:rsid w:val="008D2FBF"/>
    <w:rsid w:val="008D315E"/>
    <w:rsid w:val="008D336B"/>
    <w:rsid w:val="008D3486"/>
    <w:rsid w:val="008D4735"/>
    <w:rsid w:val="008D47A7"/>
    <w:rsid w:val="008D47E5"/>
    <w:rsid w:val="008D4895"/>
    <w:rsid w:val="008D6CFC"/>
    <w:rsid w:val="008D7652"/>
    <w:rsid w:val="008E14DA"/>
    <w:rsid w:val="008E2016"/>
    <w:rsid w:val="008E2147"/>
    <w:rsid w:val="008E293B"/>
    <w:rsid w:val="008E303A"/>
    <w:rsid w:val="008E4A23"/>
    <w:rsid w:val="008E4DD6"/>
    <w:rsid w:val="008E4FE8"/>
    <w:rsid w:val="008E611B"/>
    <w:rsid w:val="008E6F50"/>
    <w:rsid w:val="008F091C"/>
    <w:rsid w:val="008F1A51"/>
    <w:rsid w:val="008F233C"/>
    <w:rsid w:val="008F2719"/>
    <w:rsid w:val="008F4BF1"/>
    <w:rsid w:val="008F53CF"/>
    <w:rsid w:val="008F622D"/>
    <w:rsid w:val="008F67F8"/>
    <w:rsid w:val="008F687B"/>
    <w:rsid w:val="008F7128"/>
    <w:rsid w:val="008F755D"/>
    <w:rsid w:val="008F7580"/>
    <w:rsid w:val="009007F1"/>
    <w:rsid w:val="00900AE8"/>
    <w:rsid w:val="00901348"/>
    <w:rsid w:val="00902228"/>
    <w:rsid w:val="00902901"/>
    <w:rsid w:val="00902AB1"/>
    <w:rsid w:val="00903324"/>
    <w:rsid w:val="009040FF"/>
    <w:rsid w:val="00904955"/>
    <w:rsid w:val="0090620C"/>
    <w:rsid w:val="00907B35"/>
    <w:rsid w:val="00911CB3"/>
    <w:rsid w:val="00911E6C"/>
    <w:rsid w:val="009122DB"/>
    <w:rsid w:val="009130CD"/>
    <w:rsid w:val="00913160"/>
    <w:rsid w:val="00913F60"/>
    <w:rsid w:val="00914105"/>
    <w:rsid w:val="0091432A"/>
    <w:rsid w:val="00914B08"/>
    <w:rsid w:val="00915EA2"/>
    <w:rsid w:val="00916065"/>
    <w:rsid w:val="00916C86"/>
    <w:rsid w:val="009212B0"/>
    <w:rsid w:val="00921582"/>
    <w:rsid w:val="00921BA6"/>
    <w:rsid w:val="00922FA7"/>
    <w:rsid w:val="00923822"/>
    <w:rsid w:val="00923C25"/>
    <w:rsid w:val="00924AB4"/>
    <w:rsid w:val="00925023"/>
    <w:rsid w:val="009265B8"/>
    <w:rsid w:val="009309F9"/>
    <w:rsid w:val="00933D8E"/>
    <w:rsid w:val="00940ADD"/>
    <w:rsid w:val="00940C36"/>
    <w:rsid w:val="009420EA"/>
    <w:rsid w:val="00942898"/>
    <w:rsid w:val="00944BFF"/>
    <w:rsid w:val="00944E72"/>
    <w:rsid w:val="009453E5"/>
    <w:rsid w:val="00946366"/>
    <w:rsid w:val="00946E37"/>
    <w:rsid w:val="00947520"/>
    <w:rsid w:val="00947AEA"/>
    <w:rsid w:val="009503C2"/>
    <w:rsid w:val="00950D5B"/>
    <w:rsid w:val="00950FDC"/>
    <w:rsid w:val="0095154E"/>
    <w:rsid w:val="0095241B"/>
    <w:rsid w:val="009536EB"/>
    <w:rsid w:val="00953D24"/>
    <w:rsid w:val="00954AF4"/>
    <w:rsid w:val="00954DE9"/>
    <w:rsid w:val="00960416"/>
    <w:rsid w:val="0096069D"/>
    <w:rsid w:val="00961156"/>
    <w:rsid w:val="00962360"/>
    <w:rsid w:val="00965C09"/>
    <w:rsid w:val="00967DB7"/>
    <w:rsid w:val="0097020B"/>
    <w:rsid w:val="00971256"/>
    <w:rsid w:val="00971632"/>
    <w:rsid w:val="009716D8"/>
    <w:rsid w:val="00973E2A"/>
    <w:rsid w:val="00974FB9"/>
    <w:rsid w:val="00975002"/>
    <w:rsid w:val="0097507C"/>
    <w:rsid w:val="0097558C"/>
    <w:rsid w:val="00975594"/>
    <w:rsid w:val="0097570A"/>
    <w:rsid w:val="00975B27"/>
    <w:rsid w:val="00980B6C"/>
    <w:rsid w:val="00982BF8"/>
    <w:rsid w:val="00982D27"/>
    <w:rsid w:val="00984A79"/>
    <w:rsid w:val="00985F00"/>
    <w:rsid w:val="00986D70"/>
    <w:rsid w:val="009901F9"/>
    <w:rsid w:val="009902A1"/>
    <w:rsid w:val="00990CF4"/>
    <w:rsid w:val="00991339"/>
    <w:rsid w:val="00991DCF"/>
    <w:rsid w:val="0099338C"/>
    <w:rsid w:val="00995684"/>
    <w:rsid w:val="009958C3"/>
    <w:rsid w:val="00995CB1"/>
    <w:rsid w:val="00996163"/>
    <w:rsid w:val="0099681F"/>
    <w:rsid w:val="00996AB0"/>
    <w:rsid w:val="009A047E"/>
    <w:rsid w:val="009A1D45"/>
    <w:rsid w:val="009A3D0C"/>
    <w:rsid w:val="009A55F2"/>
    <w:rsid w:val="009A56D8"/>
    <w:rsid w:val="009A5912"/>
    <w:rsid w:val="009A7CCB"/>
    <w:rsid w:val="009B059E"/>
    <w:rsid w:val="009B17C7"/>
    <w:rsid w:val="009B3AF7"/>
    <w:rsid w:val="009B3CC8"/>
    <w:rsid w:val="009B3D16"/>
    <w:rsid w:val="009B4B3D"/>
    <w:rsid w:val="009B52B8"/>
    <w:rsid w:val="009B58E4"/>
    <w:rsid w:val="009B6414"/>
    <w:rsid w:val="009B793A"/>
    <w:rsid w:val="009C04CF"/>
    <w:rsid w:val="009C2CF0"/>
    <w:rsid w:val="009C35F1"/>
    <w:rsid w:val="009C6151"/>
    <w:rsid w:val="009C647F"/>
    <w:rsid w:val="009D05F4"/>
    <w:rsid w:val="009D0605"/>
    <w:rsid w:val="009D3A5E"/>
    <w:rsid w:val="009D43C7"/>
    <w:rsid w:val="009D5B19"/>
    <w:rsid w:val="009D60D9"/>
    <w:rsid w:val="009D6F01"/>
    <w:rsid w:val="009D7601"/>
    <w:rsid w:val="009D7BD1"/>
    <w:rsid w:val="009D7FCE"/>
    <w:rsid w:val="009E074C"/>
    <w:rsid w:val="009E099F"/>
    <w:rsid w:val="009E21CF"/>
    <w:rsid w:val="009E2BDB"/>
    <w:rsid w:val="009E3380"/>
    <w:rsid w:val="009E4483"/>
    <w:rsid w:val="009E4A76"/>
    <w:rsid w:val="009E4E24"/>
    <w:rsid w:val="009E62CA"/>
    <w:rsid w:val="009F0B2B"/>
    <w:rsid w:val="009F1A03"/>
    <w:rsid w:val="009F1CCB"/>
    <w:rsid w:val="009F2216"/>
    <w:rsid w:val="009F2555"/>
    <w:rsid w:val="009F3154"/>
    <w:rsid w:val="009F3D5F"/>
    <w:rsid w:val="009F449B"/>
    <w:rsid w:val="009F6414"/>
    <w:rsid w:val="009F6DD6"/>
    <w:rsid w:val="009F78CB"/>
    <w:rsid w:val="00A002B9"/>
    <w:rsid w:val="00A00E0B"/>
    <w:rsid w:val="00A0239F"/>
    <w:rsid w:val="00A0365C"/>
    <w:rsid w:val="00A03A70"/>
    <w:rsid w:val="00A057AE"/>
    <w:rsid w:val="00A10804"/>
    <w:rsid w:val="00A10B24"/>
    <w:rsid w:val="00A11AE6"/>
    <w:rsid w:val="00A11E83"/>
    <w:rsid w:val="00A13757"/>
    <w:rsid w:val="00A14459"/>
    <w:rsid w:val="00A15672"/>
    <w:rsid w:val="00A16750"/>
    <w:rsid w:val="00A16E65"/>
    <w:rsid w:val="00A17490"/>
    <w:rsid w:val="00A202BC"/>
    <w:rsid w:val="00A20974"/>
    <w:rsid w:val="00A20D46"/>
    <w:rsid w:val="00A2132C"/>
    <w:rsid w:val="00A2143D"/>
    <w:rsid w:val="00A21E6F"/>
    <w:rsid w:val="00A231EF"/>
    <w:rsid w:val="00A23249"/>
    <w:rsid w:val="00A23714"/>
    <w:rsid w:val="00A23BF2"/>
    <w:rsid w:val="00A23C24"/>
    <w:rsid w:val="00A24BA6"/>
    <w:rsid w:val="00A25111"/>
    <w:rsid w:val="00A251F7"/>
    <w:rsid w:val="00A2594A"/>
    <w:rsid w:val="00A3022E"/>
    <w:rsid w:val="00A30F86"/>
    <w:rsid w:val="00A31846"/>
    <w:rsid w:val="00A31A2C"/>
    <w:rsid w:val="00A32F49"/>
    <w:rsid w:val="00A335B0"/>
    <w:rsid w:val="00A34ABE"/>
    <w:rsid w:val="00A35099"/>
    <w:rsid w:val="00A3533B"/>
    <w:rsid w:val="00A355CC"/>
    <w:rsid w:val="00A412FD"/>
    <w:rsid w:val="00A416D1"/>
    <w:rsid w:val="00A41973"/>
    <w:rsid w:val="00A424FC"/>
    <w:rsid w:val="00A43727"/>
    <w:rsid w:val="00A440E6"/>
    <w:rsid w:val="00A445A2"/>
    <w:rsid w:val="00A4472A"/>
    <w:rsid w:val="00A45AF3"/>
    <w:rsid w:val="00A45E54"/>
    <w:rsid w:val="00A46F22"/>
    <w:rsid w:val="00A472E9"/>
    <w:rsid w:val="00A47A96"/>
    <w:rsid w:val="00A50118"/>
    <w:rsid w:val="00A50737"/>
    <w:rsid w:val="00A520B1"/>
    <w:rsid w:val="00A520EE"/>
    <w:rsid w:val="00A53B08"/>
    <w:rsid w:val="00A54A4F"/>
    <w:rsid w:val="00A54C87"/>
    <w:rsid w:val="00A555F8"/>
    <w:rsid w:val="00A56B71"/>
    <w:rsid w:val="00A57002"/>
    <w:rsid w:val="00A57464"/>
    <w:rsid w:val="00A62693"/>
    <w:rsid w:val="00A63246"/>
    <w:rsid w:val="00A634FE"/>
    <w:rsid w:val="00A64809"/>
    <w:rsid w:val="00A6533F"/>
    <w:rsid w:val="00A6688C"/>
    <w:rsid w:val="00A678D1"/>
    <w:rsid w:val="00A70E09"/>
    <w:rsid w:val="00A71A6B"/>
    <w:rsid w:val="00A71EB2"/>
    <w:rsid w:val="00A724F1"/>
    <w:rsid w:val="00A751AB"/>
    <w:rsid w:val="00A77627"/>
    <w:rsid w:val="00A77A95"/>
    <w:rsid w:val="00A8111D"/>
    <w:rsid w:val="00A8351C"/>
    <w:rsid w:val="00A836DC"/>
    <w:rsid w:val="00A83906"/>
    <w:rsid w:val="00A83A12"/>
    <w:rsid w:val="00A84A7A"/>
    <w:rsid w:val="00A84B93"/>
    <w:rsid w:val="00A85862"/>
    <w:rsid w:val="00A8669E"/>
    <w:rsid w:val="00A86BCA"/>
    <w:rsid w:val="00A87059"/>
    <w:rsid w:val="00A878F0"/>
    <w:rsid w:val="00A902B6"/>
    <w:rsid w:val="00A90A40"/>
    <w:rsid w:val="00A90D3F"/>
    <w:rsid w:val="00A9168B"/>
    <w:rsid w:val="00A9359B"/>
    <w:rsid w:val="00A957DE"/>
    <w:rsid w:val="00A96AD6"/>
    <w:rsid w:val="00A96D24"/>
    <w:rsid w:val="00A9772C"/>
    <w:rsid w:val="00A97F9E"/>
    <w:rsid w:val="00AA01EF"/>
    <w:rsid w:val="00AA2007"/>
    <w:rsid w:val="00AA2FE2"/>
    <w:rsid w:val="00AA3694"/>
    <w:rsid w:val="00AA3948"/>
    <w:rsid w:val="00AA3962"/>
    <w:rsid w:val="00AA4887"/>
    <w:rsid w:val="00AA5EF8"/>
    <w:rsid w:val="00AA69D2"/>
    <w:rsid w:val="00AA6BBC"/>
    <w:rsid w:val="00AA73D4"/>
    <w:rsid w:val="00AA7D97"/>
    <w:rsid w:val="00AB008D"/>
    <w:rsid w:val="00AB092D"/>
    <w:rsid w:val="00AB0FA6"/>
    <w:rsid w:val="00AB0FE0"/>
    <w:rsid w:val="00AB38EF"/>
    <w:rsid w:val="00AB5491"/>
    <w:rsid w:val="00AB6294"/>
    <w:rsid w:val="00AB6A5C"/>
    <w:rsid w:val="00AC0012"/>
    <w:rsid w:val="00AC08CE"/>
    <w:rsid w:val="00AC355D"/>
    <w:rsid w:val="00AC44EE"/>
    <w:rsid w:val="00AC6743"/>
    <w:rsid w:val="00AC71C5"/>
    <w:rsid w:val="00AD0676"/>
    <w:rsid w:val="00AD19B6"/>
    <w:rsid w:val="00AD1B8D"/>
    <w:rsid w:val="00AD273E"/>
    <w:rsid w:val="00AD3CF6"/>
    <w:rsid w:val="00AD4042"/>
    <w:rsid w:val="00AD5B7D"/>
    <w:rsid w:val="00AD5F91"/>
    <w:rsid w:val="00AD6C20"/>
    <w:rsid w:val="00AE12E5"/>
    <w:rsid w:val="00AE1F37"/>
    <w:rsid w:val="00AE2E5A"/>
    <w:rsid w:val="00AE3CCB"/>
    <w:rsid w:val="00AE4256"/>
    <w:rsid w:val="00AE43A0"/>
    <w:rsid w:val="00AE485F"/>
    <w:rsid w:val="00AE50BC"/>
    <w:rsid w:val="00AE57AE"/>
    <w:rsid w:val="00AE7C46"/>
    <w:rsid w:val="00AF0ED9"/>
    <w:rsid w:val="00AF111B"/>
    <w:rsid w:val="00AF17F6"/>
    <w:rsid w:val="00AF23F7"/>
    <w:rsid w:val="00AF240A"/>
    <w:rsid w:val="00AF2B27"/>
    <w:rsid w:val="00AF2F59"/>
    <w:rsid w:val="00AF3B51"/>
    <w:rsid w:val="00AF43DD"/>
    <w:rsid w:val="00AF4DAB"/>
    <w:rsid w:val="00AF5E9B"/>
    <w:rsid w:val="00AF6B1F"/>
    <w:rsid w:val="00B0080D"/>
    <w:rsid w:val="00B0163D"/>
    <w:rsid w:val="00B01EB0"/>
    <w:rsid w:val="00B02B4D"/>
    <w:rsid w:val="00B0313B"/>
    <w:rsid w:val="00B04757"/>
    <w:rsid w:val="00B06CA5"/>
    <w:rsid w:val="00B06FD5"/>
    <w:rsid w:val="00B0756C"/>
    <w:rsid w:val="00B11665"/>
    <w:rsid w:val="00B14BFE"/>
    <w:rsid w:val="00B14CDD"/>
    <w:rsid w:val="00B15024"/>
    <w:rsid w:val="00B1515B"/>
    <w:rsid w:val="00B165F4"/>
    <w:rsid w:val="00B17206"/>
    <w:rsid w:val="00B172B4"/>
    <w:rsid w:val="00B20BD1"/>
    <w:rsid w:val="00B23EDA"/>
    <w:rsid w:val="00B244C1"/>
    <w:rsid w:val="00B247EF"/>
    <w:rsid w:val="00B248EB"/>
    <w:rsid w:val="00B25357"/>
    <w:rsid w:val="00B26735"/>
    <w:rsid w:val="00B26E20"/>
    <w:rsid w:val="00B27BAE"/>
    <w:rsid w:val="00B27DE1"/>
    <w:rsid w:val="00B30B76"/>
    <w:rsid w:val="00B319DD"/>
    <w:rsid w:val="00B3211C"/>
    <w:rsid w:val="00B322DC"/>
    <w:rsid w:val="00B33A68"/>
    <w:rsid w:val="00B33D81"/>
    <w:rsid w:val="00B350CA"/>
    <w:rsid w:val="00B350D1"/>
    <w:rsid w:val="00B3522F"/>
    <w:rsid w:val="00B358F2"/>
    <w:rsid w:val="00B35FF4"/>
    <w:rsid w:val="00B36184"/>
    <w:rsid w:val="00B363C8"/>
    <w:rsid w:val="00B36DD6"/>
    <w:rsid w:val="00B3714E"/>
    <w:rsid w:val="00B378D6"/>
    <w:rsid w:val="00B378E7"/>
    <w:rsid w:val="00B40474"/>
    <w:rsid w:val="00B40843"/>
    <w:rsid w:val="00B41554"/>
    <w:rsid w:val="00B426F4"/>
    <w:rsid w:val="00B42C2E"/>
    <w:rsid w:val="00B443B4"/>
    <w:rsid w:val="00B45BBF"/>
    <w:rsid w:val="00B46CDA"/>
    <w:rsid w:val="00B46D5E"/>
    <w:rsid w:val="00B47562"/>
    <w:rsid w:val="00B47B9B"/>
    <w:rsid w:val="00B50437"/>
    <w:rsid w:val="00B505FE"/>
    <w:rsid w:val="00B51AD5"/>
    <w:rsid w:val="00B53140"/>
    <w:rsid w:val="00B5332C"/>
    <w:rsid w:val="00B55B3B"/>
    <w:rsid w:val="00B55E9A"/>
    <w:rsid w:val="00B60979"/>
    <w:rsid w:val="00B61013"/>
    <w:rsid w:val="00B61389"/>
    <w:rsid w:val="00B6330C"/>
    <w:rsid w:val="00B636FB"/>
    <w:rsid w:val="00B6751E"/>
    <w:rsid w:val="00B70164"/>
    <w:rsid w:val="00B714E2"/>
    <w:rsid w:val="00B72B3E"/>
    <w:rsid w:val="00B732D7"/>
    <w:rsid w:val="00B73CB8"/>
    <w:rsid w:val="00B743FC"/>
    <w:rsid w:val="00B7637E"/>
    <w:rsid w:val="00B76658"/>
    <w:rsid w:val="00B76964"/>
    <w:rsid w:val="00B76DAE"/>
    <w:rsid w:val="00B775A2"/>
    <w:rsid w:val="00B77A64"/>
    <w:rsid w:val="00B80965"/>
    <w:rsid w:val="00B80B82"/>
    <w:rsid w:val="00B80D93"/>
    <w:rsid w:val="00B812E6"/>
    <w:rsid w:val="00B818DF"/>
    <w:rsid w:val="00B81D45"/>
    <w:rsid w:val="00B82FB3"/>
    <w:rsid w:val="00B830C6"/>
    <w:rsid w:val="00B83633"/>
    <w:rsid w:val="00B84D32"/>
    <w:rsid w:val="00B85F8A"/>
    <w:rsid w:val="00B867EB"/>
    <w:rsid w:val="00B86853"/>
    <w:rsid w:val="00B90565"/>
    <w:rsid w:val="00B9125A"/>
    <w:rsid w:val="00B91B09"/>
    <w:rsid w:val="00B9362B"/>
    <w:rsid w:val="00B93630"/>
    <w:rsid w:val="00B93935"/>
    <w:rsid w:val="00B94599"/>
    <w:rsid w:val="00B945CB"/>
    <w:rsid w:val="00B946A1"/>
    <w:rsid w:val="00B947DF"/>
    <w:rsid w:val="00B94C80"/>
    <w:rsid w:val="00B952AC"/>
    <w:rsid w:val="00B95B90"/>
    <w:rsid w:val="00B96397"/>
    <w:rsid w:val="00B970C4"/>
    <w:rsid w:val="00BA0183"/>
    <w:rsid w:val="00BA0862"/>
    <w:rsid w:val="00BA08A0"/>
    <w:rsid w:val="00BA0A2C"/>
    <w:rsid w:val="00BA0B92"/>
    <w:rsid w:val="00BA0F4F"/>
    <w:rsid w:val="00BA16D8"/>
    <w:rsid w:val="00BA2E64"/>
    <w:rsid w:val="00BA316E"/>
    <w:rsid w:val="00BA40D9"/>
    <w:rsid w:val="00BA4EA0"/>
    <w:rsid w:val="00BA5972"/>
    <w:rsid w:val="00BA66C7"/>
    <w:rsid w:val="00BA678C"/>
    <w:rsid w:val="00BA7CC3"/>
    <w:rsid w:val="00BB00E3"/>
    <w:rsid w:val="00BB10FF"/>
    <w:rsid w:val="00BB1301"/>
    <w:rsid w:val="00BB154A"/>
    <w:rsid w:val="00BB1AB7"/>
    <w:rsid w:val="00BB1F28"/>
    <w:rsid w:val="00BB249D"/>
    <w:rsid w:val="00BB3186"/>
    <w:rsid w:val="00BB34DC"/>
    <w:rsid w:val="00BB3674"/>
    <w:rsid w:val="00BB491A"/>
    <w:rsid w:val="00BB5809"/>
    <w:rsid w:val="00BB59CE"/>
    <w:rsid w:val="00BB5DDC"/>
    <w:rsid w:val="00BB69D1"/>
    <w:rsid w:val="00BB6BFE"/>
    <w:rsid w:val="00BB71C4"/>
    <w:rsid w:val="00BB7D9F"/>
    <w:rsid w:val="00BC0C40"/>
    <w:rsid w:val="00BC0E32"/>
    <w:rsid w:val="00BC22DB"/>
    <w:rsid w:val="00BC3DD4"/>
    <w:rsid w:val="00BC4115"/>
    <w:rsid w:val="00BC4800"/>
    <w:rsid w:val="00BC4A84"/>
    <w:rsid w:val="00BC5682"/>
    <w:rsid w:val="00BC5BFD"/>
    <w:rsid w:val="00BC7246"/>
    <w:rsid w:val="00BC77F5"/>
    <w:rsid w:val="00BD0337"/>
    <w:rsid w:val="00BD09A1"/>
    <w:rsid w:val="00BD1E54"/>
    <w:rsid w:val="00BD23C7"/>
    <w:rsid w:val="00BD2B5D"/>
    <w:rsid w:val="00BD4258"/>
    <w:rsid w:val="00BD61CA"/>
    <w:rsid w:val="00BD6838"/>
    <w:rsid w:val="00BD6CB6"/>
    <w:rsid w:val="00BD6D57"/>
    <w:rsid w:val="00BD7312"/>
    <w:rsid w:val="00BD7959"/>
    <w:rsid w:val="00BE14FC"/>
    <w:rsid w:val="00BE1872"/>
    <w:rsid w:val="00BE337E"/>
    <w:rsid w:val="00BE3C12"/>
    <w:rsid w:val="00BE4448"/>
    <w:rsid w:val="00BE46F1"/>
    <w:rsid w:val="00BE47C6"/>
    <w:rsid w:val="00BE5259"/>
    <w:rsid w:val="00BE6298"/>
    <w:rsid w:val="00BE6AC6"/>
    <w:rsid w:val="00BE72EB"/>
    <w:rsid w:val="00BF0290"/>
    <w:rsid w:val="00BF07C6"/>
    <w:rsid w:val="00BF0FA2"/>
    <w:rsid w:val="00BF1254"/>
    <w:rsid w:val="00BF235A"/>
    <w:rsid w:val="00BF24CB"/>
    <w:rsid w:val="00BF2FD8"/>
    <w:rsid w:val="00BF4D8D"/>
    <w:rsid w:val="00BF5FB2"/>
    <w:rsid w:val="00BF6BA2"/>
    <w:rsid w:val="00BF6BD9"/>
    <w:rsid w:val="00BF7779"/>
    <w:rsid w:val="00C010A0"/>
    <w:rsid w:val="00C01B1E"/>
    <w:rsid w:val="00C02523"/>
    <w:rsid w:val="00C03454"/>
    <w:rsid w:val="00C05116"/>
    <w:rsid w:val="00C06596"/>
    <w:rsid w:val="00C06930"/>
    <w:rsid w:val="00C06C3F"/>
    <w:rsid w:val="00C07B1D"/>
    <w:rsid w:val="00C113AA"/>
    <w:rsid w:val="00C1350F"/>
    <w:rsid w:val="00C147A2"/>
    <w:rsid w:val="00C14CD5"/>
    <w:rsid w:val="00C15E18"/>
    <w:rsid w:val="00C15F45"/>
    <w:rsid w:val="00C16627"/>
    <w:rsid w:val="00C17A4A"/>
    <w:rsid w:val="00C20F11"/>
    <w:rsid w:val="00C20FFB"/>
    <w:rsid w:val="00C211BB"/>
    <w:rsid w:val="00C2186F"/>
    <w:rsid w:val="00C21897"/>
    <w:rsid w:val="00C21AC3"/>
    <w:rsid w:val="00C25CB7"/>
    <w:rsid w:val="00C26C06"/>
    <w:rsid w:val="00C26C38"/>
    <w:rsid w:val="00C27384"/>
    <w:rsid w:val="00C30466"/>
    <w:rsid w:val="00C308CD"/>
    <w:rsid w:val="00C30938"/>
    <w:rsid w:val="00C30D41"/>
    <w:rsid w:val="00C315A1"/>
    <w:rsid w:val="00C31AE0"/>
    <w:rsid w:val="00C31FCA"/>
    <w:rsid w:val="00C35435"/>
    <w:rsid w:val="00C3767B"/>
    <w:rsid w:val="00C40573"/>
    <w:rsid w:val="00C409F4"/>
    <w:rsid w:val="00C417FB"/>
    <w:rsid w:val="00C432E3"/>
    <w:rsid w:val="00C43665"/>
    <w:rsid w:val="00C437A7"/>
    <w:rsid w:val="00C4382D"/>
    <w:rsid w:val="00C43A99"/>
    <w:rsid w:val="00C4456D"/>
    <w:rsid w:val="00C44854"/>
    <w:rsid w:val="00C45CC8"/>
    <w:rsid w:val="00C46A2D"/>
    <w:rsid w:val="00C47531"/>
    <w:rsid w:val="00C50B84"/>
    <w:rsid w:val="00C50BCE"/>
    <w:rsid w:val="00C511AB"/>
    <w:rsid w:val="00C51476"/>
    <w:rsid w:val="00C51679"/>
    <w:rsid w:val="00C525FC"/>
    <w:rsid w:val="00C52AF1"/>
    <w:rsid w:val="00C52E63"/>
    <w:rsid w:val="00C5417B"/>
    <w:rsid w:val="00C54250"/>
    <w:rsid w:val="00C543F5"/>
    <w:rsid w:val="00C56923"/>
    <w:rsid w:val="00C56E7C"/>
    <w:rsid w:val="00C579D5"/>
    <w:rsid w:val="00C57BBF"/>
    <w:rsid w:val="00C6053F"/>
    <w:rsid w:val="00C61BC7"/>
    <w:rsid w:val="00C61DB7"/>
    <w:rsid w:val="00C62464"/>
    <w:rsid w:val="00C631AC"/>
    <w:rsid w:val="00C63672"/>
    <w:rsid w:val="00C63819"/>
    <w:rsid w:val="00C63D30"/>
    <w:rsid w:val="00C65235"/>
    <w:rsid w:val="00C65598"/>
    <w:rsid w:val="00C65710"/>
    <w:rsid w:val="00C65C64"/>
    <w:rsid w:val="00C66E1A"/>
    <w:rsid w:val="00C671D1"/>
    <w:rsid w:val="00C67508"/>
    <w:rsid w:val="00C67A91"/>
    <w:rsid w:val="00C72639"/>
    <w:rsid w:val="00C72925"/>
    <w:rsid w:val="00C73956"/>
    <w:rsid w:val="00C767DB"/>
    <w:rsid w:val="00C77116"/>
    <w:rsid w:val="00C77119"/>
    <w:rsid w:val="00C8013C"/>
    <w:rsid w:val="00C81715"/>
    <w:rsid w:val="00C81C72"/>
    <w:rsid w:val="00C82A13"/>
    <w:rsid w:val="00C8408E"/>
    <w:rsid w:val="00C849D1"/>
    <w:rsid w:val="00C84DD4"/>
    <w:rsid w:val="00C84F7F"/>
    <w:rsid w:val="00C85453"/>
    <w:rsid w:val="00C858B2"/>
    <w:rsid w:val="00C8617E"/>
    <w:rsid w:val="00C87733"/>
    <w:rsid w:val="00C87B63"/>
    <w:rsid w:val="00C9010E"/>
    <w:rsid w:val="00C90A46"/>
    <w:rsid w:val="00C9106D"/>
    <w:rsid w:val="00C919E8"/>
    <w:rsid w:val="00C9271D"/>
    <w:rsid w:val="00C9412C"/>
    <w:rsid w:val="00C947DA"/>
    <w:rsid w:val="00C95A14"/>
    <w:rsid w:val="00C96C37"/>
    <w:rsid w:val="00C9749A"/>
    <w:rsid w:val="00C97BF3"/>
    <w:rsid w:val="00C97CC6"/>
    <w:rsid w:val="00C97D59"/>
    <w:rsid w:val="00CA01B5"/>
    <w:rsid w:val="00CA01B8"/>
    <w:rsid w:val="00CA12A1"/>
    <w:rsid w:val="00CA1560"/>
    <w:rsid w:val="00CA20CB"/>
    <w:rsid w:val="00CA2626"/>
    <w:rsid w:val="00CA44B8"/>
    <w:rsid w:val="00CA6B83"/>
    <w:rsid w:val="00CB099A"/>
    <w:rsid w:val="00CB0FF0"/>
    <w:rsid w:val="00CB1450"/>
    <w:rsid w:val="00CB2CB5"/>
    <w:rsid w:val="00CB35F0"/>
    <w:rsid w:val="00CB3D04"/>
    <w:rsid w:val="00CB49B1"/>
    <w:rsid w:val="00CB5139"/>
    <w:rsid w:val="00CB5E2D"/>
    <w:rsid w:val="00CC001F"/>
    <w:rsid w:val="00CC0328"/>
    <w:rsid w:val="00CC0783"/>
    <w:rsid w:val="00CC0ABE"/>
    <w:rsid w:val="00CC236D"/>
    <w:rsid w:val="00CC2898"/>
    <w:rsid w:val="00CC37B5"/>
    <w:rsid w:val="00CC3BA0"/>
    <w:rsid w:val="00CC4451"/>
    <w:rsid w:val="00CC6281"/>
    <w:rsid w:val="00CC6856"/>
    <w:rsid w:val="00CD09A0"/>
    <w:rsid w:val="00CD0F5A"/>
    <w:rsid w:val="00CD1DBF"/>
    <w:rsid w:val="00CD2518"/>
    <w:rsid w:val="00CD2BB0"/>
    <w:rsid w:val="00CD356B"/>
    <w:rsid w:val="00CD5743"/>
    <w:rsid w:val="00CD6190"/>
    <w:rsid w:val="00CD6604"/>
    <w:rsid w:val="00CD6981"/>
    <w:rsid w:val="00CD6BA0"/>
    <w:rsid w:val="00CD6F44"/>
    <w:rsid w:val="00CD74D1"/>
    <w:rsid w:val="00CD7AA5"/>
    <w:rsid w:val="00CD7CF1"/>
    <w:rsid w:val="00CE0C45"/>
    <w:rsid w:val="00CE1DDA"/>
    <w:rsid w:val="00CE36AD"/>
    <w:rsid w:val="00CE3749"/>
    <w:rsid w:val="00CE39C1"/>
    <w:rsid w:val="00CE3D26"/>
    <w:rsid w:val="00CE4090"/>
    <w:rsid w:val="00CE5167"/>
    <w:rsid w:val="00CE5D44"/>
    <w:rsid w:val="00CE5FB5"/>
    <w:rsid w:val="00CE63F0"/>
    <w:rsid w:val="00CE668F"/>
    <w:rsid w:val="00CE67DB"/>
    <w:rsid w:val="00CE7E33"/>
    <w:rsid w:val="00CF017B"/>
    <w:rsid w:val="00CF03AF"/>
    <w:rsid w:val="00CF1404"/>
    <w:rsid w:val="00CF1B30"/>
    <w:rsid w:val="00CF27FB"/>
    <w:rsid w:val="00CF2ABE"/>
    <w:rsid w:val="00CF37C5"/>
    <w:rsid w:val="00CF47BD"/>
    <w:rsid w:val="00CF4B7F"/>
    <w:rsid w:val="00CF4CF0"/>
    <w:rsid w:val="00CF5321"/>
    <w:rsid w:val="00CF59DB"/>
    <w:rsid w:val="00CF60B0"/>
    <w:rsid w:val="00CF7940"/>
    <w:rsid w:val="00D0006B"/>
    <w:rsid w:val="00D01313"/>
    <w:rsid w:val="00D01665"/>
    <w:rsid w:val="00D01DAE"/>
    <w:rsid w:val="00D0273B"/>
    <w:rsid w:val="00D0292D"/>
    <w:rsid w:val="00D05B25"/>
    <w:rsid w:val="00D06077"/>
    <w:rsid w:val="00D0740B"/>
    <w:rsid w:val="00D100C5"/>
    <w:rsid w:val="00D10A5A"/>
    <w:rsid w:val="00D1102B"/>
    <w:rsid w:val="00D11115"/>
    <w:rsid w:val="00D11568"/>
    <w:rsid w:val="00D11AB3"/>
    <w:rsid w:val="00D12239"/>
    <w:rsid w:val="00D1260C"/>
    <w:rsid w:val="00D13D3D"/>
    <w:rsid w:val="00D14471"/>
    <w:rsid w:val="00D14ED4"/>
    <w:rsid w:val="00D1586E"/>
    <w:rsid w:val="00D15A22"/>
    <w:rsid w:val="00D17621"/>
    <w:rsid w:val="00D17BED"/>
    <w:rsid w:val="00D17F6C"/>
    <w:rsid w:val="00D20008"/>
    <w:rsid w:val="00D205C4"/>
    <w:rsid w:val="00D21096"/>
    <w:rsid w:val="00D2109F"/>
    <w:rsid w:val="00D212A9"/>
    <w:rsid w:val="00D22580"/>
    <w:rsid w:val="00D22E04"/>
    <w:rsid w:val="00D22E68"/>
    <w:rsid w:val="00D239C3"/>
    <w:rsid w:val="00D23B3D"/>
    <w:rsid w:val="00D2454E"/>
    <w:rsid w:val="00D245CE"/>
    <w:rsid w:val="00D24C01"/>
    <w:rsid w:val="00D25E72"/>
    <w:rsid w:val="00D266FC"/>
    <w:rsid w:val="00D267E9"/>
    <w:rsid w:val="00D26836"/>
    <w:rsid w:val="00D26910"/>
    <w:rsid w:val="00D26991"/>
    <w:rsid w:val="00D26E87"/>
    <w:rsid w:val="00D27173"/>
    <w:rsid w:val="00D308D1"/>
    <w:rsid w:val="00D31413"/>
    <w:rsid w:val="00D31603"/>
    <w:rsid w:val="00D31BF5"/>
    <w:rsid w:val="00D32613"/>
    <w:rsid w:val="00D3358A"/>
    <w:rsid w:val="00D34046"/>
    <w:rsid w:val="00D37A31"/>
    <w:rsid w:val="00D37EE2"/>
    <w:rsid w:val="00D415AB"/>
    <w:rsid w:val="00D4179D"/>
    <w:rsid w:val="00D427E3"/>
    <w:rsid w:val="00D42CB6"/>
    <w:rsid w:val="00D43456"/>
    <w:rsid w:val="00D43C41"/>
    <w:rsid w:val="00D43D15"/>
    <w:rsid w:val="00D4718D"/>
    <w:rsid w:val="00D471DF"/>
    <w:rsid w:val="00D4753A"/>
    <w:rsid w:val="00D47B34"/>
    <w:rsid w:val="00D47D7B"/>
    <w:rsid w:val="00D47E66"/>
    <w:rsid w:val="00D5011C"/>
    <w:rsid w:val="00D50980"/>
    <w:rsid w:val="00D51A4F"/>
    <w:rsid w:val="00D533CC"/>
    <w:rsid w:val="00D53A96"/>
    <w:rsid w:val="00D5426C"/>
    <w:rsid w:val="00D561AD"/>
    <w:rsid w:val="00D57310"/>
    <w:rsid w:val="00D57C2C"/>
    <w:rsid w:val="00D60068"/>
    <w:rsid w:val="00D604C5"/>
    <w:rsid w:val="00D61304"/>
    <w:rsid w:val="00D6241C"/>
    <w:rsid w:val="00D62613"/>
    <w:rsid w:val="00D62E17"/>
    <w:rsid w:val="00D63228"/>
    <w:rsid w:val="00D63BEA"/>
    <w:rsid w:val="00D644C4"/>
    <w:rsid w:val="00D653C2"/>
    <w:rsid w:val="00D65A92"/>
    <w:rsid w:val="00D66CE1"/>
    <w:rsid w:val="00D672A9"/>
    <w:rsid w:val="00D712E8"/>
    <w:rsid w:val="00D7147C"/>
    <w:rsid w:val="00D71C3E"/>
    <w:rsid w:val="00D71DEB"/>
    <w:rsid w:val="00D739CC"/>
    <w:rsid w:val="00D74CDA"/>
    <w:rsid w:val="00D76189"/>
    <w:rsid w:val="00D77B1F"/>
    <w:rsid w:val="00D80449"/>
    <w:rsid w:val="00D81312"/>
    <w:rsid w:val="00D81BCF"/>
    <w:rsid w:val="00D82480"/>
    <w:rsid w:val="00D8253F"/>
    <w:rsid w:val="00D82E5B"/>
    <w:rsid w:val="00D83483"/>
    <w:rsid w:val="00D84302"/>
    <w:rsid w:val="00D84626"/>
    <w:rsid w:val="00D849E4"/>
    <w:rsid w:val="00D85C53"/>
    <w:rsid w:val="00D86324"/>
    <w:rsid w:val="00D8679F"/>
    <w:rsid w:val="00D86926"/>
    <w:rsid w:val="00D87E5A"/>
    <w:rsid w:val="00D90583"/>
    <w:rsid w:val="00D912C9"/>
    <w:rsid w:val="00D91BE1"/>
    <w:rsid w:val="00D92C94"/>
    <w:rsid w:val="00D93D71"/>
    <w:rsid w:val="00D94CAE"/>
    <w:rsid w:val="00D97C4D"/>
    <w:rsid w:val="00DA110A"/>
    <w:rsid w:val="00DA1154"/>
    <w:rsid w:val="00DA1206"/>
    <w:rsid w:val="00DA126A"/>
    <w:rsid w:val="00DA1E14"/>
    <w:rsid w:val="00DA3FF6"/>
    <w:rsid w:val="00DA414B"/>
    <w:rsid w:val="00DA4D73"/>
    <w:rsid w:val="00DA4F6D"/>
    <w:rsid w:val="00DA5BA0"/>
    <w:rsid w:val="00DA6498"/>
    <w:rsid w:val="00DA7EB3"/>
    <w:rsid w:val="00DB0CC5"/>
    <w:rsid w:val="00DB0E12"/>
    <w:rsid w:val="00DB12B1"/>
    <w:rsid w:val="00DB1695"/>
    <w:rsid w:val="00DB2753"/>
    <w:rsid w:val="00DB3EB1"/>
    <w:rsid w:val="00DB4DA0"/>
    <w:rsid w:val="00DB5073"/>
    <w:rsid w:val="00DB526A"/>
    <w:rsid w:val="00DB590B"/>
    <w:rsid w:val="00DB6645"/>
    <w:rsid w:val="00DC02F3"/>
    <w:rsid w:val="00DC0C35"/>
    <w:rsid w:val="00DC0D05"/>
    <w:rsid w:val="00DC0E27"/>
    <w:rsid w:val="00DC1868"/>
    <w:rsid w:val="00DC206A"/>
    <w:rsid w:val="00DC2537"/>
    <w:rsid w:val="00DC29DF"/>
    <w:rsid w:val="00DC2F21"/>
    <w:rsid w:val="00DC52BD"/>
    <w:rsid w:val="00DC5522"/>
    <w:rsid w:val="00DC5892"/>
    <w:rsid w:val="00DC5BCB"/>
    <w:rsid w:val="00DC5C1A"/>
    <w:rsid w:val="00DC6605"/>
    <w:rsid w:val="00DC6D45"/>
    <w:rsid w:val="00DC6DFF"/>
    <w:rsid w:val="00DD0DAA"/>
    <w:rsid w:val="00DD0F5A"/>
    <w:rsid w:val="00DD2569"/>
    <w:rsid w:val="00DD2E5A"/>
    <w:rsid w:val="00DD3041"/>
    <w:rsid w:val="00DD3BC5"/>
    <w:rsid w:val="00DD3E53"/>
    <w:rsid w:val="00DD4561"/>
    <w:rsid w:val="00DD45EC"/>
    <w:rsid w:val="00DD4911"/>
    <w:rsid w:val="00DD4A0F"/>
    <w:rsid w:val="00DD4DA7"/>
    <w:rsid w:val="00DD700C"/>
    <w:rsid w:val="00DE04C7"/>
    <w:rsid w:val="00DE0919"/>
    <w:rsid w:val="00DE1502"/>
    <w:rsid w:val="00DE1C39"/>
    <w:rsid w:val="00DE22CA"/>
    <w:rsid w:val="00DE25D8"/>
    <w:rsid w:val="00DE2AE7"/>
    <w:rsid w:val="00DE2D07"/>
    <w:rsid w:val="00DE450C"/>
    <w:rsid w:val="00DE6E23"/>
    <w:rsid w:val="00DE7EFA"/>
    <w:rsid w:val="00DF105B"/>
    <w:rsid w:val="00DF13A7"/>
    <w:rsid w:val="00DF1567"/>
    <w:rsid w:val="00DF23E8"/>
    <w:rsid w:val="00DF23F7"/>
    <w:rsid w:val="00DF254E"/>
    <w:rsid w:val="00DF2A2E"/>
    <w:rsid w:val="00DF3A4C"/>
    <w:rsid w:val="00DF5592"/>
    <w:rsid w:val="00DF6E45"/>
    <w:rsid w:val="00E0099B"/>
    <w:rsid w:val="00E02101"/>
    <w:rsid w:val="00E027A8"/>
    <w:rsid w:val="00E048A3"/>
    <w:rsid w:val="00E0571F"/>
    <w:rsid w:val="00E05EC0"/>
    <w:rsid w:val="00E062DF"/>
    <w:rsid w:val="00E100E4"/>
    <w:rsid w:val="00E10383"/>
    <w:rsid w:val="00E1042A"/>
    <w:rsid w:val="00E10910"/>
    <w:rsid w:val="00E10E2E"/>
    <w:rsid w:val="00E10E78"/>
    <w:rsid w:val="00E1185C"/>
    <w:rsid w:val="00E12004"/>
    <w:rsid w:val="00E123C4"/>
    <w:rsid w:val="00E12BCD"/>
    <w:rsid w:val="00E132D1"/>
    <w:rsid w:val="00E14655"/>
    <w:rsid w:val="00E14DE8"/>
    <w:rsid w:val="00E15A52"/>
    <w:rsid w:val="00E20074"/>
    <w:rsid w:val="00E205C4"/>
    <w:rsid w:val="00E20625"/>
    <w:rsid w:val="00E21398"/>
    <w:rsid w:val="00E21E08"/>
    <w:rsid w:val="00E22378"/>
    <w:rsid w:val="00E22646"/>
    <w:rsid w:val="00E2400B"/>
    <w:rsid w:val="00E24203"/>
    <w:rsid w:val="00E24577"/>
    <w:rsid w:val="00E2482B"/>
    <w:rsid w:val="00E248B3"/>
    <w:rsid w:val="00E25D11"/>
    <w:rsid w:val="00E26C8D"/>
    <w:rsid w:val="00E305B4"/>
    <w:rsid w:val="00E305D5"/>
    <w:rsid w:val="00E31B05"/>
    <w:rsid w:val="00E34020"/>
    <w:rsid w:val="00E36127"/>
    <w:rsid w:val="00E3615F"/>
    <w:rsid w:val="00E366DC"/>
    <w:rsid w:val="00E36B25"/>
    <w:rsid w:val="00E36EC4"/>
    <w:rsid w:val="00E37692"/>
    <w:rsid w:val="00E410DF"/>
    <w:rsid w:val="00E413A9"/>
    <w:rsid w:val="00E41E59"/>
    <w:rsid w:val="00E41EB3"/>
    <w:rsid w:val="00E42421"/>
    <w:rsid w:val="00E4245F"/>
    <w:rsid w:val="00E427D9"/>
    <w:rsid w:val="00E43F8F"/>
    <w:rsid w:val="00E44219"/>
    <w:rsid w:val="00E4607C"/>
    <w:rsid w:val="00E46B24"/>
    <w:rsid w:val="00E46F51"/>
    <w:rsid w:val="00E46F63"/>
    <w:rsid w:val="00E47513"/>
    <w:rsid w:val="00E501E6"/>
    <w:rsid w:val="00E51A8A"/>
    <w:rsid w:val="00E53347"/>
    <w:rsid w:val="00E536C4"/>
    <w:rsid w:val="00E5431A"/>
    <w:rsid w:val="00E55484"/>
    <w:rsid w:val="00E5690C"/>
    <w:rsid w:val="00E56C76"/>
    <w:rsid w:val="00E56E64"/>
    <w:rsid w:val="00E57B05"/>
    <w:rsid w:val="00E60BA6"/>
    <w:rsid w:val="00E60FA9"/>
    <w:rsid w:val="00E630DF"/>
    <w:rsid w:val="00E65056"/>
    <w:rsid w:val="00E669D6"/>
    <w:rsid w:val="00E6707D"/>
    <w:rsid w:val="00E71735"/>
    <w:rsid w:val="00E7375B"/>
    <w:rsid w:val="00E745E2"/>
    <w:rsid w:val="00E74696"/>
    <w:rsid w:val="00E74864"/>
    <w:rsid w:val="00E74BEC"/>
    <w:rsid w:val="00E74DD1"/>
    <w:rsid w:val="00E755C6"/>
    <w:rsid w:val="00E75A68"/>
    <w:rsid w:val="00E76097"/>
    <w:rsid w:val="00E762AF"/>
    <w:rsid w:val="00E76B2F"/>
    <w:rsid w:val="00E76BB8"/>
    <w:rsid w:val="00E776A4"/>
    <w:rsid w:val="00E77CDE"/>
    <w:rsid w:val="00E8009E"/>
    <w:rsid w:val="00E80AE5"/>
    <w:rsid w:val="00E82F60"/>
    <w:rsid w:val="00E83545"/>
    <w:rsid w:val="00E83574"/>
    <w:rsid w:val="00E842F0"/>
    <w:rsid w:val="00E84A40"/>
    <w:rsid w:val="00E85423"/>
    <w:rsid w:val="00E854F2"/>
    <w:rsid w:val="00E85C49"/>
    <w:rsid w:val="00E85F11"/>
    <w:rsid w:val="00E860D9"/>
    <w:rsid w:val="00E862D7"/>
    <w:rsid w:val="00E8698B"/>
    <w:rsid w:val="00E86E19"/>
    <w:rsid w:val="00E87061"/>
    <w:rsid w:val="00E870EA"/>
    <w:rsid w:val="00E90425"/>
    <w:rsid w:val="00E90829"/>
    <w:rsid w:val="00E9154A"/>
    <w:rsid w:val="00E916A7"/>
    <w:rsid w:val="00E9182E"/>
    <w:rsid w:val="00E91DE1"/>
    <w:rsid w:val="00E92D70"/>
    <w:rsid w:val="00E9680D"/>
    <w:rsid w:val="00E97823"/>
    <w:rsid w:val="00EA0201"/>
    <w:rsid w:val="00EA3827"/>
    <w:rsid w:val="00EA396C"/>
    <w:rsid w:val="00EA3975"/>
    <w:rsid w:val="00EA4504"/>
    <w:rsid w:val="00EA45B8"/>
    <w:rsid w:val="00EA538D"/>
    <w:rsid w:val="00EA587E"/>
    <w:rsid w:val="00EA6B3E"/>
    <w:rsid w:val="00EA6E64"/>
    <w:rsid w:val="00EA6F27"/>
    <w:rsid w:val="00EA7E8A"/>
    <w:rsid w:val="00EB04FD"/>
    <w:rsid w:val="00EB1811"/>
    <w:rsid w:val="00EB1DE0"/>
    <w:rsid w:val="00EB24EB"/>
    <w:rsid w:val="00EB3B50"/>
    <w:rsid w:val="00EB4844"/>
    <w:rsid w:val="00EB5284"/>
    <w:rsid w:val="00EB6F2E"/>
    <w:rsid w:val="00EC0309"/>
    <w:rsid w:val="00EC042F"/>
    <w:rsid w:val="00EC1A24"/>
    <w:rsid w:val="00EC20BB"/>
    <w:rsid w:val="00EC3528"/>
    <w:rsid w:val="00EC361A"/>
    <w:rsid w:val="00EC424D"/>
    <w:rsid w:val="00EC4D08"/>
    <w:rsid w:val="00EC4D50"/>
    <w:rsid w:val="00EC4E53"/>
    <w:rsid w:val="00EC506C"/>
    <w:rsid w:val="00EC54FF"/>
    <w:rsid w:val="00EC6207"/>
    <w:rsid w:val="00EC6731"/>
    <w:rsid w:val="00EC687C"/>
    <w:rsid w:val="00ED020D"/>
    <w:rsid w:val="00ED0F2C"/>
    <w:rsid w:val="00ED159F"/>
    <w:rsid w:val="00ED2566"/>
    <w:rsid w:val="00ED29D8"/>
    <w:rsid w:val="00ED3ADD"/>
    <w:rsid w:val="00ED3C65"/>
    <w:rsid w:val="00ED3FEA"/>
    <w:rsid w:val="00ED4AA3"/>
    <w:rsid w:val="00ED5138"/>
    <w:rsid w:val="00ED5DE8"/>
    <w:rsid w:val="00ED70AA"/>
    <w:rsid w:val="00ED7382"/>
    <w:rsid w:val="00ED77D9"/>
    <w:rsid w:val="00ED7CBD"/>
    <w:rsid w:val="00EE0467"/>
    <w:rsid w:val="00EE1A86"/>
    <w:rsid w:val="00EE3DD5"/>
    <w:rsid w:val="00EE510F"/>
    <w:rsid w:val="00EE5366"/>
    <w:rsid w:val="00EE54E2"/>
    <w:rsid w:val="00EE570A"/>
    <w:rsid w:val="00EE66F1"/>
    <w:rsid w:val="00EE6B78"/>
    <w:rsid w:val="00EF05FB"/>
    <w:rsid w:val="00EF12CD"/>
    <w:rsid w:val="00EF14A2"/>
    <w:rsid w:val="00EF1652"/>
    <w:rsid w:val="00EF196C"/>
    <w:rsid w:val="00EF1B0F"/>
    <w:rsid w:val="00EF1F97"/>
    <w:rsid w:val="00EF1FAB"/>
    <w:rsid w:val="00EF2316"/>
    <w:rsid w:val="00EF69FF"/>
    <w:rsid w:val="00EF70F5"/>
    <w:rsid w:val="00F00246"/>
    <w:rsid w:val="00F02032"/>
    <w:rsid w:val="00F02516"/>
    <w:rsid w:val="00F02844"/>
    <w:rsid w:val="00F03FD5"/>
    <w:rsid w:val="00F040E9"/>
    <w:rsid w:val="00F056E2"/>
    <w:rsid w:val="00F060AF"/>
    <w:rsid w:val="00F0651B"/>
    <w:rsid w:val="00F06EA2"/>
    <w:rsid w:val="00F06F20"/>
    <w:rsid w:val="00F071F5"/>
    <w:rsid w:val="00F07D32"/>
    <w:rsid w:val="00F105BD"/>
    <w:rsid w:val="00F10984"/>
    <w:rsid w:val="00F1125D"/>
    <w:rsid w:val="00F11523"/>
    <w:rsid w:val="00F11EFF"/>
    <w:rsid w:val="00F12258"/>
    <w:rsid w:val="00F1274B"/>
    <w:rsid w:val="00F127BD"/>
    <w:rsid w:val="00F13D7F"/>
    <w:rsid w:val="00F1488F"/>
    <w:rsid w:val="00F15555"/>
    <w:rsid w:val="00F20825"/>
    <w:rsid w:val="00F21313"/>
    <w:rsid w:val="00F21637"/>
    <w:rsid w:val="00F217BA"/>
    <w:rsid w:val="00F2265B"/>
    <w:rsid w:val="00F227AB"/>
    <w:rsid w:val="00F23B8D"/>
    <w:rsid w:val="00F23C49"/>
    <w:rsid w:val="00F24657"/>
    <w:rsid w:val="00F24B00"/>
    <w:rsid w:val="00F25787"/>
    <w:rsid w:val="00F25879"/>
    <w:rsid w:val="00F25B0D"/>
    <w:rsid w:val="00F268DF"/>
    <w:rsid w:val="00F26DB6"/>
    <w:rsid w:val="00F27B4F"/>
    <w:rsid w:val="00F27BA2"/>
    <w:rsid w:val="00F30253"/>
    <w:rsid w:val="00F311B7"/>
    <w:rsid w:val="00F314EB"/>
    <w:rsid w:val="00F318F1"/>
    <w:rsid w:val="00F32B06"/>
    <w:rsid w:val="00F34413"/>
    <w:rsid w:val="00F358D7"/>
    <w:rsid w:val="00F35914"/>
    <w:rsid w:val="00F35A5E"/>
    <w:rsid w:val="00F36292"/>
    <w:rsid w:val="00F37429"/>
    <w:rsid w:val="00F37B91"/>
    <w:rsid w:val="00F40AA9"/>
    <w:rsid w:val="00F40B8C"/>
    <w:rsid w:val="00F40F1E"/>
    <w:rsid w:val="00F42DF1"/>
    <w:rsid w:val="00F42F2A"/>
    <w:rsid w:val="00F436C1"/>
    <w:rsid w:val="00F43B2F"/>
    <w:rsid w:val="00F44CF0"/>
    <w:rsid w:val="00F44E91"/>
    <w:rsid w:val="00F455F1"/>
    <w:rsid w:val="00F456EB"/>
    <w:rsid w:val="00F473A5"/>
    <w:rsid w:val="00F47525"/>
    <w:rsid w:val="00F477D6"/>
    <w:rsid w:val="00F5017C"/>
    <w:rsid w:val="00F5157B"/>
    <w:rsid w:val="00F51A56"/>
    <w:rsid w:val="00F521B9"/>
    <w:rsid w:val="00F54812"/>
    <w:rsid w:val="00F55214"/>
    <w:rsid w:val="00F55A99"/>
    <w:rsid w:val="00F55D51"/>
    <w:rsid w:val="00F56F97"/>
    <w:rsid w:val="00F57314"/>
    <w:rsid w:val="00F57A69"/>
    <w:rsid w:val="00F57B02"/>
    <w:rsid w:val="00F61EAC"/>
    <w:rsid w:val="00F62718"/>
    <w:rsid w:val="00F6294B"/>
    <w:rsid w:val="00F62A04"/>
    <w:rsid w:val="00F62ABA"/>
    <w:rsid w:val="00F62C80"/>
    <w:rsid w:val="00F62DFB"/>
    <w:rsid w:val="00F63A39"/>
    <w:rsid w:val="00F64B7C"/>
    <w:rsid w:val="00F665A0"/>
    <w:rsid w:val="00F6754A"/>
    <w:rsid w:val="00F67D51"/>
    <w:rsid w:val="00F702CD"/>
    <w:rsid w:val="00F702DE"/>
    <w:rsid w:val="00F70435"/>
    <w:rsid w:val="00F7227C"/>
    <w:rsid w:val="00F73372"/>
    <w:rsid w:val="00F73A0A"/>
    <w:rsid w:val="00F74325"/>
    <w:rsid w:val="00F74595"/>
    <w:rsid w:val="00F74B02"/>
    <w:rsid w:val="00F75BB5"/>
    <w:rsid w:val="00F7616B"/>
    <w:rsid w:val="00F7638B"/>
    <w:rsid w:val="00F77082"/>
    <w:rsid w:val="00F80A1B"/>
    <w:rsid w:val="00F8161F"/>
    <w:rsid w:val="00F81D5C"/>
    <w:rsid w:val="00F82CC5"/>
    <w:rsid w:val="00F82D62"/>
    <w:rsid w:val="00F830C3"/>
    <w:rsid w:val="00F83201"/>
    <w:rsid w:val="00F83AA6"/>
    <w:rsid w:val="00F8457D"/>
    <w:rsid w:val="00F84995"/>
    <w:rsid w:val="00F85F40"/>
    <w:rsid w:val="00F86DA2"/>
    <w:rsid w:val="00F870F1"/>
    <w:rsid w:val="00F90233"/>
    <w:rsid w:val="00F92DF9"/>
    <w:rsid w:val="00F931DB"/>
    <w:rsid w:val="00F93F59"/>
    <w:rsid w:val="00F947F1"/>
    <w:rsid w:val="00F94FBB"/>
    <w:rsid w:val="00F95681"/>
    <w:rsid w:val="00F96746"/>
    <w:rsid w:val="00FA043B"/>
    <w:rsid w:val="00FA07F7"/>
    <w:rsid w:val="00FA1126"/>
    <w:rsid w:val="00FA187D"/>
    <w:rsid w:val="00FA1FBC"/>
    <w:rsid w:val="00FA2D1B"/>
    <w:rsid w:val="00FA2E2C"/>
    <w:rsid w:val="00FA2F69"/>
    <w:rsid w:val="00FA3320"/>
    <w:rsid w:val="00FA39A4"/>
    <w:rsid w:val="00FA3E16"/>
    <w:rsid w:val="00FA4757"/>
    <w:rsid w:val="00FA4BB3"/>
    <w:rsid w:val="00FA4C4C"/>
    <w:rsid w:val="00FA4C9F"/>
    <w:rsid w:val="00FA5269"/>
    <w:rsid w:val="00FA5375"/>
    <w:rsid w:val="00FA5710"/>
    <w:rsid w:val="00FA59B0"/>
    <w:rsid w:val="00FA5A20"/>
    <w:rsid w:val="00FA5BB3"/>
    <w:rsid w:val="00FA6E73"/>
    <w:rsid w:val="00FA74CB"/>
    <w:rsid w:val="00FB0878"/>
    <w:rsid w:val="00FB098C"/>
    <w:rsid w:val="00FB17C1"/>
    <w:rsid w:val="00FB3B7F"/>
    <w:rsid w:val="00FB3BC7"/>
    <w:rsid w:val="00FB3F97"/>
    <w:rsid w:val="00FB445C"/>
    <w:rsid w:val="00FB4829"/>
    <w:rsid w:val="00FB4D61"/>
    <w:rsid w:val="00FB685C"/>
    <w:rsid w:val="00FB6EE0"/>
    <w:rsid w:val="00FB7732"/>
    <w:rsid w:val="00FC01FD"/>
    <w:rsid w:val="00FC0584"/>
    <w:rsid w:val="00FC13BC"/>
    <w:rsid w:val="00FC3D92"/>
    <w:rsid w:val="00FC58B5"/>
    <w:rsid w:val="00FC58D5"/>
    <w:rsid w:val="00FC7585"/>
    <w:rsid w:val="00FC7A84"/>
    <w:rsid w:val="00FC7BED"/>
    <w:rsid w:val="00FD037B"/>
    <w:rsid w:val="00FD0A08"/>
    <w:rsid w:val="00FD1518"/>
    <w:rsid w:val="00FD35EE"/>
    <w:rsid w:val="00FD3A0C"/>
    <w:rsid w:val="00FD3ABA"/>
    <w:rsid w:val="00FD4877"/>
    <w:rsid w:val="00FD5F53"/>
    <w:rsid w:val="00FD6498"/>
    <w:rsid w:val="00FD6E14"/>
    <w:rsid w:val="00FD6F39"/>
    <w:rsid w:val="00FD7CBF"/>
    <w:rsid w:val="00FE03D6"/>
    <w:rsid w:val="00FE05F4"/>
    <w:rsid w:val="00FE09EE"/>
    <w:rsid w:val="00FE0B45"/>
    <w:rsid w:val="00FE294F"/>
    <w:rsid w:val="00FE36CA"/>
    <w:rsid w:val="00FE3B3E"/>
    <w:rsid w:val="00FE3B88"/>
    <w:rsid w:val="00FE40E9"/>
    <w:rsid w:val="00FE5D71"/>
    <w:rsid w:val="00FE66A8"/>
    <w:rsid w:val="00FE6ABB"/>
    <w:rsid w:val="00FE71BE"/>
    <w:rsid w:val="00FE7D9E"/>
    <w:rsid w:val="00FE7E52"/>
    <w:rsid w:val="00FF06DC"/>
    <w:rsid w:val="00FF136F"/>
    <w:rsid w:val="00FF1816"/>
    <w:rsid w:val="00FF1B30"/>
    <w:rsid w:val="00FF2CBB"/>
    <w:rsid w:val="00FF30AE"/>
    <w:rsid w:val="00FF320D"/>
    <w:rsid w:val="00FF33B6"/>
    <w:rsid w:val="00FF3742"/>
    <w:rsid w:val="00FF4336"/>
    <w:rsid w:val="00FF45F3"/>
    <w:rsid w:val="00FF661B"/>
    <w:rsid w:val="00FF6905"/>
    <w:rsid w:val="00FF6AAA"/>
    <w:rsid w:val="00FF7B6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39F"/>
    <w:rPr>
      <w:lang w:val="ro-RO"/>
    </w:rPr>
  </w:style>
  <w:style w:type="paragraph" w:styleId="Heading1">
    <w:name w:val="heading 1"/>
    <w:basedOn w:val="Normal"/>
    <w:next w:val="Normal"/>
    <w:link w:val="Heading1Char"/>
    <w:uiPriority w:val="9"/>
    <w:qFormat/>
    <w:rsid w:val="00A023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H2"/>
    <w:basedOn w:val="Normal"/>
    <w:next w:val="Normal"/>
    <w:link w:val="Heading2Char"/>
    <w:unhideWhenUsed/>
    <w:qFormat/>
    <w:rsid w:val="00A023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023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0239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239F"/>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H2 Char"/>
    <w:basedOn w:val="DefaultParagraphFont"/>
    <w:link w:val="Heading2"/>
    <w:rsid w:val="00A0239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A0239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A0239F"/>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A023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Char,Знак1,single space,FOOTNOTES,fn,Footnote Text Char1,Footnote Text Char2 Char,Footnote Text Char1 Char Char,Footnote Text Char2 Char Char Char,Footnote Text Char1 Char Char Char Char,Cha,A,Знак, Char, Знак1, Знак,footnote text, Cha,ft"/>
    <w:basedOn w:val="Normal"/>
    <w:link w:val="FootnoteTextChar"/>
    <w:unhideWhenUsed/>
    <w:qFormat/>
    <w:rsid w:val="00A0239F"/>
    <w:pPr>
      <w:spacing w:after="0" w:line="240" w:lineRule="auto"/>
    </w:pPr>
    <w:rPr>
      <w:sz w:val="20"/>
      <w:szCs w:val="20"/>
    </w:rPr>
  </w:style>
  <w:style w:type="character" w:customStyle="1" w:styleId="FootnoteTextChar">
    <w:name w:val="Footnote Text Char"/>
    <w:aliases w:val="Char Char,Знак1 Char,single space Char,FOOTNOTES Char,fn Char,Footnote Text Char1 Char,Footnote Text Char2 Char Char,Footnote Text Char1 Char Char Char,Footnote Text Char2 Char Char Char Char,Cha Char,A Char,Знак Char, Char Char"/>
    <w:basedOn w:val="DefaultParagraphFont"/>
    <w:link w:val="FootnoteText"/>
    <w:rsid w:val="00A0239F"/>
    <w:rPr>
      <w:sz w:val="20"/>
      <w:szCs w:val="20"/>
    </w:r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
    <w:basedOn w:val="DefaultParagraphFont"/>
    <w:link w:val="FNRefeCharChar"/>
    <w:unhideWhenUsed/>
    <w:rsid w:val="00A0239F"/>
    <w:rPr>
      <w:vertAlign w:val="superscript"/>
    </w:rPr>
  </w:style>
  <w:style w:type="paragraph" w:customStyle="1" w:styleId="tt">
    <w:name w:val="tt"/>
    <w:basedOn w:val="Normal"/>
    <w:qFormat/>
    <w:rsid w:val="00A0239F"/>
    <w:pPr>
      <w:spacing w:after="0" w:line="240" w:lineRule="auto"/>
      <w:contextualSpacing/>
      <w:jc w:val="center"/>
    </w:pPr>
    <w:rPr>
      <w:rFonts w:ascii="Times New Roman" w:eastAsia="Times New Roman" w:hAnsi="Times New Roman" w:cs="Times New Roman"/>
      <w:b/>
      <w:bCs/>
      <w:sz w:val="24"/>
      <w:szCs w:val="24"/>
    </w:rPr>
  </w:style>
  <w:style w:type="paragraph" w:customStyle="1" w:styleId="cn">
    <w:name w:val="cn"/>
    <w:basedOn w:val="Normal"/>
    <w:rsid w:val="00A0239F"/>
    <w:pPr>
      <w:spacing w:after="0" w:line="240" w:lineRule="auto"/>
      <w:jc w:val="center"/>
    </w:pPr>
    <w:rPr>
      <w:rFonts w:ascii="Times New Roman" w:eastAsia="Times New Roman" w:hAnsi="Times New Roman" w:cs="Times New Roman"/>
      <w:sz w:val="24"/>
      <w:szCs w:val="24"/>
      <w:lang w:val="ru-RU" w:eastAsia="ru-RU"/>
    </w:rPr>
  </w:style>
  <w:style w:type="paragraph" w:styleId="ListParagraph">
    <w:name w:val="List Paragraph"/>
    <w:aliases w:val="List Paragraph 1,strikethrough"/>
    <w:basedOn w:val="Normal"/>
    <w:link w:val="ListParagraphChar"/>
    <w:uiPriority w:val="34"/>
    <w:qFormat/>
    <w:rsid w:val="00A0239F"/>
    <w:pPr>
      <w:ind w:left="720"/>
      <w:contextualSpacing/>
    </w:pPr>
  </w:style>
  <w:style w:type="character" w:customStyle="1" w:styleId="ListParagraphChar">
    <w:name w:val="List Paragraph Char"/>
    <w:aliases w:val="List Paragraph 1 Char,strikethrough Char"/>
    <w:link w:val="ListParagraph"/>
    <w:uiPriority w:val="34"/>
    <w:locked/>
    <w:rsid w:val="00A0239F"/>
  </w:style>
  <w:style w:type="table" w:customStyle="1" w:styleId="1">
    <w:name w:val="Сетка таблицы1"/>
    <w:basedOn w:val="TableNormal"/>
    <w:next w:val="TableGrid"/>
    <w:uiPriority w:val="59"/>
    <w:rsid w:val="00A023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Знак2,webb,Char1,A Знак Знак"/>
    <w:basedOn w:val="Normal"/>
    <w:link w:val="NormalWebChar"/>
    <w:uiPriority w:val="99"/>
    <w:unhideWhenUsed/>
    <w:qFormat/>
    <w:rsid w:val="00A0239F"/>
    <w:rPr>
      <w:rFonts w:ascii="Times New Roman" w:hAnsi="Times New Roman" w:cs="Times New Roman"/>
      <w:sz w:val="24"/>
      <w:szCs w:val="24"/>
    </w:rPr>
  </w:style>
  <w:style w:type="paragraph" w:styleId="TOC1">
    <w:name w:val="toc 1"/>
    <w:basedOn w:val="Normal"/>
    <w:next w:val="Normal"/>
    <w:autoRedefine/>
    <w:uiPriority w:val="39"/>
    <w:unhideWhenUsed/>
    <w:rsid w:val="00055D54"/>
    <w:pPr>
      <w:tabs>
        <w:tab w:val="left" w:pos="450"/>
        <w:tab w:val="right" w:leader="dot" w:pos="9450"/>
      </w:tabs>
      <w:spacing w:before="120" w:after="0" w:line="240" w:lineRule="auto"/>
      <w:ind w:left="-90" w:right="-96"/>
      <w:jc w:val="both"/>
    </w:pPr>
    <w:rPr>
      <w:rFonts w:ascii="Times New Roman" w:eastAsia="Times New Roman" w:hAnsi="Times New Roman" w:cs="Times New Roman"/>
      <w:b/>
      <w:noProof/>
      <w:sz w:val="28"/>
      <w:szCs w:val="28"/>
      <w:lang w:eastAsia="ru-RU"/>
    </w:rPr>
  </w:style>
  <w:style w:type="paragraph" w:styleId="TOC2">
    <w:name w:val="toc 2"/>
    <w:basedOn w:val="Normal"/>
    <w:next w:val="Normal"/>
    <w:autoRedefine/>
    <w:uiPriority w:val="39"/>
    <w:unhideWhenUsed/>
    <w:rsid w:val="0086782C"/>
    <w:pPr>
      <w:tabs>
        <w:tab w:val="right" w:leader="dot" w:pos="9450"/>
        <w:tab w:val="right" w:leader="dot" w:pos="9679"/>
      </w:tabs>
      <w:spacing w:after="120" w:line="240" w:lineRule="auto"/>
      <w:ind w:left="-86" w:right="19"/>
      <w:jc w:val="both"/>
    </w:pPr>
    <w:rPr>
      <w:rFonts w:ascii="Times New Roman" w:eastAsia="Times New Roman" w:hAnsi="Times New Roman" w:cs="Times New Roman"/>
      <w:b/>
      <w:i/>
      <w:noProof/>
      <w:sz w:val="28"/>
      <w:szCs w:val="28"/>
    </w:rPr>
  </w:style>
  <w:style w:type="character" w:styleId="Hyperlink">
    <w:name w:val="Hyperlink"/>
    <w:basedOn w:val="DefaultParagraphFont"/>
    <w:uiPriority w:val="99"/>
    <w:unhideWhenUsed/>
    <w:rsid w:val="00A0239F"/>
    <w:rPr>
      <w:color w:val="0563C1" w:themeColor="hyperlink"/>
      <w:u w:val="single"/>
    </w:rPr>
  </w:style>
  <w:style w:type="paragraph" w:styleId="Header">
    <w:name w:val="header"/>
    <w:basedOn w:val="Normal"/>
    <w:link w:val="HeaderChar"/>
    <w:unhideWhenUsed/>
    <w:rsid w:val="00A0239F"/>
    <w:pPr>
      <w:tabs>
        <w:tab w:val="center" w:pos="4680"/>
        <w:tab w:val="right" w:pos="9360"/>
      </w:tabs>
      <w:spacing w:after="0" w:line="240" w:lineRule="auto"/>
    </w:pPr>
  </w:style>
  <w:style w:type="character" w:customStyle="1" w:styleId="HeaderChar">
    <w:name w:val="Header Char"/>
    <w:basedOn w:val="DefaultParagraphFont"/>
    <w:link w:val="Header"/>
    <w:rsid w:val="00A0239F"/>
  </w:style>
  <w:style w:type="paragraph" w:styleId="Footer">
    <w:name w:val="footer"/>
    <w:basedOn w:val="Normal"/>
    <w:link w:val="FooterChar"/>
    <w:uiPriority w:val="99"/>
    <w:unhideWhenUsed/>
    <w:rsid w:val="00A023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39F"/>
  </w:style>
  <w:style w:type="character" w:customStyle="1" w:styleId="BalloonTextChar">
    <w:name w:val="Balloon Text Char"/>
    <w:basedOn w:val="DefaultParagraphFont"/>
    <w:link w:val="BalloonText"/>
    <w:uiPriority w:val="99"/>
    <w:semiHidden/>
    <w:rsid w:val="00A0239F"/>
    <w:rPr>
      <w:rFonts w:ascii="Segoe UI" w:hAnsi="Segoe UI" w:cs="Segoe UI"/>
      <w:sz w:val="18"/>
      <w:szCs w:val="18"/>
    </w:rPr>
  </w:style>
  <w:style w:type="paragraph" w:styleId="BalloonText">
    <w:name w:val="Balloon Text"/>
    <w:basedOn w:val="Normal"/>
    <w:link w:val="BalloonTextChar"/>
    <w:uiPriority w:val="99"/>
    <w:semiHidden/>
    <w:unhideWhenUsed/>
    <w:rsid w:val="00A0239F"/>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A0239F"/>
    <w:rPr>
      <w:rFonts w:ascii="Segoe UI" w:hAnsi="Segoe UI" w:cs="Segoe UI"/>
      <w:sz w:val="18"/>
      <w:szCs w:val="18"/>
    </w:rPr>
  </w:style>
  <w:style w:type="character" w:customStyle="1" w:styleId="apple-converted-space">
    <w:name w:val="apple-converted-space"/>
    <w:basedOn w:val="DefaultParagraphFont"/>
    <w:rsid w:val="00A0239F"/>
  </w:style>
  <w:style w:type="character" w:customStyle="1" w:styleId="CommentTextChar">
    <w:name w:val="Comment Text Char"/>
    <w:basedOn w:val="DefaultParagraphFont"/>
    <w:link w:val="CommentText"/>
    <w:uiPriority w:val="99"/>
    <w:semiHidden/>
    <w:rsid w:val="00A0239F"/>
    <w:rPr>
      <w:sz w:val="20"/>
      <w:szCs w:val="20"/>
    </w:rPr>
  </w:style>
  <w:style w:type="paragraph" w:styleId="CommentText">
    <w:name w:val="annotation text"/>
    <w:basedOn w:val="Normal"/>
    <w:link w:val="CommentTextChar"/>
    <w:uiPriority w:val="99"/>
    <w:semiHidden/>
    <w:unhideWhenUsed/>
    <w:rsid w:val="00A0239F"/>
    <w:pPr>
      <w:spacing w:line="240" w:lineRule="auto"/>
    </w:pPr>
    <w:rPr>
      <w:sz w:val="20"/>
      <w:szCs w:val="20"/>
    </w:rPr>
  </w:style>
  <w:style w:type="character" w:customStyle="1" w:styleId="CommentTextChar1">
    <w:name w:val="Comment Text Char1"/>
    <w:basedOn w:val="DefaultParagraphFont"/>
    <w:uiPriority w:val="99"/>
    <w:semiHidden/>
    <w:rsid w:val="00A0239F"/>
    <w:rPr>
      <w:sz w:val="20"/>
      <w:szCs w:val="20"/>
    </w:rPr>
  </w:style>
  <w:style w:type="character" w:customStyle="1" w:styleId="CommentSubjectChar">
    <w:name w:val="Comment Subject Char"/>
    <w:basedOn w:val="CommentTextChar"/>
    <w:link w:val="CommentSubject"/>
    <w:uiPriority w:val="99"/>
    <w:semiHidden/>
    <w:rsid w:val="00A0239F"/>
    <w:rPr>
      <w:b/>
      <w:bCs/>
      <w:sz w:val="20"/>
      <w:szCs w:val="20"/>
    </w:rPr>
  </w:style>
  <w:style w:type="paragraph" w:styleId="CommentSubject">
    <w:name w:val="annotation subject"/>
    <w:basedOn w:val="CommentText"/>
    <w:next w:val="CommentText"/>
    <w:link w:val="CommentSubjectChar"/>
    <w:uiPriority w:val="99"/>
    <w:semiHidden/>
    <w:unhideWhenUsed/>
    <w:rsid w:val="00A0239F"/>
    <w:rPr>
      <w:b/>
      <w:bCs/>
    </w:rPr>
  </w:style>
  <w:style w:type="character" w:customStyle="1" w:styleId="CommentSubjectChar1">
    <w:name w:val="Comment Subject Char1"/>
    <w:basedOn w:val="CommentTextChar1"/>
    <w:uiPriority w:val="99"/>
    <w:semiHidden/>
    <w:rsid w:val="00A0239F"/>
    <w:rPr>
      <w:b/>
      <w:bCs/>
      <w:sz w:val="20"/>
      <w:szCs w:val="20"/>
    </w:rPr>
  </w:style>
  <w:style w:type="paragraph" w:styleId="NoSpacing">
    <w:name w:val="No Spacing"/>
    <w:link w:val="NoSpacingChar"/>
    <w:uiPriority w:val="1"/>
    <w:qFormat/>
    <w:rsid w:val="00A0239F"/>
    <w:pPr>
      <w:spacing w:after="0" w:line="240" w:lineRule="auto"/>
    </w:pPr>
  </w:style>
  <w:style w:type="paragraph" w:customStyle="1" w:styleId="Style6">
    <w:name w:val="Style6"/>
    <w:basedOn w:val="Normal"/>
    <w:uiPriority w:val="99"/>
    <w:rsid w:val="00A0239F"/>
    <w:pPr>
      <w:widowControl w:val="0"/>
      <w:autoSpaceDE w:val="0"/>
      <w:autoSpaceDN w:val="0"/>
      <w:adjustRightInd w:val="0"/>
      <w:spacing w:after="0" w:line="324" w:lineRule="exact"/>
      <w:ind w:firstLine="662"/>
      <w:jc w:val="both"/>
    </w:pPr>
    <w:rPr>
      <w:rFonts w:ascii="Times New Roman" w:eastAsiaTheme="minorEastAsia" w:hAnsi="Times New Roman" w:cs="Times New Roman"/>
      <w:sz w:val="24"/>
      <w:szCs w:val="24"/>
    </w:rPr>
  </w:style>
  <w:style w:type="character" w:customStyle="1" w:styleId="FontStyle17">
    <w:name w:val="Font Style17"/>
    <w:basedOn w:val="DefaultParagraphFont"/>
    <w:uiPriority w:val="99"/>
    <w:rsid w:val="00A0239F"/>
    <w:rPr>
      <w:rFonts w:ascii="Times New Roman" w:hAnsi="Times New Roman" w:cs="Times New Roman" w:hint="default"/>
      <w:color w:val="000000"/>
      <w:sz w:val="26"/>
      <w:szCs w:val="26"/>
    </w:rPr>
  </w:style>
  <w:style w:type="paragraph" w:styleId="TOC3">
    <w:name w:val="toc 3"/>
    <w:basedOn w:val="Normal"/>
    <w:next w:val="Normal"/>
    <w:autoRedefine/>
    <w:uiPriority w:val="39"/>
    <w:unhideWhenUsed/>
    <w:rsid w:val="0086782C"/>
    <w:pPr>
      <w:tabs>
        <w:tab w:val="right" w:leader="dot" w:pos="9450"/>
        <w:tab w:val="right" w:leader="dot" w:pos="9679"/>
      </w:tabs>
      <w:spacing w:after="120" w:line="240" w:lineRule="auto"/>
      <w:ind w:left="-90" w:right="19"/>
      <w:jc w:val="both"/>
    </w:pPr>
    <w:rPr>
      <w:rFonts w:ascii="Times New Roman" w:eastAsia="Times New Roman" w:hAnsi="Times New Roman" w:cs="Times New Roman"/>
      <w:b/>
      <w:i/>
      <w:noProof/>
      <w:sz w:val="28"/>
      <w:szCs w:val="28"/>
      <w:shd w:val="clear" w:color="auto" w:fill="FFFFFF"/>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rsid w:val="00840311"/>
    <w:pPr>
      <w:spacing w:line="240" w:lineRule="exact"/>
    </w:pPr>
    <w:rPr>
      <w:vertAlign w:val="superscript"/>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11 Char,Знак2 Char"/>
    <w:link w:val="NormalWeb"/>
    <w:uiPriority w:val="99"/>
    <w:rsid w:val="00840311"/>
    <w:rPr>
      <w:rFonts w:ascii="Times New Roman" w:hAnsi="Times New Roman" w:cs="Times New Roman"/>
      <w:sz w:val="24"/>
      <w:szCs w:val="24"/>
    </w:rPr>
  </w:style>
  <w:style w:type="character" w:customStyle="1" w:styleId="a">
    <w:name w:val="Сноска_"/>
    <w:basedOn w:val="DefaultParagraphFont"/>
    <w:rsid w:val="001A37C2"/>
    <w:rPr>
      <w:rFonts w:ascii="Times New Roman" w:eastAsia="Times New Roman" w:hAnsi="Times New Roman" w:cs="Times New Roman"/>
      <w:b w:val="0"/>
      <w:bCs w:val="0"/>
      <w:i w:val="0"/>
      <w:iCs w:val="0"/>
      <w:smallCaps w:val="0"/>
      <w:strike w:val="0"/>
      <w:sz w:val="19"/>
      <w:szCs w:val="19"/>
      <w:u w:val="none"/>
    </w:rPr>
  </w:style>
  <w:style w:type="paragraph" w:styleId="BodyTextIndent">
    <w:name w:val="Body Text Indent"/>
    <w:basedOn w:val="Normal"/>
    <w:link w:val="BodyTextIndentChar"/>
    <w:uiPriority w:val="99"/>
    <w:semiHidden/>
    <w:unhideWhenUsed/>
    <w:rsid w:val="00780C9A"/>
    <w:pPr>
      <w:spacing w:after="120"/>
      <w:ind w:left="360"/>
    </w:pPr>
  </w:style>
  <w:style w:type="character" w:customStyle="1" w:styleId="BodyTextIndentChar">
    <w:name w:val="Body Text Indent Char"/>
    <w:basedOn w:val="DefaultParagraphFont"/>
    <w:link w:val="BodyTextIndent"/>
    <w:uiPriority w:val="99"/>
    <w:semiHidden/>
    <w:rsid w:val="00780C9A"/>
  </w:style>
  <w:style w:type="character" w:styleId="PageNumber">
    <w:name w:val="page number"/>
    <w:basedOn w:val="DefaultParagraphFont"/>
    <w:rsid w:val="00632A50"/>
    <w:rPr>
      <w:rFonts w:ascii="Arial" w:hAnsi="Arial" w:cs="Times New Roman"/>
      <w:sz w:val="16"/>
    </w:rPr>
  </w:style>
  <w:style w:type="paragraph" w:styleId="Caption">
    <w:name w:val="caption"/>
    <w:basedOn w:val="Normal"/>
    <w:next w:val="Normal"/>
    <w:qFormat/>
    <w:rsid w:val="00632A50"/>
    <w:pPr>
      <w:keepNext/>
      <w:tabs>
        <w:tab w:val="right" w:pos="-284"/>
      </w:tabs>
      <w:spacing w:after="140" w:line="280" w:lineRule="atLeast"/>
      <w:ind w:hanging="2268"/>
    </w:pPr>
    <w:rPr>
      <w:rFonts w:ascii="Arial" w:eastAsia="Times New Roman" w:hAnsi="Arial" w:cs="Times New Roman"/>
      <w:bCs/>
      <w:color w:val="0A55A3"/>
      <w:sz w:val="16"/>
      <w:szCs w:val="20"/>
      <w:lang w:val="en-GB" w:eastAsia="ru-RU"/>
    </w:rPr>
  </w:style>
  <w:style w:type="paragraph" w:customStyle="1" w:styleId="TableText">
    <w:name w:val="Table Text"/>
    <w:basedOn w:val="Normal"/>
    <w:link w:val="TableTextChar"/>
    <w:rsid w:val="00632A50"/>
    <w:pPr>
      <w:spacing w:after="0" w:line="280" w:lineRule="atLeast"/>
    </w:pPr>
    <w:rPr>
      <w:rFonts w:ascii="Arial" w:eastAsia="Times New Roman" w:hAnsi="Arial" w:cs="Times New Roman"/>
      <w:sz w:val="16"/>
      <w:szCs w:val="24"/>
      <w:lang w:val="en-GB" w:eastAsia="ru-RU"/>
    </w:rPr>
  </w:style>
  <w:style w:type="character" w:customStyle="1" w:styleId="TableTextChar">
    <w:name w:val="Table Text Char"/>
    <w:basedOn w:val="DefaultParagraphFont"/>
    <w:link w:val="TableText"/>
    <w:locked/>
    <w:rsid w:val="00632A50"/>
    <w:rPr>
      <w:rFonts w:ascii="Arial" w:eastAsia="Times New Roman" w:hAnsi="Arial" w:cs="Times New Roman"/>
      <w:sz w:val="16"/>
      <w:szCs w:val="24"/>
      <w:lang w:val="en-GB" w:eastAsia="ru-RU"/>
    </w:rPr>
  </w:style>
  <w:style w:type="paragraph" w:customStyle="1" w:styleId="cb">
    <w:name w:val="cb"/>
    <w:basedOn w:val="Normal"/>
    <w:rsid w:val="00632A50"/>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Normal"/>
    <w:rsid w:val="00632A50"/>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lf">
    <w:name w:val="lf"/>
    <w:basedOn w:val="Normal"/>
    <w:rsid w:val="00A555F8"/>
    <w:pPr>
      <w:spacing w:after="0" w:line="240" w:lineRule="auto"/>
    </w:pPr>
    <w:rPr>
      <w:rFonts w:ascii="Times New Roman" w:eastAsia="Times New Roman" w:hAnsi="Times New Roman" w:cs="Times New Roman"/>
      <w:sz w:val="24"/>
      <w:szCs w:val="24"/>
      <w:lang w:val="ru-RU" w:eastAsia="ru-RU"/>
    </w:rPr>
  </w:style>
  <w:style w:type="character" w:styleId="Strong">
    <w:name w:val="Strong"/>
    <w:basedOn w:val="DefaultParagraphFont"/>
    <w:uiPriority w:val="22"/>
    <w:qFormat/>
    <w:rsid w:val="00670345"/>
    <w:rPr>
      <w:b/>
      <w:bCs/>
    </w:rPr>
  </w:style>
  <w:style w:type="character" w:customStyle="1" w:styleId="docheader">
    <w:name w:val="doc_header"/>
    <w:basedOn w:val="DefaultParagraphFont"/>
    <w:rsid w:val="00670345"/>
  </w:style>
  <w:style w:type="table" w:customStyle="1" w:styleId="TableGrid1">
    <w:name w:val="Table Grid1"/>
    <w:basedOn w:val="TableNormal"/>
    <w:next w:val="TableGrid"/>
    <w:uiPriority w:val="39"/>
    <w:rsid w:val="00F216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C0D05"/>
    <w:pPr>
      <w:outlineLvl w:val="9"/>
    </w:pPr>
  </w:style>
  <w:style w:type="character" w:customStyle="1" w:styleId="8">
    <w:name w:val="Основной текст (8)_"/>
    <w:basedOn w:val="DefaultParagraphFont"/>
    <w:link w:val="80"/>
    <w:rsid w:val="00123CB3"/>
    <w:rPr>
      <w:rFonts w:ascii="Times New Roman" w:eastAsia="Times New Roman" w:hAnsi="Times New Roman" w:cs="Times New Roman"/>
      <w:b/>
      <w:bCs/>
      <w:sz w:val="24"/>
      <w:szCs w:val="24"/>
      <w:shd w:val="clear" w:color="auto" w:fill="FFFFFF"/>
    </w:rPr>
  </w:style>
  <w:style w:type="paragraph" w:customStyle="1" w:styleId="80">
    <w:name w:val="Основной текст (8)"/>
    <w:basedOn w:val="Normal"/>
    <w:link w:val="8"/>
    <w:rsid w:val="00123CB3"/>
    <w:pPr>
      <w:widowControl w:val="0"/>
      <w:shd w:val="clear" w:color="auto" w:fill="FFFFFF"/>
      <w:spacing w:after="1720" w:line="317" w:lineRule="exact"/>
    </w:pPr>
    <w:rPr>
      <w:rFonts w:ascii="Times New Roman" w:eastAsia="Times New Roman" w:hAnsi="Times New Roman" w:cs="Times New Roman"/>
      <w:b/>
      <w:bCs/>
      <w:sz w:val="24"/>
      <w:szCs w:val="24"/>
    </w:rPr>
  </w:style>
  <w:style w:type="paragraph" w:customStyle="1" w:styleId="Default">
    <w:name w:val="Default"/>
    <w:rsid w:val="00AF6B1F"/>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GridTable1Light-Accent11">
    <w:name w:val="Grid Table 1 Light - Accent 11"/>
    <w:basedOn w:val="TableNormal"/>
    <w:next w:val="TableNormal"/>
    <w:uiPriority w:val="46"/>
    <w:rsid w:val="00AF6B1F"/>
    <w:pPr>
      <w:spacing w:after="0" w:line="240" w:lineRule="auto"/>
    </w:pPr>
    <w:tblPr>
      <w:tblStyleRowBandSize w:val="1"/>
      <w:tblStyleColBandSize w:val="1"/>
      <w:tblInd w:w="0" w:type="dxa"/>
      <w:tblBorders>
        <w:top w:val="single" w:sz="4" w:space="0" w:color="B5C0DF"/>
        <w:left w:val="single" w:sz="4" w:space="0" w:color="B5C0DF"/>
        <w:bottom w:val="single" w:sz="4" w:space="0" w:color="B5C0DF"/>
        <w:right w:val="single" w:sz="4" w:space="0" w:color="B5C0DF"/>
        <w:insideH w:val="single" w:sz="4" w:space="0" w:color="B5C0DF"/>
        <w:insideV w:val="single" w:sz="4" w:space="0" w:color="B5C0DF"/>
      </w:tblBorders>
      <w:tblCellMar>
        <w:top w:w="0" w:type="dxa"/>
        <w:left w:w="108" w:type="dxa"/>
        <w:bottom w:w="0" w:type="dxa"/>
        <w:right w:w="108" w:type="dxa"/>
      </w:tblCellMar>
    </w:tblPr>
    <w:tblStylePr w:type="firstRow">
      <w:rPr>
        <w:b/>
        <w:bCs/>
      </w:rPr>
      <w:tblPr/>
      <w:tcPr>
        <w:tcBorders>
          <w:bottom w:val="single" w:sz="12" w:space="0" w:color="90A1CF"/>
        </w:tcBorders>
      </w:tcPr>
    </w:tblStylePr>
    <w:tblStylePr w:type="lastRow">
      <w:rPr>
        <w:b/>
        <w:bCs/>
      </w:rPr>
      <w:tblPr/>
      <w:tcPr>
        <w:tcBorders>
          <w:top w:val="double" w:sz="2" w:space="0" w:color="90A1CF"/>
        </w:tcBorders>
      </w:tcPr>
    </w:tblStylePr>
    <w:tblStylePr w:type="firstCol">
      <w:rPr>
        <w:b/>
        <w:bCs/>
      </w:rPr>
    </w:tblStylePr>
    <w:tblStylePr w:type="lastCol">
      <w:rPr>
        <w:b/>
        <w:bCs/>
      </w:rPr>
    </w:tblStylePr>
  </w:style>
  <w:style w:type="table" w:customStyle="1" w:styleId="GridTable1Light">
    <w:name w:val="Grid Table 1 Light"/>
    <w:basedOn w:val="TableNormal"/>
    <w:uiPriority w:val="46"/>
    <w:rsid w:val="0038660A"/>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docblue">
    <w:name w:val="doc_blue"/>
    <w:basedOn w:val="DefaultParagraphFont"/>
    <w:rsid w:val="001949B6"/>
  </w:style>
  <w:style w:type="character" w:customStyle="1" w:styleId="NoSpacingChar">
    <w:name w:val="No Spacing Char"/>
    <w:basedOn w:val="DefaultParagraphFont"/>
    <w:link w:val="NoSpacing"/>
    <w:uiPriority w:val="1"/>
    <w:rsid w:val="00F455F1"/>
  </w:style>
  <w:style w:type="character" w:customStyle="1" w:styleId="81">
    <w:name w:val="Основной текст (8) + Не полужирный"/>
    <w:aliases w:val="Курсив,Сноска (2) + Times New Roman,9,5 pt,Колонтитул + Trebuchet MS,10,Не полужирный,Колонтитул + Impact,Основной текст (6) + Полужирный,Колонтитул + 12 pt,Основной текст (8) + Полужирный"/>
    <w:basedOn w:val="DefaultParagraphFont"/>
    <w:rsid w:val="008C1007"/>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en-US" w:eastAsia="en-US" w:bidi="en-US"/>
    </w:rPr>
  </w:style>
  <w:style w:type="character" w:styleId="Emphasis">
    <w:name w:val="Emphasis"/>
    <w:basedOn w:val="DefaultParagraphFont"/>
    <w:uiPriority w:val="20"/>
    <w:qFormat/>
    <w:rsid w:val="00006999"/>
    <w:rPr>
      <w:i/>
      <w:iCs/>
    </w:rPr>
  </w:style>
  <w:style w:type="table" w:customStyle="1" w:styleId="TableGrid2">
    <w:name w:val="Table Grid2"/>
    <w:basedOn w:val="TableNormal"/>
    <w:next w:val="TableGrid"/>
    <w:uiPriority w:val="39"/>
    <w:rsid w:val="000747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782328">
      <w:bodyDiv w:val="1"/>
      <w:marLeft w:val="0"/>
      <w:marRight w:val="0"/>
      <w:marTop w:val="0"/>
      <w:marBottom w:val="0"/>
      <w:divBdr>
        <w:top w:val="none" w:sz="0" w:space="0" w:color="auto"/>
        <w:left w:val="none" w:sz="0" w:space="0" w:color="auto"/>
        <w:bottom w:val="none" w:sz="0" w:space="0" w:color="auto"/>
        <w:right w:val="none" w:sz="0" w:space="0" w:color="auto"/>
      </w:divBdr>
    </w:div>
    <w:div w:id="40982612">
      <w:bodyDiv w:val="1"/>
      <w:marLeft w:val="0"/>
      <w:marRight w:val="0"/>
      <w:marTop w:val="0"/>
      <w:marBottom w:val="0"/>
      <w:divBdr>
        <w:top w:val="none" w:sz="0" w:space="0" w:color="auto"/>
        <w:left w:val="none" w:sz="0" w:space="0" w:color="auto"/>
        <w:bottom w:val="none" w:sz="0" w:space="0" w:color="auto"/>
        <w:right w:val="none" w:sz="0" w:space="0" w:color="auto"/>
      </w:divBdr>
    </w:div>
    <w:div w:id="72044711">
      <w:bodyDiv w:val="1"/>
      <w:marLeft w:val="0"/>
      <w:marRight w:val="0"/>
      <w:marTop w:val="0"/>
      <w:marBottom w:val="0"/>
      <w:divBdr>
        <w:top w:val="none" w:sz="0" w:space="0" w:color="auto"/>
        <w:left w:val="none" w:sz="0" w:space="0" w:color="auto"/>
        <w:bottom w:val="none" w:sz="0" w:space="0" w:color="auto"/>
        <w:right w:val="none" w:sz="0" w:space="0" w:color="auto"/>
      </w:divBdr>
    </w:div>
    <w:div w:id="128595522">
      <w:bodyDiv w:val="1"/>
      <w:marLeft w:val="0"/>
      <w:marRight w:val="0"/>
      <w:marTop w:val="0"/>
      <w:marBottom w:val="0"/>
      <w:divBdr>
        <w:top w:val="none" w:sz="0" w:space="0" w:color="auto"/>
        <w:left w:val="none" w:sz="0" w:space="0" w:color="auto"/>
        <w:bottom w:val="none" w:sz="0" w:space="0" w:color="auto"/>
        <w:right w:val="none" w:sz="0" w:space="0" w:color="auto"/>
      </w:divBdr>
    </w:div>
    <w:div w:id="198711903">
      <w:bodyDiv w:val="1"/>
      <w:marLeft w:val="0"/>
      <w:marRight w:val="0"/>
      <w:marTop w:val="0"/>
      <w:marBottom w:val="0"/>
      <w:divBdr>
        <w:top w:val="none" w:sz="0" w:space="0" w:color="auto"/>
        <w:left w:val="none" w:sz="0" w:space="0" w:color="auto"/>
        <w:bottom w:val="none" w:sz="0" w:space="0" w:color="auto"/>
        <w:right w:val="none" w:sz="0" w:space="0" w:color="auto"/>
      </w:divBdr>
    </w:div>
    <w:div w:id="318118546">
      <w:bodyDiv w:val="1"/>
      <w:marLeft w:val="0"/>
      <w:marRight w:val="0"/>
      <w:marTop w:val="0"/>
      <w:marBottom w:val="0"/>
      <w:divBdr>
        <w:top w:val="none" w:sz="0" w:space="0" w:color="auto"/>
        <w:left w:val="none" w:sz="0" w:space="0" w:color="auto"/>
        <w:bottom w:val="none" w:sz="0" w:space="0" w:color="auto"/>
        <w:right w:val="none" w:sz="0" w:space="0" w:color="auto"/>
      </w:divBdr>
    </w:div>
    <w:div w:id="333803779">
      <w:bodyDiv w:val="1"/>
      <w:marLeft w:val="0"/>
      <w:marRight w:val="0"/>
      <w:marTop w:val="0"/>
      <w:marBottom w:val="0"/>
      <w:divBdr>
        <w:top w:val="none" w:sz="0" w:space="0" w:color="auto"/>
        <w:left w:val="none" w:sz="0" w:space="0" w:color="auto"/>
        <w:bottom w:val="none" w:sz="0" w:space="0" w:color="auto"/>
        <w:right w:val="none" w:sz="0" w:space="0" w:color="auto"/>
      </w:divBdr>
    </w:div>
    <w:div w:id="409039852">
      <w:bodyDiv w:val="1"/>
      <w:marLeft w:val="0"/>
      <w:marRight w:val="0"/>
      <w:marTop w:val="0"/>
      <w:marBottom w:val="0"/>
      <w:divBdr>
        <w:top w:val="none" w:sz="0" w:space="0" w:color="auto"/>
        <w:left w:val="none" w:sz="0" w:space="0" w:color="auto"/>
        <w:bottom w:val="none" w:sz="0" w:space="0" w:color="auto"/>
        <w:right w:val="none" w:sz="0" w:space="0" w:color="auto"/>
      </w:divBdr>
    </w:div>
    <w:div w:id="418794155">
      <w:bodyDiv w:val="1"/>
      <w:marLeft w:val="0"/>
      <w:marRight w:val="0"/>
      <w:marTop w:val="0"/>
      <w:marBottom w:val="0"/>
      <w:divBdr>
        <w:top w:val="none" w:sz="0" w:space="0" w:color="auto"/>
        <w:left w:val="none" w:sz="0" w:space="0" w:color="auto"/>
        <w:bottom w:val="none" w:sz="0" w:space="0" w:color="auto"/>
        <w:right w:val="none" w:sz="0" w:space="0" w:color="auto"/>
      </w:divBdr>
    </w:div>
    <w:div w:id="436143335">
      <w:bodyDiv w:val="1"/>
      <w:marLeft w:val="0"/>
      <w:marRight w:val="0"/>
      <w:marTop w:val="0"/>
      <w:marBottom w:val="0"/>
      <w:divBdr>
        <w:top w:val="none" w:sz="0" w:space="0" w:color="auto"/>
        <w:left w:val="none" w:sz="0" w:space="0" w:color="auto"/>
        <w:bottom w:val="none" w:sz="0" w:space="0" w:color="auto"/>
        <w:right w:val="none" w:sz="0" w:space="0" w:color="auto"/>
      </w:divBdr>
    </w:div>
    <w:div w:id="467168199">
      <w:bodyDiv w:val="1"/>
      <w:marLeft w:val="0"/>
      <w:marRight w:val="0"/>
      <w:marTop w:val="0"/>
      <w:marBottom w:val="0"/>
      <w:divBdr>
        <w:top w:val="none" w:sz="0" w:space="0" w:color="auto"/>
        <w:left w:val="none" w:sz="0" w:space="0" w:color="auto"/>
        <w:bottom w:val="none" w:sz="0" w:space="0" w:color="auto"/>
        <w:right w:val="none" w:sz="0" w:space="0" w:color="auto"/>
      </w:divBdr>
    </w:div>
    <w:div w:id="507062595">
      <w:bodyDiv w:val="1"/>
      <w:marLeft w:val="0"/>
      <w:marRight w:val="0"/>
      <w:marTop w:val="0"/>
      <w:marBottom w:val="0"/>
      <w:divBdr>
        <w:top w:val="none" w:sz="0" w:space="0" w:color="auto"/>
        <w:left w:val="none" w:sz="0" w:space="0" w:color="auto"/>
        <w:bottom w:val="none" w:sz="0" w:space="0" w:color="auto"/>
        <w:right w:val="none" w:sz="0" w:space="0" w:color="auto"/>
      </w:divBdr>
    </w:div>
    <w:div w:id="551769504">
      <w:bodyDiv w:val="1"/>
      <w:marLeft w:val="0"/>
      <w:marRight w:val="0"/>
      <w:marTop w:val="0"/>
      <w:marBottom w:val="0"/>
      <w:divBdr>
        <w:top w:val="none" w:sz="0" w:space="0" w:color="auto"/>
        <w:left w:val="none" w:sz="0" w:space="0" w:color="auto"/>
        <w:bottom w:val="none" w:sz="0" w:space="0" w:color="auto"/>
        <w:right w:val="none" w:sz="0" w:space="0" w:color="auto"/>
      </w:divBdr>
    </w:div>
    <w:div w:id="603654772">
      <w:bodyDiv w:val="1"/>
      <w:marLeft w:val="0"/>
      <w:marRight w:val="0"/>
      <w:marTop w:val="0"/>
      <w:marBottom w:val="0"/>
      <w:divBdr>
        <w:top w:val="none" w:sz="0" w:space="0" w:color="auto"/>
        <w:left w:val="none" w:sz="0" w:space="0" w:color="auto"/>
        <w:bottom w:val="none" w:sz="0" w:space="0" w:color="auto"/>
        <w:right w:val="none" w:sz="0" w:space="0" w:color="auto"/>
      </w:divBdr>
    </w:div>
    <w:div w:id="645281560">
      <w:bodyDiv w:val="1"/>
      <w:marLeft w:val="0"/>
      <w:marRight w:val="0"/>
      <w:marTop w:val="0"/>
      <w:marBottom w:val="0"/>
      <w:divBdr>
        <w:top w:val="none" w:sz="0" w:space="0" w:color="auto"/>
        <w:left w:val="none" w:sz="0" w:space="0" w:color="auto"/>
        <w:bottom w:val="none" w:sz="0" w:space="0" w:color="auto"/>
        <w:right w:val="none" w:sz="0" w:space="0" w:color="auto"/>
      </w:divBdr>
    </w:div>
    <w:div w:id="669451971">
      <w:bodyDiv w:val="1"/>
      <w:marLeft w:val="0"/>
      <w:marRight w:val="0"/>
      <w:marTop w:val="0"/>
      <w:marBottom w:val="0"/>
      <w:divBdr>
        <w:top w:val="none" w:sz="0" w:space="0" w:color="auto"/>
        <w:left w:val="none" w:sz="0" w:space="0" w:color="auto"/>
        <w:bottom w:val="none" w:sz="0" w:space="0" w:color="auto"/>
        <w:right w:val="none" w:sz="0" w:space="0" w:color="auto"/>
      </w:divBdr>
    </w:div>
    <w:div w:id="684330877">
      <w:bodyDiv w:val="1"/>
      <w:marLeft w:val="0"/>
      <w:marRight w:val="0"/>
      <w:marTop w:val="0"/>
      <w:marBottom w:val="0"/>
      <w:divBdr>
        <w:top w:val="none" w:sz="0" w:space="0" w:color="auto"/>
        <w:left w:val="none" w:sz="0" w:space="0" w:color="auto"/>
        <w:bottom w:val="none" w:sz="0" w:space="0" w:color="auto"/>
        <w:right w:val="none" w:sz="0" w:space="0" w:color="auto"/>
      </w:divBdr>
    </w:div>
    <w:div w:id="822166056">
      <w:bodyDiv w:val="1"/>
      <w:marLeft w:val="0"/>
      <w:marRight w:val="0"/>
      <w:marTop w:val="0"/>
      <w:marBottom w:val="0"/>
      <w:divBdr>
        <w:top w:val="none" w:sz="0" w:space="0" w:color="auto"/>
        <w:left w:val="none" w:sz="0" w:space="0" w:color="auto"/>
        <w:bottom w:val="none" w:sz="0" w:space="0" w:color="auto"/>
        <w:right w:val="none" w:sz="0" w:space="0" w:color="auto"/>
      </w:divBdr>
    </w:div>
    <w:div w:id="892037240">
      <w:bodyDiv w:val="1"/>
      <w:marLeft w:val="0"/>
      <w:marRight w:val="0"/>
      <w:marTop w:val="0"/>
      <w:marBottom w:val="0"/>
      <w:divBdr>
        <w:top w:val="none" w:sz="0" w:space="0" w:color="auto"/>
        <w:left w:val="none" w:sz="0" w:space="0" w:color="auto"/>
        <w:bottom w:val="none" w:sz="0" w:space="0" w:color="auto"/>
        <w:right w:val="none" w:sz="0" w:space="0" w:color="auto"/>
      </w:divBdr>
    </w:div>
    <w:div w:id="956252344">
      <w:bodyDiv w:val="1"/>
      <w:marLeft w:val="0"/>
      <w:marRight w:val="0"/>
      <w:marTop w:val="0"/>
      <w:marBottom w:val="0"/>
      <w:divBdr>
        <w:top w:val="none" w:sz="0" w:space="0" w:color="auto"/>
        <w:left w:val="none" w:sz="0" w:space="0" w:color="auto"/>
        <w:bottom w:val="none" w:sz="0" w:space="0" w:color="auto"/>
        <w:right w:val="none" w:sz="0" w:space="0" w:color="auto"/>
      </w:divBdr>
    </w:div>
    <w:div w:id="1024133594">
      <w:bodyDiv w:val="1"/>
      <w:marLeft w:val="0"/>
      <w:marRight w:val="0"/>
      <w:marTop w:val="0"/>
      <w:marBottom w:val="0"/>
      <w:divBdr>
        <w:top w:val="none" w:sz="0" w:space="0" w:color="auto"/>
        <w:left w:val="none" w:sz="0" w:space="0" w:color="auto"/>
        <w:bottom w:val="none" w:sz="0" w:space="0" w:color="auto"/>
        <w:right w:val="none" w:sz="0" w:space="0" w:color="auto"/>
      </w:divBdr>
    </w:div>
    <w:div w:id="1204976200">
      <w:bodyDiv w:val="1"/>
      <w:marLeft w:val="0"/>
      <w:marRight w:val="0"/>
      <w:marTop w:val="0"/>
      <w:marBottom w:val="0"/>
      <w:divBdr>
        <w:top w:val="none" w:sz="0" w:space="0" w:color="auto"/>
        <w:left w:val="none" w:sz="0" w:space="0" w:color="auto"/>
        <w:bottom w:val="none" w:sz="0" w:space="0" w:color="auto"/>
        <w:right w:val="none" w:sz="0" w:space="0" w:color="auto"/>
      </w:divBdr>
    </w:div>
    <w:div w:id="1210604595">
      <w:bodyDiv w:val="1"/>
      <w:marLeft w:val="0"/>
      <w:marRight w:val="0"/>
      <w:marTop w:val="0"/>
      <w:marBottom w:val="0"/>
      <w:divBdr>
        <w:top w:val="none" w:sz="0" w:space="0" w:color="auto"/>
        <w:left w:val="none" w:sz="0" w:space="0" w:color="auto"/>
        <w:bottom w:val="none" w:sz="0" w:space="0" w:color="auto"/>
        <w:right w:val="none" w:sz="0" w:space="0" w:color="auto"/>
      </w:divBdr>
    </w:div>
    <w:div w:id="1361129853">
      <w:bodyDiv w:val="1"/>
      <w:marLeft w:val="0"/>
      <w:marRight w:val="0"/>
      <w:marTop w:val="0"/>
      <w:marBottom w:val="0"/>
      <w:divBdr>
        <w:top w:val="none" w:sz="0" w:space="0" w:color="auto"/>
        <w:left w:val="none" w:sz="0" w:space="0" w:color="auto"/>
        <w:bottom w:val="none" w:sz="0" w:space="0" w:color="auto"/>
        <w:right w:val="none" w:sz="0" w:space="0" w:color="auto"/>
      </w:divBdr>
    </w:div>
    <w:div w:id="1362704855">
      <w:bodyDiv w:val="1"/>
      <w:marLeft w:val="0"/>
      <w:marRight w:val="0"/>
      <w:marTop w:val="0"/>
      <w:marBottom w:val="0"/>
      <w:divBdr>
        <w:top w:val="none" w:sz="0" w:space="0" w:color="auto"/>
        <w:left w:val="none" w:sz="0" w:space="0" w:color="auto"/>
        <w:bottom w:val="none" w:sz="0" w:space="0" w:color="auto"/>
        <w:right w:val="none" w:sz="0" w:space="0" w:color="auto"/>
      </w:divBdr>
    </w:div>
    <w:div w:id="1409228821">
      <w:bodyDiv w:val="1"/>
      <w:marLeft w:val="0"/>
      <w:marRight w:val="0"/>
      <w:marTop w:val="0"/>
      <w:marBottom w:val="0"/>
      <w:divBdr>
        <w:top w:val="none" w:sz="0" w:space="0" w:color="auto"/>
        <w:left w:val="none" w:sz="0" w:space="0" w:color="auto"/>
        <w:bottom w:val="none" w:sz="0" w:space="0" w:color="auto"/>
        <w:right w:val="none" w:sz="0" w:space="0" w:color="auto"/>
      </w:divBdr>
    </w:div>
    <w:div w:id="1411657579">
      <w:bodyDiv w:val="1"/>
      <w:marLeft w:val="0"/>
      <w:marRight w:val="0"/>
      <w:marTop w:val="0"/>
      <w:marBottom w:val="0"/>
      <w:divBdr>
        <w:top w:val="none" w:sz="0" w:space="0" w:color="auto"/>
        <w:left w:val="none" w:sz="0" w:space="0" w:color="auto"/>
        <w:bottom w:val="none" w:sz="0" w:space="0" w:color="auto"/>
        <w:right w:val="none" w:sz="0" w:space="0" w:color="auto"/>
      </w:divBdr>
    </w:div>
    <w:div w:id="1438788785">
      <w:bodyDiv w:val="1"/>
      <w:marLeft w:val="0"/>
      <w:marRight w:val="0"/>
      <w:marTop w:val="0"/>
      <w:marBottom w:val="0"/>
      <w:divBdr>
        <w:top w:val="none" w:sz="0" w:space="0" w:color="auto"/>
        <w:left w:val="none" w:sz="0" w:space="0" w:color="auto"/>
        <w:bottom w:val="none" w:sz="0" w:space="0" w:color="auto"/>
        <w:right w:val="none" w:sz="0" w:space="0" w:color="auto"/>
      </w:divBdr>
    </w:div>
    <w:div w:id="1449159412">
      <w:bodyDiv w:val="1"/>
      <w:marLeft w:val="0"/>
      <w:marRight w:val="0"/>
      <w:marTop w:val="0"/>
      <w:marBottom w:val="0"/>
      <w:divBdr>
        <w:top w:val="none" w:sz="0" w:space="0" w:color="auto"/>
        <w:left w:val="none" w:sz="0" w:space="0" w:color="auto"/>
        <w:bottom w:val="none" w:sz="0" w:space="0" w:color="auto"/>
        <w:right w:val="none" w:sz="0" w:space="0" w:color="auto"/>
      </w:divBdr>
    </w:div>
    <w:div w:id="1453858919">
      <w:bodyDiv w:val="1"/>
      <w:marLeft w:val="0"/>
      <w:marRight w:val="0"/>
      <w:marTop w:val="0"/>
      <w:marBottom w:val="0"/>
      <w:divBdr>
        <w:top w:val="none" w:sz="0" w:space="0" w:color="auto"/>
        <w:left w:val="none" w:sz="0" w:space="0" w:color="auto"/>
        <w:bottom w:val="none" w:sz="0" w:space="0" w:color="auto"/>
        <w:right w:val="none" w:sz="0" w:space="0" w:color="auto"/>
      </w:divBdr>
    </w:div>
    <w:div w:id="1497377260">
      <w:bodyDiv w:val="1"/>
      <w:marLeft w:val="0"/>
      <w:marRight w:val="0"/>
      <w:marTop w:val="0"/>
      <w:marBottom w:val="0"/>
      <w:divBdr>
        <w:top w:val="none" w:sz="0" w:space="0" w:color="auto"/>
        <w:left w:val="none" w:sz="0" w:space="0" w:color="auto"/>
        <w:bottom w:val="none" w:sz="0" w:space="0" w:color="auto"/>
        <w:right w:val="none" w:sz="0" w:space="0" w:color="auto"/>
      </w:divBdr>
    </w:div>
    <w:div w:id="1588734521">
      <w:bodyDiv w:val="1"/>
      <w:marLeft w:val="0"/>
      <w:marRight w:val="0"/>
      <w:marTop w:val="0"/>
      <w:marBottom w:val="0"/>
      <w:divBdr>
        <w:top w:val="none" w:sz="0" w:space="0" w:color="auto"/>
        <w:left w:val="none" w:sz="0" w:space="0" w:color="auto"/>
        <w:bottom w:val="none" w:sz="0" w:space="0" w:color="auto"/>
        <w:right w:val="none" w:sz="0" w:space="0" w:color="auto"/>
      </w:divBdr>
    </w:div>
    <w:div w:id="1600988002">
      <w:bodyDiv w:val="1"/>
      <w:marLeft w:val="0"/>
      <w:marRight w:val="0"/>
      <w:marTop w:val="0"/>
      <w:marBottom w:val="0"/>
      <w:divBdr>
        <w:top w:val="none" w:sz="0" w:space="0" w:color="auto"/>
        <w:left w:val="none" w:sz="0" w:space="0" w:color="auto"/>
        <w:bottom w:val="none" w:sz="0" w:space="0" w:color="auto"/>
        <w:right w:val="none" w:sz="0" w:space="0" w:color="auto"/>
      </w:divBdr>
    </w:div>
    <w:div w:id="1635022850">
      <w:bodyDiv w:val="1"/>
      <w:marLeft w:val="0"/>
      <w:marRight w:val="0"/>
      <w:marTop w:val="0"/>
      <w:marBottom w:val="0"/>
      <w:divBdr>
        <w:top w:val="none" w:sz="0" w:space="0" w:color="auto"/>
        <w:left w:val="none" w:sz="0" w:space="0" w:color="auto"/>
        <w:bottom w:val="none" w:sz="0" w:space="0" w:color="auto"/>
        <w:right w:val="none" w:sz="0" w:space="0" w:color="auto"/>
      </w:divBdr>
    </w:div>
    <w:div w:id="1649630678">
      <w:bodyDiv w:val="1"/>
      <w:marLeft w:val="0"/>
      <w:marRight w:val="0"/>
      <w:marTop w:val="0"/>
      <w:marBottom w:val="0"/>
      <w:divBdr>
        <w:top w:val="none" w:sz="0" w:space="0" w:color="auto"/>
        <w:left w:val="none" w:sz="0" w:space="0" w:color="auto"/>
        <w:bottom w:val="none" w:sz="0" w:space="0" w:color="auto"/>
        <w:right w:val="none" w:sz="0" w:space="0" w:color="auto"/>
      </w:divBdr>
    </w:div>
    <w:div w:id="1714883663">
      <w:bodyDiv w:val="1"/>
      <w:marLeft w:val="0"/>
      <w:marRight w:val="0"/>
      <w:marTop w:val="0"/>
      <w:marBottom w:val="0"/>
      <w:divBdr>
        <w:top w:val="none" w:sz="0" w:space="0" w:color="auto"/>
        <w:left w:val="none" w:sz="0" w:space="0" w:color="auto"/>
        <w:bottom w:val="none" w:sz="0" w:space="0" w:color="auto"/>
        <w:right w:val="none" w:sz="0" w:space="0" w:color="auto"/>
      </w:divBdr>
    </w:div>
    <w:div w:id="1748185017">
      <w:bodyDiv w:val="1"/>
      <w:marLeft w:val="0"/>
      <w:marRight w:val="0"/>
      <w:marTop w:val="0"/>
      <w:marBottom w:val="0"/>
      <w:divBdr>
        <w:top w:val="none" w:sz="0" w:space="0" w:color="auto"/>
        <w:left w:val="none" w:sz="0" w:space="0" w:color="auto"/>
        <w:bottom w:val="none" w:sz="0" w:space="0" w:color="auto"/>
        <w:right w:val="none" w:sz="0" w:space="0" w:color="auto"/>
      </w:divBdr>
    </w:div>
    <w:div w:id="1758862187">
      <w:bodyDiv w:val="1"/>
      <w:marLeft w:val="0"/>
      <w:marRight w:val="0"/>
      <w:marTop w:val="0"/>
      <w:marBottom w:val="0"/>
      <w:divBdr>
        <w:top w:val="none" w:sz="0" w:space="0" w:color="auto"/>
        <w:left w:val="none" w:sz="0" w:space="0" w:color="auto"/>
        <w:bottom w:val="none" w:sz="0" w:space="0" w:color="auto"/>
        <w:right w:val="none" w:sz="0" w:space="0" w:color="auto"/>
      </w:divBdr>
    </w:div>
    <w:div w:id="1792750073">
      <w:bodyDiv w:val="1"/>
      <w:marLeft w:val="0"/>
      <w:marRight w:val="0"/>
      <w:marTop w:val="0"/>
      <w:marBottom w:val="0"/>
      <w:divBdr>
        <w:top w:val="none" w:sz="0" w:space="0" w:color="auto"/>
        <w:left w:val="none" w:sz="0" w:space="0" w:color="auto"/>
        <w:bottom w:val="none" w:sz="0" w:space="0" w:color="auto"/>
        <w:right w:val="none" w:sz="0" w:space="0" w:color="auto"/>
      </w:divBdr>
    </w:div>
    <w:div w:id="1811707932">
      <w:bodyDiv w:val="1"/>
      <w:marLeft w:val="0"/>
      <w:marRight w:val="0"/>
      <w:marTop w:val="0"/>
      <w:marBottom w:val="0"/>
      <w:divBdr>
        <w:top w:val="none" w:sz="0" w:space="0" w:color="auto"/>
        <w:left w:val="none" w:sz="0" w:space="0" w:color="auto"/>
        <w:bottom w:val="none" w:sz="0" w:space="0" w:color="auto"/>
        <w:right w:val="none" w:sz="0" w:space="0" w:color="auto"/>
      </w:divBdr>
    </w:div>
    <w:div w:id="1834491946">
      <w:bodyDiv w:val="1"/>
      <w:marLeft w:val="0"/>
      <w:marRight w:val="0"/>
      <w:marTop w:val="0"/>
      <w:marBottom w:val="0"/>
      <w:divBdr>
        <w:top w:val="none" w:sz="0" w:space="0" w:color="auto"/>
        <w:left w:val="none" w:sz="0" w:space="0" w:color="auto"/>
        <w:bottom w:val="none" w:sz="0" w:space="0" w:color="auto"/>
        <w:right w:val="none" w:sz="0" w:space="0" w:color="auto"/>
      </w:divBdr>
    </w:div>
    <w:div w:id="1908687704">
      <w:bodyDiv w:val="1"/>
      <w:marLeft w:val="0"/>
      <w:marRight w:val="0"/>
      <w:marTop w:val="0"/>
      <w:marBottom w:val="0"/>
      <w:divBdr>
        <w:top w:val="none" w:sz="0" w:space="0" w:color="auto"/>
        <w:left w:val="none" w:sz="0" w:space="0" w:color="auto"/>
        <w:bottom w:val="none" w:sz="0" w:space="0" w:color="auto"/>
        <w:right w:val="none" w:sz="0" w:space="0" w:color="auto"/>
      </w:divBdr>
    </w:div>
    <w:div w:id="1959022968">
      <w:bodyDiv w:val="1"/>
      <w:marLeft w:val="0"/>
      <w:marRight w:val="0"/>
      <w:marTop w:val="0"/>
      <w:marBottom w:val="0"/>
      <w:divBdr>
        <w:top w:val="none" w:sz="0" w:space="0" w:color="auto"/>
        <w:left w:val="none" w:sz="0" w:space="0" w:color="auto"/>
        <w:bottom w:val="none" w:sz="0" w:space="0" w:color="auto"/>
        <w:right w:val="none" w:sz="0" w:space="0" w:color="auto"/>
      </w:divBdr>
    </w:div>
    <w:div w:id="1964000320">
      <w:bodyDiv w:val="1"/>
      <w:marLeft w:val="0"/>
      <w:marRight w:val="0"/>
      <w:marTop w:val="0"/>
      <w:marBottom w:val="0"/>
      <w:divBdr>
        <w:top w:val="none" w:sz="0" w:space="0" w:color="auto"/>
        <w:left w:val="none" w:sz="0" w:space="0" w:color="auto"/>
        <w:bottom w:val="none" w:sz="0" w:space="0" w:color="auto"/>
        <w:right w:val="none" w:sz="0" w:space="0" w:color="auto"/>
      </w:divBdr>
    </w:div>
    <w:div w:id="2086996534">
      <w:bodyDiv w:val="1"/>
      <w:marLeft w:val="0"/>
      <w:marRight w:val="0"/>
      <w:marTop w:val="0"/>
      <w:marBottom w:val="0"/>
      <w:divBdr>
        <w:top w:val="none" w:sz="0" w:space="0" w:color="auto"/>
        <w:left w:val="none" w:sz="0" w:space="0" w:color="auto"/>
        <w:bottom w:val="none" w:sz="0" w:space="0" w:color="auto"/>
        <w:right w:val="none" w:sz="0" w:space="0" w:color="auto"/>
      </w:divBdr>
    </w:div>
    <w:div w:id="21214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0.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9.xml"/><Relationship Id="rId25" Type="http://schemas.openxmlformats.org/officeDocument/2006/relationships/chart" Target="charts/chart17.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6.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5.xml"/><Relationship Id="rId10" Type="http://schemas.openxmlformats.org/officeDocument/2006/relationships/chart" Target="charts/chart3.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4.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Office_Excel_Worksheet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Office_Excel_Worksheet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Microsoft_Office_Excel_Worksheet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Office_Excel_Worksheet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Office_Excel_Worksheet14.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Office_Excel_Worksheet15.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package" Target="../embeddings/Microsoft_Office_Excel_Worksheet16.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Office_Excel_Worksheet17.xlsx"/><Relationship Id="rId1" Type="http://schemas.openxmlformats.org/officeDocument/2006/relationships/themeOverride" Target="../theme/themeOverride17.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Office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Office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Office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Microsoft_Office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Office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Office_Excel_Worksheet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ru-RU" sz="1400" b="0" i="0" u="none" strike="noStrike" kern="1200" spc="0" baseline="0">
                <a:solidFill>
                  <a:schemeClr val="tx1">
                    <a:lumMod val="65000"/>
                    <a:lumOff val="35000"/>
                  </a:schemeClr>
                </a:solidFill>
                <a:latin typeface="+mn-lt"/>
                <a:ea typeface="+mn-ea"/>
                <a:cs typeface="+mn-cs"/>
              </a:defRPr>
            </a:pPr>
            <a:r>
              <a:rPr lang="x-none" sz="1200" b="1">
                <a:solidFill>
                  <a:schemeClr val="tx1"/>
                </a:solidFill>
                <a:latin typeface="Times New Roman" panose="02020603050405020304" pitchFamily="18" charset="0"/>
                <a:cs typeface="Times New Roman" panose="02020603050405020304" pitchFamily="18" charset="0"/>
              </a:rPr>
              <a:t>Implementarea</a:t>
            </a:r>
            <a:r>
              <a:rPr lang="x-none" sz="1200" b="1" baseline="0">
                <a:solidFill>
                  <a:schemeClr val="tx1"/>
                </a:solidFill>
                <a:latin typeface="Times New Roman" panose="02020603050405020304" pitchFamily="18" charset="0"/>
                <a:cs typeface="Times New Roman" panose="02020603050405020304" pitchFamily="18" charset="0"/>
              </a:rPr>
              <a:t> subactivităților din Planurile de activitate ale SFS pentru anii 2015-2017</a:t>
            </a:r>
            <a:endParaRPr lang="en-US" sz="1200" b="1">
              <a:solidFill>
                <a:schemeClr val="tx1"/>
              </a:solidFill>
              <a:latin typeface="Times New Roman" panose="02020603050405020304" pitchFamily="18" charset="0"/>
              <a:cs typeface="Times New Roman" panose="02020603050405020304" pitchFamily="18" charset="0"/>
            </a:endParaRPr>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bar"/>
        <c:grouping val="clustered"/>
        <c:ser>
          <c:idx val="0"/>
          <c:order val="0"/>
          <c:tx>
            <c:strRef>
              <c:f>Sheet1!$B$1</c:f>
              <c:strCache>
                <c:ptCount val="1"/>
                <c:pt idx="0">
                  <c:v>Numărul total al subactivităților</c:v>
                </c:pt>
              </c:strCache>
            </c:strRef>
          </c:tx>
          <c:spPr>
            <a:solidFill>
              <a:schemeClr val="accent6"/>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lang="ru-RU"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Anul 2015</c:v>
                </c:pt>
                <c:pt idx="1">
                  <c:v>Anul 2016</c:v>
                </c:pt>
                <c:pt idx="2">
                  <c:v>Anul 2017</c:v>
                </c:pt>
              </c:strCache>
            </c:strRef>
          </c:cat>
          <c:val>
            <c:numRef>
              <c:f>Sheet1!$B$2:$B$4</c:f>
              <c:numCache>
                <c:formatCode>General</c:formatCode>
                <c:ptCount val="3"/>
                <c:pt idx="0">
                  <c:v>130</c:v>
                </c:pt>
                <c:pt idx="1">
                  <c:v>46</c:v>
                </c:pt>
                <c:pt idx="2">
                  <c:v>73</c:v>
                </c:pt>
              </c:numCache>
            </c:numRef>
          </c:val>
          <c:extLst xmlns:c16r2="http://schemas.microsoft.com/office/drawing/2015/06/chart">
            <c:ext xmlns:c16="http://schemas.microsoft.com/office/drawing/2014/chart" uri="{C3380CC4-5D6E-409C-BE32-E72D297353CC}">
              <c16:uniqueId val="{00000003-4625-46D0-8BC1-E5F29935B494}"/>
            </c:ext>
          </c:extLst>
        </c:ser>
        <c:ser>
          <c:idx val="1"/>
          <c:order val="1"/>
          <c:tx>
            <c:strRef>
              <c:f>Sheet1!$C$1</c:f>
              <c:strCache>
                <c:ptCount val="1"/>
                <c:pt idx="0">
                  <c:v>Numărul subactivităților realizate</c:v>
                </c:pt>
              </c:strCache>
            </c:strRef>
          </c:tx>
          <c:spPr>
            <a:solidFill>
              <a:schemeClr val="accent5"/>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lang="ru-RU"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Anul 2015</c:v>
                </c:pt>
                <c:pt idx="1">
                  <c:v>Anul 2016</c:v>
                </c:pt>
                <c:pt idx="2">
                  <c:v>Anul 2017</c:v>
                </c:pt>
              </c:strCache>
            </c:strRef>
          </c:cat>
          <c:val>
            <c:numRef>
              <c:f>Sheet1!$C$2:$C$4</c:f>
              <c:numCache>
                <c:formatCode>General</c:formatCode>
                <c:ptCount val="3"/>
                <c:pt idx="0">
                  <c:v>98</c:v>
                </c:pt>
                <c:pt idx="1">
                  <c:v>39</c:v>
                </c:pt>
                <c:pt idx="2">
                  <c:v>64</c:v>
                </c:pt>
              </c:numCache>
            </c:numRef>
          </c:val>
          <c:extLst xmlns:c16r2="http://schemas.microsoft.com/office/drawing/2015/06/chart">
            <c:ext xmlns:c16="http://schemas.microsoft.com/office/drawing/2014/chart" uri="{C3380CC4-5D6E-409C-BE32-E72D297353CC}">
              <c16:uniqueId val="{00000004-4625-46D0-8BC1-E5F29935B494}"/>
            </c:ext>
          </c:extLst>
        </c:ser>
        <c:ser>
          <c:idx val="2"/>
          <c:order val="2"/>
          <c:tx>
            <c:strRef>
              <c:f>Sheet1!$D$1</c:f>
              <c:strCache>
                <c:ptCount val="1"/>
                <c:pt idx="0">
                  <c:v>Numărul subactivităților parțial realizate</c:v>
                </c:pt>
              </c:strCache>
            </c:strRef>
          </c:tx>
          <c:spPr>
            <a:solidFill>
              <a:schemeClr val="accent4"/>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lang="ru-RU"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Anul 2015</c:v>
                </c:pt>
                <c:pt idx="1">
                  <c:v>Anul 2016</c:v>
                </c:pt>
                <c:pt idx="2">
                  <c:v>Anul 2017</c:v>
                </c:pt>
              </c:strCache>
            </c:strRef>
          </c:cat>
          <c:val>
            <c:numRef>
              <c:f>Sheet1!$D$2:$D$4</c:f>
              <c:numCache>
                <c:formatCode>General</c:formatCode>
                <c:ptCount val="3"/>
                <c:pt idx="0">
                  <c:v>29</c:v>
                </c:pt>
                <c:pt idx="1">
                  <c:v>4</c:v>
                </c:pt>
                <c:pt idx="2">
                  <c:v>8</c:v>
                </c:pt>
              </c:numCache>
            </c:numRef>
          </c:val>
          <c:extLst xmlns:c16r2="http://schemas.microsoft.com/office/drawing/2015/06/chart">
            <c:ext xmlns:c16="http://schemas.microsoft.com/office/drawing/2014/chart" uri="{C3380CC4-5D6E-409C-BE32-E72D297353CC}">
              <c16:uniqueId val="{00000005-4625-46D0-8BC1-E5F29935B494}"/>
            </c:ext>
          </c:extLst>
        </c:ser>
        <c:ser>
          <c:idx val="3"/>
          <c:order val="3"/>
          <c:tx>
            <c:strRef>
              <c:f>Sheet1!$E$1</c:f>
              <c:strCache>
                <c:ptCount val="1"/>
                <c:pt idx="0">
                  <c:v>Numărul subactivităților nerealizate</c:v>
                </c:pt>
              </c:strCache>
            </c:strRef>
          </c:tx>
          <c:spPr>
            <a:solidFill>
              <a:srgbClr val="FF0000"/>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lang="ru-RU"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Anul 2015</c:v>
                </c:pt>
                <c:pt idx="1">
                  <c:v>Anul 2016</c:v>
                </c:pt>
                <c:pt idx="2">
                  <c:v>Anul 2017</c:v>
                </c:pt>
              </c:strCache>
            </c:strRef>
          </c:cat>
          <c:val>
            <c:numRef>
              <c:f>Sheet1!$E$2:$E$4</c:f>
              <c:numCache>
                <c:formatCode>General</c:formatCode>
                <c:ptCount val="3"/>
                <c:pt idx="0">
                  <c:v>3</c:v>
                </c:pt>
                <c:pt idx="1">
                  <c:v>3</c:v>
                </c:pt>
                <c:pt idx="2">
                  <c:v>1</c:v>
                </c:pt>
              </c:numCache>
            </c:numRef>
          </c:val>
          <c:extLst xmlns:c16r2="http://schemas.microsoft.com/office/drawing/2015/06/chart">
            <c:ext xmlns:c16="http://schemas.microsoft.com/office/drawing/2014/chart" uri="{C3380CC4-5D6E-409C-BE32-E72D297353CC}">
              <c16:uniqueId val="{00000006-4625-46D0-8BC1-E5F29935B494}"/>
            </c:ext>
          </c:extLst>
        </c:ser>
        <c:dLbls>
          <c:showVal val="1"/>
        </c:dLbls>
        <c:shape val="box"/>
        <c:axId val="210379904"/>
        <c:axId val="210381440"/>
        <c:axId val="0"/>
      </c:bar3DChart>
      <c:catAx>
        <c:axId val="210379904"/>
        <c:scaling>
          <c:orientation val="minMax"/>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lang="ru-RU"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10381440"/>
        <c:crosses val="autoZero"/>
        <c:auto val="1"/>
        <c:lblAlgn val="ctr"/>
        <c:lblOffset val="100"/>
      </c:catAx>
      <c:valAx>
        <c:axId val="210381440"/>
        <c:scaling>
          <c:orientation val="minMax"/>
        </c:scaling>
        <c:axPos val="b"/>
        <c:majorGridlines>
          <c:spPr>
            <a:ln w="9525" cap="flat" cmpd="sng" algn="ctr">
              <a:solidFill>
                <a:schemeClr val="bg2">
                  <a:lumMod val="7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en-US"/>
          </a:p>
        </c:txPr>
        <c:crossAx val="21037990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lang="ru-RU"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tx1">
          <a:lumMod val="15000"/>
          <a:lumOff val="85000"/>
        </a:schemeClr>
      </a:solidFill>
      <a:round/>
    </a:ln>
    <a:effectLst>
      <a:innerShdw blurRad="63500" dist="50800" dir="16200000">
        <a:prstClr val="black">
          <a:alpha val="50000"/>
        </a:prstClr>
      </a:innerShdw>
    </a:effectLst>
  </c:spPr>
  <c:txPr>
    <a:bodyPr/>
    <a:lstStyle/>
    <a:p>
      <a:pPr>
        <a:defRPr/>
      </a:pPr>
      <a:endParaRPr lang="en-US"/>
    </a:p>
  </c:txPr>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GB"/>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ru-RU" sz="1200" b="1" i="0" u="none" strike="noStrike" kern="1200" baseline="0">
                <a:solidFill>
                  <a:schemeClr val="tx2"/>
                </a:solidFill>
                <a:latin typeface="Times New Roman" panose="02020603050405020304" pitchFamily="18" charset="0"/>
                <a:ea typeface="+mn-ea"/>
                <a:cs typeface="Times New Roman" panose="02020603050405020304" pitchFamily="18" charset="0"/>
              </a:defRPr>
            </a:pPr>
            <a:r>
              <a:rPr lang="x-none" sz="1200" i="0">
                <a:solidFill>
                  <a:schemeClr val="tx1"/>
                </a:solidFill>
                <a:latin typeface="Times New Roman" panose="02020603050405020304" pitchFamily="18" charset="0"/>
                <a:cs typeface="Times New Roman" panose="02020603050405020304" pitchFamily="18" charset="0"/>
              </a:rPr>
              <a:t>Încasările la BS în</a:t>
            </a:r>
            <a:r>
              <a:rPr lang="x-none" sz="1200" i="0" baseline="0">
                <a:solidFill>
                  <a:schemeClr val="tx1"/>
                </a:solidFill>
                <a:latin typeface="Times New Roman" panose="02020603050405020304" pitchFamily="18" charset="0"/>
                <a:cs typeface="Times New Roman" panose="02020603050405020304" pitchFamily="18" charset="0"/>
              </a:rPr>
              <a:t> aspectul unor </a:t>
            </a:r>
            <a:r>
              <a:rPr lang="x-none" sz="1200" i="0">
                <a:solidFill>
                  <a:schemeClr val="tx1"/>
                </a:solidFill>
                <a:latin typeface="Times New Roman" panose="02020603050405020304" pitchFamily="18" charset="0"/>
                <a:cs typeface="Times New Roman" panose="02020603050405020304" pitchFamily="18" charset="0"/>
              </a:rPr>
              <a:t>tipuri de impozite administrate de </a:t>
            </a:r>
            <a:r>
              <a:rPr lang="ro-RO" sz="1200" i="0">
                <a:solidFill>
                  <a:schemeClr val="tx1"/>
                </a:solidFill>
                <a:latin typeface="Times New Roman" panose="02020603050405020304" pitchFamily="18" charset="0"/>
                <a:cs typeface="Times New Roman" panose="02020603050405020304" pitchFamily="18" charset="0"/>
              </a:rPr>
              <a:t>către </a:t>
            </a:r>
            <a:r>
              <a:rPr lang="x-none" sz="1200" i="0">
                <a:solidFill>
                  <a:schemeClr val="tx1"/>
                </a:solidFill>
                <a:latin typeface="Times New Roman" panose="02020603050405020304" pitchFamily="18" charset="0"/>
                <a:cs typeface="Times New Roman" panose="02020603050405020304" pitchFamily="18" charset="0"/>
              </a:rPr>
              <a:t>SFS pentru perioada anilor 2015-2017</a:t>
            </a:r>
            <a:endParaRPr lang="en-US" sz="1200" i="0">
              <a:solidFill>
                <a:schemeClr val="tx1"/>
              </a:solidFill>
              <a:latin typeface="Times New Roman" panose="02020603050405020304" pitchFamily="18" charset="0"/>
              <a:cs typeface="Times New Roman" panose="02020603050405020304" pitchFamily="18" charset="0"/>
            </a:endParaRPr>
          </a:p>
        </c:rich>
      </c:tx>
      <c:spPr>
        <a:noFill/>
        <a:ln>
          <a:noFill/>
        </a:ln>
        <a:effectLst/>
      </c:spPr>
    </c:title>
    <c:plotArea>
      <c:layout>
        <c:manualLayout>
          <c:layoutTarget val="inner"/>
          <c:xMode val="edge"/>
          <c:yMode val="edge"/>
          <c:x val="2.509124087591242E-2"/>
          <c:y val="0.19563492063492063"/>
          <c:w val="0.94981751824817562"/>
          <c:h val="0.57917885264342006"/>
        </c:manualLayout>
      </c:layout>
      <c:barChart>
        <c:barDir val="col"/>
        <c:grouping val="clustered"/>
        <c:ser>
          <c:idx val="0"/>
          <c:order val="0"/>
          <c:tx>
            <c:strRef>
              <c:f>Sheet1!$B$1</c:f>
              <c:strCache>
                <c:ptCount val="1"/>
                <c:pt idx="0">
                  <c:v>2015</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solidFill>
                <a:schemeClr val="accent1"/>
              </a:solidFill>
            </a:ln>
            <a:effectLst/>
          </c:spPr>
          <c:dLbls>
            <c:spPr>
              <a:noFill/>
              <a:ln>
                <a:noFill/>
              </a:ln>
              <a:effectLst/>
            </c:spPr>
            <c:txPr>
              <a:bodyPr rot="-5400000" spcFirstLastPara="1" vertOverflow="ellipsis" wrap="square" lIns="38100" tIns="19050" rIns="38100" bIns="19050" anchor="t" anchorCtr="0">
                <a:spAutoFit/>
              </a:bodyPr>
              <a:lstStyle/>
              <a:p>
                <a:pPr>
                  <a:defRPr lang="ru-RU" sz="800" b="0" i="1"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Sheet1!$A$2:$A$7</c:f>
              <c:strCache>
                <c:ptCount val="6"/>
                <c:pt idx="0">
                  <c:v>Impozite pe venit (Total)</c:v>
                </c:pt>
                <c:pt idx="1">
                  <c:v>TVA</c:v>
                </c:pt>
                <c:pt idx="2">
                  <c:v>Accize</c:v>
                </c:pt>
                <c:pt idx="3">
                  <c:v>Taxe pentru folosirea drumurior</c:v>
                </c:pt>
                <c:pt idx="4">
                  <c:v>Amenzi și sancțiuni</c:v>
                </c:pt>
                <c:pt idx="5">
                  <c:v>Alte impozite și taxe</c:v>
                </c:pt>
              </c:strCache>
            </c:strRef>
          </c:cat>
          <c:val>
            <c:numRef>
              <c:f>Sheet1!$B$2:$B$7</c:f>
              <c:numCache>
                <c:formatCode>0</c:formatCode>
                <c:ptCount val="6"/>
                <c:pt idx="0">
                  <c:v>3983</c:v>
                </c:pt>
                <c:pt idx="1">
                  <c:v>4788</c:v>
                </c:pt>
                <c:pt idx="2">
                  <c:v>581</c:v>
                </c:pt>
                <c:pt idx="3">
                  <c:v>305</c:v>
                </c:pt>
                <c:pt idx="4">
                  <c:v>180</c:v>
                </c:pt>
                <c:pt idx="5">
                  <c:v>705</c:v>
                </c:pt>
              </c:numCache>
            </c:numRef>
          </c:val>
          <c:extLst xmlns:c16r2="http://schemas.microsoft.com/office/drawing/2015/06/chart">
            <c:ext xmlns:c16="http://schemas.microsoft.com/office/drawing/2014/chart" uri="{C3380CC4-5D6E-409C-BE32-E72D297353CC}">
              <c16:uniqueId val="{00000000-692C-4A33-B267-8254D46356CC}"/>
            </c:ext>
          </c:extLst>
        </c:ser>
        <c:ser>
          <c:idx val="1"/>
          <c:order val="1"/>
          <c:tx>
            <c:strRef>
              <c:f>Sheet1!$C$1</c:f>
              <c:strCache>
                <c:ptCount val="1"/>
                <c:pt idx="0">
                  <c:v>2016</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solidFill>
                <a:schemeClr val="accent1"/>
              </a:solidFill>
            </a:ln>
            <a:effectLst/>
          </c:spPr>
          <c:dLbls>
            <c:spPr>
              <a:noFill/>
              <a:ln>
                <a:noFill/>
              </a:ln>
              <a:effectLst/>
            </c:spPr>
            <c:txPr>
              <a:bodyPr rot="-5400000" spcFirstLastPara="1" vertOverflow="ellipsis" wrap="square" lIns="38100" tIns="19050" rIns="38100" bIns="19050" anchor="ctr" anchorCtr="1">
                <a:spAutoFit/>
              </a:bodyPr>
              <a:lstStyle/>
              <a:p>
                <a:pPr>
                  <a:defRPr lang="ru-RU" sz="800" b="0" i="1"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Sheet1!$A$2:$A$7</c:f>
              <c:strCache>
                <c:ptCount val="6"/>
                <c:pt idx="0">
                  <c:v>Impozite pe venit (Total)</c:v>
                </c:pt>
                <c:pt idx="1">
                  <c:v>TVA</c:v>
                </c:pt>
                <c:pt idx="2">
                  <c:v>Accize</c:v>
                </c:pt>
                <c:pt idx="3">
                  <c:v>Taxe pentru folosirea drumurior</c:v>
                </c:pt>
                <c:pt idx="4">
                  <c:v>Amenzi și sancțiuni</c:v>
                </c:pt>
                <c:pt idx="5">
                  <c:v>Alte impozite și taxe</c:v>
                </c:pt>
              </c:strCache>
            </c:strRef>
          </c:cat>
          <c:val>
            <c:numRef>
              <c:f>Sheet1!$C$2:$C$7</c:f>
              <c:numCache>
                <c:formatCode>0</c:formatCode>
                <c:ptCount val="6"/>
                <c:pt idx="0">
                  <c:v>4708.7</c:v>
                </c:pt>
                <c:pt idx="1">
                  <c:v>5315</c:v>
                </c:pt>
                <c:pt idx="2">
                  <c:v>531</c:v>
                </c:pt>
                <c:pt idx="3">
                  <c:v>338</c:v>
                </c:pt>
                <c:pt idx="4">
                  <c:v>155</c:v>
                </c:pt>
                <c:pt idx="5">
                  <c:v>500</c:v>
                </c:pt>
              </c:numCache>
            </c:numRef>
          </c:val>
          <c:extLst xmlns:c16r2="http://schemas.microsoft.com/office/drawing/2015/06/chart">
            <c:ext xmlns:c16="http://schemas.microsoft.com/office/drawing/2014/chart" uri="{C3380CC4-5D6E-409C-BE32-E72D297353CC}">
              <c16:uniqueId val="{00000001-692C-4A33-B267-8254D46356CC}"/>
            </c:ext>
          </c:extLst>
        </c:ser>
        <c:ser>
          <c:idx val="2"/>
          <c:order val="2"/>
          <c:tx>
            <c:strRef>
              <c:f>Sheet1!$D$1</c:f>
              <c:strCache>
                <c:ptCount val="1"/>
                <c:pt idx="0">
                  <c:v>2017</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solidFill>
                <a:schemeClr val="accent1"/>
              </a:solidFill>
            </a:ln>
            <a:effectLst/>
          </c:spPr>
          <c:dLbls>
            <c:spPr>
              <a:noFill/>
              <a:ln>
                <a:noFill/>
              </a:ln>
              <a:effectLst/>
            </c:spPr>
            <c:txPr>
              <a:bodyPr rot="-5400000" spcFirstLastPara="1" vertOverflow="ellipsis" wrap="square" lIns="38100" tIns="19050" rIns="38100" bIns="19050" anchor="ctr" anchorCtr="1">
                <a:spAutoFit/>
              </a:bodyPr>
              <a:lstStyle/>
              <a:p>
                <a:pPr>
                  <a:defRPr lang="en-US" sz="800" b="0" i="1"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Sheet1!$A$2:$A$7</c:f>
              <c:strCache>
                <c:ptCount val="6"/>
                <c:pt idx="0">
                  <c:v>Impozite pe venit (Total)</c:v>
                </c:pt>
                <c:pt idx="1">
                  <c:v>TVA</c:v>
                </c:pt>
                <c:pt idx="2">
                  <c:v>Accize</c:v>
                </c:pt>
                <c:pt idx="3">
                  <c:v>Taxe pentru folosirea drumurior</c:v>
                </c:pt>
                <c:pt idx="4">
                  <c:v>Amenzi și sancțiuni</c:v>
                </c:pt>
                <c:pt idx="5">
                  <c:v>Alte impozite și taxe</c:v>
                </c:pt>
              </c:strCache>
            </c:strRef>
          </c:cat>
          <c:val>
            <c:numRef>
              <c:f>Sheet1!$D$2:$D$7</c:f>
              <c:numCache>
                <c:formatCode>0</c:formatCode>
                <c:ptCount val="6"/>
                <c:pt idx="0">
                  <c:v>5588.4</c:v>
                </c:pt>
                <c:pt idx="1">
                  <c:v>6205</c:v>
                </c:pt>
                <c:pt idx="2">
                  <c:v>574</c:v>
                </c:pt>
                <c:pt idx="3">
                  <c:v>835</c:v>
                </c:pt>
                <c:pt idx="4">
                  <c:v>325</c:v>
                </c:pt>
                <c:pt idx="5">
                  <c:v>788</c:v>
                </c:pt>
              </c:numCache>
            </c:numRef>
          </c:val>
          <c:extLst xmlns:c16r2="http://schemas.microsoft.com/office/drawing/2015/06/chart">
            <c:ext xmlns:c16="http://schemas.microsoft.com/office/drawing/2014/chart" uri="{C3380CC4-5D6E-409C-BE32-E72D297353CC}">
              <c16:uniqueId val="{00000002-692C-4A33-B267-8254D46356CC}"/>
            </c:ext>
          </c:extLst>
        </c:ser>
        <c:dLbls>
          <c:showVal val="1"/>
        </c:dLbls>
        <c:gapWidth val="181"/>
        <c:overlap val="-8"/>
        <c:axId val="158749824"/>
        <c:axId val="158751744"/>
      </c:barChart>
      <c:dateAx>
        <c:axId val="158749824"/>
        <c:scaling>
          <c:orientation val="minMax"/>
        </c:scaling>
        <c:axPos val="b"/>
        <c:title>
          <c:tx>
            <c:rich>
              <a:bodyPr rot="0" spcFirstLastPara="1" vertOverflow="ellipsis" vert="horz" wrap="square" anchor="ctr" anchorCtr="1"/>
              <a:lstStyle/>
              <a:p>
                <a:pPr>
                  <a:defRPr lang="ru-RU" sz="900" b="1" i="0" u="none" strike="noStrike" kern="1200" baseline="0">
                    <a:solidFill>
                      <a:schemeClr val="tx2"/>
                    </a:solidFill>
                    <a:latin typeface="Times New Roman" panose="02020603050405020304" pitchFamily="18" charset="0"/>
                    <a:ea typeface="+mn-ea"/>
                    <a:cs typeface="Times New Roman" panose="02020603050405020304" pitchFamily="18" charset="0"/>
                  </a:defRPr>
                </a:pPr>
                <a:r>
                  <a:rPr lang="x-none" b="1">
                    <a:latin typeface="Times New Roman" panose="02020603050405020304" pitchFamily="18" charset="0"/>
                    <a:cs typeface="Times New Roman" panose="02020603050405020304" pitchFamily="18" charset="0"/>
                  </a:rPr>
                  <a:t>(mil.lei)</a:t>
                </a:r>
                <a:endParaRPr lang="en-US" b="1">
                  <a:latin typeface="Times New Roman" panose="02020603050405020304" pitchFamily="18" charset="0"/>
                  <a:cs typeface="Times New Roman" panose="02020603050405020304" pitchFamily="18" charset="0"/>
                </a:endParaRPr>
              </a:p>
            </c:rich>
          </c:tx>
          <c:layout>
            <c:manualLayout>
              <c:xMode val="edge"/>
              <c:yMode val="edge"/>
              <c:x val="0.59267791970802908"/>
              <c:y val="0.92367579052618465"/>
            </c:manualLayout>
          </c:layout>
          <c:spPr>
            <a:noFill/>
            <a:ln>
              <a:noFill/>
            </a:ln>
            <a:effectLst/>
          </c:spPr>
        </c:title>
        <c:numFmt formatCode="General" sourceLinked="1"/>
        <c:maj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lang="ru-RU" sz="8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crossAx val="158751744"/>
        <c:crosses val="autoZero"/>
        <c:lblOffset val="100"/>
        <c:baseTimeUnit val="days"/>
      </c:dateAx>
      <c:valAx>
        <c:axId val="158751744"/>
        <c:scaling>
          <c:orientation val="minMax"/>
        </c:scaling>
        <c:delete val="1"/>
        <c:axPos val="l"/>
        <c:numFmt formatCode="0" sourceLinked="1"/>
        <c:majorTickMark val="none"/>
        <c:tickLblPos val="nextTo"/>
        <c:crossAx val="158749824"/>
        <c:crosses val="autoZero"/>
        <c:crossBetween val="between"/>
      </c:valAx>
      <c:spPr>
        <a:noFill/>
        <a:ln>
          <a:noFill/>
        </a:ln>
        <a:effectLst/>
      </c:spPr>
    </c:plotArea>
    <c:legend>
      <c:legendPos val="b"/>
      <c:layout>
        <c:manualLayout>
          <c:xMode val="edge"/>
          <c:yMode val="edge"/>
          <c:x val="0.36874245646301501"/>
          <c:y val="0.92116922884639418"/>
          <c:w val="0.22145669291338582"/>
          <c:h val="7.8830642914611671E-2"/>
        </c:manualLayout>
      </c:layout>
      <c:spPr>
        <a:noFill/>
        <a:ln>
          <a:noFill/>
        </a:ln>
        <a:effectLst/>
      </c:spPr>
      <c:txPr>
        <a:bodyPr rot="0" spcFirstLastPara="1" vertOverflow="ellipsis" vert="horz" wrap="square" anchor="ctr" anchorCtr="1"/>
        <a:lstStyle/>
        <a:p>
          <a:pPr>
            <a:defRPr lang="ru-RU" sz="9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legend>
    <c:plotVisOnly val="1"/>
    <c:dispBlanksAs val="gap"/>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GB"/>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ru-RU" sz="1200" b="1" i="0" u="none" strike="noStrike" kern="1200" cap="none" spc="50" normalizeH="0" baseline="0">
                <a:solidFill>
                  <a:schemeClr val="tx1"/>
                </a:solidFill>
                <a:latin typeface="Times New Roman" panose="02020603050405020304" pitchFamily="18" charset="0"/>
                <a:ea typeface="+mj-ea"/>
                <a:cs typeface="Times New Roman" panose="02020603050405020304" pitchFamily="18" charset="0"/>
              </a:defRPr>
            </a:pPr>
            <a:r>
              <a:rPr lang="x-none" sz="1200" b="1">
                <a:solidFill>
                  <a:schemeClr val="tx1"/>
                </a:solidFill>
                <a:latin typeface="Times New Roman" panose="02020603050405020304" pitchFamily="18" charset="0"/>
                <a:cs typeface="Times New Roman" panose="02020603050405020304" pitchFamily="18" charset="0"/>
              </a:rPr>
              <a:t>Ponderea veniturilor administrate de către SV în PIB </a:t>
            </a:r>
          </a:p>
          <a:p>
            <a:pPr>
              <a:defRPr lang="ru-RU" sz="1200" b="1" i="0" u="none" strike="noStrike" kern="1200" cap="none" spc="50" normalizeH="0" baseline="0">
                <a:solidFill>
                  <a:schemeClr val="tx1"/>
                </a:solidFill>
                <a:latin typeface="Times New Roman" panose="02020603050405020304" pitchFamily="18" charset="0"/>
                <a:ea typeface="+mj-ea"/>
                <a:cs typeface="Times New Roman" panose="02020603050405020304" pitchFamily="18" charset="0"/>
              </a:defRPr>
            </a:pPr>
            <a:r>
              <a:rPr lang="x-none" sz="1200" b="1">
                <a:solidFill>
                  <a:schemeClr val="tx1"/>
                </a:solidFill>
                <a:latin typeface="Times New Roman" panose="02020603050405020304" pitchFamily="18" charset="0"/>
                <a:cs typeface="Times New Roman" panose="02020603050405020304" pitchFamily="18" charset="0"/>
              </a:rPr>
              <a:t>p</a:t>
            </a:r>
            <a:r>
              <a:rPr lang="x-none" sz="1200" b="1" baseline="0">
                <a:solidFill>
                  <a:schemeClr val="tx1"/>
                </a:solidFill>
                <a:latin typeface="Times New Roman" panose="02020603050405020304" pitchFamily="18" charset="0"/>
                <a:cs typeface="Times New Roman" panose="02020603050405020304" pitchFamily="18" charset="0"/>
              </a:rPr>
              <a:t>entru perioada anilor 2015-2017</a:t>
            </a:r>
            <a:endParaRPr lang="en-US" sz="1200" b="1">
              <a:solidFill>
                <a:schemeClr val="tx1"/>
              </a:solidFill>
              <a:latin typeface="Times New Roman" panose="02020603050405020304" pitchFamily="18" charset="0"/>
              <a:cs typeface="Times New Roman" panose="02020603050405020304" pitchFamily="18" charset="0"/>
            </a:endParaRPr>
          </a:p>
        </c:rich>
      </c:tx>
      <c:spPr>
        <a:noFill/>
        <a:ln>
          <a:noFill/>
        </a:ln>
        <a:effectLst/>
      </c:spPr>
    </c:title>
    <c:plotArea>
      <c:layout>
        <c:manualLayout>
          <c:layoutTarget val="inner"/>
          <c:xMode val="edge"/>
          <c:yMode val="edge"/>
          <c:x val="3.3707865168539339E-2"/>
          <c:y val="0.17108808207484708"/>
          <c:w val="0.93133583021223487"/>
          <c:h val="0.62891191792515322"/>
        </c:manualLayout>
      </c:layout>
      <c:barChart>
        <c:barDir val="col"/>
        <c:grouping val="clustered"/>
        <c:ser>
          <c:idx val="0"/>
          <c:order val="0"/>
          <c:tx>
            <c:strRef>
              <c:f>Лист1!$B$1</c:f>
              <c:strCache>
                <c:ptCount val="1"/>
                <c:pt idx="0">
                  <c:v>PIB</c:v>
                </c:pt>
              </c:strCache>
            </c:strRef>
          </c:tx>
          <c:spPr>
            <a:solidFill>
              <a:srgbClr val="5B9BD5">
                <a:lumMod val="75000"/>
              </a:srgb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ru-RU" sz="12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dLblPos val="inEnd"/>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Anul 2015</c:v>
                </c:pt>
                <c:pt idx="1">
                  <c:v>Anul 2016</c:v>
                </c:pt>
                <c:pt idx="2">
                  <c:v>Anul 2017</c:v>
                </c:pt>
              </c:strCache>
            </c:strRef>
          </c:cat>
          <c:val>
            <c:numRef>
              <c:f>Лист1!$B$2:$B$4</c:f>
              <c:numCache>
                <c:formatCode>General</c:formatCode>
                <c:ptCount val="3"/>
                <c:pt idx="0">
                  <c:v>122.6</c:v>
                </c:pt>
                <c:pt idx="1">
                  <c:v>135.4</c:v>
                </c:pt>
                <c:pt idx="2">
                  <c:v>150.4</c:v>
                </c:pt>
              </c:numCache>
            </c:numRef>
          </c:val>
          <c:extLst xmlns:c16r2="http://schemas.microsoft.com/office/drawing/2015/06/chart">
            <c:ext xmlns:c16="http://schemas.microsoft.com/office/drawing/2014/chart" uri="{C3380CC4-5D6E-409C-BE32-E72D297353CC}">
              <c16:uniqueId val="{00000000-B4E3-46B0-9D92-BBF2CBBDE6C3}"/>
            </c:ext>
          </c:extLst>
        </c:ser>
        <c:ser>
          <c:idx val="1"/>
          <c:order val="1"/>
          <c:tx>
            <c:strRef>
              <c:f>Лист1!$C$1</c:f>
              <c:strCache>
                <c:ptCount val="1"/>
                <c:pt idx="0">
                  <c:v>Încasările în BPN administrate de SV</c:v>
                </c:pt>
              </c:strCache>
            </c:strRef>
          </c:tx>
          <c:spPr>
            <a:solidFill>
              <a:srgbClr val="FFC000">
                <a:alpha val="70000"/>
              </a:srgbClr>
            </a:solidFill>
            <a:ln>
              <a:solidFill>
                <a:schemeClr val="accent1"/>
              </a:solidFill>
            </a:ln>
            <a:effectLst/>
          </c:spPr>
          <c:dLbls>
            <c:spPr>
              <a:noFill/>
              <a:ln>
                <a:noFill/>
              </a:ln>
              <a:effectLst/>
            </c:spPr>
            <c:txPr>
              <a:bodyPr rot="0" spcFirstLastPara="1" vertOverflow="ellipsis" vert="horz" wrap="square" lIns="38100" tIns="19050" rIns="38100" bIns="19050" anchor="ctr" anchorCtr="1">
                <a:spAutoFit/>
              </a:bodyPr>
              <a:lstStyle/>
              <a:p>
                <a:pPr>
                  <a:defRPr lang="ru-RU"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ct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Anul 2015</c:v>
                </c:pt>
                <c:pt idx="1">
                  <c:v>Anul 2016</c:v>
                </c:pt>
                <c:pt idx="2">
                  <c:v>Anul 2017</c:v>
                </c:pt>
              </c:strCache>
            </c:strRef>
          </c:cat>
          <c:val>
            <c:numRef>
              <c:f>Лист1!$C$2:$C$4</c:f>
              <c:numCache>
                <c:formatCode>0.0</c:formatCode>
                <c:ptCount val="3"/>
                <c:pt idx="0">
                  <c:v>15.8</c:v>
                </c:pt>
                <c:pt idx="1">
                  <c:v>17.399999999999999</c:v>
                </c:pt>
                <c:pt idx="2">
                  <c:v>20.399999999999999</c:v>
                </c:pt>
              </c:numCache>
            </c:numRef>
          </c:val>
          <c:extLst xmlns:c16r2="http://schemas.microsoft.com/office/drawing/2015/06/chart">
            <c:ext xmlns:c16="http://schemas.microsoft.com/office/drawing/2014/chart" uri="{C3380CC4-5D6E-409C-BE32-E72D297353CC}">
              <c16:uniqueId val="{00000001-B4E3-46B0-9D92-BBF2CBBDE6C3}"/>
            </c:ext>
          </c:extLst>
        </c:ser>
        <c:ser>
          <c:idx val="2"/>
          <c:order val="2"/>
          <c:tx>
            <c:strRef>
              <c:f>Лист1!$D$1</c:f>
              <c:strCache>
                <c:ptCount val="1"/>
                <c:pt idx="0">
                  <c:v>Ponderea în PIB %</c:v>
                </c:pt>
              </c:strCache>
            </c:strRef>
          </c:tx>
          <c:spPr>
            <a:solidFill>
              <a:schemeClr val="accent3">
                <a:alpha val="70000"/>
              </a:schemeClr>
            </a:solidFill>
            <a:ln>
              <a:noFill/>
            </a:ln>
            <a:effectLst/>
          </c:spPr>
          <c:dLbls>
            <c:dLbl>
              <c:idx val="0"/>
              <c:layout>
                <c:manualLayout>
                  <c:x val="2.7117229870671684E-2"/>
                  <c:y val="0"/>
                </c:manualLayout>
              </c:layout>
              <c:showVal val="1"/>
              <c:extLst xmlns:c16r2="http://schemas.microsoft.com/office/drawing/2015/06/chart">
                <c:ext xmlns:c16="http://schemas.microsoft.com/office/drawing/2014/chart" uri="{C3380CC4-5D6E-409C-BE32-E72D297353CC}">
                  <c16:uniqueId val="{00000002-B4E3-46B0-9D92-BBF2CBBDE6C3}"/>
                </c:ext>
                <c:ext xmlns:c15="http://schemas.microsoft.com/office/drawing/2012/chart" uri="{CE6537A1-D6FC-4f65-9D91-7224C49458BB}"/>
              </c:extLst>
            </c:dLbl>
            <c:dLbl>
              <c:idx val="1"/>
              <c:layout>
                <c:manualLayout>
                  <c:x val="3.1289111389236561E-2"/>
                  <c:y val="0"/>
                </c:manualLayout>
              </c:layout>
              <c:showVal val="1"/>
              <c:extLst xmlns:c16r2="http://schemas.microsoft.com/office/drawing/2015/06/chart">
                <c:ext xmlns:c16="http://schemas.microsoft.com/office/drawing/2014/chart" uri="{C3380CC4-5D6E-409C-BE32-E72D297353CC}">
                  <c16:uniqueId val="{00000003-B4E3-46B0-9D92-BBF2CBBDE6C3}"/>
                </c:ext>
                <c:ext xmlns:c15="http://schemas.microsoft.com/office/drawing/2012/chart" uri="{CE6537A1-D6FC-4f65-9D91-7224C49458BB}"/>
              </c:extLst>
            </c:dLbl>
            <c:dLbl>
              <c:idx val="2"/>
              <c:layout>
                <c:manualLayout>
                  <c:x val="2.7117229870671535E-2"/>
                  <c:y val="-4.0526849037487338E-3"/>
                </c:manualLayout>
              </c:layout>
              <c:showVal val="1"/>
              <c:extLst xmlns:c16r2="http://schemas.microsoft.com/office/drawing/2015/06/chart">
                <c:ext xmlns:c16="http://schemas.microsoft.com/office/drawing/2014/chart" uri="{C3380CC4-5D6E-409C-BE32-E72D297353CC}">
                  <c16:uniqueId val="{00000004-B4E3-46B0-9D92-BBF2CBBDE6C3}"/>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ru-RU" sz="1200" b="1" i="1"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Лист1!$A$2:$A$4</c:f>
              <c:strCache>
                <c:ptCount val="3"/>
                <c:pt idx="0">
                  <c:v>Anul 2015</c:v>
                </c:pt>
                <c:pt idx="1">
                  <c:v>Anul 2016</c:v>
                </c:pt>
                <c:pt idx="2">
                  <c:v>Anul 2017</c:v>
                </c:pt>
              </c:strCache>
            </c:strRef>
          </c:cat>
          <c:val>
            <c:numRef>
              <c:f>Лист1!$D$2:$D$4</c:f>
              <c:numCache>
                <c:formatCode>0.0%</c:formatCode>
                <c:ptCount val="3"/>
                <c:pt idx="0">
                  <c:v>0.128</c:v>
                </c:pt>
                <c:pt idx="1">
                  <c:v>0.129</c:v>
                </c:pt>
                <c:pt idx="2">
                  <c:v>0.13700000000000001</c:v>
                </c:pt>
              </c:numCache>
            </c:numRef>
          </c:val>
          <c:extLst xmlns:c16r2="http://schemas.microsoft.com/office/drawing/2015/06/chart">
            <c:ext xmlns:c16="http://schemas.microsoft.com/office/drawing/2014/chart" uri="{C3380CC4-5D6E-409C-BE32-E72D297353CC}">
              <c16:uniqueId val="{00000005-B4E3-46B0-9D92-BBF2CBBDE6C3}"/>
            </c:ext>
          </c:extLst>
        </c:ser>
        <c:dLbls>
          <c:showVal val="1"/>
        </c:dLbls>
        <c:gapWidth val="80"/>
        <c:overlap val="25"/>
        <c:axId val="159017600"/>
        <c:axId val="159039872"/>
      </c:barChart>
      <c:catAx>
        <c:axId val="159017600"/>
        <c:scaling>
          <c:orientation val="minMax"/>
        </c:scaling>
        <c:axPos val="b"/>
        <c:numFmt formatCode="General" sourceLinked="1"/>
        <c:maj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lang="ru-RU" sz="900" b="1" i="0" u="none" strike="noStrike" kern="1200" cap="none" spc="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59039872"/>
        <c:crosses val="autoZero"/>
        <c:auto val="1"/>
        <c:lblAlgn val="ctr"/>
        <c:lblOffset val="100"/>
      </c:catAx>
      <c:valAx>
        <c:axId val="159039872"/>
        <c:scaling>
          <c:orientation val="minMax"/>
        </c:scaling>
        <c:axPos val="l"/>
        <c:majorGridlines>
          <c:spPr>
            <a:ln w="9525" cap="flat" cmpd="sng" algn="ctr">
              <a:solidFill>
                <a:schemeClr val="tx1">
                  <a:lumMod val="5000"/>
                  <a:lumOff val="9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ru-RU" sz="900" b="0" i="0" u="none" strike="noStrike" kern="1200" spc="20" baseline="0">
                <a:solidFill>
                  <a:schemeClr val="tx1">
                    <a:lumMod val="65000"/>
                    <a:lumOff val="35000"/>
                  </a:schemeClr>
                </a:solidFill>
                <a:latin typeface="+mn-lt"/>
                <a:ea typeface="+mn-ea"/>
                <a:cs typeface="+mn-cs"/>
              </a:defRPr>
            </a:pPr>
            <a:endParaRPr lang="en-US"/>
          </a:p>
        </c:txPr>
        <c:crossAx val="159017600"/>
        <c:crosses val="autoZero"/>
        <c:crossBetween val="between"/>
      </c:valAx>
      <c:spPr>
        <a:solidFill>
          <a:schemeClr val="accent1">
            <a:lumMod val="40000"/>
            <a:lumOff val="60000"/>
          </a:schemeClr>
        </a:solidFill>
        <a:ln>
          <a:noFill/>
        </a:ln>
        <a:effectLst/>
      </c:spPr>
    </c:plotArea>
    <c:legend>
      <c:legendPos val="b"/>
      <c:spPr>
        <a:noFill/>
        <a:ln>
          <a:noFill/>
        </a:ln>
        <a:effectLst/>
      </c:spPr>
      <c:txPr>
        <a:bodyPr rot="0" spcFirstLastPara="1" vertOverflow="ellipsis" vert="horz" wrap="square" anchor="ctr" anchorCtr="1"/>
        <a:lstStyle/>
        <a:p>
          <a:pPr>
            <a:defRPr lang="ru-RU"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GB"/>
  <c:clrMapOvr bg1="lt1" tx1="dk1" bg2="lt2" tx2="dk2" accent1="accent1" accent2="accent2" accent3="accent3" accent4="accent4" accent5="accent5" accent6="accent6" hlink="hlink" folHlink="folHlink"/>
  <c:chart>
    <c:title>
      <c:tx>
        <c:rich>
          <a:bodyPr/>
          <a:lstStyle/>
          <a:p>
            <a:pPr>
              <a:defRPr lang="ru-RU" sz="1400" b="1">
                <a:latin typeface="Times New Roman" panose="02020603050405020304" pitchFamily="18" charset="0"/>
                <a:cs typeface="Times New Roman" panose="02020603050405020304" pitchFamily="18" charset="0"/>
              </a:defRPr>
            </a:pPr>
            <a:r>
              <a:rPr lang="x-none" sz="1200" b="1">
                <a:latin typeface="Times New Roman" panose="02020603050405020304" pitchFamily="18" charset="0"/>
                <a:cs typeface="Times New Roman" panose="02020603050405020304" pitchFamily="18" charset="0"/>
              </a:rPr>
              <a:t>Evoluția încasărilor</a:t>
            </a:r>
            <a:r>
              <a:rPr lang="x-none" sz="1200" b="1" baseline="0">
                <a:latin typeface="Times New Roman" panose="02020603050405020304" pitchFamily="18" charset="0"/>
                <a:cs typeface="Times New Roman" panose="02020603050405020304" pitchFamily="18" charset="0"/>
              </a:rPr>
              <a:t> în BS</a:t>
            </a:r>
            <a:r>
              <a:rPr lang="x-none" sz="1200" b="1">
                <a:latin typeface="Times New Roman" panose="02020603050405020304" pitchFamily="18" charset="0"/>
                <a:cs typeface="Times New Roman" panose="02020603050405020304" pitchFamily="18" charset="0"/>
              </a:rPr>
              <a:t> pe principalele</a:t>
            </a:r>
            <a:r>
              <a:rPr lang="x-none" sz="1200" b="1" baseline="0">
                <a:latin typeface="Times New Roman" panose="02020603050405020304" pitchFamily="18" charset="0"/>
                <a:cs typeface="Times New Roman" panose="02020603050405020304" pitchFamily="18" charset="0"/>
              </a:rPr>
              <a:t> </a:t>
            </a:r>
            <a:r>
              <a:rPr lang="x-none" sz="1200" b="1">
                <a:latin typeface="Times New Roman" panose="02020603050405020304" pitchFamily="18" charset="0"/>
                <a:cs typeface="Times New Roman" panose="02020603050405020304" pitchFamily="18" charset="0"/>
              </a:rPr>
              <a:t>tipuri de venituri administrate de SV petru perioada </a:t>
            </a:r>
            <a:r>
              <a:rPr lang="ro-RO" sz="1200" b="1">
                <a:latin typeface="Times New Roman" panose="02020603050405020304" pitchFamily="18" charset="0"/>
                <a:cs typeface="Times New Roman" panose="02020603050405020304" pitchFamily="18" charset="0"/>
              </a:rPr>
              <a:t>anilor </a:t>
            </a:r>
            <a:r>
              <a:rPr lang="x-none" sz="1200" b="1">
                <a:latin typeface="Times New Roman" panose="02020603050405020304" pitchFamily="18" charset="0"/>
                <a:cs typeface="Times New Roman" panose="02020603050405020304" pitchFamily="18" charset="0"/>
              </a:rPr>
              <a:t>2015-2017</a:t>
            </a:r>
            <a:endParaRPr lang="en-US" sz="1200" b="1">
              <a:latin typeface="Times New Roman" panose="02020603050405020304" pitchFamily="18" charset="0"/>
              <a:cs typeface="Times New Roman" panose="02020603050405020304" pitchFamily="18" charset="0"/>
            </a:endParaRPr>
          </a:p>
        </c:rich>
      </c:tx>
    </c:title>
    <c:plotArea>
      <c:layout>
        <c:manualLayout>
          <c:layoutTarget val="inner"/>
          <c:xMode val="edge"/>
          <c:yMode val="edge"/>
          <c:x val="8.1532213604245479E-2"/>
          <c:y val="0.15674188114545395"/>
          <c:w val="0.87157607903178769"/>
          <c:h val="0.68777744347660175"/>
        </c:manualLayout>
      </c:layout>
      <c:barChart>
        <c:barDir val="col"/>
        <c:grouping val="clustered"/>
        <c:ser>
          <c:idx val="0"/>
          <c:order val="0"/>
          <c:tx>
            <c:strRef>
              <c:f>Sheet1!$B$1</c:f>
              <c:strCache>
                <c:ptCount val="1"/>
                <c:pt idx="0">
                  <c:v>TVA</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wrap="square" lIns="38100" tIns="19050" rIns="38100" bIns="19050" anchor="ctr">
                <a:spAutoFit/>
              </a:bodyPr>
              <a:lstStyle/>
              <a:p>
                <a:pPr>
                  <a:defRPr lang="ru-RU">
                    <a:latin typeface="Times New Roman" panose="02020603050405020304" pitchFamily="18" charset="0"/>
                    <a:cs typeface="Times New Roman" panose="02020603050405020304" pitchFamily="18" charset="0"/>
                  </a:defRPr>
                </a:pPr>
                <a:endParaRPr lang="en-US"/>
              </a:p>
            </c:txPr>
            <c:dLblPos val="outEnd"/>
            <c:showVal val="1"/>
            <c:extLst xmlns:c16r2="http://schemas.microsoft.com/office/drawing/2015/06/chart">
              <c:ext xmlns:c15="http://schemas.microsoft.com/office/drawing/2012/chart" uri="{CE6537A1-D6FC-4f65-9D91-7224C49458BB}">
                <c15:showLeaderLines val="1"/>
              </c:ext>
            </c:extLst>
          </c:dLbls>
          <c:cat>
            <c:numRef>
              <c:f>Sheet1!$A$2:$A$4</c:f>
              <c:numCache>
                <c:formatCode>General</c:formatCode>
                <c:ptCount val="3"/>
                <c:pt idx="0">
                  <c:v>2015</c:v>
                </c:pt>
                <c:pt idx="1">
                  <c:v>2016</c:v>
                </c:pt>
                <c:pt idx="2">
                  <c:v>2017</c:v>
                </c:pt>
              </c:numCache>
            </c:numRef>
          </c:cat>
          <c:val>
            <c:numRef>
              <c:f>Sheet1!$B$2:$B$4</c:f>
              <c:numCache>
                <c:formatCode>0.0</c:formatCode>
                <c:ptCount val="3"/>
                <c:pt idx="0">
                  <c:v>10952.4</c:v>
                </c:pt>
                <c:pt idx="1">
                  <c:v>11760.9</c:v>
                </c:pt>
                <c:pt idx="2">
                  <c:v>13226.2</c:v>
                </c:pt>
              </c:numCache>
            </c:numRef>
          </c:val>
          <c:extLst xmlns:c16r2="http://schemas.microsoft.com/office/drawing/2015/06/chart">
            <c:ext xmlns:c16="http://schemas.microsoft.com/office/drawing/2014/chart" uri="{C3380CC4-5D6E-409C-BE32-E72D297353CC}">
              <c16:uniqueId val="{00000000-AB53-4A01-A5C4-472758B332CD}"/>
            </c:ext>
          </c:extLst>
        </c:ser>
        <c:ser>
          <c:idx val="1"/>
          <c:order val="1"/>
          <c:tx>
            <c:strRef>
              <c:f>Sheet1!$C$1</c:f>
              <c:strCache>
                <c:ptCount val="1"/>
                <c:pt idx="0">
                  <c:v>Accize</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wrap="square" lIns="38100" tIns="19050" rIns="38100" bIns="19050" anchor="ctr">
                <a:spAutoFit/>
              </a:bodyPr>
              <a:lstStyle/>
              <a:p>
                <a:pPr>
                  <a:defRPr lang="ru-RU">
                    <a:latin typeface="Times New Roman" panose="02020603050405020304" pitchFamily="18" charset="0"/>
                    <a:cs typeface="Times New Roman" panose="02020603050405020304" pitchFamily="18" charset="0"/>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2015</c:v>
                </c:pt>
                <c:pt idx="1">
                  <c:v>2016</c:v>
                </c:pt>
                <c:pt idx="2">
                  <c:v>2017</c:v>
                </c:pt>
              </c:numCache>
            </c:numRef>
          </c:cat>
          <c:val>
            <c:numRef>
              <c:f>Sheet1!$C$2:$C$4</c:f>
              <c:numCache>
                <c:formatCode>0.0</c:formatCode>
                <c:ptCount val="3"/>
                <c:pt idx="0">
                  <c:v>3483.8</c:v>
                </c:pt>
                <c:pt idx="1">
                  <c:v>4181.6000000000004</c:v>
                </c:pt>
                <c:pt idx="2">
                  <c:v>5585.7</c:v>
                </c:pt>
              </c:numCache>
            </c:numRef>
          </c:val>
          <c:extLst xmlns:c16r2="http://schemas.microsoft.com/office/drawing/2015/06/chart">
            <c:ext xmlns:c16="http://schemas.microsoft.com/office/drawing/2014/chart" uri="{C3380CC4-5D6E-409C-BE32-E72D297353CC}">
              <c16:uniqueId val="{00000001-AB53-4A01-A5C4-472758B332CD}"/>
            </c:ext>
          </c:extLst>
        </c:ser>
        <c:ser>
          <c:idx val="2"/>
          <c:order val="2"/>
          <c:tx>
            <c:strRef>
              <c:f>Sheet1!$D$1</c:f>
              <c:strCache>
                <c:ptCount val="1"/>
                <c:pt idx="0">
                  <c:v>Taxe și amenzi </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wrap="square" lIns="38100" tIns="19050" rIns="38100" bIns="19050" anchor="ctr">
                <a:spAutoFit/>
              </a:bodyPr>
              <a:lstStyle/>
              <a:p>
                <a:pPr>
                  <a:defRPr lang="ru-RU">
                    <a:latin typeface="Times New Roman" panose="02020603050405020304" pitchFamily="18" charset="0"/>
                    <a:cs typeface="Times New Roman" panose="02020603050405020304" pitchFamily="18" charset="0"/>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2015</c:v>
                </c:pt>
                <c:pt idx="1">
                  <c:v>2016</c:v>
                </c:pt>
                <c:pt idx="2">
                  <c:v>2017</c:v>
                </c:pt>
              </c:numCache>
            </c:numRef>
          </c:cat>
          <c:val>
            <c:numRef>
              <c:f>Sheet1!$D$2:$D$4</c:f>
              <c:numCache>
                <c:formatCode>0.0</c:formatCode>
                <c:ptCount val="3"/>
                <c:pt idx="0">
                  <c:v>1285.3</c:v>
                </c:pt>
                <c:pt idx="1">
                  <c:v>1400.2</c:v>
                </c:pt>
                <c:pt idx="2">
                  <c:v>1536</c:v>
                </c:pt>
              </c:numCache>
            </c:numRef>
          </c:val>
          <c:extLst xmlns:c16r2="http://schemas.microsoft.com/office/drawing/2015/06/chart">
            <c:ext xmlns:c16="http://schemas.microsoft.com/office/drawing/2014/chart" uri="{C3380CC4-5D6E-409C-BE32-E72D297353CC}">
              <c16:uniqueId val="{00000002-AB53-4A01-A5C4-472758B332CD}"/>
            </c:ext>
          </c:extLst>
        </c:ser>
        <c:ser>
          <c:idx val="3"/>
          <c:order val="3"/>
          <c:tx>
            <c:strRef>
              <c:f>Sheet1!$E$1</c:f>
              <c:strCache>
                <c:ptCount val="1"/>
                <c:pt idx="0">
                  <c:v>Alte venituri</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wrap="square" lIns="38100" tIns="19050" rIns="38100" bIns="19050" anchor="ctr">
                <a:spAutoFit/>
              </a:bodyPr>
              <a:lstStyle/>
              <a:p>
                <a:pPr>
                  <a:defRPr lang="ru-RU">
                    <a:latin typeface="Times New Roman" panose="02020603050405020304" pitchFamily="18" charset="0"/>
                    <a:cs typeface="Times New Roman" panose="02020603050405020304" pitchFamily="18" charset="0"/>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2015</c:v>
                </c:pt>
                <c:pt idx="1">
                  <c:v>2016</c:v>
                </c:pt>
                <c:pt idx="2">
                  <c:v>2017</c:v>
                </c:pt>
              </c:numCache>
            </c:numRef>
          </c:cat>
          <c:val>
            <c:numRef>
              <c:f>Sheet1!$E$2:$E$4</c:f>
              <c:numCache>
                <c:formatCode>0.0</c:formatCode>
                <c:ptCount val="3"/>
                <c:pt idx="0">
                  <c:v>108.4</c:v>
                </c:pt>
                <c:pt idx="1">
                  <c:v>133.30000000000001</c:v>
                </c:pt>
                <c:pt idx="2">
                  <c:v>24.6</c:v>
                </c:pt>
              </c:numCache>
            </c:numRef>
          </c:val>
          <c:extLst xmlns:c16r2="http://schemas.microsoft.com/office/drawing/2015/06/chart">
            <c:ext xmlns:c16="http://schemas.microsoft.com/office/drawing/2014/chart" uri="{C3380CC4-5D6E-409C-BE32-E72D297353CC}">
              <c16:uniqueId val="{00000003-AB53-4A01-A5C4-472758B332CD}"/>
            </c:ext>
          </c:extLst>
        </c:ser>
        <c:dLbls>
          <c:showVal val="1"/>
        </c:dLbls>
        <c:gapWidth val="115"/>
        <c:axId val="159108480"/>
        <c:axId val="210805888"/>
      </c:barChart>
      <c:catAx>
        <c:axId val="159108480"/>
        <c:scaling>
          <c:orientation val="minMax"/>
        </c:scaling>
        <c:axPos val="b"/>
        <c:numFmt formatCode="General" sourceLinked="1"/>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10805888"/>
        <c:crosses val="autoZero"/>
        <c:auto val="1"/>
        <c:lblAlgn val="ctr"/>
        <c:lblOffset val="100"/>
      </c:catAx>
      <c:valAx>
        <c:axId val="210805888"/>
        <c:scaling>
          <c:orientation val="minMax"/>
        </c:scaling>
        <c:delete val="1"/>
        <c:axPos val="l"/>
        <c:majorGridlines>
          <c:spPr>
            <a:ln w="9525" cap="flat" cmpd="sng" algn="ctr">
              <a:solidFill>
                <a:schemeClr val="tx1">
                  <a:lumMod val="15000"/>
                  <a:lumOff val="85000"/>
                </a:schemeClr>
              </a:solidFill>
              <a:round/>
            </a:ln>
            <a:effectLst/>
          </c:spPr>
        </c:majorGridlines>
        <c:numFmt formatCode="0.0" sourceLinked="1"/>
        <c:tickLblPos val="nextTo"/>
        <c:crossAx val="159108480"/>
        <c:crosses val="autoZero"/>
        <c:crossBetween val="between"/>
      </c:valAx>
      <c:spPr>
        <a:noFill/>
        <a:ln>
          <a:noFill/>
        </a:ln>
        <a:effectLst/>
      </c:spPr>
    </c:plotArea>
    <c:legend>
      <c:legendPos val="b"/>
      <c:layout>
        <c:manualLayout>
          <c:xMode val="edge"/>
          <c:yMode val="edge"/>
          <c:x val="0.21965835777743187"/>
          <c:y val="0.89800701218317913"/>
          <c:w val="0.5606831161070126"/>
          <c:h val="8.6117966597458906E-2"/>
        </c:manualLayout>
      </c:layout>
      <c:spPr>
        <a:noFill/>
        <a:ln>
          <a:noFill/>
        </a:ln>
        <a:effectLst/>
      </c:spPr>
      <c:txPr>
        <a:bodyPr rot="0" spcFirstLastPara="1" vertOverflow="ellipsis" vert="horz" wrap="square" anchor="ctr" anchorCtr="1"/>
        <a:lstStyle/>
        <a:p>
          <a:pPr>
            <a:defRPr lang="ru-RU"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userShapes r:id="rId3"/>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GB"/>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ru-RU" sz="16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o-RO" sz="1200">
                <a:solidFill>
                  <a:schemeClr val="tx1"/>
                </a:solidFill>
                <a:latin typeface="Times New Roman" panose="02020603050405020304" pitchFamily="18" charset="0"/>
                <a:cs typeface="Times New Roman" panose="02020603050405020304" pitchFamily="18" charset="0"/>
              </a:rPr>
              <a:t>Evoluția restanței la BPN administrate de Serviciul Fiscal de Stat</a:t>
            </a:r>
            <a:r>
              <a:rPr lang="en-US" sz="1200">
                <a:solidFill>
                  <a:schemeClr val="tx1"/>
                </a:solidFill>
                <a:latin typeface="Times New Roman" panose="02020603050405020304" pitchFamily="18" charset="0"/>
                <a:cs typeface="Times New Roman" panose="02020603050405020304" pitchFamily="18" charset="0"/>
              </a:rPr>
              <a:t> </a:t>
            </a:r>
            <a:r>
              <a:rPr lang="ro-RO" sz="1200">
                <a:solidFill>
                  <a:schemeClr val="tx1"/>
                </a:solidFill>
                <a:latin typeface="Times New Roman" panose="02020603050405020304" pitchFamily="18" charset="0"/>
                <a:cs typeface="Times New Roman" panose="02020603050405020304" pitchFamily="18" charset="0"/>
              </a:rPr>
              <a:t>pe parcursul anilor 2015-2017 </a:t>
            </a:r>
            <a:endParaRPr lang="en-US" sz="1200">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0.13606565770258178"/>
          <c:y val="2.7787898106132396E-2"/>
        </c:manualLayout>
      </c:layout>
      <c:spPr>
        <a:noFill/>
        <a:ln>
          <a:noFill/>
        </a:ln>
        <a:effectLst/>
      </c:spPr>
    </c:title>
    <c:plotArea>
      <c:layout/>
      <c:barChart>
        <c:barDir val="col"/>
        <c:grouping val="clustered"/>
        <c:ser>
          <c:idx val="0"/>
          <c:order val="0"/>
          <c:tx>
            <c:strRef>
              <c:f>Sheet1!$B$1</c:f>
              <c:strCache>
                <c:ptCount val="1"/>
                <c:pt idx="0">
                  <c:v>BS</c:v>
                </c:pt>
              </c:strCache>
            </c:strRef>
          </c:tx>
          <c:spPr>
            <a:pattFill prst="wdDnDiag">
              <a:fgClr>
                <a:schemeClr val="accent1"/>
              </a:fgClr>
              <a:bgClr>
                <a:schemeClr val="bg1"/>
              </a:bgClr>
            </a:patt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lang="ru-RU" sz="900" b="1"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Anul 2015</c:v>
                </c:pt>
                <c:pt idx="1">
                  <c:v>Anul 2016</c:v>
                </c:pt>
                <c:pt idx="2">
                  <c:v>Anul 2017</c:v>
                </c:pt>
              </c:strCache>
            </c:strRef>
          </c:cat>
          <c:val>
            <c:numRef>
              <c:f>Sheet1!$B$2:$B$4</c:f>
              <c:numCache>
                <c:formatCode>0.0</c:formatCode>
                <c:ptCount val="3"/>
                <c:pt idx="0">
                  <c:v>1129.5</c:v>
                </c:pt>
                <c:pt idx="1">
                  <c:v>1120.5999999999999</c:v>
                </c:pt>
                <c:pt idx="2">
                  <c:v>1466.9</c:v>
                </c:pt>
              </c:numCache>
            </c:numRef>
          </c:val>
          <c:extLst xmlns:c16r2="http://schemas.microsoft.com/office/drawing/2015/06/chart">
            <c:ext xmlns:c16="http://schemas.microsoft.com/office/drawing/2014/chart" uri="{C3380CC4-5D6E-409C-BE32-E72D297353CC}">
              <c16:uniqueId val="{00000003-8A68-4634-B91E-A41CBD61297B}"/>
            </c:ext>
          </c:extLst>
        </c:ser>
        <c:ser>
          <c:idx val="1"/>
          <c:order val="1"/>
          <c:tx>
            <c:strRef>
              <c:f>Sheet1!$C$1</c:f>
              <c:strCache>
                <c:ptCount val="1"/>
                <c:pt idx="0">
                  <c:v>BUAT</c:v>
                </c:pt>
              </c:strCache>
            </c:strRef>
          </c:tx>
          <c:spPr>
            <a:pattFill prst="pct90">
              <a:fgClr>
                <a:schemeClr val="accent2">
                  <a:lumMod val="75000"/>
                </a:schemeClr>
              </a:fgClr>
              <a:bgClr>
                <a:schemeClr val="bg1"/>
              </a:bgClr>
            </a:pattFill>
            <a:ln>
              <a:noFill/>
            </a:ln>
            <a:effectLst>
              <a:outerShdw blurRad="57150" dist="19050" dir="5400000" algn="ctr" rotWithShape="0">
                <a:srgbClr val="000000">
                  <a:alpha val="63000"/>
                </a:srgbClr>
              </a:outerShdw>
            </a:effectLst>
          </c:spPr>
          <c:dLbls>
            <c:dLbl>
              <c:idx val="0"/>
              <c:layout>
                <c:manualLayout>
                  <c:x val="-1.9662292522038631E-17"/>
                  <c:y val="2.2385016470256668E-2"/>
                </c:manualLayout>
              </c:layout>
              <c:dLblPos val="outEnd"/>
              <c:showVal val="1"/>
              <c:extLst xmlns:c16r2="http://schemas.microsoft.com/office/drawing/2015/06/chart">
                <c:ext xmlns:c16="http://schemas.microsoft.com/office/drawing/2014/chart" uri="{C3380CC4-5D6E-409C-BE32-E72D297353CC}">
                  <c16:uniqueId val="{00000004-8A68-4634-B91E-A41CBD61297B}"/>
                </c:ext>
                <c:ext xmlns:c15="http://schemas.microsoft.com/office/drawing/2012/chart" uri="{CE6537A1-D6FC-4f65-9D91-7224C49458BB}"/>
              </c:extLst>
            </c:dLbl>
            <c:dLbl>
              <c:idx val="1"/>
              <c:layout>
                <c:manualLayout>
                  <c:x val="-7.8649170088154499E-17"/>
                  <c:y val="3.8365349046134332E-2"/>
                </c:manualLayout>
              </c:layout>
              <c:spPr>
                <a:noFill/>
                <a:ln>
                  <a:noFill/>
                </a:ln>
                <a:effectLst/>
              </c:spPr>
              <c:txPr>
                <a:bodyPr rot="0" spcFirstLastPara="1" vertOverflow="ellipsis" vert="horz" wrap="square" lIns="38100" tIns="19050" rIns="38100" bIns="19050" anchor="ctr" anchorCtr="1">
                  <a:noAutofit/>
                </a:bodyPr>
                <a:lstStyle/>
                <a:p>
                  <a:pPr>
                    <a:defRPr lang="ru-RU" sz="900" b="1"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6="http://schemas.microsoft.com/office/drawing/2014/chart" uri="{C3380CC4-5D6E-409C-BE32-E72D297353CC}">
                  <c16:uniqueId val="{00000005-8A68-4634-B91E-A41CBD61297B}"/>
                </c:ext>
                <c:ext xmlns:c15="http://schemas.microsoft.com/office/drawing/2012/chart" uri="{CE6537A1-D6FC-4f65-9D91-7224C49458BB}">
                  <c15:layout>
                    <c:manualLayout>
                      <c:w val="5.6971256971256969E-2"/>
                      <c:h val="9.4994627349433661E-2"/>
                    </c:manualLayout>
                  </c15:layout>
                </c:ext>
              </c:extLst>
            </c:dLbl>
            <c:dLbl>
              <c:idx val="2"/>
              <c:layout>
                <c:manualLayout>
                  <c:x val="-2.1450021450021457E-3"/>
                  <c:y val="1.1735718437879829E-2"/>
                </c:manualLayout>
              </c:layout>
              <c:dLblPos val="outEnd"/>
              <c:showVal val="1"/>
              <c:extLst xmlns:c16r2="http://schemas.microsoft.com/office/drawing/2015/06/chart">
                <c:ext xmlns:c16="http://schemas.microsoft.com/office/drawing/2014/chart" uri="{C3380CC4-5D6E-409C-BE32-E72D297353CC}">
                  <c16:uniqueId val="{00000006-8A68-4634-B91E-A41CBD61297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ru-RU" sz="900" b="1" i="0" u="none" strike="noStrike" kern="1200" baseline="0">
                    <a:solidFill>
                      <a:schemeClr val="tx1">
                        <a:lumMod val="75000"/>
                        <a:lumOff val="25000"/>
                      </a:schemeClr>
                    </a:solidFill>
                    <a:latin typeface="+mn-lt"/>
                    <a:ea typeface="+mn-ea"/>
                    <a:cs typeface="+mn-cs"/>
                  </a:defRPr>
                </a:pPr>
                <a:endParaRPr lang="en-US"/>
              </a:p>
            </c:txPr>
            <c:dLblPos val="inBase"/>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Anul 2015</c:v>
                </c:pt>
                <c:pt idx="1">
                  <c:v>Anul 2016</c:v>
                </c:pt>
                <c:pt idx="2">
                  <c:v>Anul 2017</c:v>
                </c:pt>
              </c:strCache>
            </c:strRef>
          </c:cat>
          <c:val>
            <c:numRef>
              <c:f>Sheet1!$C$2:$C$4</c:f>
              <c:numCache>
                <c:formatCode>0.0</c:formatCode>
                <c:ptCount val="3"/>
                <c:pt idx="0">
                  <c:v>228.6</c:v>
                </c:pt>
                <c:pt idx="1">
                  <c:v>293.89999999999986</c:v>
                </c:pt>
                <c:pt idx="2">
                  <c:v>276.5</c:v>
                </c:pt>
              </c:numCache>
            </c:numRef>
          </c:val>
          <c:extLst xmlns:c16r2="http://schemas.microsoft.com/office/drawing/2015/06/chart">
            <c:ext xmlns:c16="http://schemas.microsoft.com/office/drawing/2014/chart" uri="{C3380CC4-5D6E-409C-BE32-E72D297353CC}">
              <c16:uniqueId val="{00000007-8A68-4634-B91E-A41CBD61297B}"/>
            </c:ext>
          </c:extLst>
        </c:ser>
        <c:ser>
          <c:idx val="2"/>
          <c:order val="2"/>
          <c:tx>
            <c:strRef>
              <c:f>Sheet1!$D$1</c:f>
              <c:strCache>
                <c:ptCount val="1"/>
                <c:pt idx="0">
                  <c:v>BASS</c:v>
                </c:pt>
              </c:strCache>
            </c:strRef>
          </c:tx>
          <c:spPr>
            <a:pattFill prst="openDmnd">
              <a:fgClr>
                <a:sysClr val="windowText" lastClr="000000"/>
              </a:fgClr>
              <a:bgClr>
                <a:schemeClr val="bg1"/>
              </a:bgClr>
            </a:patt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lang="ru-RU" sz="900" b="1"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Anul 2015</c:v>
                </c:pt>
                <c:pt idx="1">
                  <c:v>Anul 2016</c:v>
                </c:pt>
                <c:pt idx="2">
                  <c:v>Anul 2017</c:v>
                </c:pt>
              </c:strCache>
            </c:strRef>
          </c:cat>
          <c:val>
            <c:numRef>
              <c:f>Sheet1!$D$2:$D$4</c:f>
              <c:numCache>
                <c:formatCode>0.0</c:formatCode>
                <c:ptCount val="3"/>
                <c:pt idx="0">
                  <c:v>426.7</c:v>
                </c:pt>
                <c:pt idx="1">
                  <c:v>361.5</c:v>
                </c:pt>
                <c:pt idx="2">
                  <c:v>389.4</c:v>
                </c:pt>
              </c:numCache>
            </c:numRef>
          </c:val>
          <c:extLst xmlns:c16r2="http://schemas.microsoft.com/office/drawing/2015/06/chart">
            <c:ext xmlns:c16="http://schemas.microsoft.com/office/drawing/2014/chart" uri="{C3380CC4-5D6E-409C-BE32-E72D297353CC}">
              <c16:uniqueId val="{00000008-8A68-4634-B91E-A41CBD61297B}"/>
            </c:ext>
          </c:extLst>
        </c:ser>
        <c:ser>
          <c:idx val="3"/>
          <c:order val="3"/>
          <c:tx>
            <c:strRef>
              <c:f>Sheet1!$E$1</c:f>
              <c:strCache>
                <c:ptCount val="1"/>
                <c:pt idx="0">
                  <c:v>FAOAM</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lang="ru-RU" sz="900" b="1"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Anul 2015</c:v>
                </c:pt>
                <c:pt idx="1">
                  <c:v>Anul 2016</c:v>
                </c:pt>
                <c:pt idx="2">
                  <c:v>Anul 2017</c:v>
                </c:pt>
              </c:strCache>
            </c:strRef>
          </c:cat>
          <c:val>
            <c:numRef>
              <c:f>Sheet1!$E$2:$E$4</c:f>
              <c:numCache>
                <c:formatCode>0.0</c:formatCode>
                <c:ptCount val="3"/>
                <c:pt idx="0">
                  <c:v>59.9</c:v>
                </c:pt>
                <c:pt idx="1">
                  <c:v>49.8</c:v>
                </c:pt>
                <c:pt idx="2">
                  <c:v>49.2</c:v>
                </c:pt>
              </c:numCache>
            </c:numRef>
          </c:val>
          <c:extLst xmlns:c16r2="http://schemas.microsoft.com/office/drawing/2015/06/chart">
            <c:ext xmlns:c16="http://schemas.microsoft.com/office/drawing/2014/chart" uri="{C3380CC4-5D6E-409C-BE32-E72D297353CC}">
              <c16:uniqueId val="{00000009-8A68-4634-B91E-A41CBD61297B}"/>
            </c:ext>
          </c:extLst>
        </c:ser>
        <c:gapWidth val="247"/>
        <c:axId val="158960256"/>
        <c:axId val="158966144"/>
      </c:barChart>
      <c:lineChart>
        <c:grouping val="standard"/>
        <c:ser>
          <c:idx val="4"/>
          <c:order val="4"/>
          <c:tx>
            <c:strRef>
              <c:f>Sheet1!$F$1</c:f>
              <c:strCache>
                <c:ptCount val="1"/>
                <c:pt idx="0">
                  <c:v>BPN</c:v>
                </c:pt>
              </c:strCache>
            </c:strRef>
          </c:tx>
          <c:spPr>
            <a:ln w="34925" cap="rnd">
              <a:solidFill>
                <a:schemeClr val="accent5"/>
              </a:solidFill>
              <a:round/>
            </a:ln>
            <a:effectLst>
              <a:outerShdw blurRad="57150" dist="19050" dir="5400000" algn="ctr" rotWithShape="0">
                <a:srgbClr val="000000">
                  <a:alpha val="63000"/>
                </a:srgbClr>
              </a:outerShdw>
            </a:effectLst>
          </c:spPr>
          <c:marker>
            <c:symbol val="circle"/>
            <c:size val="6"/>
            <c:spPr>
              <a:solidFill>
                <a:srgbClr val="FF0000"/>
              </a:solidFill>
              <a:ln w="9525">
                <a:solidFill>
                  <a:schemeClr val="accent5"/>
                </a:solidFill>
                <a:round/>
              </a:ln>
              <a:effectLst>
                <a:outerShdw blurRad="57150" dist="19050" dir="5400000" algn="ctr" rotWithShape="0">
                  <a:srgbClr val="000000">
                    <a:alpha val="63000"/>
                  </a:srgbClr>
                </a:outerShdw>
              </a:effectLst>
            </c:spPr>
          </c:marker>
          <c:dLbls>
            <c:dLbl>
              <c:idx val="0"/>
              <c:layout>
                <c:manualLayout>
                  <c:x val="-4.9847823076169549E-2"/>
                  <c:y val="-5.1773855449276887E-2"/>
                </c:manualLayout>
              </c:layout>
              <c:showVal val="1"/>
              <c:extLst xmlns:c16r2="http://schemas.microsoft.com/office/drawing/2015/06/chart">
                <c:ext xmlns:c16="http://schemas.microsoft.com/office/drawing/2014/chart" uri="{C3380CC4-5D6E-409C-BE32-E72D297353CC}">
                  <c16:uniqueId val="{0000000B-8A68-4634-B91E-A41CBD61297B}"/>
                </c:ext>
                <c:ext xmlns:c15="http://schemas.microsoft.com/office/drawing/2012/chart" uri="{CE6537A1-D6FC-4f65-9D91-7224C49458BB}"/>
              </c:extLst>
            </c:dLbl>
            <c:dLbl>
              <c:idx val="1"/>
              <c:layout>
                <c:manualLayout>
                  <c:x val="-4.7499636869715645E-2"/>
                  <c:y val="-6.5316457925980773E-2"/>
                </c:manualLayout>
              </c:layout>
              <c:showVal val="1"/>
              <c:extLst xmlns:c16r2="http://schemas.microsoft.com/office/drawing/2015/06/chart">
                <c:ext xmlns:c16="http://schemas.microsoft.com/office/drawing/2014/chart" uri="{C3380CC4-5D6E-409C-BE32-E72D297353CC}">
                  <c16:uniqueId val="{0000000C-8A68-4634-B91E-A41CBD61297B}"/>
                </c:ext>
                <c:ext xmlns:c15="http://schemas.microsoft.com/office/drawing/2012/chart" uri="{CE6537A1-D6FC-4f65-9D91-7224C49458BB}"/>
              </c:extLst>
            </c:dLbl>
            <c:dLbl>
              <c:idx val="2"/>
              <c:layout>
                <c:manualLayout>
                  <c:x val="-3.4320034320034318E-2"/>
                  <c:y val="-4.4742729306487775E-2"/>
                </c:manualLayout>
              </c:layout>
              <c:showVal val="1"/>
              <c:extLst xmlns:c16r2="http://schemas.microsoft.com/office/drawing/2015/06/chart">
                <c:ext xmlns:c16="http://schemas.microsoft.com/office/drawing/2014/chart" uri="{C3380CC4-5D6E-409C-BE32-E72D297353CC}">
                  <c16:uniqueId val="{0000000A-8A68-4634-B91E-A41CBD61297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ru-RU"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Anul 2015</c:v>
                </c:pt>
                <c:pt idx="1">
                  <c:v>Anul 2016</c:v>
                </c:pt>
                <c:pt idx="2">
                  <c:v>Anul 2017</c:v>
                </c:pt>
              </c:strCache>
            </c:strRef>
          </c:cat>
          <c:val>
            <c:numRef>
              <c:f>Sheet1!$F$2:$F$4</c:f>
              <c:numCache>
                <c:formatCode>0.0</c:formatCode>
                <c:ptCount val="3"/>
                <c:pt idx="0">
                  <c:v>1844.6</c:v>
                </c:pt>
                <c:pt idx="1">
                  <c:v>1826</c:v>
                </c:pt>
                <c:pt idx="2">
                  <c:v>2182</c:v>
                </c:pt>
              </c:numCache>
            </c:numRef>
          </c:val>
          <c:extLst xmlns:c16r2="http://schemas.microsoft.com/office/drawing/2015/06/chart">
            <c:ext xmlns:c16="http://schemas.microsoft.com/office/drawing/2014/chart" uri="{C3380CC4-5D6E-409C-BE32-E72D297353CC}">
              <c16:uniqueId val="{0000000D-8A68-4634-B91E-A41CBD61297B}"/>
            </c:ext>
          </c:extLst>
        </c:ser>
        <c:marker val="1"/>
        <c:axId val="158960256"/>
        <c:axId val="158966144"/>
      </c:lineChart>
      <c:catAx>
        <c:axId val="158960256"/>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58966144"/>
        <c:crosses val="autoZero"/>
        <c:auto val="1"/>
        <c:lblAlgn val="ctr"/>
        <c:lblOffset val="100"/>
      </c:catAx>
      <c:valAx>
        <c:axId val="158966144"/>
        <c:scaling>
          <c:orientation val="minMax"/>
        </c:scaling>
        <c:axPos val="l"/>
        <c:majorGridlines>
          <c:spPr>
            <a:ln w="9525" cap="flat" cmpd="sng" algn="ctr">
              <a:solidFill>
                <a:schemeClr val="tx1">
                  <a:lumMod val="15000"/>
                  <a:lumOff val="85000"/>
                </a:schemeClr>
              </a:solidFill>
              <a:round/>
            </a:ln>
            <a:effectLst/>
          </c:spPr>
        </c:majorGridlines>
        <c:numFmt formatCode="0.0" sourceLinked="1"/>
        <c:maj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en-US"/>
          </a:p>
        </c:txPr>
        <c:crossAx val="158960256"/>
        <c:crosses val="autoZero"/>
        <c:crossBetween val="between"/>
      </c:valAx>
      <c:spPr>
        <a:noFill/>
        <a:ln>
          <a:noFill/>
        </a:ln>
        <a:effectLst/>
      </c:spPr>
    </c:plotArea>
    <c:legend>
      <c:legendPos val="r"/>
      <c:spPr>
        <a:noFill/>
        <a:ln>
          <a:noFill/>
        </a:ln>
        <a:effectLst/>
      </c:spPr>
      <c:txPr>
        <a:bodyPr rot="0" spcFirstLastPara="1" vertOverflow="ellipsis" vert="horz" wrap="square" anchor="ctr" anchorCtr="1"/>
        <a:lstStyle/>
        <a:p>
          <a:pPr>
            <a:defRPr lang="ru-RU"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GB"/>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Sheet1!$B$1</c:f>
              <c:strCache>
                <c:ptCount val="1"/>
                <c:pt idx="0">
                  <c:v>Impozit pe venit</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dLbls>
            <c:spPr>
              <a:noFill/>
              <a:ln>
                <a:noFill/>
              </a:ln>
              <a:effectLst/>
            </c:spPr>
            <c:txPr>
              <a:bodyPr rot="-5400000" spcFirstLastPara="1" vertOverflow="ellipsis" wrap="square" lIns="38100" tIns="19050" rIns="38100" bIns="19050" anchor="ctr" anchorCtr="1">
                <a:spAutoFit/>
              </a:bodyPr>
              <a:lstStyle/>
              <a:p>
                <a:pPr>
                  <a:defRPr lang="ru-RU" sz="10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Sheet1!$A$2:$A$4</c:f>
              <c:strCache>
                <c:ptCount val="3"/>
                <c:pt idx="0">
                  <c:v>Anul 2015</c:v>
                </c:pt>
                <c:pt idx="1">
                  <c:v>Anul 2016</c:v>
                </c:pt>
                <c:pt idx="2">
                  <c:v>Anul 2017</c:v>
                </c:pt>
              </c:strCache>
            </c:strRef>
          </c:cat>
          <c:val>
            <c:numRef>
              <c:f>Sheet1!$B$2:$B$4</c:f>
              <c:numCache>
                <c:formatCode>0.0</c:formatCode>
                <c:ptCount val="3"/>
                <c:pt idx="0">
                  <c:v>237.4</c:v>
                </c:pt>
                <c:pt idx="1">
                  <c:v>199.1</c:v>
                </c:pt>
                <c:pt idx="2">
                  <c:v>289</c:v>
                </c:pt>
              </c:numCache>
            </c:numRef>
          </c:val>
          <c:extLst xmlns:c16r2="http://schemas.microsoft.com/office/drawing/2015/06/chart">
            <c:ext xmlns:c16="http://schemas.microsoft.com/office/drawing/2014/chart" uri="{C3380CC4-5D6E-409C-BE32-E72D297353CC}">
              <c16:uniqueId val="{00000000-5E4B-4838-A701-88D40F346894}"/>
            </c:ext>
          </c:extLst>
        </c:ser>
        <c:ser>
          <c:idx val="1"/>
          <c:order val="1"/>
          <c:tx>
            <c:strRef>
              <c:f>Sheet1!$C$1</c:f>
              <c:strCache>
                <c:ptCount val="1"/>
                <c:pt idx="0">
                  <c:v>TVA</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dLbls>
            <c:spPr>
              <a:noFill/>
              <a:ln>
                <a:noFill/>
              </a:ln>
              <a:effectLst/>
            </c:spPr>
            <c:txPr>
              <a:bodyPr rot="-5400000" spcFirstLastPara="1" vertOverflow="ellipsis" wrap="square" lIns="38100" tIns="19050" rIns="38100" bIns="19050" anchor="ctr" anchorCtr="1">
                <a:spAutoFit/>
              </a:bodyPr>
              <a:lstStyle/>
              <a:p>
                <a:pPr>
                  <a:defRPr lang="ru-RU" sz="10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Sheet1!$A$2:$A$4</c:f>
              <c:strCache>
                <c:ptCount val="3"/>
                <c:pt idx="0">
                  <c:v>Anul 2015</c:v>
                </c:pt>
                <c:pt idx="1">
                  <c:v>Anul 2016</c:v>
                </c:pt>
                <c:pt idx="2">
                  <c:v>Anul 2017</c:v>
                </c:pt>
              </c:strCache>
            </c:strRef>
          </c:cat>
          <c:val>
            <c:numRef>
              <c:f>Sheet1!$C$2:$C$4</c:f>
              <c:numCache>
                <c:formatCode>0.0</c:formatCode>
                <c:ptCount val="3"/>
                <c:pt idx="0">
                  <c:v>362.4</c:v>
                </c:pt>
                <c:pt idx="1">
                  <c:v>384.5</c:v>
                </c:pt>
                <c:pt idx="2">
                  <c:v>475.4</c:v>
                </c:pt>
              </c:numCache>
            </c:numRef>
          </c:val>
          <c:extLst xmlns:c16r2="http://schemas.microsoft.com/office/drawing/2015/06/chart">
            <c:ext xmlns:c16="http://schemas.microsoft.com/office/drawing/2014/chart" uri="{C3380CC4-5D6E-409C-BE32-E72D297353CC}">
              <c16:uniqueId val="{00000001-5E4B-4838-A701-88D40F346894}"/>
            </c:ext>
          </c:extLst>
        </c:ser>
        <c:ser>
          <c:idx val="2"/>
          <c:order val="2"/>
          <c:tx>
            <c:strRef>
              <c:f>Sheet1!$D$1</c:f>
              <c:strCache>
                <c:ptCount val="1"/>
                <c:pt idx="0">
                  <c:v>Impozit pe proprietate</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dLbls>
            <c:spPr>
              <a:noFill/>
              <a:ln>
                <a:noFill/>
              </a:ln>
              <a:effectLst/>
            </c:spPr>
            <c:txPr>
              <a:bodyPr rot="-5400000" spcFirstLastPara="1" vertOverflow="ellipsis" wrap="square" lIns="38100" tIns="19050" rIns="38100" bIns="19050" anchor="ctr" anchorCtr="1">
                <a:spAutoFit/>
              </a:bodyPr>
              <a:lstStyle/>
              <a:p>
                <a:pPr>
                  <a:defRPr lang="ru-RU" sz="10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Sheet1!$A$2:$A$4</c:f>
              <c:strCache>
                <c:ptCount val="3"/>
                <c:pt idx="0">
                  <c:v>Anul 2015</c:v>
                </c:pt>
                <c:pt idx="1">
                  <c:v>Anul 2016</c:v>
                </c:pt>
                <c:pt idx="2">
                  <c:v>Anul 2017</c:v>
                </c:pt>
              </c:strCache>
            </c:strRef>
          </c:cat>
          <c:val>
            <c:numRef>
              <c:f>Sheet1!$D$2:$D$4</c:f>
              <c:numCache>
                <c:formatCode>0.0</c:formatCode>
                <c:ptCount val="3"/>
                <c:pt idx="0">
                  <c:v>67.8</c:v>
                </c:pt>
                <c:pt idx="1">
                  <c:v>67.400000000000006</c:v>
                </c:pt>
                <c:pt idx="2">
                  <c:v>64.5</c:v>
                </c:pt>
              </c:numCache>
            </c:numRef>
          </c:val>
          <c:extLst xmlns:c16r2="http://schemas.microsoft.com/office/drawing/2015/06/chart">
            <c:ext xmlns:c16="http://schemas.microsoft.com/office/drawing/2014/chart" uri="{C3380CC4-5D6E-409C-BE32-E72D297353CC}">
              <c16:uniqueId val="{00000002-5E4B-4838-A701-88D40F346894}"/>
            </c:ext>
          </c:extLst>
        </c:ser>
        <c:ser>
          <c:idx val="3"/>
          <c:order val="3"/>
          <c:tx>
            <c:strRef>
              <c:f>Sheet1!$E$1</c:f>
              <c:strCache>
                <c:ptCount val="1"/>
                <c:pt idx="0">
                  <c:v>Accize</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dLbls>
            <c:spPr>
              <a:noFill/>
              <a:ln>
                <a:noFill/>
              </a:ln>
              <a:effectLst/>
            </c:spPr>
            <c:txPr>
              <a:bodyPr rot="-5400000" spcFirstLastPara="1" vertOverflow="ellipsis" wrap="square" lIns="38100" tIns="19050" rIns="38100" bIns="19050" anchor="ctr" anchorCtr="1">
                <a:spAutoFit/>
              </a:bodyPr>
              <a:lstStyle/>
              <a:p>
                <a:pPr>
                  <a:defRPr lang="ru-RU" sz="10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Sheet1!$A$2:$A$4</c:f>
              <c:strCache>
                <c:ptCount val="3"/>
                <c:pt idx="0">
                  <c:v>Anul 2015</c:v>
                </c:pt>
                <c:pt idx="1">
                  <c:v>Anul 2016</c:v>
                </c:pt>
                <c:pt idx="2">
                  <c:v>Anul 2017</c:v>
                </c:pt>
              </c:strCache>
            </c:strRef>
          </c:cat>
          <c:val>
            <c:numRef>
              <c:f>Sheet1!$E$2:$E$4</c:f>
              <c:numCache>
                <c:formatCode>0.0</c:formatCode>
                <c:ptCount val="3"/>
                <c:pt idx="0">
                  <c:v>8.5</c:v>
                </c:pt>
                <c:pt idx="1">
                  <c:v>55.5</c:v>
                </c:pt>
                <c:pt idx="2">
                  <c:v>48.6</c:v>
                </c:pt>
              </c:numCache>
            </c:numRef>
          </c:val>
          <c:extLst xmlns:c16r2="http://schemas.microsoft.com/office/drawing/2015/06/chart">
            <c:ext xmlns:c16="http://schemas.microsoft.com/office/drawing/2014/chart" uri="{C3380CC4-5D6E-409C-BE32-E72D297353CC}">
              <c16:uniqueId val="{00000003-5E4B-4838-A701-88D40F346894}"/>
            </c:ext>
          </c:extLst>
        </c:ser>
        <c:ser>
          <c:idx val="4"/>
          <c:order val="4"/>
          <c:tx>
            <c:strRef>
              <c:f>Sheet1!$F$1</c:f>
              <c:strCache>
                <c:ptCount val="1"/>
                <c:pt idx="0">
                  <c:v>Taxe resurse naturale</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dLbls>
            <c:spPr>
              <a:noFill/>
              <a:ln>
                <a:noFill/>
              </a:ln>
              <a:effectLst/>
            </c:spPr>
            <c:txPr>
              <a:bodyPr rot="-5400000" spcFirstLastPara="1" vertOverflow="ellipsis" wrap="square" lIns="38100" tIns="19050" rIns="38100" bIns="19050" anchor="ctr" anchorCtr="1">
                <a:spAutoFit/>
              </a:bodyPr>
              <a:lstStyle/>
              <a:p>
                <a:pPr>
                  <a:defRPr lang="ru-RU" sz="10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Sheet1!$A$2:$A$4</c:f>
              <c:strCache>
                <c:ptCount val="3"/>
                <c:pt idx="0">
                  <c:v>Anul 2015</c:v>
                </c:pt>
                <c:pt idx="1">
                  <c:v>Anul 2016</c:v>
                </c:pt>
                <c:pt idx="2">
                  <c:v>Anul 2017</c:v>
                </c:pt>
              </c:strCache>
            </c:strRef>
          </c:cat>
          <c:val>
            <c:numRef>
              <c:f>Sheet1!$F$2:$F$4</c:f>
              <c:numCache>
                <c:formatCode>0.0</c:formatCode>
                <c:ptCount val="3"/>
                <c:pt idx="0">
                  <c:v>3.6</c:v>
                </c:pt>
                <c:pt idx="1">
                  <c:v>1.7</c:v>
                </c:pt>
                <c:pt idx="2">
                  <c:v>1.6</c:v>
                </c:pt>
              </c:numCache>
            </c:numRef>
          </c:val>
          <c:extLst xmlns:c16r2="http://schemas.microsoft.com/office/drawing/2015/06/chart">
            <c:ext xmlns:c16="http://schemas.microsoft.com/office/drawing/2014/chart" uri="{C3380CC4-5D6E-409C-BE32-E72D297353CC}">
              <c16:uniqueId val="{00000004-5E4B-4838-A701-88D40F346894}"/>
            </c:ext>
          </c:extLst>
        </c:ser>
        <c:ser>
          <c:idx val="5"/>
          <c:order val="5"/>
          <c:tx>
            <c:strRef>
              <c:f>Sheet1!$G$1</c:f>
              <c:strCache>
                <c:ptCount val="1"/>
                <c:pt idx="0">
                  <c:v>Taxa pentru poluarea mediului</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dLbls>
            <c:spPr>
              <a:noFill/>
              <a:ln>
                <a:noFill/>
              </a:ln>
              <a:effectLst/>
            </c:spPr>
            <c:txPr>
              <a:bodyPr rot="-5400000" spcFirstLastPara="1" vertOverflow="ellipsis" wrap="square" lIns="38100" tIns="19050" rIns="38100" bIns="19050" anchor="ctr" anchorCtr="1">
                <a:spAutoFit/>
              </a:bodyPr>
              <a:lstStyle/>
              <a:p>
                <a:pPr>
                  <a:defRPr lang="ru-RU" sz="10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Sheet1!$A$2:$A$4</c:f>
              <c:strCache>
                <c:ptCount val="3"/>
                <c:pt idx="0">
                  <c:v>Anul 2015</c:v>
                </c:pt>
                <c:pt idx="1">
                  <c:v>Anul 2016</c:v>
                </c:pt>
                <c:pt idx="2">
                  <c:v>Anul 2017</c:v>
                </c:pt>
              </c:strCache>
            </c:strRef>
          </c:cat>
          <c:val>
            <c:numRef>
              <c:f>Sheet1!$G$2:$G$4</c:f>
              <c:numCache>
                <c:formatCode>0.0</c:formatCode>
                <c:ptCount val="3"/>
                <c:pt idx="0">
                  <c:v>0</c:v>
                </c:pt>
                <c:pt idx="1">
                  <c:v>0</c:v>
                </c:pt>
                <c:pt idx="2">
                  <c:v>1.3</c:v>
                </c:pt>
              </c:numCache>
            </c:numRef>
          </c:val>
          <c:extLst xmlns:c16r2="http://schemas.microsoft.com/office/drawing/2015/06/chart">
            <c:ext xmlns:c16="http://schemas.microsoft.com/office/drawing/2014/chart" uri="{C3380CC4-5D6E-409C-BE32-E72D297353CC}">
              <c16:uniqueId val="{00000005-5E4B-4838-A701-88D40F346894}"/>
            </c:ext>
          </c:extLst>
        </c:ser>
        <c:ser>
          <c:idx val="6"/>
          <c:order val="6"/>
          <c:tx>
            <c:strRef>
              <c:f>Sheet1!$H$1</c:f>
              <c:strCache>
                <c:ptCount val="1"/>
                <c:pt idx="0">
                  <c:v>Taxa pentru folosirea drumurilor</c:v>
                </c:pt>
              </c:strCache>
            </c:strRef>
          </c:tx>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c:spPr>
          <c:dLbls>
            <c:spPr>
              <a:noFill/>
              <a:ln>
                <a:noFill/>
              </a:ln>
              <a:effectLst/>
            </c:spPr>
            <c:txPr>
              <a:bodyPr rot="-5400000" spcFirstLastPara="1" vertOverflow="ellipsis" wrap="square" lIns="38100" tIns="19050" rIns="38100" bIns="19050" anchor="ctr" anchorCtr="1">
                <a:spAutoFit/>
              </a:bodyPr>
              <a:lstStyle/>
              <a:p>
                <a:pPr>
                  <a:defRPr lang="ru-RU" sz="10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Sheet1!$A$2:$A$4</c:f>
              <c:strCache>
                <c:ptCount val="3"/>
                <c:pt idx="0">
                  <c:v>Anul 2015</c:v>
                </c:pt>
                <c:pt idx="1">
                  <c:v>Anul 2016</c:v>
                </c:pt>
                <c:pt idx="2">
                  <c:v>Anul 2017</c:v>
                </c:pt>
              </c:strCache>
            </c:strRef>
          </c:cat>
          <c:val>
            <c:numRef>
              <c:f>Sheet1!$H$2:$H$4</c:f>
              <c:numCache>
                <c:formatCode>0.0</c:formatCode>
                <c:ptCount val="3"/>
                <c:pt idx="0">
                  <c:v>7.1</c:v>
                </c:pt>
                <c:pt idx="1">
                  <c:v>6.7</c:v>
                </c:pt>
                <c:pt idx="2">
                  <c:v>5.3</c:v>
                </c:pt>
              </c:numCache>
            </c:numRef>
          </c:val>
          <c:extLst xmlns:c16r2="http://schemas.microsoft.com/office/drawing/2015/06/chart">
            <c:ext xmlns:c16="http://schemas.microsoft.com/office/drawing/2014/chart" uri="{C3380CC4-5D6E-409C-BE32-E72D297353CC}">
              <c16:uniqueId val="{00000006-5E4B-4838-A701-88D40F346894}"/>
            </c:ext>
          </c:extLst>
        </c:ser>
        <c:ser>
          <c:idx val="7"/>
          <c:order val="7"/>
          <c:tx>
            <c:strRef>
              <c:f>Sheet1!$I$1</c:f>
              <c:strCache>
                <c:ptCount val="1"/>
                <c:pt idx="0">
                  <c:v>Alte impozite și taxe</c:v>
                </c:pt>
              </c:strCache>
            </c:strRef>
          </c:tx>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c:spPr>
          <c:dLbls>
            <c:spPr>
              <a:noFill/>
              <a:ln>
                <a:noFill/>
              </a:ln>
              <a:effectLst/>
            </c:spPr>
            <c:txPr>
              <a:bodyPr rot="-5400000" spcFirstLastPara="1" vertOverflow="ellipsis" wrap="square" lIns="38100" tIns="19050" rIns="38100" bIns="19050" anchor="ctr" anchorCtr="1">
                <a:spAutoFit/>
              </a:bodyPr>
              <a:lstStyle/>
              <a:p>
                <a:pPr>
                  <a:defRPr lang="ru-RU" sz="10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Sheet1!$A$2:$A$4</c:f>
              <c:strCache>
                <c:ptCount val="3"/>
                <c:pt idx="0">
                  <c:v>Anul 2015</c:v>
                </c:pt>
                <c:pt idx="1">
                  <c:v>Anul 2016</c:v>
                </c:pt>
                <c:pt idx="2">
                  <c:v>Anul 2017</c:v>
                </c:pt>
              </c:strCache>
            </c:strRef>
          </c:cat>
          <c:val>
            <c:numRef>
              <c:f>Sheet1!$I$2:$I$4</c:f>
              <c:numCache>
                <c:formatCode>0.0</c:formatCode>
                <c:ptCount val="3"/>
                <c:pt idx="0">
                  <c:v>31.9</c:v>
                </c:pt>
                <c:pt idx="1">
                  <c:v>31.9</c:v>
                </c:pt>
                <c:pt idx="2">
                  <c:v>27.7</c:v>
                </c:pt>
              </c:numCache>
            </c:numRef>
          </c:val>
          <c:extLst xmlns:c16r2="http://schemas.microsoft.com/office/drawing/2015/06/chart">
            <c:ext xmlns:c16="http://schemas.microsoft.com/office/drawing/2014/chart" uri="{C3380CC4-5D6E-409C-BE32-E72D297353CC}">
              <c16:uniqueId val="{00000007-5E4B-4838-A701-88D40F346894}"/>
            </c:ext>
          </c:extLst>
        </c:ser>
        <c:ser>
          <c:idx val="8"/>
          <c:order val="8"/>
          <c:tx>
            <c:strRef>
              <c:f>Sheet1!$J$1</c:f>
              <c:strCache>
                <c:ptCount val="1"/>
                <c:pt idx="0">
                  <c:v>Venituri din proprietate</c:v>
                </c:pt>
              </c:strCache>
            </c:strRef>
          </c:tx>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c:spPr>
          <c:dLbls>
            <c:spPr>
              <a:noFill/>
              <a:ln>
                <a:noFill/>
              </a:ln>
              <a:effectLst/>
            </c:spPr>
            <c:txPr>
              <a:bodyPr rot="-5400000" spcFirstLastPara="1" vertOverflow="ellipsis" wrap="square" lIns="38100" tIns="19050" rIns="38100" bIns="19050" anchor="ctr" anchorCtr="1">
                <a:spAutoFit/>
              </a:bodyPr>
              <a:lstStyle/>
              <a:p>
                <a:pPr>
                  <a:defRPr lang="ru-RU" sz="10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Sheet1!$A$2:$A$4</c:f>
              <c:strCache>
                <c:ptCount val="3"/>
                <c:pt idx="0">
                  <c:v>Anul 2015</c:v>
                </c:pt>
                <c:pt idx="1">
                  <c:v>Anul 2016</c:v>
                </c:pt>
                <c:pt idx="2">
                  <c:v>Anul 2017</c:v>
                </c:pt>
              </c:strCache>
            </c:strRef>
          </c:cat>
          <c:val>
            <c:numRef>
              <c:f>Sheet1!$J$2:$J$4</c:f>
              <c:numCache>
                <c:formatCode>0.0</c:formatCode>
                <c:ptCount val="3"/>
                <c:pt idx="0">
                  <c:v>1.9000000000000001</c:v>
                </c:pt>
                <c:pt idx="1">
                  <c:v>0.4</c:v>
                </c:pt>
                <c:pt idx="2">
                  <c:v>0.4</c:v>
                </c:pt>
              </c:numCache>
            </c:numRef>
          </c:val>
          <c:extLst xmlns:c16r2="http://schemas.microsoft.com/office/drawing/2015/06/chart">
            <c:ext xmlns:c16="http://schemas.microsoft.com/office/drawing/2014/chart" uri="{C3380CC4-5D6E-409C-BE32-E72D297353CC}">
              <c16:uniqueId val="{00000008-5E4B-4838-A701-88D40F346894}"/>
            </c:ext>
          </c:extLst>
        </c:ser>
        <c:ser>
          <c:idx val="9"/>
          <c:order val="9"/>
          <c:tx>
            <c:strRef>
              <c:f>Sheet1!$K$1</c:f>
              <c:strCache>
                <c:ptCount val="1"/>
                <c:pt idx="0">
                  <c:v>Alte venituri</c:v>
                </c:pt>
              </c:strCache>
            </c:strRef>
          </c:tx>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c:spPr>
          <c:dLbls>
            <c:spPr>
              <a:noFill/>
              <a:ln>
                <a:noFill/>
              </a:ln>
              <a:effectLst/>
            </c:spPr>
            <c:txPr>
              <a:bodyPr rot="-5400000" spcFirstLastPara="1" vertOverflow="ellipsis" wrap="square" lIns="38100" tIns="19050" rIns="38100" bIns="19050" anchor="ctr" anchorCtr="1">
                <a:spAutoFit/>
              </a:bodyPr>
              <a:lstStyle/>
              <a:p>
                <a:pPr>
                  <a:defRPr lang="ru-RU" sz="10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Sheet1!$A$2:$A$4</c:f>
              <c:strCache>
                <c:ptCount val="3"/>
                <c:pt idx="0">
                  <c:v>Anul 2015</c:v>
                </c:pt>
                <c:pt idx="1">
                  <c:v>Anul 2016</c:v>
                </c:pt>
                <c:pt idx="2">
                  <c:v>Anul 2017</c:v>
                </c:pt>
              </c:strCache>
            </c:strRef>
          </c:cat>
          <c:val>
            <c:numRef>
              <c:f>Sheet1!$K$2:$K$4</c:f>
              <c:numCache>
                <c:formatCode>0.0</c:formatCode>
                <c:ptCount val="3"/>
                <c:pt idx="0">
                  <c:v>5.2</c:v>
                </c:pt>
                <c:pt idx="1">
                  <c:v>4.0999999999999996</c:v>
                </c:pt>
                <c:pt idx="2">
                  <c:v>2.9</c:v>
                </c:pt>
              </c:numCache>
            </c:numRef>
          </c:val>
          <c:extLst xmlns:c16r2="http://schemas.microsoft.com/office/drawing/2015/06/chart">
            <c:ext xmlns:c16="http://schemas.microsoft.com/office/drawing/2014/chart" uri="{C3380CC4-5D6E-409C-BE32-E72D297353CC}">
              <c16:uniqueId val="{00000009-5E4B-4838-A701-88D40F346894}"/>
            </c:ext>
          </c:extLst>
        </c:ser>
        <c:dLbls>
          <c:showVal val="1"/>
        </c:dLbls>
        <c:gapWidth val="100"/>
        <c:overlap val="-24"/>
        <c:axId val="159124480"/>
        <c:axId val="159134464"/>
      </c:barChart>
      <c:catAx>
        <c:axId val="159124480"/>
        <c:scaling>
          <c:orientation val="minMax"/>
        </c:scaling>
        <c:axPos val="b"/>
        <c:numFmt formatCode="General" sourceLinked="1"/>
        <c:maj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lang="ru-RU" sz="1100" b="1" i="1"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crossAx val="159134464"/>
        <c:crosses val="autoZero"/>
        <c:auto val="1"/>
        <c:lblAlgn val="ctr"/>
        <c:lblOffset val="100"/>
      </c:catAx>
      <c:valAx>
        <c:axId val="159134464"/>
        <c:scaling>
          <c:orientation val="minMax"/>
        </c:scaling>
        <c:delete val="1"/>
        <c:axPos val="l"/>
        <c:majorGridlines>
          <c:spPr>
            <a:ln w="9525" cap="flat" cmpd="sng" algn="ctr">
              <a:solidFill>
                <a:schemeClr val="tx2">
                  <a:lumMod val="15000"/>
                  <a:lumOff val="85000"/>
                </a:schemeClr>
              </a:solidFill>
              <a:round/>
            </a:ln>
            <a:effectLst/>
          </c:spPr>
        </c:majorGridlines>
        <c:numFmt formatCode="0.0" sourceLinked="1"/>
        <c:majorTickMark val="none"/>
        <c:tickLblPos val="nextTo"/>
        <c:crossAx val="159124480"/>
        <c:crosses val="autoZero"/>
        <c:crossBetween val="between"/>
      </c:valAx>
      <c:spPr>
        <a:noFill/>
        <a:ln>
          <a:noFill/>
        </a:ln>
        <a:effectLst>
          <a:softEdge rad="63500"/>
        </a:effectLst>
      </c:spPr>
    </c:plotArea>
    <c:legend>
      <c:legendPos val="b"/>
      <c:layout>
        <c:manualLayout>
          <c:xMode val="edge"/>
          <c:yMode val="edge"/>
          <c:x val="1.3398038786818311E-2"/>
          <c:y val="0.68765170672203824"/>
          <c:w val="0.96394466316710437"/>
          <c:h val="0.2076855601927044"/>
        </c:manualLayout>
      </c:layout>
      <c:spPr>
        <a:noFill/>
        <a:ln>
          <a:noFill/>
        </a:ln>
        <a:effectLst/>
      </c:spPr>
      <c:txPr>
        <a:bodyPr rot="0" spcFirstLastPara="1" vertOverflow="ellipsis" vert="horz" wrap="square" anchor="ctr" anchorCtr="1"/>
        <a:lstStyle/>
        <a:p>
          <a:pPr>
            <a:defRPr lang="ru-RU"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legend>
    <c:plotVisOnly val="1"/>
    <c:dispBlanksAs val="gap"/>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GB"/>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ru-RU" sz="1400" b="0" i="0" u="none" strike="noStrike" kern="1200" spc="0" baseline="0">
                <a:solidFill>
                  <a:schemeClr val="tx1">
                    <a:lumMod val="65000"/>
                    <a:lumOff val="35000"/>
                  </a:schemeClr>
                </a:solidFill>
                <a:latin typeface="+mn-lt"/>
                <a:ea typeface="+mn-ea"/>
                <a:cs typeface="+mn-cs"/>
              </a:defRPr>
            </a:pPr>
            <a:r>
              <a:rPr lang="x-none" b="1" i="0">
                <a:solidFill>
                  <a:schemeClr val="tx1"/>
                </a:solidFill>
                <a:latin typeface="Times New Roman" panose="02020603050405020304" pitchFamily="18" charset="0"/>
                <a:cs typeface="Times New Roman" panose="02020603050405020304" pitchFamily="18" charset="0"/>
              </a:rPr>
              <a:t>Restanța contribuabililor mari la BPN pentru perioada anilor 2015-2017</a:t>
            </a:r>
            <a:endParaRPr lang="en-US" b="1" i="0">
              <a:solidFill>
                <a:schemeClr val="tx1"/>
              </a:solidFill>
              <a:latin typeface="Times New Roman" panose="02020603050405020304" pitchFamily="18" charset="0"/>
              <a:cs typeface="Times New Roman" panose="02020603050405020304" pitchFamily="18" charset="0"/>
            </a:endParaRPr>
          </a:p>
        </c:rich>
      </c:tx>
      <c:spPr>
        <a:noFill/>
        <a:ln>
          <a:noFill/>
        </a:ln>
        <a:effectLst/>
      </c:spPr>
    </c:title>
    <c:plotArea>
      <c:layout/>
      <c:barChart>
        <c:barDir val="col"/>
        <c:grouping val="clustered"/>
        <c:ser>
          <c:idx val="0"/>
          <c:order val="0"/>
          <c:tx>
            <c:strRef>
              <c:f>Sheet1!$B$1</c:f>
              <c:strCache>
                <c:ptCount val="1"/>
                <c:pt idx="0">
                  <c:v>Total restanță</c:v>
                </c:pt>
              </c:strCache>
            </c:strRef>
          </c:tx>
          <c:spPr>
            <a:pattFill prst="pct80">
              <a:fgClr>
                <a:srgbClr val="C00000"/>
              </a:fgClr>
              <a:bgClr>
                <a:schemeClr val="bg1"/>
              </a:bgClr>
            </a:pattFill>
            <a:ln>
              <a:noFill/>
            </a:ln>
            <a:effectLst/>
          </c:spPr>
          <c:dLbls>
            <c:dLbl>
              <c:idx val="0"/>
              <c:layout>
                <c:manualLayout>
                  <c:x val="0"/>
                  <c:y val="-8.8300220750551855E-2"/>
                </c:manualLayout>
              </c:layout>
              <c:tx>
                <c:rich>
                  <a:bodyPr rot="0" spcFirstLastPara="1" vertOverflow="clip" horzOverflow="clip" vert="horz" wrap="square" lIns="36576" tIns="18288" rIns="36576" bIns="18288" anchor="ctr" anchorCtr="1">
                    <a:spAutoFit/>
                  </a:bodyPr>
                  <a:lstStyle/>
                  <a:p>
                    <a:pPr>
                      <a:defRPr lang="ru-RU"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fld id="{C917F830-65C8-485A-9B4B-7D5DE6FDBCEB}" type="VALUE">
                      <a:rPr lang="en-US">
                        <a:solidFill>
                          <a:schemeClr val="bg1"/>
                        </a:solidFill>
                      </a:rPr>
                      <a:pPr>
                        <a:defRPr lang="ru-RU"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t>[ЗНАЧЕНИЕ]</a:t>
                    </a:fld>
                    <a:endParaRPr lang="ru-RU"/>
                  </a:p>
                </c:rich>
              </c:tx>
              <c:spPr>
                <a:solidFill>
                  <a:srgbClr val="C00000"/>
                </a:solidFill>
                <a:ln>
                  <a:solidFill>
                    <a:sysClr val="windowText" lastClr="000000">
                      <a:lumMod val="25000"/>
                      <a:lumOff val="75000"/>
                    </a:sysClr>
                  </a:solidFill>
                </a:ln>
                <a:effectLst/>
              </c:spPr>
              <c:dLblPos val="outEnd"/>
              <c:showVal val="1"/>
              <c:extLst xmlns:c16r2="http://schemas.microsoft.com/office/drawing/2015/06/chart">
                <c:ext xmlns:c16="http://schemas.microsoft.com/office/drawing/2014/chart" uri="{C3380CC4-5D6E-409C-BE32-E72D297353CC}">
                  <c16:uniqueId val="{00000000-3EE1-45F8-B4BA-2C6D3F36010C}"/>
                </c:ext>
                <c:ext xmlns:c15="http://schemas.microsoft.com/office/drawing/2012/chart" uri="{CE6537A1-D6FC-4f65-9D91-7224C49458BB}">
                  <c15:spPr xmlns:c15="http://schemas.microsoft.com/office/drawing/2012/chart">
                    <a:prstGeom prst="wedgeEllipseCallout">
                      <a:avLst/>
                    </a:prstGeom>
                    <a:noFill/>
                    <a:ln>
                      <a:noFill/>
                    </a:ln>
                  </c15:spPr>
                  <c15:dlblFieldTable/>
                  <c15:showDataLabelsRange val="0"/>
                </c:ext>
              </c:extLst>
            </c:dLbl>
            <c:dLbl>
              <c:idx val="1"/>
              <c:layout>
                <c:manualLayout>
                  <c:x val="2.3148148148148147E-3"/>
                  <c:y val="-6.0706401766004427E-2"/>
                </c:manualLayout>
              </c:layout>
              <c:spPr>
                <a:solidFill>
                  <a:srgbClr val="C00000"/>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lang="ru-RU" sz="9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dLblPos val="outEnd"/>
              <c:showVal val="1"/>
              <c:extLst xmlns:c16r2="http://schemas.microsoft.com/office/drawing/2015/06/chart">
                <c:ext xmlns:c16="http://schemas.microsoft.com/office/drawing/2014/chart" uri="{C3380CC4-5D6E-409C-BE32-E72D297353CC}">
                  <c16:uniqueId val="{00000001-3EE1-45F8-B4BA-2C6D3F36010C}"/>
                </c:ext>
                <c:ext xmlns:c15="http://schemas.microsoft.com/office/drawing/2012/chart" uri="{CE6537A1-D6FC-4f65-9D91-7224C49458BB}">
                  <c15:spPr xmlns:c15="http://schemas.microsoft.com/office/drawing/2012/chart">
                    <a:prstGeom prst="wedgeEllipseCallout">
                      <a:avLst/>
                    </a:prstGeom>
                    <a:noFill/>
                    <a:ln>
                      <a:noFill/>
                    </a:ln>
                  </c15:spPr>
                </c:ext>
              </c:extLst>
            </c:dLbl>
            <c:dLbl>
              <c:idx val="2"/>
              <c:layout>
                <c:manualLayout>
                  <c:x val="0"/>
                  <c:y val="-8.2781456953642418E-2"/>
                </c:manualLayout>
              </c:layout>
              <c:spPr>
                <a:solidFill>
                  <a:srgbClr val="C00000"/>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lang="ru-RU" sz="9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dLblPos val="outEnd"/>
              <c:showVal val="1"/>
              <c:extLst xmlns:c16r2="http://schemas.microsoft.com/office/drawing/2015/06/chart">
                <c:ext xmlns:c16="http://schemas.microsoft.com/office/drawing/2014/chart" uri="{C3380CC4-5D6E-409C-BE32-E72D297353CC}">
                  <c16:uniqueId val="{00000002-3EE1-45F8-B4BA-2C6D3F36010C}"/>
                </c:ext>
                <c:ext xmlns:c15="http://schemas.microsoft.com/office/drawing/2012/chart" uri="{CE6537A1-D6FC-4f65-9D91-7224C49458BB}">
                  <c15:spPr xmlns:c15="http://schemas.microsoft.com/office/drawing/2012/chart">
                    <a:prstGeom prst="wedgeEllipseCallout">
                      <a:avLst/>
                    </a:prstGeom>
                    <a:noFill/>
                    <a:ln>
                      <a:noFill/>
                    </a:ln>
                  </c15:spPr>
                  <c15:layout>
                    <c:manualLayout>
                      <c:w val="8.5491214639836693E-2"/>
                      <c:h val="0.1257091828753194"/>
                    </c:manualLayout>
                  </c15:layout>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lang="ru-RU"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Val val="1"/>
            <c:extLst xmlns:c16r2="http://schemas.microsoft.com/office/drawing/2015/06/chart">
              <c:ext xmlns:c15="http://schemas.microsoft.com/office/drawing/2012/chart" uri="{CE6537A1-D6FC-4f65-9D91-7224C49458BB}">
                <c15:spPr xmlns:c15="http://schemas.microsoft.com/office/drawing/2012/chart">
                  <a:prstGeom prst="wedgeEllipseCallou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Anul 2015</c:v>
                </c:pt>
                <c:pt idx="1">
                  <c:v>Anul 2016</c:v>
                </c:pt>
                <c:pt idx="2">
                  <c:v>Anul 2017</c:v>
                </c:pt>
              </c:strCache>
            </c:strRef>
          </c:cat>
          <c:val>
            <c:numRef>
              <c:f>Sheet1!$B$2:$B$4</c:f>
              <c:numCache>
                <c:formatCode>General</c:formatCode>
                <c:ptCount val="3"/>
                <c:pt idx="0">
                  <c:v>136.5</c:v>
                </c:pt>
                <c:pt idx="1">
                  <c:v>127.03</c:v>
                </c:pt>
                <c:pt idx="2">
                  <c:v>78.52</c:v>
                </c:pt>
              </c:numCache>
            </c:numRef>
          </c:val>
          <c:extLst xmlns:c16r2="http://schemas.microsoft.com/office/drawing/2015/06/chart">
            <c:ext xmlns:c16="http://schemas.microsoft.com/office/drawing/2014/chart" uri="{C3380CC4-5D6E-409C-BE32-E72D297353CC}">
              <c16:uniqueId val="{00000003-3EE1-45F8-B4BA-2C6D3F36010C}"/>
            </c:ext>
          </c:extLst>
        </c:ser>
        <c:ser>
          <c:idx val="1"/>
          <c:order val="1"/>
          <c:tx>
            <c:strRef>
              <c:f>Sheet1!$C$1</c:f>
              <c:strCache>
                <c:ptCount val="1"/>
                <c:pt idx="0">
                  <c:v>Plăți de bază</c:v>
                </c:pt>
              </c:strCache>
            </c:strRef>
          </c:tx>
          <c:spPr>
            <a:pattFill prst="dkDnDiag">
              <a:fgClr>
                <a:schemeClr val="accent5">
                  <a:lumMod val="75000"/>
                </a:schemeClr>
              </a:fgClr>
              <a:bgClr>
                <a:schemeClr val="bg1"/>
              </a:bgClr>
            </a:pattFill>
            <a:ln>
              <a:noFill/>
            </a:ln>
            <a:effectLst/>
          </c:spPr>
          <c:dLbls>
            <c:spPr>
              <a:noFill/>
              <a:ln>
                <a:noFill/>
              </a:ln>
              <a:effectLst/>
            </c:spPr>
            <c:txPr>
              <a:bodyPr rot="-5400000" spcFirstLastPara="1" vertOverflow="ellipsis" wrap="square" lIns="38100" tIns="19050" rIns="38100" bIns="19050" anchor="ctr" anchorCtr="1">
                <a:spAutoFit/>
              </a:bodyPr>
              <a:lstStyle/>
              <a:p>
                <a:pPr>
                  <a:defRPr lang="ru-RU" sz="900" b="1" i="0" u="none" strike="noStrike" kern="1200" baseline="0">
                    <a:solidFill>
                      <a:schemeClr val="tx1"/>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Anul 2015</c:v>
                </c:pt>
                <c:pt idx="1">
                  <c:v>Anul 2016</c:v>
                </c:pt>
                <c:pt idx="2">
                  <c:v>Anul 2017</c:v>
                </c:pt>
              </c:strCache>
            </c:strRef>
          </c:cat>
          <c:val>
            <c:numRef>
              <c:f>Sheet1!$C$2:$C$4</c:f>
              <c:numCache>
                <c:formatCode>General</c:formatCode>
                <c:ptCount val="3"/>
                <c:pt idx="0">
                  <c:v>114.89</c:v>
                </c:pt>
                <c:pt idx="1">
                  <c:v>93.93</c:v>
                </c:pt>
                <c:pt idx="2">
                  <c:v>69.11</c:v>
                </c:pt>
              </c:numCache>
            </c:numRef>
          </c:val>
          <c:extLst xmlns:c16r2="http://schemas.microsoft.com/office/drawing/2015/06/chart">
            <c:ext xmlns:c16="http://schemas.microsoft.com/office/drawing/2014/chart" uri="{C3380CC4-5D6E-409C-BE32-E72D297353CC}">
              <c16:uniqueId val="{00000004-3EE1-45F8-B4BA-2C6D3F36010C}"/>
            </c:ext>
          </c:extLst>
        </c:ser>
        <c:ser>
          <c:idx val="2"/>
          <c:order val="2"/>
          <c:tx>
            <c:strRef>
              <c:f>Sheet1!$D$1</c:f>
              <c:strCache>
                <c:ptCount val="1"/>
                <c:pt idx="0">
                  <c:v>Majorări de întîrzieri</c:v>
                </c:pt>
              </c:strCache>
            </c:strRef>
          </c:tx>
          <c:spPr>
            <a:pattFill prst="sphere">
              <a:fgClr>
                <a:schemeClr val="accent6">
                  <a:lumMod val="50000"/>
                </a:schemeClr>
              </a:fgClr>
              <a:bgClr>
                <a:schemeClr val="bg1"/>
              </a:bgClr>
            </a:pattFill>
            <a:ln>
              <a:noFill/>
            </a:ln>
            <a:effectLst/>
          </c:spPr>
          <c:dLbls>
            <c:spPr>
              <a:noFill/>
              <a:ln>
                <a:noFill/>
              </a:ln>
              <a:effectLst/>
            </c:spPr>
            <c:txPr>
              <a:bodyPr rot="-5400000" spcFirstLastPara="1" vertOverflow="ellipsis" wrap="square" lIns="38100" tIns="19050" rIns="38100" bIns="19050" anchor="ctr" anchorCtr="1">
                <a:spAutoFit/>
              </a:bodyPr>
              <a:lstStyle/>
              <a:p>
                <a:pPr>
                  <a:defRPr lang="ru-RU" sz="900" b="1" i="0" u="none" strike="noStrike" kern="1200" baseline="0">
                    <a:solidFill>
                      <a:schemeClr val="tx1"/>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Anul 2015</c:v>
                </c:pt>
                <c:pt idx="1">
                  <c:v>Anul 2016</c:v>
                </c:pt>
                <c:pt idx="2">
                  <c:v>Anul 2017</c:v>
                </c:pt>
              </c:strCache>
            </c:strRef>
          </c:cat>
          <c:val>
            <c:numRef>
              <c:f>Sheet1!$D$2:$D$4</c:f>
              <c:numCache>
                <c:formatCode>General</c:formatCode>
                <c:ptCount val="3"/>
                <c:pt idx="0">
                  <c:v>16.579999999999991</c:v>
                </c:pt>
                <c:pt idx="1">
                  <c:v>24.89</c:v>
                </c:pt>
                <c:pt idx="2">
                  <c:v>9.0500000000000007</c:v>
                </c:pt>
              </c:numCache>
            </c:numRef>
          </c:val>
          <c:extLst xmlns:c16r2="http://schemas.microsoft.com/office/drawing/2015/06/chart">
            <c:ext xmlns:c16="http://schemas.microsoft.com/office/drawing/2014/chart" uri="{C3380CC4-5D6E-409C-BE32-E72D297353CC}">
              <c16:uniqueId val="{00000005-3EE1-45F8-B4BA-2C6D3F36010C}"/>
            </c:ext>
          </c:extLst>
        </c:ser>
        <c:ser>
          <c:idx val="3"/>
          <c:order val="3"/>
          <c:tx>
            <c:strRef>
              <c:f>Sheet1!$E$1</c:f>
              <c:strCache>
                <c:ptCount val="1"/>
                <c:pt idx="0">
                  <c:v>Amenzi</c:v>
                </c:pt>
              </c:strCache>
            </c:strRef>
          </c:tx>
          <c:spPr>
            <a:pattFill prst="trellis">
              <a:fgClr>
                <a:schemeClr val="accent4">
                  <a:lumMod val="75000"/>
                </a:schemeClr>
              </a:fgClr>
              <a:bgClr>
                <a:schemeClr val="bg1"/>
              </a:bgClr>
            </a:pattFill>
            <a:ln>
              <a:noFill/>
            </a:ln>
            <a:effectLst/>
          </c:spPr>
          <c:dLbls>
            <c:spPr>
              <a:noFill/>
              <a:ln>
                <a:noFill/>
              </a:ln>
              <a:effectLst/>
            </c:spPr>
            <c:txPr>
              <a:bodyPr rot="-5400000" spcFirstLastPara="1" vertOverflow="ellipsis" wrap="square" lIns="38100" tIns="19050" rIns="38100" bIns="19050" anchor="ctr" anchorCtr="1">
                <a:spAutoFit/>
              </a:bodyPr>
              <a:lstStyle/>
              <a:p>
                <a:pPr>
                  <a:defRPr lang="ru-RU" sz="900" b="1" i="0" u="none" strike="noStrike" kern="1200" baseline="0">
                    <a:solidFill>
                      <a:schemeClr val="tx1"/>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Anul 2015</c:v>
                </c:pt>
                <c:pt idx="1">
                  <c:v>Anul 2016</c:v>
                </c:pt>
                <c:pt idx="2">
                  <c:v>Anul 2017</c:v>
                </c:pt>
              </c:strCache>
            </c:strRef>
          </c:cat>
          <c:val>
            <c:numRef>
              <c:f>Sheet1!$E$2:$E$4</c:f>
              <c:numCache>
                <c:formatCode>General</c:formatCode>
                <c:ptCount val="3"/>
                <c:pt idx="0">
                  <c:v>5.0199999999999996</c:v>
                </c:pt>
                <c:pt idx="1">
                  <c:v>8.2100000000000009</c:v>
                </c:pt>
                <c:pt idx="2">
                  <c:v>0.35000000000000009</c:v>
                </c:pt>
              </c:numCache>
            </c:numRef>
          </c:val>
          <c:extLst xmlns:c16r2="http://schemas.microsoft.com/office/drawing/2015/06/chart">
            <c:ext xmlns:c16="http://schemas.microsoft.com/office/drawing/2014/chart" uri="{C3380CC4-5D6E-409C-BE32-E72D297353CC}">
              <c16:uniqueId val="{00000006-3EE1-45F8-B4BA-2C6D3F36010C}"/>
            </c:ext>
          </c:extLst>
        </c:ser>
        <c:axId val="159265920"/>
        <c:axId val="159267456"/>
      </c:barChart>
      <c:catAx>
        <c:axId val="15926592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59267456"/>
        <c:crosses val="autoZero"/>
        <c:auto val="1"/>
        <c:lblAlgn val="ctr"/>
        <c:lblOffset val="100"/>
      </c:catAx>
      <c:valAx>
        <c:axId val="15926745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en-US"/>
          </a:p>
        </c:txPr>
        <c:crossAx val="159265920"/>
        <c:crosses val="autoZero"/>
        <c:crossBetween val="between"/>
      </c:valAx>
      <c:spPr>
        <a:noFill/>
        <a:ln>
          <a:noFill/>
        </a:ln>
        <a:effectLst/>
      </c:spPr>
    </c:plotArea>
    <c:legend>
      <c:legendPos val="r"/>
      <c:spPr>
        <a:noFill/>
        <a:ln>
          <a:noFill/>
        </a:ln>
        <a:effectLst/>
      </c:spPr>
      <c:txPr>
        <a:bodyPr rot="0" spcFirstLastPara="1" vertOverflow="ellipsis" vert="horz" wrap="square" anchor="ctr" anchorCtr="1"/>
        <a:lstStyle/>
        <a:p>
          <a:pPr>
            <a:defRPr lang="ru-RU"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a:innerShdw blurRad="63500" dist="50800" dir="18900000">
        <a:prstClr val="black">
          <a:alpha val="50000"/>
        </a:prstClr>
      </a:innerShdw>
    </a:effectLst>
  </c:spPr>
  <c:txPr>
    <a:bodyPr/>
    <a:lstStyle/>
    <a:p>
      <a:pPr>
        <a:defRPr/>
      </a:pPr>
      <a:endParaRPr lang="en-US"/>
    </a:p>
  </c:txPr>
  <c:externalData r:id="rId2"/>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GB"/>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ru-RU" sz="1200" b="0" i="1"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x-none" sz="1200" b="1" i="0">
                <a:latin typeface="Times New Roman" panose="02020603050405020304" pitchFamily="18" charset="0"/>
                <a:cs typeface="Times New Roman" panose="02020603050405020304" pitchFamily="18" charset="0"/>
              </a:rPr>
              <a:t>Structura restanțelor</a:t>
            </a:r>
            <a:r>
              <a:rPr lang="x-none" sz="1200" b="1" i="0" baseline="0">
                <a:latin typeface="Times New Roman" panose="02020603050405020304" pitchFamily="18" charset="0"/>
                <a:cs typeface="Times New Roman" panose="02020603050405020304" pitchFamily="18" charset="0"/>
              </a:rPr>
              <a:t> administrate de</a:t>
            </a:r>
            <a:r>
              <a:rPr lang="x-none" sz="1200" b="1" i="0">
                <a:latin typeface="Times New Roman" panose="02020603050405020304" pitchFamily="18" charset="0"/>
                <a:cs typeface="Times New Roman" panose="02020603050405020304" pitchFamily="18" charset="0"/>
              </a:rPr>
              <a:t> SV, pe categorii de plăți</a:t>
            </a:r>
            <a:r>
              <a:rPr lang="x-none" sz="1200" b="1" i="0" baseline="0">
                <a:latin typeface="Times New Roman" panose="02020603050405020304" pitchFamily="18" charset="0"/>
                <a:cs typeface="Times New Roman" panose="02020603050405020304" pitchFamily="18" charset="0"/>
              </a:rPr>
              <a:t> vamale</a:t>
            </a:r>
          </a:p>
          <a:p>
            <a:pPr>
              <a:defRPr lang="ru-RU" sz="1200" b="0" i="1"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x-none" sz="1200" b="1" i="0" baseline="0">
                <a:latin typeface="Times New Roman" panose="02020603050405020304" pitchFamily="18" charset="0"/>
                <a:cs typeface="Times New Roman" panose="02020603050405020304" pitchFamily="18" charset="0"/>
              </a:rPr>
              <a:t> </a:t>
            </a:r>
            <a:r>
              <a:rPr lang="x-none" sz="1200" b="1" i="0">
                <a:latin typeface="Times New Roman" panose="02020603050405020304" pitchFamily="18" charset="0"/>
                <a:cs typeface="Times New Roman" panose="02020603050405020304" pitchFamily="18" charset="0"/>
              </a:rPr>
              <a:t>în  perioada 2015-2017</a:t>
            </a:r>
            <a:endParaRPr lang="en-US" sz="1200" b="1" i="0">
              <a:latin typeface="Times New Roman" panose="02020603050405020304" pitchFamily="18" charset="0"/>
              <a:cs typeface="Times New Roman" panose="02020603050405020304" pitchFamily="18" charset="0"/>
            </a:endParaRPr>
          </a:p>
        </c:rich>
      </c:tx>
      <c:spPr>
        <a:noFill/>
        <a:ln>
          <a:noFill/>
        </a:ln>
        <a:effectLst/>
      </c:spPr>
    </c:title>
    <c:plotArea>
      <c:layout>
        <c:manualLayout>
          <c:layoutTarget val="inner"/>
          <c:xMode val="edge"/>
          <c:yMode val="edge"/>
          <c:x val="8.1849846894138212E-2"/>
          <c:y val="0.1767217345439476"/>
          <c:w val="0.89268719014289877"/>
          <c:h val="0.64663658968466253"/>
        </c:manualLayout>
      </c:layout>
      <c:barChart>
        <c:barDir val="col"/>
        <c:grouping val="clustered"/>
        <c:ser>
          <c:idx val="0"/>
          <c:order val="0"/>
          <c:tx>
            <c:strRef>
              <c:f>Sheet1!$B$1</c:f>
              <c:strCache>
                <c:ptCount val="1"/>
                <c:pt idx="0">
                  <c:v>TVA</c:v>
                </c:pt>
              </c:strCache>
            </c:strRef>
          </c:tx>
          <c:spPr>
            <a:solidFill>
              <a:schemeClr val="accent1"/>
            </a:solidFill>
            <a:ln>
              <a:noFill/>
            </a:ln>
            <a:effectLst/>
          </c:spPr>
          <c:dLbls>
            <c:spPr>
              <a:noFill/>
              <a:ln>
                <a:noFill/>
              </a:ln>
              <a:effectLst/>
            </c:spPr>
            <c:txPr>
              <a:bodyPr rot="-5400000" spcFirstLastPara="1" vertOverflow="ellipsis" wrap="square" lIns="38100" tIns="19050" rIns="38100" bIns="19050" anchor="ctr" anchorCtr="1">
                <a:spAutoFit/>
              </a:bodyPr>
              <a:lstStyle/>
              <a:p>
                <a:pPr>
                  <a:defRPr lang="ru-RU"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Anul 2015</c:v>
                </c:pt>
                <c:pt idx="1">
                  <c:v>Anul 2016</c:v>
                </c:pt>
                <c:pt idx="2">
                  <c:v>Anul 2017</c:v>
                </c:pt>
              </c:strCache>
            </c:strRef>
          </c:cat>
          <c:val>
            <c:numRef>
              <c:f>Sheet1!$B$2:$B$4</c:f>
              <c:numCache>
                <c:formatCode>0.0</c:formatCode>
                <c:ptCount val="3"/>
                <c:pt idx="0">
                  <c:v>220.1</c:v>
                </c:pt>
                <c:pt idx="1">
                  <c:v>236.7</c:v>
                </c:pt>
                <c:pt idx="2">
                  <c:v>273.2</c:v>
                </c:pt>
              </c:numCache>
            </c:numRef>
          </c:val>
          <c:extLst xmlns:c16r2="http://schemas.microsoft.com/office/drawing/2015/06/chart">
            <c:ext xmlns:c16="http://schemas.microsoft.com/office/drawing/2014/chart" uri="{C3380CC4-5D6E-409C-BE32-E72D297353CC}">
              <c16:uniqueId val="{00000000-DF58-4F20-B8B8-0E7B136B7C2D}"/>
            </c:ext>
          </c:extLst>
        </c:ser>
        <c:ser>
          <c:idx val="1"/>
          <c:order val="1"/>
          <c:tx>
            <c:strRef>
              <c:f>Sheet1!$C$1</c:f>
              <c:strCache>
                <c:ptCount val="1"/>
                <c:pt idx="0">
                  <c:v>Accize</c:v>
                </c:pt>
              </c:strCache>
            </c:strRef>
          </c:tx>
          <c:spPr>
            <a:solidFill>
              <a:schemeClr val="accent2"/>
            </a:solidFill>
            <a:ln>
              <a:noFill/>
            </a:ln>
            <a:effectLst/>
          </c:spPr>
          <c:dLbls>
            <c:spPr>
              <a:noFill/>
              <a:ln>
                <a:noFill/>
              </a:ln>
              <a:effectLst/>
            </c:spPr>
            <c:txPr>
              <a:bodyPr rot="-5400000" spcFirstLastPara="1" vertOverflow="ellipsis" wrap="square" lIns="38100" tIns="19050" rIns="38100" bIns="19050" anchor="ctr" anchorCtr="1">
                <a:spAutoFit/>
              </a:bodyPr>
              <a:lstStyle/>
              <a:p>
                <a:pPr>
                  <a:defRPr lang="ru-RU"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Anul 2015</c:v>
                </c:pt>
                <c:pt idx="1">
                  <c:v>Anul 2016</c:v>
                </c:pt>
                <c:pt idx="2">
                  <c:v>Anul 2017</c:v>
                </c:pt>
              </c:strCache>
            </c:strRef>
          </c:cat>
          <c:val>
            <c:numRef>
              <c:f>Sheet1!$C$2:$C$4</c:f>
              <c:numCache>
                <c:formatCode>0.0</c:formatCode>
                <c:ptCount val="3"/>
                <c:pt idx="0">
                  <c:v>11.7</c:v>
                </c:pt>
                <c:pt idx="1">
                  <c:v>12.2</c:v>
                </c:pt>
                <c:pt idx="2">
                  <c:v>12.4</c:v>
                </c:pt>
              </c:numCache>
            </c:numRef>
          </c:val>
          <c:extLst xmlns:c16r2="http://schemas.microsoft.com/office/drawing/2015/06/chart">
            <c:ext xmlns:c16="http://schemas.microsoft.com/office/drawing/2014/chart" uri="{C3380CC4-5D6E-409C-BE32-E72D297353CC}">
              <c16:uniqueId val="{00000001-DF58-4F20-B8B8-0E7B136B7C2D}"/>
            </c:ext>
          </c:extLst>
        </c:ser>
        <c:ser>
          <c:idx val="2"/>
          <c:order val="2"/>
          <c:tx>
            <c:strRef>
              <c:f>Sheet1!$D$1</c:f>
              <c:strCache>
                <c:ptCount val="1"/>
                <c:pt idx="0">
                  <c:v>Taxe vamale</c:v>
                </c:pt>
              </c:strCache>
            </c:strRef>
          </c:tx>
          <c:spPr>
            <a:solidFill>
              <a:schemeClr val="accent3"/>
            </a:solidFill>
            <a:ln>
              <a:noFill/>
            </a:ln>
            <a:effectLst/>
          </c:spPr>
          <c:dLbls>
            <c:spPr>
              <a:noFill/>
              <a:ln>
                <a:noFill/>
              </a:ln>
              <a:effectLst/>
            </c:spPr>
            <c:txPr>
              <a:bodyPr rot="-5400000" spcFirstLastPara="1" vertOverflow="ellipsis" wrap="square" lIns="38100" tIns="19050" rIns="38100" bIns="19050" anchor="ctr" anchorCtr="1">
                <a:spAutoFit/>
              </a:bodyPr>
              <a:lstStyle/>
              <a:p>
                <a:pPr>
                  <a:defRPr lang="ru-RU"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Anul 2015</c:v>
                </c:pt>
                <c:pt idx="1">
                  <c:v>Anul 2016</c:v>
                </c:pt>
                <c:pt idx="2">
                  <c:v>Anul 2017</c:v>
                </c:pt>
              </c:strCache>
            </c:strRef>
          </c:cat>
          <c:val>
            <c:numRef>
              <c:f>Sheet1!$D$2:$D$4</c:f>
              <c:numCache>
                <c:formatCode>0.0</c:formatCode>
                <c:ptCount val="3"/>
                <c:pt idx="0">
                  <c:v>40.5</c:v>
                </c:pt>
                <c:pt idx="1">
                  <c:v>41.4</c:v>
                </c:pt>
                <c:pt idx="2">
                  <c:v>48.8</c:v>
                </c:pt>
              </c:numCache>
            </c:numRef>
          </c:val>
          <c:extLst xmlns:c16r2="http://schemas.microsoft.com/office/drawing/2015/06/chart">
            <c:ext xmlns:c16="http://schemas.microsoft.com/office/drawing/2014/chart" uri="{C3380CC4-5D6E-409C-BE32-E72D297353CC}">
              <c16:uniqueId val="{00000002-DF58-4F20-B8B8-0E7B136B7C2D}"/>
            </c:ext>
          </c:extLst>
        </c:ser>
        <c:ser>
          <c:idx val="3"/>
          <c:order val="3"/>
          <c:tx>
            <c:strRef>
              <c:f>Sheet1!$E$1</c:f>
              <c:strCache>
                <c:ptCount val="1"/>
                <c:pt idx="0">
                  <c:v>Amenzi</c:v>
                </c:pt>
              </c:strCache>
            </c:strRef>
          </c:tx>
          <c:spPr>
            <a:solidFill>
              <a:schemeClr val="accent4"/>
            </a:solidFill>
            <a:ln>
              <a:noFill/>
            </a:ln>
            <a:effectLst/>
          </c:spPr>
          <c:dLbls>
            <c:spPr>
              <a:noFill/>
              <a:ln>
                <a:noFill/>
              </a:ln>
              <a:effectLst/>
            </c:spPr>
            <c:txPr>
              <a:bodyPr rot="-5400000" spcFirstLastPara="1" vertOverflow="ellipsis" wrap="square" lIns="38100" tIns="19050" rIns="38100" bIns="19050" anchor="ctr" anchorCtr="1">
                <a:spAutoFit/>
              </a:bodyPr>
              <a:lstStyle/>
              <a:p>
                <a:pPr>
                  <a:defRPr lang="ru-RU"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Anul 2015</c:v>
                </c:pt>
                <c:pt idx="1">
                  <c:v>Anul 2016</c:v>
                </c:pt>
                <c:pt idx="2">
                  <c:v>Anul 2017</c:v>
                </c:pt>
              </c:strCache>
            </c:strRef>
          </c:cat>
          <c:val>
            <c:numRef>
              <c:f>Sheet1!$E$2:$E$4</c:f>
              <c:numCache>
                <c:formatCode>0.0</c:formatCode>
                <c:ptCount val="3"/>
                <c:pt idx="0">
                  <c:v>33</c:v>
                </c:pt>
                <c:pt idx="1">
                  <c:v>27.2</c:v>
                </c:pt>
                <c:pt idx="2">
                  <c:v>49</c:v>
                </c:pt>
              </c:numCache>
            </c:numRef>
          </c:val>
          <c:extLst xmlns:c16r2="http://schemas.microsoft.com/office/drawing/2015/06/chart">
            <c:ext xmlns:c16="http://schemas.microsoft.com/office/drawing/2014/chart" uri="{C3380CC4-5D6E-409C-BE32-E72D297353CC}">
              <c16:uniqueId val="{00000003-DF58-4F20-B8B8-0E7B136B7C2D}"/>
            </c:ext>
          </c:extLst>
        </c:ser>
        <c:ser>
          <c:idx val="4"/>
          <c:order val="4"/>
          <c:tx>
            <c:strRef>
              <c:f>Sheet1!$F$1</c:f>
              <c:strCache>
                <c:ptCount val="1"/>
                <c:pt idx="0">
                  <c:v>Taxe pentru proceduri vamale</c:v>
                </c:pt>
              </c:strCache>
            </c:strRef>
          </c:tx>
          <c:spPr>
            <a:solidFill>
              <a:schemeClr val="accent5"/>
            </a:solidFill>
            <a:ln>
              <a:noFill/>
            </a:ln>
            <a:effectLst/>
          </c:spPr>
          <c:dLbls>
            <c:spPr>
              <a:noFill/>
              <a:ln>
                <a:noFill/>
              </a:ln>
              <a:effectLst/>
            </c:spPr>
            <c:txPr>
              <a:bodyPr rot="-5400000" spcFirstLastPara="1" vertOverflow="ellipsis" wrap="square" lIns="38100" tIns="19050" rIns="38100" bIns="19050" anchor="ctr" anchorCtr="1">
                <a:spAutoFit/>
              </a:bodyPr>
              <a:lstStyle/>
              <a:p>
                <a:pPr>
                  <a:defRPr lang="ru-RU"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Anul 2015</c:v>
                </c:pt>
                <c:pt idx="1">
                  <c:v>Anul 2016</c:v>
                </c:pt>
                <c:pt idx="2">
                  <c:v>Anul 2017</c:v>
                </c:pt>
              </c:strCache>
            </c:strRef>
          </c:cat>
          <c:val>
            <c:numRef>
              <c:f>Sheet1!$F$2:$F$4</c:f>
              <c:numCache>
                <c:formatCode>0.0</c:formatCode>
                <c:ptCount val="3"/>
                <c:pt idx="0">
                  <c:v>1.9000000000000001</c:v>
                </c:pt>
                <c:pt idx="1">
                  <c:v>2</c:v>
                </c:pt>
                <c:pt idx="2">
                  <c:v>2.4</c:v>
                </c:pt>
              </c:numCache>
            </c:numRef>
          </c:val>
          <c:extLst xmlns:c16r2="http://schemas.microsoft.com/office/drawing/2015/06/chart">
            <c:ext xmlns:c16="http://schemas.microsoft.com/office/drawing/2014/chart" uri="{C3380CC4-5D6E-409C-BE32-E72D297353CC}">
              <c16:uniqueId val="{00000004-DF58-4F20-B8B8-0E7B136B7C2D}"/>
            </c:ext>
          </c:extLst>
        </c:ser>
        <c:dLbls>
          <c:showVal val="1"/>
        </c:dLbls>
        <c:gapWidth val="219"/>
        <c:overlap val="-27"/>
        <c:axId val="159325568"/>
        <c:axId val="159356032"/>
      </c:barChart>
      <c:catAx>
        <c:axId val="159325568"/>
        <c:scaling>
          <c:orientation val="minMax"/>
        </c:scaling>
        <c:axPos val="b"/>
        <c:numFmt formatCode="General" sourceLinked="1"/>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1000" b="0" i="1"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59356032"/>
        <c:crosses val="autoZero"/>
        <c:auto val="1"/>
        <c:lblAlgn val="ctr"/>
        <c:lblOffset val="100"/>
      </c:catAx>
      <c:valAx>
        <c:axId val="159356032"/>
        <c:scaling>
          <c:orientation val="minMax"/>
        </c:scaling>
        <c:axPos val="l"/>
        <c:majorGridlines>
          <c:spPr>
            <a:ln w="9525" cap="flat" cmpd="sng" algn="ctr">
              <a:solidFill>
                <a:schemeClr val="tx1">
                  <a:lumMod val="15000"/>
                  <a:lumOff val="85000"/>
                </a:schemeClr>
              </a:solidFill>
              <a:round/>
            </a:ln>
            <a:effectLst/>
          </c:spPr>
        </c:majorGridlines>
        <c:numFmt formatCode="0.0" sourceLinked="1"/>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en-US"/>
          </a:p>
        </c:txPr>
        <c:crossAx val="159325568"/>
        <c:crosses val="autoZero"/>
        <c:crossBetween val="between"/>
      </c:valAx>
      <c:spPr>
        <a:noFill/>
        <a:ln>
          <a:noFill/>
        </a:ln>
        <a:effectLst/>
      </c:spPr>
    </c:plotArea>
    <c:legend>
      <c:legendPos val="b"/>
      <c:layout>
        <c:manualLayout>
          <c:xMode val="edge"/>
          <c:yMode val="edge"/>
          <c:x val="0.12917274905854148"/>
          <c:y val="0.90557310143924308"/>
          <c:w val="0.83892117857296133"/>
          <c:h val="6.6796097603184251E-2"/>
        </c:manualLayout>
      </c:layout>
      <c:spPr>
        <a:noFill/>
        <a:ln>
          <a:noFill/>
        </a:ln>
        <a:effectLst/>
      </c:spPr>
      <c:txPr>
        <a:bodyPr rot="0" spcFirstLastPara="1" vertOverflow="ellipsis" vert="horz" wrap="square" anchor="ctr" anchorCtr="1"/>
        <a:lstStyle/>
        <a:p>
          <a:pPr>
            <a:defRPr lang="ru-RU"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userShapes r:id="rId3"/>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n-GB"/>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ru-RU" sz="1400" b="0" i="1"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x-none" sz="1200" b="1" i="0">
                <a:solidFill>
                  <a:sysClr val="windowText" lastClr="000000"/>
                </a:solidFill>
                <a:latin typeface="Times New Roman" panose="02020603050405020304" pitchFamily="18" charset="0"/>
                <a:cs typeface="Times New Roman" panose="02020603050405020304" pitchFamily="18" charset="0"/>
              </a:rPr>
              <a:t>Evoluția încasărilor în baza deciziilor de regularizare emise de către organele vamale</a:t>
            </a:r>
            <a:r>
              <a:rPr lang="x-none" sz="1200" b="1" i="0" baseline="0">
                <a:solidFill>
                  <a:sysClr val="windowText" lastClr="000000"/>
                </a:solidFill>
                <a:latin typeface="Times New Roman" panose="02020603050405020304" pitchFamily="18" charset="0"/>
                <a:cs typeface="Times New Roman" panose="02020603050405020304" pitchFamily="18" charset="0"/>
              </a:rPr>
              <a:t> în perioada anilor </a:t>
            </a:r>
            <a:r>
              <a:rPr lang="x-none" sz="1200" b="1" i="0">
                <a:solidFill>
                  <a:sysClr val="windowText" lastClr="000000"/>
                </a:solidFill>
                <a:latin typeface="Times New Roman" panose="02020603050405020304" pitchFamily="18" charset="0"/>
                <a:cs typeface="Times New Roman" panose="02020603050405020304" pitchFamily="18" charset="0"/>
              </a:rPr>
              <a:t>2015-2017  </a:t>
            </a:r>
            <a:endParaRPr lang="en-US" sz="1200" b="1" i="0">
              <a:solidFill>
                <a:sysClr val="windowText" lastClr="000000"/>
              </a:solidFill>
              <a:latin typeface="Times New Roman" panose="02020603050405020304" pitchFamily="18" charset="0"/>
              <a:cs typeface="Times New Roman" panose="02020603050405020304" pitchFamily="18" charset="0"/>
            </a:endParaRPr>
          </a:p>
        </c:rich>
      </c:tx>
      <c:spPr>
        <a:noFill/>
        <a:ln>
          <a:noFill/>
        </a:ln>
        <a:effectLst/>
      </c:spPr>
    </c:title>
    <c:plotArea>
      <c:layout/>
      <c:lineChart>
        <c:grouping val="standard"/>
        <c:ser>
          <c:idx val="0"/>
          <c:order val="0"/>
          <c:tx>
            <c:strRef>
              <c:f>Sheet1!$B$1</c:f>
              <c:strCache>
                <c:ptCount val="1"/>
                <c:pt idx="0">
                  <c:v>Suma calculată spre încasare</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lang="ru-RU"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t"/>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Anul 2015</c:v>
                </c:pt>
                <c:pt idx="1">
                  <c:v>Anul 2016</c:v>
                </c:pt>
                <c:pt idx="2">
                  <c:v>Anul 2017</c:v>
                </c:pt>
              </c:strCache>
            </c:strRef>
          </c:cat>
          <c:val>
            <c:numRef>
              <c:f>Sheet1!$B$2:$B$4</c:f>
              <c:numCache>
                <c:formatCode>0.0</c:formatCode>
                <c:ptCount val="3"/>
                <c:pt idx="0">
                  <c:v>41.5</c:v>
                </c:pt>
                <c:pt idx="1">
                  <c:v>59.3</c:v>
                </c:pt>
                <c:pt idx="2">
                  <c:v>81.400000000000006</c:v>
                </c:pt>
              </c:numCache>
            </c:numRef>
          </c:val>
          <c:extLst xmlns:c16r2="http://schemas.microsoft.com/office/drawing/2015/06/chart">
            <c:ext xmlns:c16="http://schemas.microsoft.com/office/drawing/2014/chart" uri="{C3380CC4-5D6E-409C-BE32-E72D297353CC}">
              <c16:uniqueId val="{00000000-DA6D-42ED-AED5-BEC042890289}"/>
            </c:ext>
          </c:extLst>
        </c:ser>
        <c:ser>
          <c:idx val="1"/>
          <c:order val="1"/>
          <c:tx>
            <c:strRef>
              <c:f>Sheet1!$C$1</c:f>
              <c:strCache>
                <c:ptCount val="1"/>
                <c:pt idx="0">
                  <c:v>Suma încasată</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lang="ru-RU"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t"/>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Anul 2015</c:v>
                </c:pt>
                <c:pt idx="1">
                  <c:v>Anul 2016</c:v>
                </c:pt>
                <c:pt idx="2">
                  <c:v>Anul 2017</c:v>
                </c:pt>
              </c:strCache>
            </c:strRef>
          </c:cat>
          <c:val>
            <c:numRef>
              <c:f>Sheet1!$C$2:$C$4</c:f>
              <c:numCache>
                <c:formatCode>0.0</c:formatCode>
                <c:ptCount val="3"/>
                <c:pt idx="0">
                  <c:v>18.899999999999999</c:v>
                </c:pt>
                <c:pt idx="1">
                  <c:v>23.9</c:v>
                </c:pt>
                <c:pt idx="2">
                  <c:v>36</c:v>
                </c:pt>
              </c:numCache>
            </c:numRef>
          </c:val>
          <c:extLst xmlns:c16r2="http://schemas.microsoft.com/office/drawing/2015/06/chart">
            <c:ext xmlns:c16="http://schemas.microsoft.com/office/drawing/2014/chart" uri="{C3380CC4-5D6E-409C-BE32-E72D297353CC}">
              <c16:uniqueId val="{00000001-DA6D-42ED-AED5-BEC042890289}"/>
            </c:ext>
          </c:extLst>
        </c:ser>
        <c:dLbls>
          <c:showVal val="1"/>
        </c:dLbls>
        <c:marker val="1"/>
        <c:axId val="159525120"/>
        <c:axId val="159535104"/>
      </c:lineChart>
      <c:catAx>
        <c:axId val="15952512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59535104"/>
        <c:crosses val="autoZero"/>
        <c:auto val="1"/>
        <c:lblAlgn val="ctr"/>
        <c:lblOffset val="100"/>
      </c:catAx>
      <c:valAx>
        <c:axId val="159535104"/>
        <c:scaling>
          <c:orientation val="minMax"/>
        </c:scaling>
        <c:axPos val="l"/>
        <c:majorGridlines>
          <c:spPr>
            <a:ln w="9525" cap="flat" cmpd="sng" algn="ctr">
              <a:solidFill>
                <a:schemeClr val="tx1">
                  <a:lumMod val="15000"/>
                  <a:lumOff val="85000"/>
                </a:schemeClr>
              </a:solidFill>
              <a:round/>
            </a:ln>
            <a:effectLst/>
          </c:spPr>
        </c:majorGridlines>
        <c:numFmt formatCode="0.0" sourceLinked="1"/>
        <c:majorTickMark val="none"/>
        <c:tickLblPos val="nextTo"/>
        <c:spPr>
          <a:noFill/>
          <a:ln>
            <a:noFill/>
          </a:ln>
          <a:effectLst/>
        </c:spPr>
        <c:txPr>
          <a:bodyPr rot="-60000000" spcFirstLastPara="1" vertOverflow="ellipsis" vert="horz" wrap="square" anchor="ctr" anchorCtr="1"/>
          <a:lstStyle/>
          <a:p>
            <a:pPr>
              <a:defRPr lang="ru-RU"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59525120"/>
        <c:crosses val="autoZero"/>
        <c:crossBetween val="between"/>
      </c:valAx>
      <c:spPr>
        <a:gradFill>
          <a:gsLst>
            <a:gs pos="60000">
              <a:schemeClr val="accent1">
                <a:alpha val="96000"/>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0"/>
        </a:gradFill>
        <a:ln>
          <a:noFill/>
        </a:ln>
        <a:effectLst/>
      </c:spPr>
    </c:plotArea>
    <c:legend>
      <c:legendPos val="b"/>
      <c:spPr>
        <a:noFill/>
        <a:ln>
          <a:noFill/>
        </a:ln>
        <a:effectLst/>
      </c:spPr>
      <c:txPr>
        <a:bodyPr rot="0" spcFirstLastPara="1" vertOverflow="ellipsis" vert="horz" wrap="square" anchor="ctr" anchorCtr="1"/>
        <a:lstStyle/>
        <a:p>
          <a:pPr>
            <a:defRPr lang="ru-RU"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lang val="en-GB"/>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lang="ru-RU" sz="1200" b="1" i="1" u="none" strike="noStrike" kern="1200" cap="none" spc="5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r>
              <a:rPr lang="x-none" sz="1200" b="1" i="0">
                <a:solidFill>
                  <a:schemeClr val="tx1"/>
                </a:solidFill>
                <a:latin typeface="Times New Roman" panose="02020603050405020304" pitchFamily="18" charset="0"/>
                <a:cs typeface="Times New Roman" panose="02020603050405020304" pitchFamily="18" charset="0"/>
              </a:rPr>
              <a:t>Ponderea încasărilor administrate de SFS</a:t>
            </a:r>
            <a:r>
              <a:rPr lang="x-none" sz="1200" b="1" i="0">
                <a:solidFill>
                  <a:sysClr val="windowText" lastClr="000000"/>
                </a:solidFill>
                <a:latin typeface="Times New Roman" panose="02020603050405020304" pitchFamily="18" charset="0"/>
                <a:cs typeface="Times New Roman" panose="02020603050405020304" pitchFamily="18" charset="0"/>
              </a:rPr>
              <a:t> </a:t>
            </a:r>
            <a:r>
              <a:rPr lang="x-none" sz="1200" b="1" i="0">
                <a:solidFill>
                  <a:schemeClr val="tx1"/>
                </a:solidFill>
                <a:latin typeface="Times New Roman" panose="02020603050405020304" pitchFamily="18" charset="0"/>
                <a:cs typeface="Times New Roman" panose="02020603050405020304" pitchFamily="18" charset="0"/>
              </a:rPr>
              <a:t>și SV în BPN</a:t>
            </a:r>
          </a:p>
          <a:p>
            <a:pPr algn="ctr">
              <a:defRPr lang="ru-RU" sz="1200" b="1" i="1" u="none" strike="noStrike" kern="1200" cap="none" spc="5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r>
              <a:rPr lang="x-none" sz="1200" b="1" i="0">
                <a:solidFill>
                  <a:schemeClr val="tx1"/>
                </a:solidFill>
                <a:latin typeface="Times New Roman" panose="02020603050405020304" pitchFamily="18" charset="0"/>
                <a:cs typeface="Times New Roman" panose="02020603050405020304" pitchFamily="18" charset="0"/>
              </a:rPr>
              <a:t> pentru perioada anilor 2015-2017</a:t>
            </a:r>
            <a:endParaRPr lang="en-US" sz="1200" b="1" i="0">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0.10358416125557371"/>
          <c:y val="1.5325670498084297E-2"/>
        </c:manualLayout>
      </c:layout>
      <c:spPr>
        <a:gradFill>
          <a:gsLst>
            <a:gs pos="0">
              <a:srgbClr val="5B9BD5">
                <a:lumMod val="20000"/>
                <a:lumOff val="80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ln>
          <a:gradFill flip="none" rotWithShape="1">
            <a:gsLst>
              <a:gs pos="0">
                <a:srgbClr val="44546A">
                  <a:lumMod val="20000"/>
                  <a:lumOff val="80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tileRect/>
          </a:gradFill>
        </a:ln>
        <a:effectLst/>
      </c:spPr>
    </c:title>
    <c:plotArea>
      <c:layout>
        <c:manualLayout>
          <c:layoutTarget val="inner"/>
          <c:xMode val="edge"/>
          <c:yMode val="edge"/>
          <c:x val="3.3707865168539339E-2"/>
          <c:y val="0.13866666666666669"/>
          <c:w val="0.93133583021223487"/>
          <c:h val="0.66133333333333355"/>
        </c:manualLayout>
      </c:layout>
      <c:barChart>
        <c:barDir val="col"/>
        <c:grouping val="clustered"/>
        <c:ser>
          <c:idx val="1"/>
          <c:order val="1"/>
          <c:tx>
            <c:strRef>
              <c:f>Лист1!$C$1</c:f>
              <c:strCache>
                <c:ptCount val="1"/>
                <c:pt idx="0">
                  <c:v>BPN</c:v>
                </c:pt>
              </c:strCache>
            </c:strRef>
          </c:tx>
          <c:spPr>
            <a:solidFill>
              <a:schemeClr val="accent2">
                <a:lumMod val="75000"/>
                <a:alpha val="70000"/>
              </a:schemeClr>
            </a:solidFill>
            <a:ln>
              <a:noFill/>
            </a:ln>
            <a:effectLst/>
          </c:spPr>
          <c:dLbls>
            <c:dLbl>
              <c:idx val="0"/>
              <c:layout>
                <c:manualLayout>
                  <c:x val="-1.9059720457433298E-2"/>
                  <c:y val="9.1954022988505746E-2"/>
                </c:manualLayout>
              </c:layout>
              <c:dLblPos val="outEnd"/>
              <c:showVal val="1"/>
              <c:extLst xmlns:c16r2="http://schemas.microsoft.com/office/drawing/2015/06/chart">
                <c:ext xmlns:c16="http://schemas.microsoft.com/office/drawing/2014/chart" uri="{C3380CC4-5D6E-409C-BE32-E72D297353CC}">
                  <c16:uniqueId val="{00000000-A097-41F8-AA9A-5CE90D33FCD2}"/>
                </c:ext>
                <c:ext xmlns:c15="http://schemas.microsoft.com/office/drawing/2012/chart" uri="{CE6537A1-D6FC-4f65-9D91-7224C49458BB}"/>
              </c:extLst>
            </c:dLbl>
            <c:dLbl>
              <c:idx val="1"/>
              <c:layout>
                <c:manualLayout>
                  <c:x val="-1.270648030495553E-2"/>
                  <c:y val="9.1954022988505746E-2"/>
                </c:manualLayout>
              </c:layout>
              <c:dLblPos val="outEnd"/>
              <c:showVal val="1"/>
              <c:extLst xmlns:c16r2="http://schemas.microsoft.com/office/drawing/2015/06/chart">
                <c:ext xmlns:c16="http://schemas.microsoft.com/office/drawing/2014/chart" uri="{C3380CC4-5D6E-409C-BE32-E72D297353CC}">
                  <c16:uniqueId val="{00000001-A097-41F8-AA9A-5CE90D33FCD2}"/>
                </c:ext>
                <c:ext xmlns:c15="http://schemas.microsoft.com/office/drawing/2012/chart" uri="{CE6537A1-D6FC-4f65-9D91-7224C49458BB}"/>
              </c:extLst>
            </c:dLbl>
            <c:dLbl>
              <c:idx val="2"/>
              <c:layout>
                <c:manualLayout>
                  <c:x val="-1.6941973739940708E-2"/>
                  <c:y val="8.8122605363984724E-2"/>
                </c:manualLayout>
              </c:layout>
              <c:dLblPos val="outEnd"/>
              <c:showVal val="1"/>
              <c:extLst xmlns:c16r2="http://schemas.microsoft.com/office/drawing/2015/06/chart">
                <c:ext xmlns:c16="http://schemas.microsoft.com/office/drawing/2014/chart" uri="{C3380CC4-5D6E-409C-BE32-E72D297353CC}">
                  <c16:uniqueId val="{00000002-A097-41F8-AA9A-5CE90D33FCD2}"/>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ru-RU" sz="12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Лист1!$A$2:$A$4</c:f>
              <c:strCache>
                <c:ptCount val="3"/>
                <c:pt idx="0">
                  <c:v>Anul 2015</c:v>
                </c:pt>
                <c:pt idx="1">
                  <c:v>Anul 2016</c:v>
                </c:pt>
                <c:pt idx="2">
                  <c:v>Anul 2017</c:v>
                </c:pt>
              </c:strCache>
            </c:strRef>
          </c:cat>
          <c:val>
            <c:numRef>
              <c:f>Лист1!$C$2:$C$4</c:f>
              <c:numCache>
                <c:formatCode>0.0</c:formatCode>
                <c:ptCount val="3"/>
                <c:pt idx="0">
                  <c:v>43.7</c:v>
                </c:pt>
                <c:pt idx="1">
                  <c:v>46</c:v>
                </c:pt>
                <c:pt idx="2">
                  <c:v>53.4</c:v>
                </c:pt>
              </c:numCache>
            </c:numRef>
          </c:val>
          <c:extLst xmlns:c16r2="http://schemas.microsoft.com/office/drawing/2015/06/chart">
            <c:ext xmlns:c16="http://schemas.microsoft.com/office/drawing/2014/chart" uri="{C3380CC4-5D6E-409C-BE32-E72D297353CC}">
              <c16:uniqueId val="{00000003-A097-41F8-AA9A-5CE90D33FCD2}"/>
            </c:ext>
          </c:extLst>
        </c:ser>
        <c:ser>
          <c:idx val="2"/>
          <c:order val="2"/>
          <c:tx>
            <c:strRef>
              <c:f>Лист1!$D$1</c:f>
              <c:strCache>
                <c:ptCount val="1"/>
                <c:pt idx="0">
                  <c:v>Încasările în BPN administrate de SFS și SV</c:v>
                </c:pt>
              </c:strCache>
            </c:strRef>
          </c:tx>
          <c:spPr>
            <a:solidFill>
              <a:srgbClr val="FF0000"/>
            </a:solidFill>
            <a:ln>
              <a:noFill/>
            </a:ln>
            <a:effectLst/>
          </c:spPr>
          <c:dLbls>
            <c:dLbl>
              <c:idx val="0"/>
              <c:layout>
                <c:manualLayout>
                  <c:x val="-1.9412453989357078E-17"/>
                  <c:y val="9.9610221136151131E-2"/>
                </c:manualLayout>
              </c:layout>
              <c:dLblPos val="outEnd"/>
              <c:showVal val="1"/>
              <c:extLst xmlns:c16r2="http://schemas.microsoft.com/office/drawing/2015/06/chart">
                <c:ext xmlns:c16="http://schemas.microsoft.com/office/drawing/2014/chart" uri="{C3380CC4-5D6E-409C-BE32-E72D297353CC}">
                  <c16:uniqueId val="{00000004-A097-41F8-AA9A-5CE90D33FCD2}"/>
                </c:ext>
                <c:ext xmlns:c15="http://schemas.microsoft.com/office/drawing/2012/chart" uri="{CE6537A1-D6FC-4f65-9D91-7224C49458BB}"/>
              </c:extLst>
            </c:dLbl>
            <c:dLbl>
              <c:idx val="1"/>
              <c:layout>
                <c:manualLayout>
                  <c:x val="0"/>
                  <c:y val="0.10143512233384613"/>
                </c:manualLayout>
              </c:layout>
              <c:dLblPos val="outEnd"/>
              <c:showVal val="1"/>
              <c:extLst xmlns:c16r2="http://schemas.microsoft.com/office/drawing/2015/06/chart">
                <c:ext xmlns:c16="http://schemas.microsoft.com/office/drawing/2014/chart" uri="{C3380CC4-5D6E-409C-BE32-E72D297353CC}">
                  <c16:uniqueId val="{00000005-A097-41F8-AA9A-5CE90D33FCD2}"/>
                </c:ext>
                <c:ext xmlns:c15="http://schemas.microsoft.com/office/drawing/2012/chart" uri="{CE6537A1-D6FC-4f65-9D91-7224C49458BB}"/>
              </c:extLst>
            </c:dLbl>
            <c:dLbl>
              <c:idx val="2"/>
              <c:layout>
                <c:manualLayout>
                  <c:x val="2.117746717492589E-3"/>
                  <c:y val="9.7603704709325043E-2"/>
                </c:manualLayout>
              </c:layout>
              <c:dLblPos val="outEnd"/>
              <c:showVal val="1"/>
              <c:extLst xmlns:c16r2="http://schemas.microsoft.com/office/drawing/2015/06/chart">
                <c:ext xmlns:c16="http://schemas.microsoft.com/office/drawing/2014/chart" uri="{C3380CC4-5D6E-409C-BE32-E72D297353CC}">
                  <c16:uniqueId val="{00000006-A097-41F8-AA9A-5CE90D33FCD2}"/>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ru-RU" sz="12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Лист1!$A$2:$A$4</c:f>
              <c:strCache>
                <c:ptCount val="3"/>
                <c:pt idx="0">
                  <c:v>Anul 2015</c:v>
                </c:pt>
                <c:pt idx="1">
                  <c:v>Anul 2016</c:v>
                </c:pt>
                <c:pt idx="2">
                  <c:v>Anul 2017</c:v>
                </c:pt>
              </c:strCache>
            </c:strRef>
          </c:cat>
          <c:val>
            <c:numRef>
              <c:f>Лист1!$D$2:$D$4</c:f>
              <c:numCache>
                <c:formatCode>0.0</c:formatCode>
                <c:ptCount val="3"/>
                <c:pt idx="0">
                  <c:v>38.6</c:v>
                </c:pt>
                <c:pt idx="1">
                  <c:v>42.3</c:v>
                </c:pt>
                <c:pt idx="2">
                  <c:v>50.3</c:v>
                </c:pt>
              </c:numCache>
            </c:numRef>
          </c:val>
          <c:extLst xmlns:c16r2="http://schemas.microsoft.com/office/drawing/2015/06/chart">
            <c:ext xmlns:c16="http://schemas.microsoft.com/office/drawing/2014/chart" uri="{C3380CC4-5D6E-409C-BE32-E72D297353CC}">
              <c16:uniqueId val="{00000007-A097-41F8-AA9A-5CE90D33FCD2}"/>
            </c:ext>
          </c:extLst>
        </c:ser>
        <c:dLbls>
          <c:showVal val="1"/>
        </c:dLbls>
        <c:gapWidth val="80"/>
        <c:overlap val="25"/>
        <c:axId val="210464128"/>
        <c:axId val="210486400"/>
      </c:barChart>
      <c:barChart>
        <c:barDir val="col"/>
        <c:grouping val="clustered"/>
        <c:ser>
          <c:idx val="0"/>
          <c:order val="0"/>
          <c:tx>
            <c:strRef>
              <c:f>Лист1!$B$1</c:f>
              <c:strCache>
                <c:ptCount val="1"/>
                <c:pt idx="0">
                  <c:v>Ponderea în BPN a încasărilor administrate de SFS și SV (%)</c:v>
                </c:pt>
              </c:strCache>
            </c:strRef>
          </c:tx>
          <c:spPr>
            <a:pattFill prst="sphere">
              <a:fgClr>
                <a:sysClr val="windowText" lastClr="000000"/>
              </a:fgClr>
              <a:bgClr>
                <a:sysClr val="window" lastClr="FFFFFF"/>
              </a:bgClr>
            </a:pattFill>
            <a:ln>
              <a:gradFill>
                <a:gsLst>
                  <a:gs pos="500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prstDash val="sysDot"/>
            </a:ln>
            <a:effectLst/>
          </c:spPr>
          <c:dLbls>
            <c:dLbl>
              <c:idx val="0"/>
              <c:layout>
                <c:manualLayout>
                  <c:x val="8.3375855009687114E-8"/>
                  <c:y val="1.9160104986876648E-3"/>
                </c:manualLayout>
              </c:layout>
              <c:spPr>
                <a:noFill/>
                <a:ln>
                  <a:noFill/>
                </a:ln>
                <a:effectLst/>
              </c:spPr>
              <c:txPr>
                <a:bodyPr rot="0" spcFirstLastPara="1" vertOverflow="ellipsis" vert="horz" wrap="square" lIns="38100" tIns="19050" rIns="38100" bIns="19050" anchor="ctr" anchorCtr="1">
                  <a:noAutofit/>
                </a:bodyPr>
                <a:lstStyle/>
                <a:p>
                  <a:pPr>
                    <a:defRPr lang="ru-RU" sz="1200" b="1" i="1"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dLblPos val="outEnd"/>
              <c:showVal val="1"/>
              <c:extLst xmlns:c16r2="http://schemas.microsoft.com/office/drawing/2015/06/chart">
                <c:ext xmlns:c16="http://schemas.microsoft.com/office/drawing/2014/chart" uri="{C3380CC4-5D6E-409C-BE32-E72D297353CC}">
                  <c16:uniqueId val="{00000008-A097-41F8-AA9A-5CE90D33FCD2}"/>
                </c:ext>
                <c:ext xmlns:c15="http://schemas.microsoft.com/office/drawing/2012/chart" uri="{CE6537A1-D6FC-4f65-9D91-7224C49458BB}">
                  <c15:layout>
                    <c:manualLayout>
                      <c:w val="0.15181059006760111"/>
                      <c:h val="9.7432950191570875E-2"/>
                    </c:manualLayout>
                  </c15:layout>
                </c:ext>
              </c:extLst>
            </c:dLbl>
            <c:dLbl>
              <c:idx val="1"/>
              <c:layout>
                <c:manualLayout>
                  <c:x val="-6.3530734007677279E-3"/>
                  <c:y val="1.9160104986876648E-3"/>
                </c:manualLayout>
              </c:layout>
              <c:spPr>
                <a:noFill/>
                <a:ln>
                  <a:noFill/>
                </a:ln>
                <a:effectLst/>
              </c:spPr>
              <c:txPr>
                <a:bodyPr rot="0" spcFirstLastPara="1" vertOverflow="ellipsis" vert="horz" wrap="square" lIns="38100" tIns="19050" rIns="38100" bIns="19050" anchor="ctr" anchorCtr="1">
                  <a:noAutofit/>
                </a:bodyPr>
                <a:lstStyle/>
                <a:p>
                  <a:pPr>
                    <a:defRPr lang="ru-RU" sz="1200" b="1" i="1"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dLblPos val="outEnd"/>
              <c:showVal val="1"/>
              <c:extLst xmlns:c16r2="http://schemas.microsoft.com/office/drawing/2015/06/chart">
                <c:ext xmlns:c16="http://schemas.microsoft.com/office/drawing/2014/chart" uri="{C3380CC4-5D6E-409C-BE32-E72D297353CC}">
                  <c16:uniqueId val="{00000009-A097-41F8-AA9A-5CE90D33FCD2}"/>
                </c:ext>
                <c:ext xmlns:c15="http://schemas.microsoft.com/office/drawing/2012/chart" uri="{CE6537A1-D6FC-4f65-9D91-7224C49458BB}">
                  <c15:layout>
                    <c:manualLayout>
                      <c:w val="0.13063312289267526"/>
                      <c:h val="8.2107279693486593E-2"/>
                    </c:manualLayout>
                  </c15:layout>
                </c:ext>
              </c:extLst>
            </c:dLbl>
            <c:dLbl>
              <c:idx val="2"/>
              <c:layout>
                <c:manualLayout>
                  <c:x val="5.2945335454415094E-3"/>
                  <c:y val="-3.8311159380939454E-3"/>
                </c:manualLayout>
              </c:layout>
              <c:dLblPos val="outEnd"/>
              <c:showVal val="1"/>
              <c:extLst xmlns:c16r2="http://schemas.microsoft.com/office/drawing/2015/06/chart">
                <c:ext xmlns:c16="http://schemas.microsoft.com/office/drawing/2014/chart" uri="{C3380CC4-5D6E-409C-BE32-E72D297353CC}">
                  <c16:uniqueId val="{0000000A-A097-41F8-AA9A-5CE90D33FCD2}"/>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ru-RU" sz="1200" b="1" i="1"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Лист1!$A$2:$A$4</c:f>
              <c:strCache>
                <c:ptCount val="3"/>
                <c:pt idx="0">
                  <c:v>Anul 2015</c:v>
                </c:pt>
                <c:pt idx="1">
                  <c:v>Anul 2016</c:v>
                </c:pt>
                <c:pt idx="2">
                  <c:v>Anul 2017</c:v>
                </c:pt>
              </c:strCache>
            </c:strRef>
          </c:cat>
          <c:val>
            <c:numRef>
              <c:f>Лист1!$B$2:$B$4</c:f>
              <c:numCache>
                <c:formatCode>0.0%</c:formatCode>
                <c:ptCount val="3"/>
                <c:pt idx="0">
                  <c:v>0.88300000000000001</c:v>
                </c:pt>
                <c:pt idx="1">
                  <c:v>0.92</c:v>
                </c:pt>
                <c:pt idx="2">
                  <c:v>0.94199999999999995</c:v>
                </c:pt>
              </c:numCache>
            </c:numRef>
          </c:val>
          <c:extLst xmlns:c16r2="http://schemas.microsoft.com/office/drawing/2015/06/chart">
            <c:ext xmlns:c16="http://schemas.microsoft.com/office/drawing/2014/chart" uri="{C3380CC4-5D6E-409C-BE32-E72D297353CC}">
              <c16:uniqueId val="{0000000B-A097-41F8-AA9A-5CE90D33FCD2}"/>
            </c:ext>
          </c:extLst>
        </c:ser>
        <c:gapWidth val="80"/>
        <c:overlap val="25"/>
        <c:axId val="210493824"/>
        <c:axId val="210487936"/>
      </c:barChart>
      <c:catAx>
        <c:axId val="210464128"/>
        <c:scaling>
          <c:orientation val="minMax"/>
        </c:scaling>
        <c:axPos val="b"/>
        <c:numFmt formatCode="General" sourceLinked="1"/>
        <c:maj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lang="ru-RU" sz="1200" b="1" i="0" u="none" strike="noStrike" kern="1200" cap="none" spc="20" normalizeH="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10486400"/>
        <c:crosses val="autoZero"/>
        <c:auto val="1"/>
        <c:lblAlgn val="ctr"/>
        <c:lblOffset val="100"/>
      </c:catAx>
      <c:valAx>
        <c:axId val="210486400"/>
        <c:scaling>
          <c:orientation val="minMax"/>
        </c:scaling>
        <c:delete val="1"/>
        <c:axPos val="l"/>
        <c:majorGridlines>
          <c:spPr>
            <a:ln w="9525" cap="flat" cmpd="sng" algn="ctr">
              <a:solidFill>
                <a:schemeClr val="tx1">
                  <a:lumMod val="5000"/>
                  <a:lumOff val="95000"/>
                </a:schemeClr>
              </a:solidFill>
              <a:round/>
            </a:ln>
            <a:effectLst/>
          </c:spPr>
        </c:majorGridlines>
        <c:numFmt formatCode="0.0" sourceLinked="1"/>
        <c:majorTickMark val="none"/>
        <c:tickLblPos val="nextTo"/>
        <c:crossAx val="210464128"/>
        <c:crosses val="autoZero"/>
        <c:crossBetween val="between"/>
      </c:valAx>
      <c:valAx>
        <c:axId val="210487936"/>
        <c:scaling>
          <c:orientation val="minMax"/>
        </c:scaling>
        <c:delete val="1"/>
        <c:axPos val="r"/>
        <c:numFmt formatCode="0.0%" sourceLinked="1"/>
        <c:tickLblPos val="nextTo"/>
        <c:crossAx val="210493824"/>
        <c:crosses val="max"/>
        <c:crossBetween val="between"/>
      </c:valAx>
      <c:catAx>
        <c:axId val="210493824"/>
        <c:scaling>
          <c:orientation val="minMax"/>
        </c:scaling>
        <c:delete val="1"/>
        <c:axPos val="b"/>
        <c:numFmt formatCode="General" sourceLinked="1"/>
        <c:tickLblPos val="nextTo"/>
        <c:crossAx val="210487936"/>
        <c:crosses val="autoZero"/>
        <c:auto val="1"/>
        <c:lblAlgn val="ctr"/>
        <c:lblOffset val="100"/>
      </c:catAx>
      <c:spPr>
        <a:noFill/>
        <a:ln>
          <a:noFill/>
        </a:ln>
        <a:effectLst/>
      </c:spPr>
    </c:plotArea>
    <c:legend>
      <c:legendPos val="b"/>
      <c:legendEntry>
        <c:idx val="2"/>
        <c:delete val="1"/>
      </c:legendEntry>
      <c:layout>
        <c:manualLayout>
          <c:xMode val="edge"/>
          <c:yMode val="edge"/>
          <c:x val="2.9664962464190085E-2"/>
          <c:y val="0.90404320149636452"/>
          <c:w val="0.52399490406774119"/>
          <c:h val="6.0786798201948926E-2"/>
        </c:manualLayout>
      </c:layout>
      <c:spPr>
        <a:noFill/>
        <a:ln>
          <a:noFill/>
        </a:ln>
        <a:effectLst/>
      </c:spPr>
      <c:txPr>
        <a:bodyPr rot="0" spcFirstLastPara="1" vertOverflow="ellipsis" vert="horz" wrap="square" anchor="ctr" anchorCtr="1"/>
        <a:lstStyle/>
        <a:p>
          <a:pPr>
            <a:defRPr lang="ru-RU"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chart>
  <c:spPr>
    <a:gradFill>
      <a:gsLst>
        <a:gs pos="0">
          <a:srgbClr val="5B9BD5">
            <a:alpha val="95000"/>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0"/>
    </a:gradFill>
    <a:ln w="9525" cap="flat" cmpd="sng" algn="ctr">
      <a:solidFill>
        <a:schemeClr val="tx1">
          <a:lumMod val="15000"/>
          <a:lumOff val="85000"/>
        </a:schemeClr>
      </a:solidFill>
      <a:round/>
    </a:ln>
    <a:effectLst/>
  </c:spPr>
  <c:txPr>
    <a:bodyPr/>
    <a:lstStyle/>
    <a:p>
      <a:pPr>
        <a:defRPr/>
      </a:pPr>
      <a:endParaRPr lang="en-US"/>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lang="ru-RU" sz="1200" b="1" i="1" u="none" strike="noStrike" kern="1200" cap="none" spc="5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r>
              <a:rPr lang="x-none" sz="1200" b="1" i="0">
                <a:solidFill>
                  <a:schemeClr val="tx1"/>
                </a:solidFill>
                <a:latin typeface="Times New Roman" panose="02020603050405020304" pitchFamily="18" charset="0"/>
                <a:cs typeface="Times New Roman" panose="02020603050405020304" pitchFamily="18" charset="0"/>
              </a:rPr>
              <a:t>Ponderea</a:t>
            </a:r>
            <a:r>
              <a:rPr lang="x-none" sz="1200" b="1" i="0" baseline="0">
                <a:solidFill>
                  <a:schemeClr val="tx1"/>
                </a:solidFill>
                <a:latin typeface="Times New Roman" panose="02020603050405020304" pitchFamily="18" charset="0"/>
                <a:cs typeface="Times New Roman" panose="02020603050405020304" pitchFamily="18" charset="0"/>
              </a:rPr>
              <a:t> în bugetulul de stat a încasărilor administrate de SFS și SV </a:t>
            </a:r>
            <a:r>
              <a:rPr lang="x-none" sz="1200" b="1" i="0">
                <a:solidFill>
                  <a:schemeClr val="tx1"/>
                </a:solidFill>
                <a:latin typeface="Times New Roman" panose="02020603050405020304" pitchFamily="18" charset="0"/>
                <a:cs typeface="Times New Roman" panose="02020603050405020304" pitchFamily="18" charset="0"/>
              </a:rPr>
              <a:t>pentru perioada anilor 2015-2017</a:t>
            </a:r>
            <a:endParaRPr lang="en-US" sz="1200" b="1" i="0">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6.9700213775692285E-2"/>
          <c:y val="1.9157088122605363E-2"/>
        </c:manualLayout>
      </c:layout>
      <c:spPr>
        <a:gradFill>
          <a:gsLst>
            <a:gs pos="0">
              <a:srgbClr val="5B9BD5">
                <a:lumMod val="20000"/>
                <a:lumOff val="80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ln>
          <a:gradFill flip="none" rotWithShape="1">
            <a:gsLst>
              <a:gs pos="0">
                <a:srgbClr val="44546A">
                  <a:lumMod val="20000"/>
                  <a:lumOff val="80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tileRect/>
          </a:gradFill>
        </a:ln>
        <a:effectLst/>
      </c:spPr>
    </c:title>
    <c:plotArea>
      <c:layout>
        <c:manualLayout>
          <c:layoutTarget val="inner"/>
          <c:xMode val="edge"/>
          <c:yMode val="edge"/>
          <c:x val="3.3707865168539339E-2"/>
          <c:y val="0.13866666666666669"/>
          <c:w val="0.93133583021223487"/>
          <c:h val="0.66133333333333355"/>
        </c:manualLayout>
      </c:layout>
      <c:barChart>
        <c:barDir val="col"/>
        <c:grouping val="clustered"/>
        <c:ser>
          <c:idx val="1"/>
          <c:order val="1"/>
          <c:tx>
            <c:strRef>
              <c:f>Лист1!$C$1</c:f>
              <c:strCache>
                <c:ptCount val="1"/>
                <c:pt idx="0">
                  <c:v>BS</c:v>
                </c:pt>
              </c:strCache>
            </c:strRef>
          </c:tx>
          <c:spPr>
            <a:solidFill>
              <a:srgbClr val="C00000">
                <a:alpha val="70000"/>
              </a:srgbClr>
            </a:solidFill>
            <a:ln>
              <a:noFill/>
            </a:ln>
            <a:effectLst/>
          </c:spPr>
          <c:dLbls>
            <c:dLbl>
              <c:idx val="0"/>
              <c:layout>
                <c:manualLayout>
                  <c:x val="-4.6590427784836956E-2"/>
                  <c:y val="9.1947385887108934E-2"/>
                </c:manualLayout>
              </c:layout>
              <c:dLblPos val="outEnd"/>
              <c:showVal val="1"/>
              <c:extLst xmlns:c16r2="http://schemas.microsoft.com/office/drawing/2015/06/chart">
                <c:ext xmlns:c16="http://schemas.microsoft.com/office/drawing/2014/chart" uri="{C3380CC4-5D6E-409C-BE32-E72D297353CC}">
                  <c16:uniqueId val="{00000000-37D7-4ABF-B9DB-128CC88EB040}"/>
                </c:ext>
                <c:ext xmlns:c15="http://schemas.microsoft.com/office/drawing/2012/chart" uri="{CE6537A1-D6FC-4f65-9D91-7224C49458BB}"/>
              </c:extLst>
            </c:dLbl>
            <c:dLbl>
              <c:idx val="1"/>
              <c:layout>
                <c:manualLayout>
                  <c:x val="-5.0825921219822184E-2"/>
                  <c:y val="8.2278034211240803E-2"/>
                </c:manualLayout>
              </c:layout>
              <c:dLblPos val="outEnd"/>
              <c:showVal val="1"/>
              <c:extLst xmlns:c16r2="http://schemas.microsoft.com/office/drawing/2015/06/chart">
                <c:ext xmlns:c16="http://schemas.microsoft.com/office/drawing/2014/chart" uri="{C3380CC4-5D6E-409C-BE32-E72D297353CC}">
                  <c16:uniqueId val="{00000001-37D7-4ABF-B9DB-128CC88EB040}"/>
                </c:ext>
                <c:ext xmlns:c15="http://schemas.microsoft.com/office/drawing/2012/chart" uri="{CE6537A1-D6FC-4f65-9D91-7224C49458BB}"/>
              </c:extLst>
            </c:dLbl>
            <c:dLbl>
              <c:idx val="2"/>
              <c:layout>
                <c:manualLayout>
                  <c:x val="-5.2943667937314726E-2"/>
                  <c:y val="8.2278034211240803E-2"/>
                </c:manualLayout>
              </c:layout>
              <c:dLblPos val="outEnd"/>
              <c:showVal val="1"/>
              <c:extLst xmlns:c16r2="http://schemas.microsoft.com/office/drawing/2015/06/chart">
                <c:ext xmlns:c16="http://schemas.microsoft.com/office/drawing/2014/chart" uri="{C3380CC4-5D6E-409C-BE32-E72D297353CC}">
                  <c16:uniqueId val="{00000002-37D7-4ABF-B9DB-128CC88EB040}"/>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ru-RU" sz="12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Лист1!$A$2:$A$4</c:f>
              <c:strCache>
                <c:ptCount val="3"/>
                <c:pt idx="0">
                  <c:v>Anul 2015</c:v>
                </c:pt>
                <c:pt idx="1">
                  <c:v>Anul 2016</c:v>
                </c:pt>
                <c:pt idx="2">
                  <c:v>Anul 2017</c:v>
                </c:pt>
              </c:strCache>
            </c:strRef>
          </c:cat>
          <c:val>
            <c:numRef>
              <c:f>Лист1!$C$2:$C$4</c:f>
              <c:numCache>
                <c:formatCode>General</c:formatCode>
                <c:ptCount val="3"/>
                <c:pt idx="0">
                  <c:v>28.1</c:v>
                </c:pt>
                <c:pt idx="1">
                  <c:v>28.9</c:v>
                </c:pt>
                <c:pt idx="2">
                  <c:v>33.9</c:v>
                </c:pt>
              </c:numCache>
            </c:numRef>
          </c:val>
          <c:extLst xmlns:c16r2="http://schemas.microsoft.com/office/drawing/2015/06/chart">
            <c:ext xmlns:c16="http://schemas.microsoft.com/office/drawing/2014/chart" uri="{C3380CC4-5D6E-409C-BE32-E72D297353CC}">
              <c16:uniqueId val="{00000003-37D7-4ABF-B9DB-128CC88EB040}"/>
            </c:ext>
          </c:extLst>
        </c:ser>
        <c:dLbls>
          <c:showVal val="1"/>
        </c:dLbls>
        <c:gapWidth val="80"/>
        <c:overlap val="25"/>
        <c:axId val="210388480"/>
        <c:axId val="210390016"/>
      </c:barChart>
      <c:barChart>
        <c:barDir val="col"/>
        <c:grouping val="clustered"/>
        <c:ser>
          <c:idx val="0"/>
          <c:order val="0"/>
          <c:tx>
            <c:strRef>
              <c:f>Лист1!$B$1</c:f>
              <c:strCache>
                <c:ptCount val="1"/>
                <c:pt idx="0">
                  <c:v>Ponderea în BS a încasărilor administrate de SFS și SV (%)</c:v>
                </c:pt>
              </c:strCache>
            </c:strRef>
          </c:tx>
          <c:spPr>
            <a:pattFill prst="sphere">
              <a:fgClr>
                <a:sysClr val="windowText" lastClr="000000"/>
              </a:fgClr>
              <a:bgClr>
                <a:sysClr val="window" lastClr="FFFFFF"/>
              </a:bgClr>
            </a:pattFill>
            <a:ln>
              <a:gradFill>
                <a:gsLst>
                  <a:gs pos="500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prstDash val="sysDot"/>
            </a:ln>
            <a:effectLst/>
          </c:spPr>
          <c:dLbls>
            <c:dLbl>
              <c:idx val="0"/>
              <c:layout>
                <c:manualLayout>
                  <c:x val="3.3884030855736429E-2"/>
                  <c:y val="5.7474281232087407E-3"/>
                </c:manualLayout>
              </c:layout>
              <c:spPr>
                <a:noFill/>
                <a:ln>
                  <a:noFill/>
                </a:ln>
                <a:effectLst/>
              </c:spPr>
              <c:txPr>
                <a:bodyPr rot="0" spcFirstLastPara="1" vertOverflow="ellipsis" vert="horz" wrap="square" lIns="38100" tIns="19050" rIns="38100" bIns="19050" anchor="ctr" anchorCtr="1">
                  <a:noAutofit/>
                </a:bodyPr>
                <a:lstStyle/>
                <a:p>
                  <a:pPr>
                    <a:defRPr lang="ru-RU" sz="1200" b="1" i="1"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dLblPos val="outEnd"/>
              <c:showVal val="1"/>
              <c:extLst xmlns:c16r2="http://schemas.microsoft.com/office/drawing/2015/06/chart">
                <c:ext xmlns:c16="http://schemas.microsoft.com/office/drawing/2014/chart" uri="{C3380CC4-5D6E-409C-BE32-E72D297353CC}">
                  <c16:uniqueId val="{00000004-37D7-4ABF-B9DB-128CC88EB040}"/>
                </c:ext>
                <c:ext xmlns:c15="http://schemas.microsoft.com/office/drawing/2012/chart" uri="{CE6537A1-D6FC-4f65-9D91-7224C49458BB}">
                  <c15:layout>
                    <c:manualLayout>
                      <c:w val="0.15181059006760111"/>
                      <c:h val="9.7432950191570875E-2"/>
                    </c:manualLayout>
                  </c15:layout>
                </c:ext>
              </c:extLst>
            </c:dLbl>
            <c:dLbl>
              <c:idx val="1"/>
              <c:layout>
                <c:manualLayout>
                  <c:x val="3.3884114231591364E-2"/>
                  <c:y val="1.9160104986876648E-3"/>
                </c:manualLayout>
              </c:layout>
              <c:spPr>
                <a:noFill/>
                <a:ln>
                  <a:noFill/>
                </a:ln>
                <a:effectLst/>
              </c:spPr>
              <c:txPr>
                <a:bodyPr rot="0" spcFirstLastPara="1" vertOverflow="ellipsis" vert="horz" wrap="square" lIns="38100" tIns="19050" rIns="38100" bIns="19050" anchor="ctr" anchorCtr="1">
                  <a:noAutofit/>
                </a:bodyPr>
                <a:lstStyle/>
                <a:p>
                  <a:pPr>
                    <a:defRPr lang="ru-RU" sz="1200" b="1" i="1"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dLblPos val="outEnd"/>
              <c:showVal val="1"/>
              <c:extLst xmlns:c16r2="http://schemas.microsoft.com/office/drawing/2015/06/chart">
                <c:ext xmlns:c16="http://schemas.microsoft.com/office/drawing/2014/chart" uri="{C3380CC4-5D6E-409C-BE32-E72D297353CC}">
                  <c16:uniqueId val="{00000005-37D7-4ABF-B9DB-128CC88EB040}"/>
                </c:ext>
                <c:ext xmlns:c15="http://schemas.microsoft.com/office/drawing/2012/chart" uri="{CE6537A1-D6FC-4f65-9D91-7224C49458BB}">
                  <c15:layout>
                    <c:manualLayout>
                      <c:w val="0.13063312289267526"/>
                      <c:h val="8.2107279693486593E-2"/>
                    </c:manualLayout>
                  </c15:layout>
                </c:ext>
              </c:extLst>
            </c:dLbl>
            <c:dLbl>
              <c:idx val="2"/>
              <c:layout>
                <c:manualLayout>
                  <c:x val="3.4942987590337662E-2"/>
                  <c:y val="7.6631369354692716E-3"/>
                </c:manualLayout>
              </c:layout>
              <c:dLblPos val="outEnd"/>
              <c:showVal val="1"/>
              <c:extLst xmlns:c16r2="http://schemas.microsoft.com/office/drawing/2015/06/chart">
                <c:ext xmlns:c16="http://schemas.microsoft.com/office/drawing/2014/chart" uri="{C3380CC4-5D6E-409C-BE32-E72D297353CC}">
                  <c16:uniqueId val="{00000006-37D7-4ABF-B9DB-128CC88EB040}"/>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ru-RU" sz="1200" b="1" i="1"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Лист1!$A$2:$A$4</c:f>
              <c:strCache>
                <c:ptCount val="3"/>
                <c:pt idx="0">
                  <c:v>Anul 2015</c:v>
                </c:pt>
                <c:pt idx="1">
                  <c:v>Anul 2016</c:v>
                </c:pt>
                <c:pt idx="2">
                  <c:v>Anul 2017</c:v>
                </c:pt>
              </c:strCache>
            </c:strRef>
          </c:cat>
          <c:val>
            <c:numRef>
              <c:f>Лист1!$B$2:$B$4</c:f>
              <c:numCache>
                <c:formatCode>0.0%</c:formatCode>
                <c:ptCount val="3"/>
                <c:pt idx="0">
                  <c:v>0.8540000000000002</c:v>
                </c:pt>
                <c:pt idx="1">
                  <c:v>0.90700000000000003</c:v>
                </c:pt>
                <c:pt idx="2">
                  <c:v>0.94099999999999995</c:v>
                </c:pt>
              </c:numCache>
            </c:numRef>
          </c:val>
          <c:extLst xmlns:c16r2="http://schemas.microsoft.com/office/drawing/2015/06/chart">
            <c:ext xmlns:c16="http://schemas.microsoft.com/office/drawing/2014/chart" uri="{C3380CC4-5D6E-409C-BE32-E72D297353CC}">
              <c16:uniqueId val="{00000007-37D7-4ABF-B9DB-128CC88EB040}"/>
            </c:ext>
          </c:extLst>
        </c:ser>
        <c:ser>
          <c:idx val="2"/>
          <c:order val="2"/>
          <c:tx>
            <c:strRef>
              <c:f>Лист1!$D$1</c:f>
              <c:strCache>
                <c:ptCount val="1"/>
                <c:pt idx="0">
                  <c:v>Încasările SV și SFS </c:v>
                </c:pt>
              </c:strCache>
            </c:strRef>
          </c:tx>
          <c:spPr>
            <a:solidFill>
              <a:schemeClr val="accent3">
                <a:alpha val="70000"/>
              </a:schemeClr>
            </a:solidFill>
            <a:ln>
              <a:noFill/>
            </a:ln>
            <a:effectLst/>
          </c:spPr>
          <c:dLbls>
            <c:dLbl>
              <c:idx val="0"/>
              <c:layout>
                <c:manualLayout>
                  <c:x val="2.1177467174925892E-2"/>
                  <c:y val="0.10344827586206888"/>
                </c:manualLayout>
              </c:layout>
              <c:showVal val="1"/>
              <c:extLst xmlns:c16r2="http://schemas.microsoft.com/office/drawing/2015/06/chart">
                <c:ext xmlns:c16="http://schemas.microsoft.com/office/drawing/2014/chart" uri="{C3380CC4-5D6E-409C-BE32-E72D297353CC}">
                  <c16:uniqueId val="{00000008-37D7-4ABF-B9DB-128CC88EB040}"/>
                </c:ext>
                <c:ext xmlns:c15="http://schemas.microsoft.com/office/drawing/2012/chart" uri="{CE6537A1-D6FC-4f65-9D91-7224C49458BB}"/>
              </c:extLst>
            </c:dLbl>
            <c:dLbl>
              <c:idx val="1"/>
              <c:layout>
                <c:manualLayout>
                  <c:x val="3.176620076238882E-2"/>
                  <c:y val="0.11111111111111106"/>
                </c:manualLayout>
              </c:layout>
              <c:showVal val="1"/>
              <c:extLst xmlns:c16r2="http://schemas.microsoft.com/office/drawing/2015/06/chart">
                <c:ext xmlns:c16="http://schemas.microsoft.com/office/drawing/2014/chart" uri="{C3380CC4-5D6E-409C-BE32-E72D297353CC}">
                  <c16:uniqueId val="{00000009-37D7-4ABF-B9DB-128CC88EB040}"/>
                </c:ext>
                <c:ext xmlns:c15="http://schemas.microsoft.com/office/drawing/2012/chart" uri="{CE6537A1-D6FC-4f65-9D91-7224C49458BB}"/>
              </c:extLst>
            </c:dLbl>
            <c:dLbl>
              <c:idx val="2"/>
              <c:layout>
                <c:manualLayout>
                  <c:x val="2.7530707327403661E-2"/>
                  <c:y val="0.11111111111111106"/>
                </c:manualLayout>
              </c:layout>
              <c:showVal val="1"/>
              <c:extLst xmlns:c16r2="http://schemas.microsoft.com/office/drawing/2015/06/chart">
                <c:ext xmlns:c16="http://schemas.microsoft.com/office/drawing/2014/chart" uri="{C3380CC4-5D6E-409C-BE32-E72D297353CC}">
                  <c16:uniqueId val="{0000000A-37D7-4ABF-B9DB-128CC88EB040}"/>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ru-RU" sz="12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Лист1!$A$2:$A$4</c:f>
              <c:strCache>
                <c:ptCount val="3"/>
                <c:pt idx="0">
                  <c:v>Anul 2015</c:v>
                </c:pt>
                <c:pt idx="1">
                  <c:v>Anul 2016</c:v>
                </c:pt>
                <c:pt idx="2">
                  <c:v>Anul 2017</c:v>
                </c:pt>
              </c:strCache>
            </c:strRef>
          </c:cat>
          <c:val>
            <c:numRef>
              <c:f>Лист1!$D$2:$D$4</c:f>
              <c:numCache>
                <c:formatCode>0.0</c:formatCode>
                <c:ptCount val="3"/>
                <c:pt idx="0">
                  <c:v>24</c:v>
                </c:pt>
                <c:pt idx="1">
                  <c:v>26.2</c:v>
                </c:pt>
                <c:pt idx="2">
                  <c:v>31.9</c:v>
                </c:pt>
              </c:numCache>
            </c:numRef>
          </c:val>
          <c:extLst xmlns:c16r2="http://schemas.microsoft.com/office/drawing/2015/06/chart">
            <c:ext xmlns:c16="http://schemas.microsoft.com/office/drawing/2014/chart" uri="{C3380CC4-5D6E-409C-BE32-E72D297353CC}">
              <c16:uniqueId val="{0000000B-37D7-4ABF-B9DB-128CC88EB040}"/>
            </c:ext>
          </c:extLst>
        </c:ser>
        <c:gapWidth val="80"/>
        <c:overlap val="25"/>
        <c:axId val="210446592"/>
        <c:axId val="210445056"/>
      </c:barChart>
      <c:catAx>
        <c:axId val="210388480"/>
        <c:scaling>
          <c:orientation val="minMax"/>
        </c:scaling>
        <c:axPos val="b"/>
        <c:numFmt formatCode="General" sourceLinked="1"/>
        <c:maj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lang="ru-RU" sz="1200" b="1" i="0" u="none" strike="noStrike" kern="1200" cap="none" spc="20" normalizeH="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10390016"/>
        <c:crosses val="autoZero"/>
        <c:auto val="1"/>
        <c:lblAlgn val="ctr"/>
        <c:lblOffset val="100"/>
      </c:catAx>
      <c:valAx>
        <c:axId val="210390016"/>
        <c:scaling>
          <c:orientation val="minMax"/>
        </c:scaling>
        <c:delete val="1"/>
        <c:axPos val="l"/>
        <c:majorGridlines>
          <c:spPr>
            <a:ln w="9525" cap="flat" cmpd="sng" algn="ctr">
              <a:solidFill>
                <a:schemeClr val="tx1">
                  <a:lumMod val="5000"/>
                  <a:lumOff val="95000"/>
                </a:schemeClr>
              </a:solidFill>
              <a:round/>
            </a:ln>
            <a:effectLst/>
          </c:spPr>
        </c:majorGridlines>
        <c:numFmt formatCode="General" sourceLinked="1"/>
        <c:majorTickMark val="none"/>
        <c:tickLblPos val="nextTo"/>
        <c:crossAx val="210388480"/>
        <c:crosses val="autoZero"/>
        <c:crossBetween val="between"/>
      </c:valAx>
      <c:valAx>
        <c:axId val="210445056"/>
        <c:scaling>
          <c:orientation val="minMax"/>
        </c:scaling>
        <c:delete val="1"/>
        <c:axPos val="r"/>
        <c:numFmt formatCode="0.0%" sourceLinked="1"/>
        <c:tickLblPos val="nextTo"/>
        <c:crossAx val="210446592"/>
        <c:crosses val="max"/>
        <c:crossBetween val="between"/>
      </c:valAx>
      <c:catAx>
        <c:axId val="210446592"/>
        <c:scaling>
          <c:orientation val="minMax"/>
        </c:scaling>
        <c:delete val="1"/>
        <c:axPos val="b"/>
        <c:numFmt formatCode="General" sourceLinked="1"/>
        <c:tickLblPos val="nextTo"/>
        <c:crossAx val="210445056"/>
        <c:crosses val="autoZero"/>
        <c:auto val="1"/>
        <c:lblAlgn val="ctr"/>
        <c:lblOffset val="100"/>
      </c:catAx>
      <c:spPr>
        <a:noFill/>
        <a:ln>
          <a:noFill/>
        </a:ln>
        <a:effectLst/>
      </c:spPr>
    </c:plotArea>
    <c:legend>
      <c:legendPos val="b"/>
      <c:legendEntry>
        <c:idx val="1"/>
        <c:delete val="1"/>
      </c:legendEntry>
      <c:layout>
        <c:manualLayout>
          <c:xMode val="edge"/>
          <c:yMode val="edge"/>
          <c:x val="2.9664962464190085E-2"/>
          <c:y val="0.90404320149636452"/>
          <c:w val="0.27689221502966538"/>
          <c:h val="6.0786798201948926E-2"/>
        </c:manualLayout>
      </c:layout>
      <c:spPr>
        <a:noFill/>
        <a:ln>
          <a:noFill/>
        </a:ln>
        <a:effectLst/>
      </c:spPr>
      <c:txPr>
        <a:bodyPr rot="0" spcFirstLastPara="1" vertOverflow="ellipsis" vert="horz" wrap="square" anchor="ctr" anchorCtr="1"/>
        <a:lstStyle/>
        <a:p>
          <a:pPr>
            <a:defRPr lang="ru-RU"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chart>
  <c:spPr>
    <a:gradFill>
      <a:gsLst>
        <a:gs pos="0">
          <a:srgbClr val="5B9BD5">
            <a:alpha val="95000"/>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0"/>
    </a:gradFill>
    <a:ln w="9525" cap="flat" cmpd="sng" algn="ctr">
      <a:solidFill>
        <a:schemeClr val="tx1">
          <a:lumMod val="15000"/>
          <a:lumOff val="85000"/>
        </a:schemeClr>
      </a:solidFill>
      <a:round/>
    </a:ln>
    <a:effectLst/>
  </c:spPr>
  <c:txPr>
    <a:bodyPr/>
    <a:lstStyle/>
    <a:p>
      <a:pPr>
        <a:defRPr/>
      </a:pPr>
      <a:endParaRPr lang="en-US"/>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GB"/>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ru-RU" sz="1200" b="1" i="0" u="none" strike="noStrike" kern="1200" cap="none" spc="5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r>
              <a:rPr lang="x-none" sz="1200" b="1">
                <a:solidFill>
                  <a:schemeClr val="tx1"/>
                </a:solidFill>
                <a:latin typeface="Times New Roman" panose="02020603050405020304" pitchFamily="18" charset="0"/>
                <a:cs typeface="Times New Roman" panose="02020603050405020304" pitchFamily="18" charset="0"/>
              </a:rPr>
              <a:t>Ponderea în PIB a</a:t>
            </a:r>
            <a:r>
              <a:rPr lang="x-none" sz="1200" b="1" baseline="0">
                <a:solidFill>
                  <a:schemeClr val="tx1"/>
                </a:solidFill>
                <a:latin typeface="Times New Roman" panose="02020603050405020304" pitchFamily="18" charset="0"/>
                <a:cs typeface="Times New Roman" panose="02020603050405020304" pitchFamily="18" charset="0"/>
              </a:rPr>
              <a:t> încasărilor administrate de SFS și SV la BPN pentru perioada anilor 2015-2017</a:t>
            </a:r>
            <a:endParaRPr lang="en-US" sz="1200" b="1">
              <a:solidFill>
                <a:schemeClr val="tx1"/>
              </a:solidFill>
              <a:latin typeface="Times New Roman" panose="02020603050405020304" pitchFamily="18" charset="0"/>
              <a:cs typeface="Times New Roman" panose="02020603050405020304" pitchFamily="18" charset="0"/>
            </a:endParaRPr>
          </a:p>
        </c:rich>
      </c:tx>
      <c:spPr>
        <a:noFill/>
        <a:ln>
          <a:noFill/>
        </a:ln>
        <a:effectLst/>
      </c:spPr>
    </c:title>
    <c:plotArea>
      <c:layout>
        <c:manualLayout>
          <c:layoutTarget val="inner"/>
          <c:xMode val="edge"/>
          <c:yMode val="edge"/>
          <c:x val="3.3707865168539339E-2"/>
          <c:y val="0.17693201296266545"/>
          <c:w val="0.93133583021223487"/>
          <c:h val="0.62306798703733457"/>
        </c:manualLayout>
      </c:layout>
      <c:barChart>
        <c:barDir val="col"/>
        <c:grouping val="clustered"/>
        <c:ser>
          <c:idx val="0"/>
          <c:order val="0"/>
          <c:tx>
            <c:strRef>
              <c:f>Лист1!$B$1</c:f>
              <c:strCache>
                <c:ptCount val="1"/>
                <c:pt idx="0">
                  <c:v>PIB</c:v>
                </c:pt>
              </c:strCache>
            </c:strRef>
          </c:tx>
          <c:spPr>
            <a:solidFill>
              <a:schemeClr val="accent2">
                <a:lumMod val="75000"/>
              </a:schemeClr>
            </a:solidFill>
            <a:ln>
              <a:solidFill>
                <a:srgbClr val="FF0000"/>
              </a:solidFill>
            </a:ln>
            <a:effectLst/>
          </c:spPr>
          <c:dLbls>
            <c:spPr>
              <a:noFill/>
              <a:ln>
                <a:noFill/>
              </a:ln>
              <a:effectLst/>
            </c:spPr>
            <c:txPr>
              <a:bodyPr rot="0" spcFirstLastPara="1" vertOverflow="ellipsis" vert="horz" wrap="square" lIns="38100" tIns="19050" rIns="38100" bIns="19050" anchor="ctr" anchorCtr="1">
                <a:spAutoFit/>
              </a:bodyPr>
              <a:lstStyle/>
              <a:p>
                <a:pPr>
                  <a:defRPr lang="ru-RU" sz="12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dLblPos val="inEnd"/>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Anul 2015</c:v>
                </c:pt>
                <c:pt idx="1">
                  <c:v>Anul 2016</c:v>
                </c:pt>
                <c:pt idx="2">
                  <c:v>Anul 2017</c:v>
                </c:pt>
              </c:strCache>
            </c:strRef>
          </c:cat>
          <c:val>
            <c:numRef>
              <c:f>Лист1!$B$2:$B$4</c:f>
              <c:numCache>
                <c:formatCode>General</c:formatCode>
                <c:ptCount val="3"/>
                <c:pt idx="0">
                  <c:v>122.6</c:v>
                </c:pt>
                <c:pt idx="1">
                  <c:v>135.4</c:v>
                </c:pt>
                <c:pt idx="2">
                  <c:v>150.4</c:v>
                </c:pt>
              </c:numCache>
            </c:numRef>
          </c:val>
          <c:extLst xmlns:c16r2="http://schemas.microsoft.com/office/drawing/2015/06/chart">
            <c:ext xmlns:c16="http://schemas.microsoft.com/office/drawing/2014/chart" uri="{C3380CC4-5D6E-409C-BE32-E72D297353CC}">
              <c16:uniqueId val="{00000000-A970-47A4-9936-CF175190DEAC}"/>
            </c:ext>
          </c:extLst>
        </c:ser>
        <c:ser>
          <c:idx val="1"/>
          <c:order val="1"/>
          <c:tx>
            <c:strRef>
              <c:f>Лист1!$C$1</c:f>
              <c:strCache>
                <c:ptCount val="1"/>
                <c:pt idx="0">
                  <c:v>Încasările în BPN administrate de SFS și SV</c:v>
                </c:pt>
              </c:strCache>
            </c:strRef>
          </c:tx>
          <c:spPr>
            <a:solidFill>
              <a:srgbClr val="70AD47">
                <a:lumMod val="75000"/>
              </a:srgb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ru-RU" sz="12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dLblPos val="ct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Anul 2015</c:v>
                </c:pt>
                <c:pt idx="1">
                  <c:v>Anul 2016</c:v>
                </c:pt>
                <c:pt idx="2">
                  <c:v>Anul 2017</c:v>
                </c:pt>
              </c:strCache>
            </c:strRef>
          </c:cat>
          <c:val>
            <c:numRef>
              <c:f>Лист1!$C$2:$C$4</c:f>
              <c:numCache>
                <c:formatCode>0.0</c:formatCode>
                <c:ptCount val="3"/>
                <c:pt idx="0">
                  <c:v>38.6</c:v>
                </c:pt>
                <c:pt idx="1">
                  <c:v>42.3</c:v>
                </c:pt>
                <c:pt idx="2">
                  <c:v>50.3</c:v>
                </c:pt>
              </c:numCache>
            </c:numRef>
          </c:val>
          <c:extLst xmlns:c16r2="http://schemas.microsoft.com/office/drawing/2015/06/chart">
            <c:ext xmlns:c16="http://schemas.microsoft.com/office/drawing/2014/chart" uri="{C3380CC4-5D6E-409C-BE32-E72D297353CC}">
              <c16:uniqueId val="{00000001-A970-47A4-9936-CF175190DEAC}"/>
            </c:ext>
          </c:extLst>
        </c:ser>
        <c:ser>
          <c:idx val="2"/>
          <c:order val="2"/>
          <c:tx>
            <c:strRef>
              <c:f>Лист1!$D$1</c:f>
              <c:strCache>
                <c:ptCount val="1"/>
                <c:pt idx="0">
                  <c:v>Ponderea în PIB %</c:v>
                </c:pt>
              </c:strCache>
            </c:strRef>
          </c:tx>
          <c:spPr>
            <a:solidFill>
              <a:schemeClr val="accent3">
                <a:alpha val="70000"/>
              </a:schemeClr>
            </a:solidFill>
            <a:ln>
              <a:noFill/>
            </a:ln>
            <a:effectLst/>
          </c:spPr>
          <c:dLbls>
            <c:dLbl>
              <c:idx val="0"/>
              <c:layout>
                <c:manualLayout>
                  <c:x val="2.0500205002050031E-2"/>
                  <c:y val="5.4644808743169382E-3"/>
                </c:manualLayout>
              </c:layout>
              <c:showVal val="1"/>
              <c:extLst xmlns:c16r2="http://schemas.microsoft.com/office/drawing/2015/06/chart">
                <c:ext xmlns:c16="http://schemas.microsoft.com/office/drawing/2014/chart" uri="{C3380CC4-5D6E-409C-BE32-E72D297353CC}">
                  <c16:uniqueId val="{00000002-A970-47A4-9936-CF175190DEAC}"/>
                </c:ext>
                <c:ext xmlns:c15="http://schemas.microsoft.com/office/drawing/2012/chart" uri="{CE6537A1-D6FC-4f65-9D91-7224C49458BB}"/>
              </c:extLst>
            </c:dLbl>
            <c:dLbl>
              <c:idx val="1"/>
              <c:layout>
                <c:manualLayout>
                  <c:x val="2.2550225502255029E-2"/>
                  <c:y val="-1.0018099206310833E-16"/>
                </c:manualLayout>
              </c:layout>
              <c:showVal val="1"/>
              <c:extLst xmlns:c16r2="http://schemas.microsoft.com/office/drawing/2015/06/chart">
                <c:ext xmlns:c16="http://schemas.microsoft.com/office/drawing/2014/chart" uri="{C3380CC4-5D6E-409C-BE32-E72D297353CC}">
                  <c16:uniqueId val="{00000003-A970-47A4-9936-CF175190DEAC}"/>
                </c:ext>
                <c:ext xmlns:c15="http://schemas.microsoft.com/office/drawing/2012/chart" uri="{CE6537A1-D6FC-4f65-9D91-7224C49458BB}"/>
              </c:extLst>
            </c:dLbl>
            <c:dLbl>
              <c:idx val="2"/>
              <c:layout>
                <c:manualLayout>
                  <c:x val="1.4350143501435014E-2"/>
                  <c:y val="0"/>
                </c:manualLayout>
              </c:layout>
              <c:showVal val="1"/>
              <c:extLst xmlns:c16r2="http://schemas.microsoft.com/office/drawing/2015/06/chart">
                <c:ext xmlns:c16="http://schemas.microsoft.com/office/drawing/2014/chart" uri="{C3380CC4-5D6E-409C-BE32-E72D297353CC}">
                  <c16:uniqueId val="{00000004-A970-47A4-9936-CF175190DEAC}"/>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ru-RU" sz="1200" b="1" i="1"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Лист1!$A$2:$A$4</c:f>
              <c:strCache>
                <c:ptCount val="3"/>
                <c:pt idx="0">
                  <c:v>Anul 2015</c:v>
                </c:pt>
                <c:pt idx="1">
                  <c:v>Anul 2016</c:v>
                </c:pt>
                <c:pt idx="2">
                  <c:v>Anul 2017</c:v>
                </c:pt>
              </c:strCache>
            </c:strRef>
          </c:cat>
          <c:val>
            <c:numRef>
              <c:f>Лист1!$D$2:$D$4</c:f>
              <c:numCache>
                <c:formatCode>0.0%</c:formatCode>
                <c:ptCount val="3"/>
                <c:pt idx="0">
                  <c:v>0.31500000000000011</c:v>
                </c:pt>
                <c:pt idx="1">
                  <c:v>0.31200000000000011</c:v>
                </c:pt>
                <c:pt idx="2">
                  <c:v>0.33400000000000013</c:v>
                </c:pt>
              </c:numCache>
            </c:numRef>
          </c:val>
          <c:extLst xmlns:c16r2="http://schemas.microsoft.com/office/drawing/2015/06/chart">
            <c:ext xmlns:c16="http://schemas.microsoft.com/office/drawing/2014/chart" uri="{C3380CC4-5D6E-409C-BE32-E72D297353CC}">
              <c16:uniqueId val="{00000005-A970-47A4-9936-CF175190DEAC}"/>
            </c:ext>
          </c:extLst>
        </c:ser>
        <c:dLbls>
          <c:showVal val="1"/>
        </c:dLbls>
        <c:gapWidth val="80"/>
        <c:overlap val="25"/>
        <c:axId val="210745216"/>
        <c:axId val="210746752"/>
      </c:barChart>
      <c:catAx>
        <c:axId val="210745216"/>
        <c:scaling>
          <c:orientation val="minMax"/>
        </c:scaling>
        <c:axPos val="b"/>
        <c:numFmt formatCode="General" sourceLinked="1"/>
        <c:maj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lang="ru-RU" sz="1000" b="1" i="0" u="none" strike="noStrike" kern="1200" cap="none" spc="20" normalizeH="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10746752"/>
        <c:crosses val="autoZero"/>
        <c:auto val="1"/>
        <c:lblAlgn val="ctr"/>
        <c:lblOffset val="100"/>
      </c:catAx>
      <c:valAx>
        <c:axId val="210746752"/>
        <c:scaling>
          <c:orientation val="minMax"/>
        </c:scaling>
        <c:axPos val="l"/>
        <c:majorGridlines>
          <c:spPr>
            <a:ln w="9525" cap="flat" cmpd="sng" algn="ctr">
              <a:solidFill>
                <a:schemeClr val="tx1">
                  <a:lumMod val="5000"/>
                  <a:lumOff val="9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ru-RU" sz="900" b="0" i="0" u="none" strike="noStrike" kern="1200" spc="20" baseline="0">
                <a:solidFill>
                  <a:schemeClr val="tx1">
                    <a:lumMod val="65000"/>
                    <a:lumOff val="35000"/>
                  </a:schemeClr>
                </a:solidFill>
                <a:latin typeface="+mn-lt"/>
                <a:ea typeface="+mn-ea"/>
                <a:cs typeface="+mn-cs"/>
              </a:defRPr>
            </a:pPr>
            <a:endParaRPr lang="en-US"/>
          </a:p>
        </c:txPr>
        <c:crossAx val="210745216"/>
        <c:crosses val="autoZero"/>
        <c:crossBetween val="between"/>
      </c:valAx>
      <c:spPr>
        <a:solidFill>
          <a:schemeClr val="accent1">
            <a:lumMod val="40000"/>
            <a:lumOff val="60000"/>
          </a:schemeClr>
        </a:solidFill>
        <a:ln>
          <a:noFill/>
        </a:ln>
        <a:effectLst/>
      </c:spPr>
    </c:plotArea>
    <c:legend>
      <c:legendPos val="b"/>
      <c:spPr>
        <a:noFill/>
        <a:ln>
          <a:noFill/>
        </a:ln>
        <a:effectLst/>
      </c:spPr>
      <c:txPr>
        <a:bodyPr rot="0" spcFirstLastPara="1" vertOverflow="ellipsis" vert="horz" wrap="square" anchor="ctr" anchorCtr="1"/>
        <a:lstStyle/>
        <a:p>
          <a:pPr>
            <a:defRPr lang="ru-RU"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GB"/>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ru-RU" sz="1200" b="1" i="0" u="none" strike="noStrike" kern="1200" cap="all" spc="50" baseline="0">
                <a:solidFill>
                  <a:schemeClr val="tx1"/>
                </a:solidFill>
                <a:latin typeface="+mn-lt"/>
                <a:ea typeface="+mn-ea"/>
                <a:cs typeface="+mn-cs"/>
              </a:defRPr>
            </a:pPr>
            <a:r>
              <a:rPr lang="x-none" sz="1200">
                <a:solidFill>
                  <a:schemeClr val="tx1"/>
                </a:solidFill>
                <a:latin typeface="Times New Roman" panose="02020603050405020304" pitchFamily="18" charset="0"/>
                <a:cs typeface="Times New Roman" panose="02020603050405020304" pitchFamily="18" charset="0"/>
              </a:rPr>
              <a:t>anul 2015</a:t>
            </a:r>
            <a:endParaRPr lang="en-US" sz="1200">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0.30901327551447394"/>
          <c:y val="0"/>
        </c:manualLayout>
      </c:layout>
      <c:spPr>
        <a:noFill/>
        <a:ln>
          <a:noFill/>
        </a:ln>
        <a:effectLst/>
      </c:spPr>
    </c:title>
    <c:plotArea>
      <c:layout>
        <c:manualLayout>
          <c:layoutTarget val="inner"/>
          <c:xMode val="edge"/>
          <c:yMode val="edge"/>
          <c:x val="0.10155007797938302"/>
          <c:y val="0.11189512829372078"/>
          <c:w val="0.83015860810367492"/>
          <c:h val="0.73621456238293537"/>
        </c:manualLayout>
      </c:layout>
      <c:doughnutChart>
        <c:varyColors val="1"/>
        <c:ser>
          <c:idx val="0"/>
          <c:order val="0"/>
          <c:tx>
            <c:strRef>
              <c:f>Sheet1!$B$1</c:f>
              <c:strCache>
                <c:ptCount val="1"/>
                <c:pt idx="0">
                  <c:v>2015</c:v>
                </c:pt>
              </c:strCache>
            </c:strRef>
          </c:tx>
          <c:dPt>
            <c:idx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0678-4ECF-B8A9-C907ACD30278}"/>
              </c:ext>
            </c:extLst>
          </c:dPt>
          <c:dPt>
            <c:idx val="1"/>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0678-4ECF-B8A9-C907ACD30278}"/>
              </c:ext>
            </c:extLst>
          </c:dPt>
          <c:dPt>
            <c:idx val="2"/>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5-0678-4ECF-B8A9-C907ACD30278}"/>
              </c:ext>
            </c:extLst>
          </c:dPt>
          <c:dPt>
            <c:idx val="3"/>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7-0678-4ECF-B8A9-C907ACD30278}"/>
              </c:ext>
            </c:extLst>
          </c:dPt>
          <c:dLbls>
            <c:dLbl>
              <c:idx val="0"/>
              <c:tx>
                <c:rich>
                  <a:bodyPr/>
                  <a:lstStyle/>
                  <a:p>
                    <a:fld id="{C06D1F3B-2B7C-41E5-9347-A6A63C0DCBE1}" type="VALUE">
                      <a:rPr lang="en-US"/>
                      <a:pPr/>
                      <a:t>[ЗНАЧЕНИЕ]</a:t>
                    </a:fld>
                    <a:r>
                      <a:rPr lang="en-US" baseline="0"/>
                      <a:t>; </a:t>
                    </a:r>
                    <a:fld id="{9D5E0528-F91E-451F-A919-430C1B832325}" type="PERCENTAGE">
                      <a:rPr lang="en-US" baseline="0">
                        <a:solidFill>
                          <a:schemeClr val="tx1"/>
                        </a:solidFill>
                      </a:rPr>
                      <a:pPr/>
                      <a:t>[ПРОЦЕНТ]</a:t>
                    </a:fld>
                    <a:endParaRPr lang="en-US" baseline="0"/>
                  </a:p>
                </c:rich>
              </c:tx>
              <c:showVal val="1"/>
              <c:showPercent val="1"/>
              <c:extLst xmlns:c16r2="http://schemas.microsoft.com/office/drawing/2015/06/chart">
                <c:ext xmlns:c16="http://schemas.microsoft.com/office/drawing/2014/chart" uri="{C3380CC4-5D6E-409C-BE32-E72D297353CC}">
                  <c16:uniqueId val="{00000001-0678-4ECF-B8A9-C907ACD30278}"/>
                </c:ext>
                <c:ext xmlns:c15="http://schemas.microsoft.com/office/drawing/2012/chart" uri="{CE6537A1-D6FC-4f65-9D91-7224C49458BB}">
                  <c15:dlblFieldTable/>
                  <c15:showDataLabelsRange val="0"/>
                </c:ext>
              </c:extLst>
            </c:dLbl>
            <c:dLbl>
              <c:idx val="1"/>
              <c:tx>
                <c:rich>
                  <a:bodyPr/>
                  <a:lstStyle/>
                  <a:p>
                    <a:fld id="{9106B223-6233-4706-87B0-50F112B22AB4}" type="VALUE">
                      <a:rPr lang="en-US"/>
                      <a:pPr/>
                      <a:t>[ЗНАЧЕНИЕ]</a:t>
                    </a:fld>
                    <a:r>
                      <a:rPr lang="en-US" baseline="0"/>
                      <a:t>; </a:t>
                    </a:r>
                    <a:fld id="{BC1B5204-E31F-43FB-BB76-3F05DF5F6646}" type="PERCENTAGE">
                      <a:rPr lang="en-US" baseline="0">
                        <a:solidFill>
                          <a:schemeClr val="tx1"/>
                        </a:solidFill>
                      </a:rPr>
                      <a:pPr/>
                      <a:t>[ПРОЦЕНТ]</a:t>
                    </a:fld>
                    <a:endParaRPr lang="en-US" baseline="0"/>
                  </a:p>
                </c:rich>
              </c:tx>
              <c:showVal val="1"/>
              <c:showPercent val="1"/>
              <c:extLst xmlns:c16r2="http://schemas.microsoft.com/office/drawing/2015/06/chart">
                <c:ext xmlns:c16="http://schemas.microsoft.com/office/drawing/2014/chart" uri="{C3380CC4-5D6E-409C-BE32-E72D297353CC}">
                  <c16:uniqueId val="{00000003-0678-4ECF-B8A9-C907ACD30278}"/>
                </c:ext>
                <c:ext xmlns:c15="http://schemas.microsoft.com/office/drawing/2012/chart" uri="{CE6537A1-D6FC-4f65-9D91-7224C49458BB}">
                  <c15:dlblFieldTable/>
                  <c15:showDataLabelsRange val="0"/>
                </c:ext>
              </c:extLst>
            </c:dLbl>
            <c:dLbl>
              <c:idx val="2"/>
              <c:layout>
                <c:manualLayout>
                  <c:x val="-2.6041666666666685E-2"/>
                  <c:y val="-0.10392609699769056"/>
                </c:manualLayout>
              </c:layout>
              <c:tx>
                <c:rich>
                  <a:bodyPr/>
                  <a:lstStyle/>
                  <a:p>
                    <a:fld id="{1927E231-6D1A-4FC5-ACEE-095BF37D20D2}" type="VALUE">
                      <a:rPr lang="en-US"/>
                      <a:pPr/>
                      <a:t>[ЗНАЧЕНИЕ]</a:t>
                    </a:fld>
                    <a:r>
                      <a:rPr lang="en-US" baseline="0"/>
                      <a:t>; </a:t>
                    </a:r>
                    <a:fld id="{C154E3D4-C7AC-487F-9FE7-D96BFAF69DF7}" type="PERCENTAGE">
                      <a:rPr lang="en-US" baseline="0">
                        <a:solidFill>
                          <a:schemeClr val="tx1"/>
                        </a:solidFill>
                      </a:rPr>
                      <a:pPr/>
                      <a:t>[ПРОЦЕНТ]</a:t>
                    </a:fld>
                    <a:endParaRPr lang="en-US" baseline="0"/>
                  </a:p>
                </c:rich>
              </c:tx>
              <c:showVal val="1"/>
              <c:showPercent val="1"/>
              <c:extLst xmlns:c16r2="http://schemas.microsoft.com/office/drawing/2015/06/chart">
                <c:ext xmlns:c16="http://schemas.microsoft.com/office/drawing/2014/chart" uri="{C3380CC4-5D6E-409C-BE32-E72D297353CC}">
                  <c16:uniqueId val="{00000005-0678-4ECF-B8A9-C907ACD30278}"/>
                </c:ext>
                <c:ext xmlns:c15="http://schemas.microsoft.com/office/drawing/2012/chart" uri="{CE6537A1-D6FC-4f65-9D91-7224C49458BB}">
                  <c15:layout>
                    <c:manualLayout>
                      <c:w val="0.25260416666666669"/>
                      <c:h val="0.20759260606281027"/>
                    </c:manualLayout>
                  </c15:layout>
                  <c15:dlblFieldTable/>
                  <c15:showDataLabelsRange val="0"/>
                </c:ext>
              </c:extLst>
            </c:dLbl>
            <c:dLbl>
              <c:idx val="3"/>
              <c:tx>
                <c:rich>
                  <a:bodyPr/>
                  <a:lstStyle/>
                  <a:p>
                    <a:fld id="{5E50B11F-0154-49DE-9FD5-C0A4C3A275A6}" type="VALUE">
                      <a:rPr lang="en-US"/>
                      <a:pPr/>
                      <a:t>[ЗНАЧЕНИЕ]</a:t>
                    </a:fld>
                    <a:r>
                      <a:rPr lang="en-US" baseline="0"/>
                      <a:t>; </a:t>
                    </a:r>
                    <a:fld id="{F12ECCCE-3409-423C-82DB-C294D389E02A}" type="PERCENTAGE">
                      <a:rPr lang="en-US" baseline="0">
                        <a:solidFill>
                          <a:schemeClr val="tx1"/>
                        </a:solidFill>
                      </a:rPr>
                      <a:pPr/>
                      <a:t>[ПРОЦЕНТ]</a:t>
                    </a:fld>
                    <a:endParaRPr lang="en-US" baseline="0"/>
                  </a:p>
                </c:rich>
              </c:tx>
              <c:showVal val="1"/>
              <c:showPercent val="1"/>
              <c:extLst xmlns:c16r2="http://schemas.microsoft.com/office/drawing/2015/06/chart">
                <c:ext xmlns:c16="http://schemas.microsoft.com/office/drawing/2014/chart" uri="{C3380CC4-5D6E-409C-BE32-E72D297353CC}">
                  <c16:uniqueId val="{00000007-0678-4ECF-B8A9-C907ACD30278}"/>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lang="ru-RU" sz="9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en-US"/>
              </a:p>
            </c:txPr>
            <c:showVal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Sheet1!$A$2:$A$5</c:f>
              <c:strCache>
                <c:ptCount val="4"/>
                <c:pt idx="0">
                  <c:v>BASS</c:v>
                </c:pt>
                <c:pt idx="1">
                  <c:v>FAOAM</c:v>
                </c:pt>
                <c:pt idx="2">
                  <c:v>BS</c:v>
                </c:pt>
                <c:pt idx="3">
                  <c:v>BUAT</c:v>
                </c:pt>
              </c:strCache>
            </c:strRef>
          </c:cat>
          <c:val>
            <c:numRef>
              <c:f>Sheet1!$B$2:$B$5</c:f>
              <c:numCache>
                <c:formatCode>0.0</c:formatCode>
                <c:ptCount val="4"/>
                <c:pt idx="0">
                  <c:v>8.9</c:v>
                </c:pt>
                <c:pt idx="1">
                  <c:v>2.8</c:v>
                </c:pt>
                <c:pt idx="2">
                  <c:v>10.5</c:v>
                </c:pt>
                <c:pt idx="3">
                  <c:v>2.9</c:v>
                </c:pt>
              </c:numCache>
            </c:numRef>
          </c:val>
          <c:extLst xmlns:c16r2="http://schemas.microsoft.com/office/drawing/2015/06/chart">
            <c:ext xmlns:c16="http://schemas.microsoft.com/office/drawing/2014/chart" uri="{C3380CC4-5D6E-409C-BE32-E72D297353CC}">
              <c16:uniqueId val="{00000008-0678-4ECF-B8A9-C907ACD30278}"/>
            </c:ext>
          </c:extLst>
        </c:ser>
        <c:dLbls>
          <c:showPercent val="1"/>
        </c:dLbls>
        <c:firstSliceAng val="0"/>
        <c:holeSize val="50"/>
      </c:doughnut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GB"/>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ru-RU" sz="1200" b="1" i="0" u="none" strike="noStrike" kern="1200" cap="all" spc="50" baseline="0">
                <a:solidFill>
                  <a:schemeClr val="tx1"/>
                </a:solidFill>
                <a:latin typeface="Times New Roman" panose="02020603050405020304" pitchFamily="18" charset="0"/>
                <a:ea typeface="+mn-ea"/>
                <a:cs typeface="Times New Roman" panose="02020603050405020304" pitchFamily="18" charset="0"/>
              </a:defRPr>
            </a:pPr>
            <a:r>
              <a:rPr lang="x-none" sz="1200">
                <a:solidFill>
                  <a:schemeClr val="tx1"/>
                </a:solidFill>
                <a:latin typeface="Times New Roman" panose="02020603050405020304" pitchFamily="18" charset="0"/>
                <a:cs typeface="Times New Roman" panose="02020603050405020304" pitchFamily="18" charset="0"/>
              </a:rPr>
              <a:t>Anul 2016</a:t>
            </a:r>
            <a:endParaRPr lang="en-US" sz="1200">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0.30901327551447394"/>
          <c:y val="0"/>
        </c:manualLayout>
      </c:layout>
      <c:spPr>
        <a:noFill/>
        <a:ln>
          <a:noFill/>
        </a:ln>
        <a:effectLst/>
      </c:spPr>
    </c:title>
    <c:plotArea>
      <c:layout>
        <c:manualLayout>
          <c:layoutTarget val="inner"/>
          <c:xMode val="edge"/>
          <c:yMode val="edge"/>
          <c:x val="0.10155007797938302"/>
          <c:y val="0.11189512829372078"/>
          <c:w val="0.81042701393095096"/>
          <c:h val="0.72994580931425179"/>
        </c:manualLayout>
      </c:layout>
      <c:doughnutChart>
        <c:varyColors val="1"/>
        <c:ser>
          <c:idx val="0"/>
          <c:order val="0"/>
          <c:tx>
            <c:strRef>
              <c:f>Sheet1!$B$1</c:f>
              <c:strCache>
                <c:ptCount val="1"/>
                <c:pt idx="0">
                  <c:v>2016</c:v>
                </c:pt>
              </c:strCache>
            </c:strRef>
          </c:tx>
          <c:dPt>
            <c:idx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2A9C-40C7-91E9-3256EF509ECE}"/>
              </c:ext>
            </c:extLst>
          </c:dPt>
          <c:dPt>
            <c:idx val="1"/>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2A9C-40C7-91E9-3256EF509ECE}"/>
              </c:ext>
            </c:extLst>
          </c:dPt>
          <c:dPt>
            <c:idx val="2"/>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5-2A9C-40C7-91E9-3256EF509ECE}"/>
              </c:ext>
            </c:extLst>
          </c:dPt>
          <c:dPt>
            <c:idx val="3"/>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7-2A9C-40C7-91E9-3256EF509ECE}"/>
              </c:ext>
            </c:extLst>
          </c:dPt>
          <c:dLbls>
            <c:dLbl>
              <c:idx val="0"/>
              <c:tx>
                <c:rich>
                  <a:bodyPr/>
                  <a:lstStyle/>
                  <a:p>
                    <a:fld id="{57CFCC40-3020-44D1-8A61-837E09DAB98F}" type="VALUE">
                      <a:rPr lang="en-US"/>
                      <a:pPr/>
                      <a:t>[ЗНАЧЕНИЕ]</a:t>
                    </a:fld>
                    <a:r>
                      <a:rPr lang="en-US" baseline="0"/>
                      <a:t>; </a:t>
                    </a:r>
                    <a:fld id="{DEEDC556-6AA5-4290-8084-402F1C3B8E8E}" type="PERCENTAGE">
                      <a:rPr lang="en-US" baseline="0">
                        <a:solidFill>
                          <a:schemeClr val="tx1"/>
                        </a:solidFill>
                      </a:rPr>
                      <a:pPr/>
                      <a:t>[ПРОЦЕНТ]</a:t>
                    </a:fld>
                    <a:endParaRPr lang="en-US" baseline="0"/>
                  </a:p>
                </c:rich>
              </c:tx>
              <c:showVal val="1"/>
              <c:showPercent val="1"/>
              <c:extLst xmlns:c16r2="http://schemas.microsoft.com/office/drawing/2015/06/chart">
                <c:ext xmlns:c16="http://schemas.microsoft.com/office/drawing/2014/chart" uri="{C3380CC4-5D6E-409C-BE32-E72D297353CC}">
                  <c16:uniqueId val="{00000001-2A9C-40C7-91E9-3256EF509ECE}"/>
                </c:ext>
                <c:ext xmlns:c15="http://schemas.microsoft.com/office/drawing/2012/chart" uri="{CE6537A1-D6FC-4f65-9D91-7224C49458BB}">
                  <c15:dlblFieldTable/>
                  <c15:showDataLabelsRange val="0"/>
                </c:ext>
              </c:extLst>
            </c:dLbl>
            <c:dLbl>
              <c:idx val="1"/>
              <c:tx>
                <c:rich>
                  <a:bodyPr/>
                  <a:lstStyle/>
                  <a:p>
                    <a:fld id="{B762BF3E-6B2A-4110-A8F5-C0B3C8BEDD6B}" type="VALUE">
                      <a:rPr lang="en-US"/>
                      <a:pPr/>
                      <a:t>[ЗНАЧЕНИЕ]</a:t>
                    </a:fld>
                    <a:r>
                      <a:rPr lang="en-US" baseline="0"/>
                      <a:t>; </a:t>
                    </a:r>
                    <a:fld id="{B80BAAB0-11F0-4828-A6ED-677A4BDCF124}" type="PERCENTAGE">
                      <a:rPr lang="en-US" baseline="0">
                        <a:solidFill>
                          <a:schemeClr val="tx1"/>
                        </a:solidFill>
                      </a:rPr>
                      <a:pPr/>
                      <a:t>[ПРОЦЕНТ]</a:t>
                    </a:fld>
                    <a:endParaRPr lang="en-US" baseline="0"/>
                  </a:p>
                </c:rich>
              </c:tx>
              <c:showVal val="1"/>
              <c:showPercent val="1"/>
              <c:extLst xmlns:c16r2="http://schemas.microsoft.com/office/drawing/2015/06/chart">
                <c:ext xmlns:c16="http://schemas.microsoft.com/office/drawing/2014/chart" uri="{C3380CC4-5D6E-409C-BE32-E72D297353CC}">
                  <c16:uniqueId val="{00000003-2A9C-40C7-91E9-3256EF509ECE}"/>
                </c:ext>
                <c:ext xmlns:c15="http://schemas.microsoft.com/office/drawing/2012/chart" uri="{CE6537A1-D6FC-4f65-9D91-7224C49458BB}">
                  <c15:dlblFieldTable/>
                  <c15:showDataLabelsRange val="0"/>
                </c:ext>
              </c:extLst>
            </c:dLbl>
            <c:dLbl>
              <c:idx val="2"/>
              <c:tx>
                <c:rich>
                  <a:bodyPr/>
                  <a:lstStyle/>
                  <a:p>
                    <a:fld id="{67A65907-4B55-449C-99A2-E0ED86E36ACC}" type="VALUE">
                      <a:rPr lang="en-US"/>
                      <a:pPr/>
                      <a:t>[ЗНАЧЕНИЕ]</a:t>
                    </a:fld>
                    <a:r>
                      <a:rPr lang="en-US" baseline="0"/>
                      <a:t>; </a:t>
                    </a:r>
                    <a:fld id="{089E9929-F15B-420D-8D3E-7D2295262560}" type="PERCENTAGE">
                      <a:rPr lang="en-US" baseline="0">
                        <a:solidFill>
                          <a:schemeClr val="tx1"/>
                        </a:solidFill>
                      </a:rPr>
                      <a:pPr/>
                      <a:t>[ПРОЦЕНТ]</a:t>
                    </a:fld>
                    <a:endParaRPr lang="en-US" baseline="0"/>
                  </a:p>
                </c:rich>
              </c:tx>
              <c:showVal val="1"/>
              <c:showPercent val="1"/>
              <c:extLst xmlns:c16r2="http://schemas.microsoft.com/office/drawing/2015/06/chart">
                <c:ext xmlns:c16="http://schemas.microsoft.com/office/drawing/2014/chart" uri="{C3380CC4-5D6E-409C-BE32-E72D297353CC}">
                  <c16:uniqueId val="{00000005-2A9C-40C7-91E9-3256EF509ECE}"/>
                </c:ext>
                <c:ext xmlns:c15="http://schemas.microsoft.com/office/drawing/2012/chart" uri="{CE6537A1-D6FC-4f65-9D91-7224C49458BB}">
                  <c15:dlblFieldTable/>
                  <c15:showDataLabelsRange val="0"/>
                </c:ext>
              </c:extLst>
            </c:dLbl>
            <c:dLbl>
              <c:idx val="3"/>
              <c:tx>
                <c:rich>
                  <a:bodyPr/>
                  <a:lstStyle/>
                  <a:p>
                    <a:fld id="{42D9F9A9-872D-4C34-BE01-EABA026F7DF1}" type="VALUE">
                      <a:rPr lang="en-US"/>
                      <a:pPr/>
                      <a:t>[ЗНАЧЕНИЕ]</a:t>
                    </a:fld>
                    <a:r>
                      <a:rPr lang="en-US" baseline="0"/>
                      <a:t>; </a:t>
                    </a:r>
                    <a:fld id="{5BBCD0F5-E8F6-4221-969E-5E265A76C618}" type="PERCENTAGE">
                      <a:rPr lang="en-US" baseline="0">
                        <a:solidFill>
                          <a:schemeClr val="tx1"/>
                        </a:solidFill>
                      </a:rPr>
                      <a:pPr/>
                      <a:t>[ПРОЦЕНТ]</a:t>
                    </a:fld>
                    <a:endParaRPr lang="en-US" baseline="0"/>
                  </a:p>
                </c:rich>
              </c:tx>
              <c:showVal val="1"/>
              <c:showPercent val="1"/>
              <c:extLst xmlns:c16r2="http://schemas.microsoft.com/office/drawing/2015/06/chart">
                <c:ext xmlns:c16="http://schemas.microsoft.com/office/drawing/2014/chart" uri="{C3380CC4-5D6E-409C-BE32-E72D297353CC}">
                  <c16:uniqueId val="{00000007-2A9C-40C7-91E9-3256EF509ECE}"/>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lang="ru-RU" sz="9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en-US"/>
              </a:p>
            </c:txPr>
            <c:showVal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Sheet1!$A$2:$A$5</c:f>
              <c:strCache>
                <c:ptCount val="4"/>
                <c:pt idx="0">
                  <c:v>BASS</c:v>
                </c:pt>
                <c:pt idx="1">
                  <c:v>FAOAM</c:v>
                </c:pt>
                <c:pt idx="2">
                  <c:v>BS</c:v>
                </c:pt>
                <c:pt idx="3">
                  <c:v>BUAT</c:v>
                </c:pt>
              </c:strCache>
            </c:strRef>
          </c:cat>
          <c:val>
            <c:numRef>
              <c:f>Sheet1!$B$2:$B$5</c:f>
              <c:numCache>
                <c:formatCode>0.0</c:formatCode>
                <c:ptCount val="4"/>
                <c:pt idx="0">
                  <c:v>9.7000000000000011</c:v>
                </c:pt>
                <c:pt idx="1">
                  <c:v>3.2</c:v>
                </c:pt>
                <c:pt idx="2">
                  <c:v>11.5</c:v>
                </c:pt>
                <c:pt idx="3">
                  <c:v>3.3</c:v>
                </c:pt>
              </c:numCache>
            </c:numRef>
          </c:val>
          <c:extLst xmlns:c16r2="http://schemas.microsoft.com/office/drawing/2015/06/chart">
            <c:ext xmlns:c16="http://schemas.microsoft.com/office/drawing/2014/chart" uri="{C3380CC4-5D6E-409C-BE32-E72D297353CC}">
              <c16:uniqueId val="{00000008-2A9C-40C7-91E9-3256EF509ECE}"/>
            </c:ext>
          </c:extLst>
        </c:ser>
        <c:dLbls>
          <c:showPercent val="1"/>
        </c:dLbls>
        <c:firstSliceAng val="0"/>
        <c:holeSize val="50"/>
      </c:doughnutChart>
      <c:spPr>
        <a:noFill/>
        <a:ln>
          <a:noFill/>
        </a:ln>
        <a:effectLst/>
      </c:spPr>
    </c:plotArea>
    <c:legend>
      <c:legendPos val="t"/>
      <c:legendEntry>
        <c:idx val="0"/>
        <c:txPr>
          <a:bodyPr rot="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Entry>
      <c:legendEntry>
        <c:idx val="1"/>
        <c:txPr>
          <a:bodyPr rot="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Entry>
      <c:legendEntry>
        <c:idx val="2"/>
        <c:txPr>
          <a:bodyPr rot="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Entry>
      <c:legendEntry>
        <c:idx val="3"/>
        <c:txPr>
          <a:bodyPr rot="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Entry>
      <c:layout>
        <c:manualLayout>
          <c:xMode val="edge"/>
          <c:yMode val="edge"/>
          <c:x val="5.6051887744801125E-2"/>
          <c:y val="0.90121247113163938"/>
          <c:w val="0.88789622451039774"/>
          <c:h val="9.7431397865105199E-2"/>
        </c:manualLayout>
      </c:layout>
      <c:spPr>
        <a:noFill/>
        <a:ln>
          <a:noFill/>
        </a:ln>
        <a:effectLst/>
      </c:spPr>
      <c:txPr>
        <a:bodyPr rot="0" spcFirstLastPara="1" vertOverflow="ellipsis" vert="horz" wrap="square" anchor="ctr" anchorCtr="1"/>
        <a:lstStyle/>
        <a:p>
          <a:pPr>
            <a:defRPr lang="ru-RU"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GB"/>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ru-RU" sz="1200" b="1" i="0" u="none" strike="noStrike" kern="1200" cap="all" spc="50" baseline="0">
                <a:solidFill>
                  <a:schemeClr val="tx1"/>
                </a:solidFill>
                <a:latin typeface="+mn-lt"/>
                <a:ea typeface="+mn-ea"/>
                <a:cs typeface="+mn-cs"/>
              </a:defRPr>
            </a:pPr>
            <a:r>
              <a:rPr lang="x-none" sz="1200">
                <a:solidFill>
                  <a:schemeClr val="tx1"/>
                </a:solidFill>
                <a:latin typeface="Times New Roman" panose="02020603050405020304" pitchFamily="18" charset="0"/>
                <a:cs typeface="Times New Roman" panose="02020603050405020304" pitchFamily="18" charset="0"/>
              </a:rPr>
              <a:t>anul 2017</a:t>
            </a:r>
            <a:endParaRPr lang="en-US" sz="1200">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0.30901327551447394"/>
          <c:y val="0"/>
        </c:manualLayout>
      </c:layout>
      <c:spPr>
        <a:noFill/>
        <a:ln>
          <a:noFill/>
        </a:ln>
        <a:effectLst/>
      </c:spPr>
    </c:title>
    <c:plotArea>
      <c:layout>
        <c:manualLayout>
          <c:layoutTarget val="inner"/>
          <c:xMode val="edge"/>
          <c:yMode val="edge"/>
          <c:x val="0.10155007797938302"/>
          <c:y val="0.11189512829372078"/>
          <c:w val="0.81669020857125685"/>
          <c:h val="0.74124538560855435"/>
        </c:manualLayout>
      </c:layout>
      <c:doughnutChart>
        <c:varyColors val="1"/>
        <c:ser>
          <c:idx val="0"/>
          <c:order val="0"/>
          <c:tx>
            <c:strRef>
              <c:f>Sheet1!$B$1</c:f>
              <c:strCache>
                <c:ptCount val="1"/>
                <c:pt idx="0">
                  <c:v>2017</c:v>
                </c:pt>
              </c:strCache>
            </c:strRef>
          </c:tx>
          <c:dPt>
            <c:idx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29CF-41E1-8E94-B64BB3BC3618}"/>
              </c:ext>
            </c:extLst>
          </c:dPt>
          <c:dPt>
            <c:idx val="1"/>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29CF-41E1-8E94-B64BB3BC3618}"/>
              </c:ext>
            </c:extLst>
          </c:dPt>
          <c:dPt>
            <c:idx val="2"/>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5-29CF-41E1-8E94-B64BB3BC3618}"/>
              </c:ext>
            </c:extLst>
          </c:dPt>
          <c:dPt>
            <c:idx val="3"/>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7-29CF-41E1-8E94-B64BB3BC3618}"/>
              </c:ext>
            </c:extLst>
          </c:dPt>
          <c:dLbls>
            <c:dLbl>
              <c:idx val="0"/>
              <c:tx>
                <c:rich>
                  <a:bodyPr/>
                  <a:lstStyle/>
                  <a:p>
                    <a:fld id="{EF9887BE-72FA-43E5-BBB6-B29D5D2CB165}" type="VALUE">
                      <a:rPr lang="en-US"/>
                      <a:pPr/>
                      <a:t>[ЗНАЧЕНИЕ]</a:t>
                    </a:fld>
                    <a:r>
                      <a:rPr lang="en-US" baseline="0"/>
                      <a:t>; </a:t>
                    </a:r>
                    <a:fld id="{1277DBE8-E77F-4F45-A2AD-82FC10BE81E5}" type="PERCENTAGE">
                      <a:rPr lang="en-US" baseline="0">
                        <a:solidFill>
                          <a:schemeClr val="tx1"/>
                        </a:solidFill>
                      </a:rPr>
                      <a:pPr/>
                      <a:t>[ПРОЦЕНТ]</a:t>
                    </a:fld>
                    <a:endParaRPr lang="en-US" baseline="0"/>
                  </a:p>
                </c:rich>
              </c:tx>
              <c:showVal val="1"/>
              <c:showPercent val="1"/>
              <c:extLst xmlns:c16r2="http://schemas.microsoft.com/office/drawing/2015/06/chart">
                <c:ext xmlns:c16="http://schemas.microsoft.com/office/drawing/2014/chart" uri="{C3380CC4-5D6E-409C-BE32-E72D297353CC}">
                  <c16:uniqueId val="{00000001-29CF-41E1-8E94-B64BB3BC3618}"/>
                </c:ext>
                <c:ext xmlns:c15="http://schemas.microsoft.com/office/drawing/2012/chart" uri="{CE6537A1-D6FC-4f65-9D91-7224C49458BB}">
                  <c15:dlblFieldTable/>
                  <c15:showDataLabelsRange val="0"/>
                </c:ext>
              </c:extLst>
            </c:dLbl>
            <c:dLbl>
              <c:idx val="1"/>
              <c:tx>
                <c:rich>
                  <a:bodyPr/>
                  <a:lstStyle/>
                  <a:p>
                    <a:fld id="{5B3A2463-FB46-4257-B416-50ECDAD84BFD}" type="VALUE">
                      <a:rPr lang="en-US"/>
                      <a:pPr/>
                      <a:t>[ЗНАЧЕНИЕ]</a:t>
                    </a:fld>
                    <a:r>
                      <a:rPr lang="en-US" baseline="0"/>
                      <a:t>; </a:t>
                    </a:r>
                    <a:fld id="{84431F53-C81C-402A-A29A-A93F6E9BED60}" type="PERCENTAGE">
                      <a:rPr lang="en-US" baseline="0">
                        <a:solidFill>
                          <a:schemeClr val="tx1"/>
                        </a:solidFill>
                      </a:rPr>
                      <a:pPr/>
                      <a:t>[ПРОЦЕНТ]</a:t>
                    </a:fld>
                    <a:endParaRPr lang="en-US" baseline="0"/>
                  </a:p>
                </c:rich>
              </c:tx>
              <c:showVal val="1"/>
              <c:showPercent val="1"/>
              <c:extLst xmlns:c16r2="http://schemas.microsoft.com/office/drawing/2015/06/chart">
                <c:ext xmlns:c16="http://schemas.microsoft.com/office/drawing/2014/chart" uri="{C3380CC4-5D6E-409C-BE32-E72D297353CC}">
                  <c16:uniqueId val="{00000003-29CF-41E1-8E94-B64BB3BC3618}"/>
                </c:ext>
                <c:ext xmlns:c15="http://schemas.microsoft.com/office/drawing/2012/chart" uri="{CE6537A1-D6FC-4f65-9D91-7224C49458BB}">
                  <c15:dlblFieldTable/>
                  <c15:showDataLabelsRange val="0"/>
                </c:ext>
              </c:extLst>
            </c:dLbl>
            <c:dLbl>
              <c:idx val="2"/>
              <c:tx>
                <c:rich>
                  <a:bodyPr/>
                  <a:lstStyle/>
                  <a:p>
                    <a:fld id="{0BCEE737-BF17-4901-807C-5557A1CA669C}" type="VALUE">
                      <a:rPr lang="en-US"/>
                      <a:pPr/>
                      <a:t>[ЗНАЧЕНИЕ]</a:t>
                    </a:fld>
                    <a:r>
                      <a:rPr lang="en-US" baseline="0">
                        <a:solidFill>
                          <a:schemeClr val="tx1"/>
                        </a:solidFill>
                      </a:rPr>
                      <a:t>; </a:t>
                    </a:r>
                    <a:fld id="{99C545D1-0E13-4FD7-87DE-612CE0934B04}" type="PERCENTAGE">
                      <a:rPr lang="en-US" baseline="0">
                        <a:solidFill>
                          <a:schemeClr val="tx1"/>
                        </a:solidFill>
                      </a:rPr>
                      <a:pPr/>
                      <a:t>[ПРОЦЕНТ]</a:t>
                    </a:fld>
                    <a:endParaRPr lang="en-US" baseline="0">
                      <a:solidFill>
                        <a:schemeClr val="tx1"/>
                      </a:solidFill>
                    </a:endParaRPr>
                  </a:p>
                </c:rich>
              </c:tx>
              <c:showVal val="1"/>
              <c:showPercent val="1"/>
              <c:extLst xmlns:c16r2="http://schemas.microsoft.com/office/drawing/2015/06/chart">
                <c:ext xmlns:c16="http://schemas.microsoft.com/office/drawing/2014/chart" uri="{C3380CC4-5D6E-409C-BE32-E72D297353CC}">
                  <c16:uniqueId val="{00000005-29CF-41E1-8E94-B64BB3BC3618}"/>
                </c:ext>
                <c:ext xmlns:c15="http://schemas.microsoft.com/office/drawing/2012/chart" uri="{CE6537A1-D6FC-4f65-9D91-7224C49458BB}">
                  <c15:dlblFieldTable/>
                  <c15:showDataLabelsRange val="0"/>
                </c:ext>
              </c:extLst>
            </c:dLbl>
            <c:dLbl>
              <c:idx val="3"/>
              <c:tx>
                <c:rich>
                  <a:bodyPr/>
                  <a:lstStyle/>
                  <a:p>
                    <a:fld id="{062C03C2-909F-4FB7-8BBF-13858F7F2722}" type="VALUE">
                      <a:rPr lang="en-US"/>
                      <a:pPr/>
                      <a:t>[ЗНАЧЕНИЕ]</a:t>
                    </a:fld>
                    <a:r>
                      <a:rPr lang="en-US" baseline="0"/>
                      <a:t>; </a:t>
                    </a:r>
                    <a:fld id="{82D1FD3E-75E6-42BF-BD65-3BA5596C2538}" type="PERCENTAGE">
                      <a:rPr lang="en-US" baseline="0">
                        <a:solidFill>
                          <a:schemeClr val="tx1"/>
                        </a:solidFill>
                      </a:rPr>
                      <a:pPr/>
                      <a:t>[ПРОЦЕНТ]</a:t>
                    </a:fld>
                    <a:endParaRPr lang="en-US" baseline="0"/>
                  </a:p>
                </c:rich>
              </c:tx>
              <c:showVal val="1"/>
              <c:showPercent val="1"/>
              <c:extLst xmlns:c16r2="http://schemas.microsoft.com/office/drawing/2015/06/chart">
                <c:ext xmlns:c16="http://schemas.microsoft.com/office/drawing/2014/chart" uri="{C3380CC4-5D6E-409C-BE32-E72D297353CC}">
                  <c16:uniqueId val="{00000007-29CF-41E1-8E94-B64BB3BC3618}"/>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lang="ru-RU" sz="9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en-US"/>
              </a:p>
            </c:txPr>
            <c:showVal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Sheet1!$A$2:$A$5</c:f>
              <c:strCache>
                <c:ptCount val="4"/>
                <c:pt idx="0">
                  <c:v>BASS</c:v>
                </c:pt>
                <c:pt idx="1">
                  <c:v>FAOAM</c:v>
                </c:pt>
                <c:pt idx="2">
                  <c:v>BS</c:v>
                </c:pt>
                <c:pt idx="3">
                  <c:v>BUAT</c:v>
                </c:pt>
              </c:strCache>
            </c:strRef>
          </c:cat>
          <c:val>
            <c:numRef>
              <c:f>Sheet1!$B$2:$B$5</c:f>
              <c:numCache>
                <c:formatCode>0.0</c:formatCode>
                <c:ptCount val="4"/>
                <c:pt idx="0">
                  <c:v>11.4</c:v>
                </c:pt>
                <c:pt idx="1">
                  <c:v>3.5</c:v>
                </c:pt>
                <c:pt idx="2">
                  <c:v>14.3</c:v>
                </c:pt>
                <c:pt idx="3">
                  <c:v>3.4</c:v>
                </c:pt>
              </c:numCache>
            </c:numRef>
          </c:val>
          <c:extLst xmlns:c16r2="http://schemas.microsoft.com/office/drawing/2015/06/chart">
            <c:ext xmlns:c16="http://schemas.microsoft.com/office/drawing/2014/chart" uri="{C3380CC4-5D6E-409C-BE32-E72D297353CC}">
              <c16:uniqueId val="{00000008-29CF-41E1-8E94-B64BB3BC3618}"/>
            </c:ext>
          </c:extLst>
        </c:ser>
        <c:dLbls>
          <c:showPercent val="1"/>
        </c:dLbls>
        <c:firstSliceAng val="0"/>
        <c:holeSize val="50"/>
      </c:doughnut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userShapes r:id="rId3"/>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GB"/>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ru-RU" sz="1200" b="1" i="1"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x-none" sz="1200" b="1" i="1">
                <a:latin typeface="Times New Roman" panose="02020603050405020304" pitchFamily="18" charset="0"/>
                <a:cs typeface="Times New Roman" panose="02020603050405020304" pitchFamily="18" charset="0"/>
              </a:rPr>
              <a:t>Dinamica restanțelor la plățile administrate de SV cu termen </a:t>
            </a:r>
          </a:p>
          <a:p>
            <a:pPr>
              <a:defRPr lang="ru-RU" sz="1200" b="1" i="1"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x-none" sz="1200" b="1" i="1">
                <a:latin typeface="Times New Roman" panose="02020603050405020304" pitchFamily="18" charset="0"/>
                <a:cs typeface="Times New Roman" panose="02020603050405020304" pitchFamily="18" charset="0"/>
              </a:rPr>
              <a:t>mai mare de 6</a:t>
            </a:r>
            <a:r>
              <a:rPr lang="x-none" sz="1200" b="1" i="1" baseline="0">
                <a:latin typeface="Times New Roman" panose="02020603050405020304" pitchFamily="18" charset="0"/>
                <a:cs typeface="Times New Roman" panose="02020603050405020304" pitchFamily="18" charset="0"/>
              </a:rPr>
              <a:t> ani în totalul restanțelor la BS pe anii</a:t>
            </a:r>
            <a:r>
              <a:rPr lang="x-none" sz="1200" b="1" i="1">
                <a:latin typeface="Times New Roman" panose="02020603050405020304" pitchFamily="18" charset="0"/>
                <a:cs typeface="Times New Roman" panose="02020603050405020304" pitchFamily="18" charset="0"/>
              </a:rPr>
              <a:t> 2015-2017</a:t>
            </a:r>
            <a:endParaRPr lang="en-US" sz="1200" b="1" i="1">
              <a:latin typeface="Times New Roman" panose="02020603050405020304" pitchFamily="18" charset="0"/>
              <a:cs typeface="Times New Roman" panose="02020603050405020304" pitchFamily="18" charset="0"/>
            </a:endParaRPr>
          </a:p>
        </c:rich>
      </c:tx>
      <c:layout>
        <c:manualLayout>
          <c:xMode val="edge"/>
          <c:yMode val="edge"/>
          <c:x val="0.13613298337707791"/>
          <c:y val="3.9401103230890466E-2"/>
        </c:manualLayout>
      </c:layout>
      <c:spPr>
        <a:noFill/>
        <a:ln>
          <a:noFill/>
        </a:ln>
        <a:effectLst/>
      </c:spPr>
    </c:title>
    <c:view3D>
      <c:perspective val="30"/>
    </c:view3D>
    <c:floor>
      <c:spPr>
        <a:noFill/>
        <a:ln>
          <a:noFill/>
        </a:ln>
        <a:effectLst/>
        <a:sp3d/>
      </c:spPr>
    </c:floor>
    <c:sideWall>
      <c:spPr>
        <a:noFill/>
        <a:ln>
          <a:noFill/>
        </a:ln>
        <a:effectLst>
          <a:outerShdw blurRad="50800" dist="50800" dir="5400000" algn="ctr" rotWithShape="0">
            <a:schemeClr val="tx2">
              <a:lumMod val="40000"/>
              <a:lumOff val="60000"/>
            </a:schemeClr>
          </a:outerShdw>
        </a:effectLst>
        <a:sp3d/>
      </c:spPr>
    </c:sideWall>
    <c:backWall>
      <c:spPr>
        <a:noFill/>
        <a:ln>
          <a:noFill/>
        </a:ln>
        <a:effectLst>
          <a:outerShdw blurRad="50800" dist="50800" dir="5400000" algn="ctr" rotWithShape="0">
            <a:schemeClr val="tx2">
              <a:lumMod val="40000"/>
              <a:lumOff val="60000"/>
            </a:schemeClr>
          </a:outerShdw>
        </a:effectLst>
        <a:sp3d/>
      </c:spPr>
    </c:backWall>
    <c:plotArea>
      <c:layout>
        <c:manualLayout>
          <c:layoutTarget val="inner"/>
          <c:xMode val="edge"/>
          <c:yMode val="edge"/>
          <c:x val="2.4059492563429589E-2"/>
          <c:y val="0.19296705819573978"/>
          <c:w val="0.95188101487314103"/>
          <c:h val="0.59599473824637172"/>
        </c:manualLayout>
      </c:layout>
      <c:bar3DChart>
        <c:barDir val="col"/>
        <c:grouping val="stacked"/>
        <c:ser>
          <c:idx val="0"/>
          <c:order val="0"/>
          <c:tx>
            <c:strRef>
              <c:f>Sheet1!$B$1</c:f>
              <c:strCache>
                <c:ptCount val="1"/>
                <c:pt idx="0">
                  <c:v>Inclusiv, cu termen mai mare de 6 ani</c:v>
                </c:pt>
              </c:strCache>
            </c:strRef>
          </c:tx>
          <c:spPr>
            <a:solidFill>
              <a:schemeClr val="accent1">
                <a:alpha val="85000"/>
              </a:schemeClr>
            </a:solidFill>
            <a:ln w="9525" cap="flat" cmpd="sng" algn="ctr">
              <a:solidFill>
                <a:schemeClr val="lt1">
                  <a:alpha val="50000"/>
                </a:schemeClr>
              </a:solidFill>
              <a:round/>
            </a:ln>
            <a:effectLst/>
            <a:sp3d contourW="9525">
              <a:contourClr>
                <a:schemeClr val="lt1">
                  <a:alpha val="50000"/>
                </a:schemeClr>
              </a:contourClr>
            </a:sp3d>
          </c:spPr>
          <c:dLbls>
            <c:dLbl>
              <c:idx val="0"/>
              <c:layout>
                <c:manualLayout>
                  <c:x val="8.7489063867016627E-3"/>
                  <c:y val="-1.4446904292788672E-16"/>
                </c:manualLayout>
              </c:layout>
              <c:showVal val="1"/>
              <c:extLst xmlns:c16r2="http://schemas.microsoft.com/office/drawing/2015/06/chart">
                <c:ext xmlns:c16="http://schemas.microsoft.com/office/drawing/2014/chart" uri="{C3380CC4-5D6E-409C-BE32-E72D297353CC}">
                  <c16:uniqueId val="{00000000-2D84-4A04-AE2D-FF3F71715E82}"/>
                </c:ext>
                <c:ext xmlns:c15="http://schemas.microsoft.com/office/drawing/2012/chart" uri="{CE6537A1-D6FC-4f65-9D91-7224C49458BB}"/>
              </c:extLst>
            </c:dLbl>
            <c:dLbl>
              <c:idx val="1"/>
              <c:layout>
                <c:manualLayout>
                  <c:x val="8.7489063867016627E-3"/>
                  <c:y val="7.2234521463943371E-17"/>
                </c:manualLayout>
              </c:layout>
              <c:showVal val="1"/>
              <c:extLst xmlns:c16r2="http://schemas.microsoft.com/office/drawing/2015/06/chart">
                <c:ext xmlns:c16="http://schemas.microsoft.com/office/drawing/2014/chart" uri="{C3380CC4-5D6E-409C-BE32-E72D297353CC}">
                  <c16:uniqueId val="{00000001-2D84-4A04-AE2D-FF3F71715E82}"/>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ru-RU" sz="11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en-US"/>
              </a:p>
            </c:txPr>
            <c:showVal val="1"/>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Sheet1!$A$2:$A$4</c:f>
              <c:strCache>
                <c:ptCount val="3"/>
                <c:pt idx="0">
                  <c:v>Anul 2015</c:v>
                </c:pt>
                <c:pt idx="1">
                  <c:v>Anul 2016</c:v>
                </c:pt>
                <c:pt idx="2">
                  <c:v>Anul 2017</c:v>
                </c:pt>
              </c:strCache>
            </c:strRef>
          </c:cat>
          <c:val>
            <c:numRef>
              <c:f>Sheet1!$B$2:$B$4</c:f>
              <c:numCache>
                <c:formatCode>0.0</c:formatCode>
                <c:ptCount val="3"/>
                <c:pt idx="0">
                  <c:v>50</c:v>
                </c:pt>
                <c:pt idx="1">
                  <c:v>50.4</c:v>
                </c:pt>
                <c:pt idx="2">
                  <c:v>69.599999999999994</c:v>
                </c:pt>
              </c:numCache>
            </c:numRef>
          </c:val>
          <c:extLst xmlns:c16r2="http://schemas.microsoft.com/office/drawing/2015/06/chart">
            <c:ext xmlns:c16="http://schemas.microsoft.com/office/drawing/2014/chart" uri="{C3380CC4-5D6E-409C-BE32-E72D297353CC}">
              <c16:uniqueId val="{00000002-2D84-4A04-AE2D-FF3F71715E82}"/>
            </c:ext>
          </c:extLst>
        </c:ser>
        <c:ser>
          <c:idx val="1"/>
          <c:order val="1"/>
          <c:tx>
            <c:strRef>
              <c:f>Sheet1!$C$1</c:f>
              <c:strCache>
                <c:ptCount val="1"/>
                <c:pt idx="0">
                  <c:v>Total restanțe</c:v>
                </c:pt>
              </c:strCache>
            </c:strRef>
          </c:tx>
          <c:spPr>
            <a:solidFill>
              <a:schemeClr val="accent2">
                <a:alpha val="85000"/>
              </a:schemeClr>
            </a:solidFill>
            <a:ln w="9525" cap="flat" cmpd="sng" algn="ctr">
              <a:solidFill>
                <a:schemeClr val="lt1">
                  <a:alpha val="50000"/>
                </a:schemeClr>
              </a:solidFill>
              <a:round/>
            </a:ln>
            <a:effectLst/>
            <a:sp3d contourW="9525">
              <a:contourClr>
                <a:schemeClr val="lt1">
                  <a:alpha val="50000"/>
                </a:schemeClr>
              </a:contourClr>
            </a:sp3d>
          </c:spPr>
          <c:dLbls>
            <c:dLbl>
              <c:idx val="0"/>
              <c:layout>
                <c:manualLayout>
                  <c:x val="1.9685039370078747E-2"/>
                  <c:y val="-0.18124507486209629"/>
                </c:manualLayout>
              </c:layout>
              <c:showVal val="1"/>
              <c:extLst xmlns:c16r2="http://schemas.microsoft.com/office/drawing/2015/06/chart">
                <c:ext xmlns:c16="http://schemas.microsoft.com/office/drawing/2014/chart" uri="{C3380CC4-5D6E-409C-BE32-E72D297353CC}">
                  <c16:uniqueId val="{00000003-2D84-4A04-AE2D-FF3F71715E82}"/>
                </c:ext>
                <c:ext xmlns:c15="http://schemas.microsoft.com/office/drawing/2012/chart" uri="{CE6537A1-D6FC-4f65-9D91-7224C49458BB}"/>
              </c:extLst>
            </c:dLbl>
            <c:dLbl>
              <c:idx val="1"/>
              <c:layout>
                <c:manualLayout>
                  <c:x val="1.3123359580052497E-2"/>
                  <c:y val="-0.19700551615445236"/>
                </c:manualLayout>
              </c:layout>
              <c:showVal val="1"/>
              <c:extLst xmlns:c16r2="http://schemas.microsoft.com/office/drawing/2015/06/chart">
                <c:ext xmlns:c16="http://schemas.microsoft.com/office/drawing/2014/chart" uri="{C3380CC4-5D6E-409C-BE32-E72D297353CC}">
                  <c16:uniqueId val="{00000004-2D84-4A04-AE2D-FF3F71715E82}"/>
                </c:ext>
                <c:ext xmlns:c15="http://schemas.microsoft.com/office/drawing/2012/chart" uri="{CE6537A1-D6FC-4f65-9D91-7224C49458BB}"/>
              </c:extLst>
            </c:dLbl>
            <c:dLbl>
              <c:idx val="2"/>
              <c:layout>
                <c:manualLayout>
                  <c:x val="1.5310586176727909E-2"/>
                  <c:y val="-0.22064617809298664"/>
                </c:manualLayout>
              </c:layout>
              <c:showVal val="1"/>
              <c:extLst xmlns:c16r2="http://schemas.microsoft.com/office/drawing/2015/06/chart">
                <c:ext xmlns:c16="http://schemas.microsoft.com/office/drawing/2014/chart" uri="{C3380CC4-5D6E-409C-BE32-E72D297353CC}">
                  <c16:uniqueId val="{00000005-2D84-4A04-AE2D-FF3F71715E82}"/>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ru-RU" sz="1200" b="1" i="1"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Val val="1"/>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Sheet1!$A$2:$A$4</c:f>
              <c:strCache>
                <c:ptCount val="3"/>
                <c:pt idx="0">
                  <c:v>Anul 2015</c:v>
                </c:pt>
                <c:pt idx="1">
                  <c:v>Anul 2016</c:v>
                </c:pt>
                <c:pt idx="2">
                  <c:v>Anul 2017</c:v>
                </c:pt>
              </c:strCache>
            </c:strRef>
          </c:cat>
          <c:val>
            <c:numRef>
              <c:f>Sheet1!$C$2:$C$4</c:f>
              <c:numCache>
                <c:formatCode>0.0</c:formatCode>
                <c:ptCount val="3"/>
                <c:pt idx="0">
                  <c:v>307.2</c:v>
                </c:pt>
                <c:pt idx="1">
                  <c:v>319.5</c:v>
                </c:pt>
                <c:pt idx="2">
                  <c:v>385.8</c:v>
                </c:pt>
              </c:numCache>
            </c:numRef>
          </c:val>
          <c:extLst xmlns:c16r2="http://schemas.microsoft.com/office/drawing/2015/06/chart">
            <c:ext xmlns:c16="http://schemas.microsoft.com/office/drawing/2014/chart" uri="{C3380CC4-5D6E-409C-BE32-E72D297353CC}">
              <c16:uniqueId val="{00000006-2D84-4A04-AE2D-FF3F71715E82}"/>
            </c:ext>
          </c:extLst>
        </c:ser>
        <c:dLbls>
          <c:showVal val="1"/>
        </c:dLbls>
        <c:shape val="cylinder"/>
        <c:axId val="212028416"/>
        <c:axId val="212038400"/>
        <c:axId val="0"/>
      </c:bar3DChart>
      <c:catAx>
        <c:axId val="212028416"/>
        <c:scaling>
          <c:orientation val="minMax"/>
        </c:scaling>
        <c:delete val="1"/>
        <c:axPos val="b"/>
        <c:numFmt formatCode="General" sourceLinked="1"/>
        <c:tickLblPos val="nextTo"/>
        <c:crossAx val="212038400"/>
        <c:crosses val="autoZero"/>
        <c:auto val="1"/>
        <c:lblAlgn val="ctr"/>
        <c:lblOffset val="100"/>
      </c:catAx>
      <c:valAx>
        <c:axId val="21203840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 sourceLinked="1"/>
        <c:tickLblPos val="nextTo"/>
        <c:crossAx val="212028416"/>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lang="ru-RU" sz="9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dTable>
      <c:spPr>
        <a:noFill/>
        <a:ln>
          <a:noFill/>
        </a:ln>
        <a:effectLst/>
      </c:spPr>
    </c:plotArea>
    <c:plotVisOnly val="1"/>
    <c:dispBlanksAs val="gap"/>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lang val="en-GB"/>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ru-RU" sz="1200" b="1" i="1" u="none" strike="noStrike" kern="1200" cap="none" spc="5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r>
              <a:rPr lang="x-none" sz="1200" b="1" i="0">
                <a:solidFill>
                  <a:schemeClr val="tx1"/>
                </a:solidFill>
                <a:latin typeface="Times New Roman" panose="02020603050405020304" pitchFamily="18" charset="0"/>
                <a:cs typeface="Times New Roman" panose="02020603050405020304" pitchFamily="18" charset="0"/>
              </a:rPr>
              <a:t>Ponderea încasărilor administrate de către</a:t>
            </a:r>
            <a:r>
              <a:rPr lang="x-none" sz="1200" b="1" i="0" baseline="0">
                <a:solidFill>
                  <a:schemeClr val="tx1"/>
                </a:solidFill>
                <a:latin typeface="Times New Roman" panose="02020603050405020304" pitchFamily="18" charset="0"/>
                <a:cs typeface="Times New Roman" panose="02020603050405020304" pitchFamily="18" charset="0"/>
              </a:rPr>
              <a:t> SFS </a:t>
            </a:r>
            <a:r>
              <a:rPr lang="x-none" sz="1200" b="1" i="0">
                <a:solidFill>
                  <a:schemeClr val="tx1"/>
                </a:solidFill>
                <a:latin typeface="Times New Roman" panose="02020603050405020304" pitchFamily="18" charset="0"/>
                <a:cs typeface="Times New Roman" panose="02020603050405020304" pitchFamily="18" charset="0"/>
              </a:rPr>
              <a:t>în PIB </a:t>
            </a:r>
            <a:r>
              <a:rPr lang="x-none" sz="1200" b="1" i="0" baseline="0">
                <a:solidFill>
                  <a:schemeClr val="tx1"/>
                </a:solidFill>
                <a:latin typeface="Times New Roman" panose="02020603050405020304" pitchFamily="18" charset="0"/>
                <a:cs typeface="Times New Roman" panose="02020603050405020304" pitchFamily="18" charset="0"/>
              </a:rPr>
              <a:t>pentru perioada anilor 2015-2017</a:t>
            </a:r>
            <a:endParaRPr lang="en-US" sz="1200" b="1" i="0">
              <a:solidFill>
                <a:schemeClr val="tx1"/>
              </a:solidFill>
              <a:latin typeface="Times New Roman" panose="02020603050405020304" pitchFamily="18" charset="0"/>
              <a:cs typeface="Times New Roman" panose="02020603050405020304" pitchFamily="18" charset="0"/>
            </a:endParaRPr>
          </a:p>
        </c:rich>
      </c:tx>
      <c:spPr>
        <a:noFill/>
        <a:ln>
          <a:noFill/>
        </a:ln>
        <a:effectLst/>
      </c:spPr>
    </c:title>
    <c:plotArea>
      <c:layout>
        <c:manualLayout>
          <c:layoutTarget val="inner"/>
          <c:xMode val="edge"/>
          <c:yMode val="edge"/>
          <c:x val="3.3707865168539339E-2"/>
          <c:y val="0.19075008202099741"/>
          <c:w val="0.93133583021223487"/>
          <c:h val="0.60924991797900285"/>
        </c:manualLayout>
      </c:layout>
      <c:barChart>
        <c:barDir val="col"/>
        <c:grouping val="clustered"/>
        <c:ser>
          <c:idx val="0"/>
          <c:order val="0"/>
          <c:tx>
            <c:strRef>
              <c:f>Лист1!$B$1</c:f>
              <c:strCache>
                <c:ptCount val="1"/>
                <c:pt idx="0">
                  <c:v>PIB</c:v>
                </c:pt>
              </c:strCache>
            </c:strRef>
          </c:tx>
          <c:spPr>
            <a:solidFill>
              <a:schemeClr val="accent2">
                <a:lumMod val="75000"/>
              </a:schemeClr>
            </a:solidFill>
            <a:ln>
              <a:solidFill>
                <a:srgbClr val="FF0000"/>
              </a:solidFill>
            </a:ln>
            <a:effectLst/>
          </c:spPr>
          <c:dLbls>
            <c:spPr>
              <a:noFill/>
              <a:ln>
                <a:noFill/>
              </a:ln>
              <a:effectLst/>
            </c:spPr>
            <c:txPr>
              <a:bodyPr rot="0" spcFirstLastPara="1" vertOverflow="ellipsis" vert="horz" wrap="square" lIns="38100" tIns="19050" rIns="38100" bIns="19050" anchor="ctr" anchorCtr="1">
                <a:spAutoFit/>
              </a:bodyPr>
              <a:lstStyle/>
              <a:p>
                <a:pPr>
                  <a:defRPr lang="ru-RU" sz="12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dLblPos val="inEnd"/>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Anul 2015</c:v>
                </c:pt>
                <c:pt idx="1">
                  <c:v>Anul 2016</c:v>
                </c:pt>
                <c:pt idx="2">
                  <c:v>Anul 2017</c:v>
                </c:pt>
              </c:strCache>
            </c:strRef>
          </c:cat>
          <c:val>
            <c:numRef>
              <c:f>Лист1!$B$2:$B$4</c:f>
              <c:numCache>
                <c:formatCode>General</c:formatCode>
                <c:ptCount val="3"/>
                <c:pt idx="0">
                  <c:v>122.6</c:v>
                </c:pt>
                <c:pt idx="1">
                  <c:v>135.4</c:v>
                </c:pt>
                <c:pt idx="2">
                  <c:v>150.4</c:v>
                </c:pt>
              </c:numCache>
            </c:numRef>
          </c:val>
          <c:extLst xmlns:c16r2="http://schemas.microsoft.com/office/drawing/2015/06/chart">
            <c:ext xmlns:c16="http://schemas.microsoft.com/office/drawing/2014/chart" uri="{C3380CC4-5D6E-409C-BE32-E72D297353CC}">
              <c16:uniqueId val="{00000000-ACE2-4FC6-9CF6-C4E624576700}"/>
            </c:ext>
          </c:extLst>
        </c:ser>
        <c:ser>
          <c:idx val="1"/>
          <c:order val="1"/>
          <c:tx>
            <c:strRef>
              <c:f>Лист1!$C$1</c:f>
              <c:strCache>
                <c:ptCount val="1"/>
                <c:pt idx="0">
                  <c:v>Încasările în BPN administrate de SFS </c:v>
                </c:pt>
              </c:strCache>
            </c:strRef>
          </c:tx>
          <c:spPr>
            <a:solidFill>
              <a:srgbClr val="FFC000">
                <a:alpha val="70000"/>
              </a:srgbClr>
            </a:solidFill>
            <a:ln>
              <a:solidFill>
                <a:schemeClr val="accent1"/>
              </a:solidFill>
            </a:ln>
            <a:effectLst/>
          </c:spPr>
          <c:dLbls>
            <c:spPr>
              <a:noFill/>
              <a:ln>
                <a:noFill/>
              </a:ln>
              <a:effectLst/>
            </c:spPr>
            <c:txPr>
              <a:bodyPr rot="0" spcFirstLastPara="1" vertOverflow="ellipsis" vert="horz" wrap="square" lIns="38100" tIns="19050" rIns="38100" bIns="19050" anchor="ctr" anchorCtr="1">
                <a:spAutoFit/>
              </a:bodyPr>
              <a:lstStyle/>
              <a:p>
                <a:pPr>
                  <a:defRPr lang="ru-RU" sz="11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dLblPos val="ct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Anul 2015</c:v>
                </c:pt>
                <c:pt idx="1">
                  <c:v>Anul 2016</c:v>
                </c:pt>
                <c:pt idx="2">
                  <c:v>Anul 2017</c:v>
                </c:pt>
              </c:strCache>
            </c:strRef>
          </c:cat>
          <c:val>
            <c:numRef>
              <c:f>Лист1!$C$2:$C$4</c:f>
              <c:numCache>
                <c:formatCode>0.0</c:formatCode>
                <c:ptCount val="3"/>
                <c:pt idx="0">
                  <c:v>25.1</c:v>
                </c:pt>
                <c:pt idx="1">
                  <c:v>27.6</c:v>
                </c:pt>
                <c:pt idx="2">
                  <c:v>32.700000000000003</c:v>
                </c:pt>
              </c:numCache>
            </c:numRef>
          </c:val>
          <c:extLst xmlns:c16r2="http://schemas.microsoft.com/office/drawing/2015/06/chart">
            <c:ext xmlns:c16="http://schemas.microsoft.com/office/drawing/2014/chart" uri="{C3380CC4-5D6E-409C-BE32-E72D297353CC}">
              <c16:uniqueId val="{00000001-ACE2-4FC6-9CF6-C4E624576700}"/>
            </c:ext>
          </c:extLst>
        </c:ser>
        <c:ser>
          <c:idx val="2"/>
          <c:order val="2"/>
          <c:tx>
            <c:strRef>
              <c:f>Лист1!$D$1</c:f>
              <c:strCache>
                <c:ptCount val="1"/>
                <c:pt idx="0">
                  <c:v>Ponderea în PIB %</c:v>
                </c:pt>
              </c:strCache>
            </c:strRef>
          </c:tx>
          <c:spPr>
            <a:solidFill>
              <a:schemeClr val="accent3">
                <a:alpha val="70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ru-RU" sz="1200" b="1" i="1"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Лист1!$A$2:$A$4</c:f>
              <c:strCache>
                <c:ptCount val="3"/>
                <c:pt idx="0">
                  <c:v>Anul 2015</c:v>
                </c:pt>
                <c:pt idx="1">
                  <c:v>Anul 2016</c:v>
                </c:pt>
                <c:pt idx="2">
                  <c:v>Anul 2017</c:v>
                </c:pt>
              </c:strCache>
            </c:strRef>
          </c:cat>
          <c:val>
            <c:numRef>
              <c:f>Лист1!$D$2:$D$4</c:f>
              <c:numCache>
                <c:formatCode>0.0%</c:formatCode>
                <c:ptCount val="3"/>
                <c:pt idx="0">
                  <c:v>0.20500000000000004</c:v>
                </c:pt>
                <c:pt idx="1">
                  <c:v>0.20400000000000001</c:v>
                </c:pt>
                <c:pt idx="2">
                  <c:v>0.21700000000000005</c:v>
                </c:pt>
              </c:numCache>
            </c:numRef>
          </c:val>
          <c:extLst xmlns:c16r2="http://schemas.microsoft.com/office/drawing/2015/06/chart">
            <c:ext xmlns:c16="http://schemas.microsoft.com/office/drawing/2014/chart" uri="{C3380CC4-5D6E-409C-BE32-E72D297353CC}">
              <c16:uniqueId val="{00000002-ACE2-4FC6-9CF6-C4E624576700}"/>
            </c:ext>
          </c:extLst>
        </c:ser>
        <c:dLbls>
          <c:showVal val="1"/>
        </c:dLbls>
        <c:gapWidth val="80"/>
        <c:overlap val="25"/>
        <c:axId val="211858560"/>
        <c:axId val="211860096"/>
      </c:barChart>
      <c:catAx>
        <c:axId val="211858560"/>
        <c:scaling>
          <c:orientation val="minMax"/>
        </c:scaling>
        <c:axPos val="b"/>
        <c:numFmt formatCode="General" sourceLinked="1"/>
        <c:maj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lang="ru-RU" sz="1200" b="1" i="1" u="none" strike="noStrike" kern="1200" cap="none" spc="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11860096"/>
        <c:crosses val="autoZero"/>
        <c:auto val="1"/>
        <c:lblAlgn val="ctr"/>
        <c:lblOffset val="100"/>
      </c:catAx>
      <c:valAx>
        <c:axId val="211860096"/>
        <c:scaling>
          <c:orientation val="minMax"/>
        </c:scaling>
        <c:axPos val="l"/>
        <c:majorGridlines>
          <c:spPr>
            <a:ln w="9525" cap="flat" cmpd="sng" algn="ctr">
              <a:solidFill>
                <a:schemeClr val="tx1">
                  <a:lumMod val="5000"/>
                  <a:lumOff val="9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ru-RU" sz="900" b="0" i="0" u="none" strike="noStrike" kern="1200" spc="20" baseline="0">
                <a:solidFill>
                  <a:schemeClr val="tx1">
                    <a:lumMod val="65000"/>
                    <a:lumOff val="35000"/>
                  </a:schemeClr>
                </a:solidFill>
                <a:latin typeface="+mn-lt"/>
                <a:ea typeface="+mn-ea"/>
                <a:cs typeface="+mn-cs"/>
              </a:defRPr>
            </a:pPr>
            <a:endParaRPr lang="en-US"/>
          </a:p>
        </c:txPr>
        <c:crossAx val="211858560"/>
        <c:crosses val="autoZero"/>
        <c:crossBetween val="between"/>
      </c:valAx>
      <c:spPr>
        <a:solidFill>
          <a:schemeClr val="accent1">
            <a:lumMod val="40000"/>
            <a:lumOff val="60000"/>
          </a:schemeClr>
        </a:solidFill>
        <a:ln>
          <a:noFill/>
        </a:ln>
        <a:effectLst/>
      </c:spPr>
    </c:plotArea>
    <c:legend>
      <c:legendPos val="b"/>
      <c:spPr>
        <a:noFill/>
        <a:ln>
          <a:noFill/>
        </a:ln>
        <a:effectLst/>
      </c:spPr>
      <c:txPr>
        <a:bodyPr rot="0" spcFirstLastPara="1" vertOverflow="ellipsis" vert="horz" wrap="square" anchor="ctr" anchorCtr="1"/>
        <a:lstStyle/>
        <a:p>
          <a:pPr>
            <a:defRPr lang="ru-RU"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2"/>
</c:chartSpace>
</file>

<file path=word/drawings/drawing1.xml><?xml version="1.0" encoding="utf-8"?>
<c:userShapes xmlns:c="http://schemas.openxmlformats.org/drawingml/2006/chart">
  <cdr:relSizeAnchor xmlns:cdr="http://schemas.openxmlformats.org/drawingml/2006/chartDrawing">
    <cdr:from>
      <cdr:x>0.38647</cdr:x>
      <cdr:y>0.40416</cdr:y>
    </cdr:from>
    <cdr:to>
      <cdr:x>0.69531</cdr:x>
      <cdr:y>0.57506</cdr:y>
    </cdr:to>
    <cdr:sp macro="" textlink="">
      <cdr:nvSpPr>
        <cdr:cNvPr id="4" name="Text Box 3"/>
        <cdr:cNvSpPr txBox="1"/>
      </cdr:nvSpPr>
      <cdr:spPr>
        <a:xfrm xmlns:a="http://schemas.openxmlformats.org/drawingml/2006/main">
          <a:off x="752168" y="771465"/>
          <a:ext cx="601096" cy="32621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x-none" sz="1200" b="1">
              <a:latin typeface="Times New Roman" panose="02020603050405020304" pitchFamily="18" charset="0"/>
              <a:cs typeface="Times New Roman" panose="02020603050405020304" pitchFamily="18" charset="0"/>
            </a:rPr>
            <a:t>25,1</a:t>
          </a:r>
        </a:p>
        <a:p xmlns:a="http://schemas.openxmlformats.org/drawingml/2006/main">
          <a:endParaRPr lang="en-US" sz="1400" b="1"/>
        </a:p>
      </cdr:txBody>
    </cdr:sp>
  </cdr:relSizeAnchor>
</c:userShapes>
</file>

<file path=word/drawings/drawing2.xml><?xml version="1.0" encoding="utf-8"?>
<c:userShapes xmlns:c="http://schemas.openxmlformats.org/drawingml/2006/chart">
  <cdr:relSizeAnchor xmlns:cdr="http://schemas.openxmlformats.org/drawingml/2006/chartDrawing">
    <cdr:from>
      <cdr:x>0.37741</cdr:x>
      <cdr:y>0.39839</cdr:y>
    </cdr:from>
    <cdr:to>
      <cdr:x>0.65128</cdr:x>
      <cdr:y>0.56005</cdr:y>
    </cdr:to>
    <cdr:sp macro="" textlink="">
      <cdr:nvSpPr>
        <cdr:cNvPr id="2" name="Text Box 1"/>
        <cdr:cNvSpPr txBox="1"/>
      </cdr:nvSpPr>
      <cdr:spPr>
        <a:xfrm xmlns:a="http://schemas.openxmlformats.org/drawingml/2006/main">
          <a:off x="737419" y="763234"/>
          <a:ext cx="535114" cy="30970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x-none" sz="1200" b="1">
              <a:latin typeface="Times New Roman" panose="02020603050405020304" pitchFamily="18" charset="0"/>
              <a:cs typeface="Times New Roman" panose="02020603050405020304" pitchFamily="18" charset="0"/>
            </a:rPr>
            <a:t>27,6</a:t>
          </a:r>
        </a:p>
        <a:p xmlns:a="http://schemas.openxmlformats.org/drawingml/2006/main">
          <a:endParaRPr lang="en-US" sz="1400" b="1"/>
        </a:p>
      </cdr:txBody>
    </cdr:sp>
  </cdr:relSizeAnchor>
</c:userShapes>
</file>

<file path=word/drawings/drawing3.xml><?xml version="1.0" encoding="utf-8"?>
<c:userShapes xmlns:c="http://schemas.openxmlformats.org/drawingml/2006/chart">
  <cdr:relSizeAnchor xmlns:cdr="http://schemas.openxmlformats.org/drawingml/2006/chartDrawing">
    <cdr:from>
      <cdr:x>0.36436</cdr:x>
      <cdr:y>0.40762</cdr:y>
    </cdr:from>
    <cdr:to>
      <cdr:x>0.65267</cdr:x>
      <cdr:y>0.57852</cdr:y>
    </cdr:to>
    <cdr:sp macro="" textlink="">
      <cdr:nvSpPr>
        <cdr:cNvPr id="2" name="Text Box 1"/>
        <cdr:cNvSpPr txBox="1"/>
      </cdr:nvSpPr>
      <cdr:spPr>
        <a:xfrm xmlns:a="http://schemas.openxmlformats.org/drawingml/2006/main">
          <a:off x="693174" y="778069"/>
          <a:ext cx="548505" cy="32621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x-none" sz="1200" b="1">
              <a:latin typeface="Times New Roman" panose="02020603050405020304" pitchFamily="18" charset="0"/>
              <a:cs typeface="Times New Roman" panose="02020603050405020304" pitchFamily="18" charset="0"/>
            </a:rPr>
            <a:t>32,7</a:t>
          </a:r>
          <a:endParaRPr lang="en-US" sz="1200" b="1">
            <a:latin typeface="Times New Roman" panose="02020603050405020304" pitchFamily="18" charset="0"/>
            <a:cs typeface="Times New Roman" panose="02020603050405020304" pitchFamily="18"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0.46271</cdr:x>
      <cdr:y>0.24293</cdr:y>
    </cdr:from>
    <cdr:to>
      <cdr:x>0.58842</cdr:x>
      <cdr:y>0.3066</cdr:y>
    </cdr:to>
    <cdr:sp macro="" textlink="">
      <cdr:nvSpPr>
        <cdr:cNvPr id="3" name="Text Box 2"/>
        <cdr:cNvSpPr txBox="1"/>
      </cdr:nvSpPr>
      <cdr:spPr>
        <a:xfrm xmlns:a="http://schemas.openxmlformats.org/drawingml/2006/main">
          <a:off x="2770435" y="741222"/>
          <a:ext cx="752704" cy="19427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200" b="1"/>
        </a:p>
      </cdr:txBody>
    </cdr:sp>
  </cdr:relSizeAnchor>
  <cdr:relSizeAnchor xmlns:cdr="http://schemas.openxmlformats.org/drawingml/2006/chartDrawing">
    <cdr:from>
      <cdr:x>0.68319</cdr:x>
      <cdr:y>0.15661</cdr:y>
    </cdr:from>
    <cdr:to>
      <cdr:x>0.79272</cdr:x>
      <cdr:y>0.22995</cdr:y>
    </cdr:to>
    <cdr:sp macro="" textlink="">
      <cdr:nvSpPr>
        <cdr:cNvPr id="4" name="Text Box 3"/>
        <cdr:cNvSpPr txBox="1"/>
      </cdr:nvSpPr>
      <cdr:spPr>
        <a:xfrm xmlns:a="http://schemas.openxmlformats.org/drawingml/2006/main">
          <a:off x="4090551" y="477845"/>
          <a:ext cx="655764" cy="22377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200" b="1"/>
        </a:p>
      </cdr:txBody>
    </cdr:sp>
  </cdr:relSizeAnchor>
</c:userShapes>
</file>

<file path=word/drawings/drawing5.xml><?xml version="1.0" encoding="utf-8"?>
<c:userShapes xmlns:c="http://schemas.openxmlformats.org/drawingml/2006/chart">
  <cdr:relSizeAnchor xmlns:cdr="http://schemas.openxmlformats.org/drawingml/2006/chartDrawing">
    <cdr:from>
      <cdr:x>0.51333</cdr:x>
      <cdr:y>0.1411</cdr:y>
    </cdr:from>
    <cdr:to>
      <cdr:x>0.68</cdr:x>
      <cdr:y>0.41244</cdr:y>
    </cdr:to>
    <cdr:sp macro="" textlink="">
      <cdr:nvSpPr>
        <cdr:cNvPr id="2" name="Text Box 1"/>
        <cdr:cNvSpPr txBox="1"/>
      </cdr:nvSpPr>
      <cdr:spPr>
        <a:xfrm xmlns:a="http://schemas.openxmlformats.org/drawingml/2006/main">
          <a:off x="2816352" y="475488"/>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0.52476</cdr:x>
      <cdr:y>0.24808</cdr:y>
    </cdr:from>
    <cdr:to>
      <cdr:x>0.69143</cdr:x>
      <cdr:y>0.51942</cdr:y>
    </cdr:to>
    <cdr:sp macro="" textlink="">
      <cdr:nvSpPr>
        <cdr:cNvPr id="3" name="Text Box 2"/>
        <cdr:cNvSpPr txBox="1"/>
      </cdr:nvSpPr>
      <cdr:spPr>
        <a:xfrm xmlns:a="http://schemas.openxmlformats.org/drawingml/2006/main">
          <a:off x="2879053" y="836023"/>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0.57619</cdr:x>
      <cdr:y>0.25428</cdr:y>
    </cdr:from>
    <cdr:to>
      <cdr:x>0.74286</cdr:x>
      <cdr:y>0.52562</cdr:y>
    </cdr:to>
    <cdr:sp macro="" textlink="">
      <cdr:nvSpPr>
        <cdr:cNvPr id="5" name="Text Box 4"/>
        <cdr:cNvSpPr txBox="1"/>
      </cdr:nvSpPr>
      <cdr:spPr>
        <a:xfrm xmlns:a="http://schemas.openxmlformats.org/drawingml/2006/main">
          <a:off x="3161211" y="856923"/>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39152-F464-41F3-AB01-D77403457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82</Pages>
  <Words>25887</Words>
  <Characters>147559</Characters>
  <Application>Microsoft Office Word</Application>
  <DocSecurity>0</DocSecurity>
  <Lines>1229</Lines>
  <Paragraphs>346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Bulmaga Ion</dc:creator>
  <cp:lastModifiedBy>marcela.mazarenco</cp:lastModifiedBy>
  <cp:revision>2</cp:revision>
  <cp:lastPrinted>2018-06-08T11:06:00Z</cp:lastPrinted>
  <dcterms:created xsi:type="dcterms:W3CDTF">2018-07-17T06:50:00Z</dcterms:created>
  <dcterms:modified xsi:type="dcterms:W3CDTF">2018-07-17T06:50:00Z</dcterms:modified>
</cp:coreProperties>
</file>