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DD" w:rsidRPr="000E6ED3" w:rsidRDefault="00CF3ADD" w:rsidP="00CF3ADD">
      <w:pPr>
        <w:spacing w:after="0" w:line="240" w:lineRule="auto"/>
        <w:ind w:left="2880" w:firstLine="1170"/>
        <w:jc w:val="right"/>
        <w:rPr>
          <w:rFonts w:ascii="Times New Roman" w:hAnsi="Times New Roman" w:cs="Times New Roman"/>
          <w:lang w:val="ru-RU"/>
        </w:rPr>
      </w:pPr>
      <w:r w:rsidRPr="000E6ED3">
        <w:rPr>
          <w:rFonts w:ascii="Times New Roman" w:hAnsi="Times New Roman" w:cs="Times New Roman"/>
          <w:lang w:val="ru-RU"/>
        </w:rPr>
        <w:t>Приложение</w:t>
      </w:r>
    </w:p>
    <w:p w:rsidR="00CF3ADD" w:rsidRDefault="00CF3ADD" w:rsidP="00CF3ADD">
      <w:pPr>
        <w:spacing w:after="0" w:line="240" w:lineRule="auto"/>
        <w:ind w:left="2880" w:firstLine="1170"/>
        <w:jc w:val="right"/>
        <w:rPr>
          <w:rFonts w:ascii="Times New Roman" w:hAnsi="Times New Roman" w:cs="Times New Roman"/>
          <w:lang w:val="en-GB"/>
        </w:rPr>
      </w:pPr>
      <w:r w:rsidRPr="000E6ED3">
        <w:rPr>
          <w:rFonts w:ascii="Times New Roman" w:hAnsi="Times New Roman" w:cs="Times New Roman"/>
          <w:lang w:val="ru-RU"/>
        </w:rPr>
        <w:t>к Приказу Министерства экономики</w:t>
      </w:r>
    </w:p>
    <w:p w:rsidR="00CF3ADD" w:rsidRPr="000E6ED3" w:rsidRDefault="00CF3ADD" w:rsidP="00CF3ADD">
      <w:pPr>
        <w:spacing w:after="0" w:line="240" w:lineRule="auto"/>
        <w:ind w:left="2880" w:firstLine="1170"/>
        <w:jc w:val="right"/>
        <w:rPr>
          <w:rFonts w:ascii="Times New Roman" w:hAnsi="Times New Roman" w:cs="Times New Roman"/>
          <w:lang w:val="ru-RU"/>
        </w:rPr>
      </w:pPr>
      <w:r w:rsidRPr="000E6ED3">
        <w:rPr>
          <w:rFonts w:ascii="Times New Roman" w:hAnsi="Times New Roman" w:cs="Times New Roman"/>
          <w:lang w:val="ru-RU"/>
        </w:rPr>
        <w:t xml:space="preserve"> и инфраструктуры</w:t>
      </w:r>
    </w:p>
    <w:p w:rsidR="00CF3ADD" w:rsidRPr="000E6ED3" w:rsidRDefault="00CF3ADD" w:rsidP="00CF3ADD">
      <w:pPr>
        <w:spacing w:after="0" w:line="240" w:lineRule="auto"/>
        <w:ind w:left="2880" w:firstLine="1170"/>
        <w:jc w:val="right"/>
        <w:rPr>
          <w:rFonts w:ascii="Times New Roman" w:hAnsi="Times New Roman" w:cs="Times New Roman"/>
          <w:lang w:val="ru-RU"/>
        </w:rPr>
      </w:pPr>
      <w:r w:rsidRPr="000E6ED3">
        <w:rPr>
          <w:rFonts w:ascii="Times New Roman" w:hAnsi="Times New Roman" w:cs="Times New Roman"/>
          <w:lang w:val="ru-RU"/>
        </w:rPr>
        <w:t xml:space="preserve">№ </w:t>
      </w:r>
      <w:r>
        <w:rPr>
          <w:rFonts w:ascii="Times New Roman" w:hAnsi="Times New Roman" w:cs="Times New Roman"/>
          <w:lang w:val="ro-RO"/>
        </w:rPr>
        <w:t xml:space="preserve">394 </w:t>
      </w:r>
      <w:r w:rsidRPr="000E6ED3">
        <w:rPr>
          <w:rFonts w:ascii="Times New Roman" w:hAnsi="Times New Roman" w:cs="Times New Roman"/>
          <w:lang w:val="ru-RU"/>
        </w:rPr>
        <w:t>от</w:t>
      </w:r>
      <w:r>
        <w:rPr>
          <w:rFonts w:ascii="Times New Roman" w:hAnsi="Times New Roman" w:cs="Times New Roman"/>
          <w:lang w:val="ro-RO"/>
        </w:rPr>
        <w:t xml:space="preserve"> 8</w:t>
      </w:r>
      <w:r>
        <w:rPr>
          <w:rFonts w:ascii="Times New Roman" w:hAnsi="Times New Roman" w:cs="Times New Roman"/>
          <w:lang w:val="ru-RU"/>
        </w:rPr>
        <w:t>.08.</w:t>
      </w:r>
      <w:r w:rsidRPr="000E6ED3">
        <w:rPr>
          <w:rFonts w:ascii="Times New Roman" w:hAnsi="Times New Roman" w:cs="Times New Roman"/>
          <w:lang w:val="ru-RU"/>
        </w:rPr>
        <w:t>2018</w:t>
      </w:r>
      <w:r>
        <w:rPr>
          <w:rFonts w:ascii="Times New Roman" w:hAnsi="Times New Roman" w:cs="Times New Roman"/>
          <w:lang w:val="ru-RU"/>
        </w:rPr>
        <w:t xml:space="preserve"> г.</w:t>
      </w:r>
    </w:p>
    <w:p w:rsidR="00CF3ADD" w:rsidRPr="000E6ED3" w:rsidRDefault="00CF3ADD" w:rsidP="00CF3ADD">
      <w:pPr>
        <w:spacing w:after="0" w:line="240" w:lineRule="auto"/>
        <w:jc w:val="center"/>
        <w:rPr>
          <w:rFonts w:ascii="Times New Roman" w:eastAsia="Times New Roman" w:hAnsi="Times New Roman" w:cs="Times New Roman"/>
          <w:b/>
          <w:lang w:val="ru-RU" w:eastAsia="ru-RU"/>
        </w:rPr>
      </w:pPr>
      <w:r w:rsidRPr="000E6ED3">
        <w:rPr>
          <w:rFonts w:ascii="Times New Roman" w:hAnsi="Times New Roman" w:cs="Times New Roman"/>
          <w:b/>
          <w:lang w:val="ru-RU"/>
        </w:rPr>
        <w:t>П</w:t>
      </w:r>
      <w:r w:rsidRPr="000E6ED3">
        <w:rPr>
          <w:rFonts w:ascii="Times New Roman" w:eastAsia="Times New Roman" w:hAnsi="Times New Roman" w:cs="Times New Roman"/>
          <w:b/>
          <w:lang w:val="ru-RU" w:eastAsia="ru-RU"/>
        </w:rPr>
        <w:t>ЕРЕЧЕНЬ</w:t>
      </w:r>
    </w:p>
    <w:p w:rsidR="00CF3ADD" w:rsidRDefault="00CF3ADD" w:rsidP="00CF3ADD">
      <w:pPr>
        <w:spacing w:after="0" w:line="240" w:lineRule="auto"/>
        <w:jc w:val="center"/>
        <w:rPr>
          <w:rFonts w:ascii="Times New Roman" w:eastAsia="Times New Roman" w:hAnsi="Times New Roman" w:cs="Times New Roman"/>
          <w:b/>
          <w:lang w:val="en-GB" w:eastAsia="ru-RU"/>
        </w:rPr>
      </w:pPr>
      <w:r w:rsidRPr="000E6ED3">
        <w:rPr>
          <w:rFonts w:ascii="Times New Roman" w:eastAsia="Times New Roman" w:hAnsi="Times New Roman" w:cs="Times New Roman"/>
          <w:b/>
          <w:lang w:val="ru-RU" w:eastAsia="ru-RU"/>
        </w:rPr>
        <w:t xml:space="preserve"> гармонизированных европейских стандартов, </w:t>
      </w:r>
    </w:p>
    <w:p w:rsidR="00CF3ADD" w:rsidRDefault="00CF3ADD" w:rsidP="00CF3ADD">
      <w:pPr>
        <w:spacing w:after="0" w:line="240" w:lineRule="auto"/>
        <w:jc w:val="center"/>
        <w:rPr>
          <w:rFonts w:ascii="Times New Roman" w:hAnsi="Times New Roman" w:cs="Times New Roman"/>
          <w:b/>
          <w:lang w:val="en-GB"/>
        </w:rPr>
      </w:pPr>
      <w:proofErr w:type="gramStart"/>
      <w:r w:rsidRPr="000E6ED3">
        <w:rPr>
          <w:rFonts w:ascii="Times New Roman" w:eastAsia="Times New Roman" w:hAnsi="Times New Roman" w:cs="Times New Roman"/>
          <w:b/>
          <w:lang w:val="ru-RU" w:eastAsia="ru-RU"/>
        </w:rPr>
        <w:t>принятых</w:t>
      </w:r>
      <w:proofErr w:type="gramEnd"/>
      <w:r w:rsidRPr="000E6ED3">
        <w:rPr>
          <w:rFonts w:ascii="Times New Roman" w:eastAsia="Times New Roman" w:hAnsi="Times New Roman" w:cs="Times New Roman"/>
          <w:b/>
          <w:lang w:val="ru-RU" w:eastAsia="ru-RU"/>
        </w:rPr>
        <w:t xml:space="preserve"> в качестве молдавских</w:t>
      </w:r>
      <w:r w:rsidRPr="00335E1D">
        <w:rPr>
          <w:rFonts w:ascii="Times New Roman" w:eastAsia="Times New Roman" w:hAnsi="Times New Roman" w:cs="Times New Roman"/>
          <w:b/>
          <w:lang w:val="ru-RU" w:eastAsia="ru-RU"/>
        </w:rPr>
        <w:t xml:space="preserve"> </w:t>
      </w:r>
      <w:r w:rsidRPr="000E6ED3">
        <w:rPr>
          <w:rFonts w:ascii="Times New Roman" w:hAnsi="Times New Roman" w:cs="Times New Roman"/>
          <w:b/>
          <w:lang w:val="ru-RU"/>
        </w:rPr>
        <w:t xml:space="preserve">к Техническому </w:t>
      </w:r>
    </w:p>
    <w:p w:rsidR="00CF3ADD" w:rsidRPr="000E6ED3" w:rsidRDefault="00CF3ADD" w:rsidP="00CF3ADD">
      <w:pPr>
        <w:spacing w:after="0" w:line="240" w:lineRule="auto"/>
        <w:jc w:val="center"/>
        <w:rPr>
          <w:rFonts w:ascii="Times New Roman" w:hAnsi="Times New Roman" w:cs="Times New Roman"/>
          <w:b/>
          <w:lang w:val="ru-RU"/>
        </w:rPr>
      </w:pPr>
      <w:bookmarkStart w:id="0" w:name="_GoBack"/>
      <w:bookmarkEnd w:id="0"/>
      <w:r w:rsidRPr="000E6ED3">
        <w:rPr>
          <w:rFonts w:ascii="Times New Roman" w:hAnsi="Times New Roman" w:cs="Times New Roman"/>
          <w:b/>
          <w:lang w:val="ru-RU"/>
        </w:rPr>
        <w:t xml:space="preserve">регламенту о лифтах и компонентах безопасности </w:t>
      </w:r>
    </w:p>
    <w:p w:rsidR="00CF3ADD" w:rsidRPr="000E6ED3" w:rsidRDefault="00CF3ADD" w:rsidP="00CF3ADD">
      <w:pPr>
        <w:spacing w:after="0" w:line="240" w:lineRule="auto"/>
        <w:jc w:val="center"/>
        <w:rPr>
          <w:rFonts w:ascii="Times New Roman" w:eastAsia="Times New Roman" w:hAnsi="Times New Roman" w:cs="Times New Roman"/>
          <w:b/>
          <w:lang w:val="ru-RU" w:eastAsia="ru-RU"/>
        </w:rPr>
      </w:pPr>
      <w:r w:rsidRPr="000E6ED3">
        <w:rPr>
          <w:rFonts w:ascii="Times New Roman" w:hAnsi="Times New Roman" w:cs="Times New Roman"/>
          <w:b/>
          <w:lang w:val="ru-RU"/>
        </w:rPr>
        <w:t>для лифтов</w:t>
      </w:r>
      <w:r w:rsidRPr="000E6ED3">
        <w:rPr>
          <w:rFonts w:ascii="Times New Roman" w:eastAsia="Times New Roman" w:hAnsi="Times New Roman" w:cs="Times New Roman"/>
          <w:b/>
          <w:lang w:val="ru-RU" w:eastAsia="ru-RU"/>
        </w:rPr>
        <w:t xml:space="preserve"> </w:t>
      </w:r>
    </w:p>
    <w:p w:rsidR="00CF3ADD" w:rsidRPr="000E6ED3" w:rsidRDefault="00CF3ADD" w:rsidP="00CF3ADD">
      <w:pPr>
        <w:spacing w:after="0" w:line="240" w:lineRule="auto"/>
        <w:jc w:val="center"/>
        <w:rPr>
          <w:rFonts w:ascii="Times New Roman" w:hAnsi="Times New Roman" w:cs="Times New Roman"/>
          <w:b/>
          <w:lang w:val="ru-RU"/>
        </w:rPr>
      </w:pPr>
    </w:p>
    <w:tbl>
      <w:tblPr>
        <w:tblStyle w:val="TableGrid"/>
        <w:tblW w:w="10915" w:type="dxa"/>
        <w:tblInd w:w="-572" w:type="dxa"/>
        <w:tblLayout w:type="fixed"/>
        <w:tblLook w:val="04A0" w:firstRow="1" w:lastRow="0" w:firstColumn="1" w:lastColumn="0" w:noHBand="0" w:noVBand="1"/>
      </w:tblPr>
      <w:tblGrid>
        <w:gridCol w:w="704"/>
        <w:gridCol w:w="1843"/>
        <w:gridCol w:w="2410"/>
        <w:gridCol w:w="2840"/>
        <w:gridCol w:w="1559"/>
        <w:gridCol w:w="1559"/>
      </w:tblGrid>
      <w:tr w:rsidR="00CF3ADD" w:rsidRPr="00CF3ADD" w:rsidTr="004751F7">
        <w:tc>
          <w:tcPr>
            <w:tcW w:w="704" w:type="dxa"/>
          </w:tcPr>
          <w:p w:rsidR="00CF3ADD" w:rsidRPr="000E6ED3" w:rsidRDefault="00CF3ADD" w:rsidP="004751F7">
            <w:pPr>
              <w:jc w:val="center"/>
              <w:rPr>
                <w:rFonts w:ascii="Times New Roman" w:hAnsi="Times New Roman" w:cs="Times New Roman"/>
                <w:b/>
                <w:bCs/>
                <w:lang w:val="ru-RU"/>
              </w:rPr>
            </w:pPr>
            <w:r w:rsidRPr="000E6ED3">
              <w:rPr>
                <w:rFonts w:ascii="Times New Roman" w:eastAsia="Times New Roman" w:hAnsi="Times New Roman" w:cs="Times New Roman"/>
                <w:b/>
                <w:bCs/>
                <w:lang w:val="ru-RU" w:eastAsia="en-GB"/>
              </w:rPr>
              <w:t xml:space="preserve">№ </w:t>
            </w:r>
            <w:proofErr w:type="gramStart"/>
            <w:r w:rsidRPr="000E6ED3">
              <w:rPr>
                <w:rFonts w:ascii="Times New Roman" w:eastAsia="Times New Roman" w:hAnsi="Times New Roman" w:cs="Times New Roman"/>
                <w:b/>
                <w:bCs/>
                <w:lang w:val="ru-RU" w:eastAsia="en-GB"/>
              </w:rPr>
              <w:t>п</w:t>
            </w:r>
            <w:proofErr w:type="gramEnd"/>
            <w:r w:rsidRPr="000E6ED3">
              <w:rPr>
                <w:rFonts w:ascii="Times New Roman" w:eastAsia="Times New Roman" w:hAnsi="Times New Roman" w:cs="Times New Roman"/>
                <w:b/>
                <w:bCs/>
                <w:lang w:val="ru-RU" w:eastAsia="en-GB"/>
              </w:rPr>
              <w:t>/п</w:t>
            </w:r>
          </w:p>
        </w:tc>
        <w:tc>
          <w:tcPr>
            <w:tcW w:w="1843"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b/>
                <w:bCs/>
                <w:lang w:val="ru-RU"/>
              </w:rPr>
              <w:t>Обозначение молдавского стандарта</w:t>
            </w:r>
          </w:p>
        </w:tc>
        <w:tc>
          <w:tcPr>
            <w:tcW w:w="2410"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Наименование молдавского стандарта</w:t>
            </w:r>
          </w:p>
        </w:tc>
        <w:tc>
          <w:tcPr>
            <w:tcW w:w="2840"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 xml:space="preserve">Обозначение и наименование европейского стандарта </w:t>
            </w:r>
          </w:p>
        </w:tc>
        <w:tc>
          <w:tcPr>
            <w:tcW w:w="1559"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Обозначение</w:t>
            </w:r>
            <w:r w:rsidRPr="000E6ED3">
              <w:rPr>
                <w:rFonts w:ascii="Times New Roman" w:hAnsi="Times New Roman" w:cs="Times New Roman"/>
                <w:b/>
                <w:bCs/>
                <w:lang w:val="ro-RO"/>
              </w:rPr>
              <w:t xml:space="preserve"> </w:t>
            </w:r>
            <w:r w:rsidRPr="000E6ED3">
              <w:rPr>
                <w:rFonts w:ascii="Times New Roman" w:hAnsi="Times New Roman" w:cs="Times New Roman"/>
                <w:b/>
                <w:bCs/>
                <w:lang w:val="ru-RU"/>
              </w:rPr>
              <w:t>заменённого стандарта Примечание 4</w:t>
            </w:r>
          </w:p>
        </w:tc>
        <w:tc>
          <w:tcPr>
            <w:tcW w:w="1559"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Дата приостановления презумпции соответствия замененного стандарта Примечание 1</w:t>
            </w:r>
          </w:p>
          <w:p w:rsidR="00CF3ADD" w:rsidRPr="000E6ED3" w:rsidRDefault="00CF3ADD" w:rsidP="004751F7">
            <w:pPr>
              <w:jc w:val="center"/>
              <w:rPr>
                <w:rFonts w:ascii="Times New Roman" w:hAnsi="Times New Roman" w:cs="Times New Roman"/>
                <w:b/>
                <w:bCs/>
                <w:lang w:val="ru-RU"/>
              </w:rPr>
            </w:pPr>
          </w:p>
        </w:tc>
      </w:tr>
      <w:tr w:rsidR="00CF3ADD" w:rsidRPr="000E6ED3" w:rsidTr="004751F7">
        <w:tc>
          <w:tcPr>
            <w:tcW w:w="704" w:type="dxa"/>
          </w:tcPr>
          <w:p w:rsidR="00CF3ADD" w:rsidRPr="000E6ED3" w:rsidRDefault="00CF3ADD" w:rsidP="004751F7">
            <w:pPr>
              <w:jc w:val="center"/>
              <w:rPr>
                <w:rFonts w:ascii="Times New Roman" w:eastAsia="Times New Roman" w:hAnsi="Times New Roman" w:cs="Times New Roman"/>
                <w:b/>
                <w:bCs/>
                <w:lang w:val="en-GB" w:eastAsia="en-GB"/>
              </w:rPr>
            </w:pPr>
            <w:r w:rsidRPr="000E6ED3">
              <w:rPr>
                <w:rFonts w:ascii="Times New Roman" w:eastAsia="Times New Roman" w:hAnsi="Times New Roman" w:cs="Times New Roman"/>
                <w:b/>
                <w:bCs/>
                <w:lang w:val="en-GB" w:eastAsia="en-GB"/>
              </w:rPr>
              <w:t>1</w:t>
            </w:r>
          </w:p>
        </w:tc>
        <w:tc>
          <w:tcPr>
            <w:tcW w:w="1843" w:type="dxa"/>
          </w:tcPr>
          <w:p w:rsidR="00CF3ADD" w:rsidRPr="000E6ED3" w:rsidRDefault="00CF3ADD" w:rsidP="004751F7">
            <w:pPr>
              <w:jc w:val="center"/>
              <w:rPr>
                <w:rFonts w:ascii="Times New Roman" w:hAnsi="Times New Roman" w:cs="Times New Roman"/>
                <w:b/>
                <w:bCs/>
                <w:lang w:val="en-GB"/>
              </w:rPr>
            </w:pPr>
            <w:r w:rsidRPr="000E6ED3">
              <w:rPr>
                <w:rFonts w:ascii="Times New Roman" w:hAnsi="Times New Roman" w:cs="Times New Roman"/>
                <w:b/>
                <w:bCs/>
                <w:lang w:val="en-GB"/>
              </w:rPr>
              <w:t>2</w:t>
            </w:r>
          </w:p>
        </w:tc>
        <w:tc>
          <w:tcPr>
            <w:tcW w:w="2410"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3</w:t>
            </w:r>
          </w:p>
        </w:tc>
        <w:tc>
          <w:tcPr>
            <w:tcW w:w="2840"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4</w:t>
            </w:r>
          </w:p>
        </w:tc>
        <w:tc>
          <w:tcPr>
            <w:tcW w:w="1559"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5</w:t>
            </w:r>
          </w:p>
        </w:tc>
        <w:tc>
          <w:tcPr>
            <w:tcW w:w="1559" w:type="dxa"/>
          </w:tcPr>
          <w:p w:rsidR="00CF3ADD" w:rsidRPr="000E6ED3" w:rsidRDefault="00CF3ADD" w:rsidP="004751F7">
            <w:pPr>
              <w:jc w:val="center"/>
              <w:rPr>
                <w:rFonts w:ascii="Times New Roman" w:hAnsi="Times New Roman" w:cs="Times New Roman"/>
                <w:b/>
                <w:bCs/>
              </w:rPr>
            </w:pPr>
            <w:r w:rsidRPr="000E6ED3">
              <w:rPr>
                <w:rFonts w:ascii="Times New Roman" w:hAnsi="Times New Roman" w:cs="Times New Roman"/>
                <w:b/>
                <w:bCs/>
                <w:lang w:val="ru-RU"/>
              </w:rPr>
              <w:t>6</w:t>
            </w: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81-20:2015</w:t>
            </w:r>
          </w:p>
          <w:p w:rsidR="00CF3ADD" w:rsidRPr="000E6ED3" w:rsidRDefault="00CF3ADD" w:rsidP="004751F7">
            <w:pPr>
              <w:jc w:val="both"/>
              <w:rPr>
                <w:rFonts w:ascii="Times New Roman" w:eastAsia="Times New Roman" w:hAnsi="Times New Roman" w:cs="Times New Roman"/>
                <w:lang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lang w:val="ru-RU"/>
              </w:rPr>
              <w:t>Правила безопасности к конструкции и установке лифтов. Лифты для транспортировки людей и грузов. Часть 20: Пассажирские и грузопассажирские лифты</w:t>
            </w: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81-20:2014</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Lifts for the transport of persons and goods - Part 20: Passenger and goods passenger lifts</w:t>
            </w:r>
          </w:p>
        </w:tc>
        <w:tc>
          <w:tcPr>
            <w:tcW w:w="1559"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rPr>
              <w:t>EN 81-1:1998+A3:2009</w:t>
            </w:r>
            <w:r w:rsidRPr="000E6ED3">
              <w:rPr>
                <w:rFonts w:ascii="Times New Roman" w:hAnsi="Times New Roman" w:cs="Times New Roman"/>
              </w:rPr>
              <w:br/>
              <w:t>EN 81-2:1998+A3:2009</w:t>
            </w:r>
            <w:r w:rsidRPr="000E6ED3">
              <w:rPr>
                <w:rFonts w:ascii="Times New Roman" w:hAnsi="Times New Roman" w:cs="Times New Roman"/>
              </w:rPr>
              <w:br/>
            </w:r>
            <w:r w:rsidRPr="000E6ED3">
              <w:rPr>
                <w:rFonts w:ascii="Times New Roman" w:hAnsi="Times New Roman" w:cs="Times New Roman"/>
              </w:rPr>
              <w:br/>
            </w:r>
            <w:hyperlink r:id="rId5" w:anchor="Note 2.1" w:history="1">
              <w:r w:rsidRPr="000E6ED3">
                <w:rPr>
                  <w:rStyle w:val="Hyperlink"/>
                  <w:rFonts w:ascii="Times New Roman" w:hAnsi="Times New Roman" w:cs="Times New Roman"/>
                  <w:color w:val="auto"/>
                  <w:u w:val="none"/>
                  <w:lang w:val="ru-RU"/>
                </w:rPr>
                <w:t>Примечание</w:t>
              </w:r>
              <w:r w:rsidRPr="000E6ED3">
                <w:rPr>
                  <w:rStyle w:val="Hyperlink"/>
                  <w:rFonts w:ascii="Times New Roman" w:hAnsi="Times New Roman" w:cs="Times New Roman"/>
                  <w:color w:val="auto"/>
                  <w:u w:val="none"/>
                </w:rPr>
                <w:t xml:space="preserve"> </w:t>
              </w:r>
            </w:hyperlink>
            <w:r w:rsidRPr="000E6ED3">
              <w:rPr>
                <w:rStyle w:val="Hyperlink"/>
                <w:rFonts w:ascii="Times New Roman" w:hAnsi="Times New Roman" w:cs="Times New Roman"/>
                <w:color w:val="auto"/>
                <w:u w:val="none"/>
                <w:lang w:val="en-GB"/>
              </w:rPr>
              <w:t>2</w:t>
            </w:r>
            <w:r w:rsidRPr="000E6ED3">
              <w:rPr>
                <w:rFonts w:ascii="Times New Roman" w:hAnsi="Times New Roman" w:cs="Times New Roman"/>
              </w:rPr>
              <w:t> </w:t>
            </w:r>
          </w:p>
        </w:tc>
        <w:tc>
          <w:tcPr>
            <w:tcW w:w="1559" w:type="dxa"/>
          </w:tcPr>
          <w:p w:rsidR="00CF3ADD" w:rsidRPr="000E6ED3" w:rsidRDefault="00CF3ADD" w:rsidP="004751F7">
            <w:pPr>
              <w:jc w:val="center"/>
              <w:rPr>
                <w:rFonts w:ascii="Times New Roman" w:hAnsi="Times New Roman" w:cs="Times New Roman"/>
                <w:b/>
                <w:bCs/>
                <w:lang w:val="ru-RU"/>
              </w:rPr>
            </w:pPr>
            <w:r w:rsidRPr="000E6ED3">
              <w:rPr>
                <w:rFonts w:ascii="Times New Roman" w:hAnsi="Times New Roman" w:cs="Times New Roman"/>
                <w:b/>
                <w:bCs/>
                <w:lang w:val="ru-RU"/>
              </w:rPr>
              <w:t>31</w:t>
            </w:r>
            <w:r w:rsidRPr="000E6ED3">
              <w:rPr>
                <w:rFonts w:ascii="Times New Roman" w:hAnsi="Times New Roman" w:cs="Times New Roman"/>
                <w:b/>
                <w:bCs/>
                <w:lang w:val="ro-RO"/>
              </w:rPr>
              <w:t>.</w:t>
            </w:r>
            <w:r w:rsidRPr="000E6ED3">
              <w:rPr>
                <w:rFonts w:ascii="Times New Roman" w:hAnsi="Times New Roman" w:cs="Times New Roman"/>
                <w:b/>
                <w:bCs/>
                <w:lang w:val="ru-RU"/>
              </w:rPr>
              <w:t>08</w:t>
            </w:r>
            <w:r w:rsidRPr="000E6ED3">
              <w:rPr>
                <w:rFonts w:ascii="Times New Roman" w:hAnsi="Times New Roman" w:cs="Times New Roman"/>
                <w:b/>
                <w:bCs/>
                <w:lang w:val="ro-RO"/>
              </w:rPr>
              <w:t>.</w:t>
            </w:r>
            <w:r w:rsidRPr="000E6ED3">
              <w:rPr>
                <w:rFonts w:ascii="Times New Roman" w:hAnsi="Times New Roman" w:cs="Times New Roman"/>
                <w:b/>
                <w:bCs/>
                <w:lang w:val="ru-RU"/>
              </w:rPr>
              <w:t>2017</w:t>
            </w: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2.</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81-21+</w:t>
            </w:r>
            <w:r w:rsidRPr="000E6ED3">
              <w:rPr>
                <w:rFonts w:ascii="Times New Roman" w:eastAsia="Times New Roman" w:hAnsi="Times New Roman" w:cs="Times New Roman"/>
                <w:lang w:eastAsia="en-GB"/>
              </w:rPr>
              <w:t>A</w:t>
            </w:r>
            <w:r w:rsidRPr="000E6ED3">
              <w:rPr>
                <w:rFonts w:ascii="Times New Roman" w:eastAsia="Times New Roman" w:hAnsi="Times New Roman" w:cs="Times New Roman"/>
                <w:lang w:val="ru-RU" w:eastAsia="en-GB"/>
              </w:rPr>
              <w:t xml:space="preserve">1:2014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Правила безопасности к конструкции и установке лифтов. Пассажирские и грузовые лифты. Часть 21: Новые пассажирские и грузовые лифты в существующих зданиях</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81-21:2009+A1:2012</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Lifts for the transport of persons and goods - Part 21: New passenger and goods passenger lifts in existing building</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3.</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81-22:2015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Правила безопасности к конструкции и установке лифтов. Лифты для транспортировки людей и грузов. Часть 22: Наклонные электрические лифты</w:t>
            </w:r>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81-22:2014</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Lifts for the transport of persons and goods - Part 22: Electric lifts with inclined path</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lastRenderedPageBreak/>
              <w:t>4.</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81-28:2011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5F5F5"/>
                <w:lang w:val="ru-RU"/>
              </w:rPr>
              <w:t>Правила безопасности к конструкции и установке лифтов. Пассажирские и грузовые лифты. Часть 28: Дистанционная сигнализация на пассажирских и грузовых лифтах</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81-28:2003</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Lifts for the transport of persons and goods - Part 28: Remote alarm on passenger and goods passenger lifts</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5.</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81-50:2015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Правила безопасности к конструкции и установке лифтов. Обследования и испытания. Часть 50: Правила проектирования, расчеты, обследования и испытания компонентов лифтов</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81-50:2014</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Examinations and tests - Part 50: Design rules, calculations, examinations and tests of lift components</w:t>
            </w:r>
          </w:p>
        </w:tc>
        <w:tc>
          <w:tcPr>
            <w:tcW w:w="1559"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jc w:val="center"/>
              <w:rPr>
                <w:sz w:val="22"/>
                <w:szCs w:val="22"/>
              </w:rPr>
            </w:pPr>
            <w:r w:rsidRPr="000E6ED3">
              <w:rPr>
                <w:sz w:val="22"/>
                <w:szCs w:val="22"/>
              </w:rPr>
              <w:t>EN 81-1:1998+A3:2011</w:t>
            </w:r>
            <w:r w:rsidRPr="000E6ED3">
              <w:rPr>
                <w:sz w:val="22"/>
                <w:szCs w:val="22"/>
              </w:rPr>
              <w:br/>
              <w:t>EN 81-2:1998+A3:2011</w:t>
            </w:r>
            <w:r w:rsidRPr="000E6ED3">
              <w:rPr>
                <w:sz w:val="22"/>
                <w:szCs w:val="22"/>
              </w:rPr>
              <w:br/>
            </w:r>
            <w:r w:rsidRPr="000E6ED3">
              <w:rPr>
                <w:sz w:val="22"/>
                <w:szCs w:val="22"/>
              </w:rPr>
              <w:br/>
            </w:r>
            <w:r w:rsidRPr="000E6ED3">
              <w:rPr>
                <w:sz w:val="22"/>
                <w:szCs w:val="22"/>
                <w:lang w:val="ru-RU"/>
              </w:rPr>
              <w:t>Примечание</w:t>
            </w:r>
            <w:r w:rsidRPr="000E6ED3">
              <w:rPr>
                <w:sz w:val="22"/>
                <w:szCs w:val="22"/>
              </w:rPr>
              <w:t xml:space="preserve"> 2</w:t>
            </w:r>
          </w:p>
        </w:tc>
        <w:tc>
          <w:tcPr>
            <w:tcW w:w="1559"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b/>
                <w:bCs/>
                <w:lang w:val="ru-RU"/>
              </w:rPr>
              <w:t>31</w:t>
            </w:r>
            <w:r w:rsidRPr="000E6ED3">
              <w:rPr>
                <w:rFonts w:ascii="Times New Roman" w:hAnsi="Times New Roman" w:cs="Times New Roman"/>
                <w:b/>
                <w:bCs/>
                <w:lang w:val="ro-RO"/>
              </w:rPr>
              <w:t>.</w:t>
            </w:r>
            <w:r w:rsidRPr="000E6ED3">
              <w:rPr>
                <w:rFonts w:ascii="Times New Roman" w:hAnsi="Times New Roman" w:cs="Times New Roman"/>
                <w:b/>
                <w:bCs/>
                <w:lang w:val="ru-RU"/>
              </w:rPr>
              <w:t>08</w:t>
            </w:r>
            <w:r w:rsidRPr="000E6ED3">
              <w:rPr>
                <w:rFonts w:ascii="Times New Roman" w:hAnsi="Times New Roman" w:cs="Times New Roman"/>
                <w:b/>
                <w:bCs/>
                <w:lang w:val="ro-RO"/>
              </w:rPr>
              <w:t>.</w:t>
            </w:r>
            <w:r w:rsidRPr="000E6ED3">
              <w:rPr>
                <w:rFonts w:ascii="Times New Roman" w:hAnsi="Times New Roman" w:cs="Times New Roman"/>
                <w:b/>
                <w:bCs/>
                <w:lang w:val="ru-RU"/>
              </w:rPr>
              <w:t>2017</w:t>
            </w: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6.</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81-58:2011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5F5F5"/>
                <w:lang w:val="ru-RU"/>
              </w:rPr>
              <w:t>Правила безопасности к конструкции и установке лифтов. Обследование и испытания. Часть 58: Испытание на огнестойкость дверей шахт лифтов</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81-58:2003</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Examination and tests - Part 58: Landing doors fire resistance test</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7.</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81-70:2011 </w:t>
            </w:r>
          </w:p>
          <w:p w:rsidR="00CF3ADD" w:rsidRPr="000E6ED3" w:rsidRDefault="00CF3ADD" w:rsidP="004751F7">
            <w:pPr>
              <w:jc w:val="both"/>
              <w:rPr>
                <w:rFonts w:ascii="Times New Roman" w:eastAsia="Times New Roman" w:hAnsi="Times New Roman" w:cs="Times New Roman"/>
                <w:lang w:val="ru-RU" w:eastAsia="en-GB"/>
              </w:rPr>
            </w:pP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Правила безопасности к конструкции и установке лифтов. Специальные применения пассажирских и грузопассажирских лифтов. Часть 70: Доступность лифтов для людей, включая людей с физическими ограничениями</w:t>
            </w:r>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81-70:2003</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installations of lifts - Particular applications for passenger and good passengers lifts - Part 70: Accessibility to lifts for persons including persons with disability</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ru-RU" w:eastAsia="en-GB"/>
              </w:rPr>
            </w:pPr>
            <w:r w:rsidRPr="000E6ED3">
              <w:rPr>
                <w:rFonts w:ascii="Times New Roman" w:eastAsia="Times New Roman" w:hAnsi="Times New Roman" w:cs="Times New Roman"/>
                <w:lang w:val="ru-RU" w:eastAsia="en-GB"/>
              </w:rPr>
              <w:t>8.</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eastAsia="Times New Roman" w:hAnsi="Times New Roman" w:cs="Times New Roman"/>
                <w:lang w:eastAsia="en-GB"/>
              </w:rPr>
              <w:t>SM SR EN 81-70:2011/A1:2011</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 xml:space="preserve">Правила безопасности к конструкции и установке лифтов. Специальные применения пассажирских и грузопассажирских лифтов. Часть 70: </w:t>
            </w:r>
            <w:r w:rsidRPr="000E6ED3">
              <w:rPr>
                <w:rFonts w:ascii="Times New Roman" w:hAnsi="Times New Roman" w:cs="Times New Roman"/>
                <w:shd w:val="clear" w:color="auto" w:fill="FFFFFF"/>
                <w:lang w:val="ru-RU"/>
              </w:rPr>
              <w:lastRenderedPageBreak/>
              <w:t>Доступность лифтов для людей, включая людей с физическими ограничениями</w:t>
            </w:r>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lastRenderedPageBreak/>
              <w:t>EN 81-70:2003/A1:2004</w:t>
            </w:r>
          </w:p>
        </w:tc>
        <w:tc>
          <w:tcPr>
            <w:tcW w:w="1559"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lang w:val="ru-RU"/>
              </w:rPr>
              <w:t>Примечание 3</w:t>
            </w: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ru-RU" w:eastAsia="en-GB"/>
              </w:rPr>
              <w:lastRenderedPageBreak/>
              <w:t>9</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81-71+</w:t>
            </w:r>
            <w:r w:rsidRPr="000E6ED3">
              <w:rPr>
                <w:rFonts w:ascii="Times New Roman" w:eastAsia="Times New Roman" w:hAnsi="Times New Roman" w:cs="Times New Roman"/>
                <w:lang w:eastAsia="en-GB"/>
              </w:rPr>
              <w:t>A</w:t>
            </w:r>
            <w:r w:rsidRPr="000E6ED3">
              <w:rPr>
                <w:rFonts w:ascii="Times New Roman" w:eastAsia="Times New Roman" w:hAnsi="Times New Roman" w:cs="Times New Roman"/>
                <w:lang w:val="ru-RU" w:eastAsia="en-GB"/>
              </w:rPr>
              <w:t xml:space="preserve">1:2011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5F5F5"/>
                <w:lang w:val="ru-RU"/>
              </w:rPr>
              <w:t xml:space="preserve">Правила безопасности к конструкции и установке лифтов. Специальные применения пассажирских и грузопассажирских лифтов. Часть 71: </w:t>
            </w:r>
            <w:proofErr w:type="spellStart"/>
            <w:r w:rsidRPr="000E6ED3">
              <w:rPr>
                <w:rFonts w:ascii="Times New Roman" w:hAnsi="Times New Roman" w:cs="Times New Roman"/>
                <w:shd w:val="clear" w:color="auto" w:fill="F5F5F5"/>
                <w:lang w:val="ru-RU"/>
              </w:rPr>
              <w:t>Вандалозащищенные</w:t>
            </w:r>
            <w:proofErr w:type="spellEnd"/>
            <w:r w:rsidRPr="000E6ED3">
              <w:rPr>
                <w:rFonts w:ascii="Times New Roman" w:hAnsi="Times New Roman" w:cs="Times New Roman"/>
                <w:shd w:val="clear" w:color="auto" w:fill="F5F5F5"/>
                <w:lang w:val="ru-RU"/>
              </w:rPr>
              <w:t xml:space="preserve"> лифты</w:t>
            </w:r>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81-71:2005+A1:2006</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Particular applications to passenger lifts and goods passenger lifts - Part 71: Vandal resistant lifts</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ru-RU" w:eastAsia="en-GB"/>
              </w:rPr>
              <w:t>10</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81-72:2011 </w:t>
            </w:r>
          </w:p>
          <w:p w:rsidR="00CF3ADD" w:rsidRPr="000E6ED3" w:rsidRDefault="00CF3ADD" w:rsidP="004751F7">
            <w:pPr>
              <w:jc w:val="both"/>
              <w:rPr>
                <w:rFonts w:ascii="Times New Roman" w:eastAsia="Times New Roman" w:hAnsi="Times New Roman" w:cs="Times New Roman"/>
                <w:lang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hAnsi="Times New Roman" w:cs="Times New Roman"/>
                <w:shd w:val="clear" w:color="auto" w:fill="F5F5F5"/>
                <w:lang w:val="ru-RU"/>
              </w:rPr>
              <w:t xml:space="preserve">Правила безопасности к конструкции и установке лифтов. Специальные применения пассажирских и грузовых лифтов. </w:t>
            </w:r>
            <w:proofErr w:type="spellStart"/>
            <w:r w:rsidRPr="000E6ED3">
              <w:rPr>
                <w:rFonts w:ascii="Times New Roman" w:hAnsi="Times New Roman" w:cs="Times New Roman"/>
                <w:shd w:val="clear" w:color="auto" w:fill="F5F5F5"/>
              </w:rPr>
              <w:t>Часть</w:t>
            </w:r>
            <w:proofErr w:type="spellEnd"/>
            <w:r w:rsidRPr="000E6ED3">
              <w:rPr>
                <w:rFonts w:ascii="Times New Roman" w:hAnsi="Times New Roman" w:cs="Times New Roman"/>
                <w:shd w:val="clear" w:color="auto" w:fill="F5F5F5"/>
              </w:rPr>
              <w:t xml:space="preserve"> 72: </w:t>
            </w:r>
            <w:proofErr w:type="spellStart"/>
            <w:r w:rsidRPr="000E6ED3">
              <w:rPr>
                <w:rFonts w:ascii="Times New Roman" w:hAnsi="Times New Roman" w:cs="Times New Roman"/>
                <w:shd w:val="clear" w:color="auto" w:fill="F5F5F5"/>
              </w:rPr>
              <w:t>Лифты</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для</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пожарных</w:t>
            </w:r>
            <w:proofErr w:type="spellEnd"/>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81-72:2015</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Particular applications for passenger and goods passenger lifts - Part 72: Firefighters lifts</w:t>
            </w:r>
          </w:p>
        </w:tc>
        <w:tc>
          <w:tcPr>
            <w:tcW w:w="1559"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rPr>
              <w:t>EN 81-72:2003</w:t>
            </w:r>
            <w:r w:rsidRPr="000E6ED3">
              <w:rPr>
                <w:rFonts w:ascii="Times New Roman" w:hAnsi="Times New Roman" w:cs="Times New Roman"/>
              </w:rPr>
              <w:br/>
            </w:r>
            <w:r w:rsidRPr="000E6ED3">
              <w:rPr>
                <w:rFonts w:ascii="Times New Roman" w:hAnsi="Times New Roman" w:cs="Times New Roman"/>
              </w:rPr>
              <w:br/>
            </w:r>
            <w:r w:rsidRPr="000E6ED3">
              <w:rPr>
                <w:rFonts w:ascii="Times New Roman" w:hAnsi="Times New Roman" w:cs="Times New Roman"/>
                <w:lang w:val="ru-RU"/>
              </w:rPr>
              <w:t>Примечание 2</w:t>
            </w:r>
          </w:p>
        </w:tc>
        <w:tc>
          <w:tcPr>
            <w:tcW w:w="1559" w:type="dxa"/>
          </w:tcPr>
          <w:p w:rsidR="00CF3ADD" w:rsidRPr="000E6ED3" w:rsidRDefault="00CF3ADD" w:rsidP="004751F7">
            <w:pPr>
              <w:jc w:val="center"/>
              <w:rPr>
                <w:rFonts w:ascii="Times New Roman" w:hAnsi="Times New Roman" w:cs="Times New Roman"/>
                <w:b/>
                <w:bCs/>
                <w:lang w:val="ro-RO"/>
              </w:rPr>
            </w:pPr>
            <w:r w:rsidRPr="000E6ED3">
              <w:rPr>
                <w:rFonts w:ascii="Times New Roman" w:hAnsi="Times New Roman" w:cs="Times New Roman"/>
                <w:b/>
                <w:bCs/>
                <w:lang w:val="ru-RU"/>
              </w:rPr>
              <w:t>31</w:t>
            </w:r>
            <w:r w:rsidRPr="000E6ED3">
              <w:rPr>
                <w:rFonts w:ascii="Times New Roman" w:hAnsi="Times New Roman" w:cs="Times New Roman"/>
                <w:b/>
                <w:bCs/>
                <w:lang w:val="ro-RO"/>
              </w:rPr>
              <w:t>.</w:t>
            </w:r>
            <w:r w:rsidRPr="000E6ED3">
              <w:rPr>
                <w:rFonts w:ascii="Times New Roman" w:hAnsi="Times New Roman" w:cs="Times New Roman"/>
                <w:b/>
                <w:bCs/>
                <w:lang w:val="ru-RU"/>
              </w:rPr>
              <w:t>08</w:t>
            </w:r>
            <w:r w:rsidRPr="000E6ED3">
              <w:rPr>
                <w:rFonts w:ascii="Times New Roman" w:hAnsi="Times New Roman" w:cs="Times New Roman"/>
                <w:b/>
                <w:bCs/>
                <w:lang w:val="ro-RO"/>
              </w:rPr>
              <w:t>.</w:t>
            </w:r>
            <w:r w:rsidRPr="000E6ED3">
              <w:rPr>
                <w:rFonts w:ascii="Times New Roman" w:hAnsi="Times New Roman" w:cs="Times New Roman"/>
                <w:b/>
                <w:bCs/>
                <w:lang w:val="ru-RU"/>
              </w:rPr>
              <w:t>2017</w:t>
            </w: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w:t>
            </w:r>
            <w:r w:rsidRPr="000E6ED3">
              <w:rPr>
                <w:rFonts w:ascii="Times New Roman" w:eastAsia="Times New Roman" w:hAnsi="Times New Roman" w:cs="Times New Roman"/>
                <w:lang w:val="ru-RU" w:eastAsia="en-GB"/>
              </w:rPr>
              <w:t>1</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81-73:2011 </w:t>
            </w:r>
          </w:p>
          <w:p w:rsidR="00CF3ADD" w:rsidRPr="000E6ED3" w:rsidRDefault="00CF3ADD" w:rsidP="004751F7">
            <w:pPr>
              <w:jc w:val="both"/>
              <w:rPr>
                <w:rFonts w:ascii="Times New Roman" w:eastAsia="Times New Roman" w:hAnsi="Times New Roman" w:cs="Times New Roman"/>
                <w:lang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hAnsi="Times New Roman" w:cs="Times New Roman"/>
                <w:shd w:val="clear" w:color="auto" w:fill="F5F5F5"/>
                <w:lang w:val="ru-RU"/>
              </w:rPr>
              <w:t xml:space="preserve">Правила безопасности к конструкции и установке лифтов. Специальные применения пассажирских и грузопассажирских лифтов. </w:t>
            </w:r>
            <w:proofErr w:type="spellStart"/>
            <w:r w:rsidRPr="000E6ED3">
              <w:rPr>
                <w:rFonts w:ascii="Times New Roman" w:hAnsi="Times New Roman" w:cs="Times New Roman"/>
                <w:shd w:val="clear" w:color="auto" w:fill="F5F5F5"/>
              </w:rPr>
              <w:t>Часть</w:t>
            </w:r>
            <w:proofErr w:type="spellEnd"/>
            <w:r w:rsidRPr="000E6ED3">
              <w:rPr>
                <w:rFonts w:ascii="Times New Roman" w:hAnsi="Times New Roman" w:cs="Times New Roman"/>
                <w:shd w:val="clear" w:color="auto" w:fill="F5F5F5"/>
              </w:rPr>
              <w:t xml:space="preserve"> 73: </w:t>
            </w:r>
            <w:proofErr w:type="spellStart"/>
            <w:r w:rsidRPr="000E6ED3">
              <w:rPr>
                <w:rFonts w:ascii="Times New Roman" w:hAnsi="Times New Roman" w:cs="Times New Roman"/>
                <w:shd w:val="clear" w:color="auto" w:fill="F5F5F5"/>
              </w:rPr>
              <w:t>Поведение</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лифтов</w:t>
            </w:r>
            <w:proofErr w:type="spellEnd"/>
            <w:r w:rsidRPr="000E6ED3">
              <w:rPr>
                <w:rFonts w:ascii="Times New Roman" w:hAnsi="Times New Roman" w:cs="Times New Roman"/>
                <w:shd w:val="clear" w:color="auto" w:fill="F5F5F5"/>
              </w:rPr>
              <w:t xml:space="preserve"> в </w:t>
            </w:r>
            <w:proofErr w:type="spellStart"/>
            <w:r w:rsidRPr="000E6ED3">
              <w:rPr>
                <w:rFonts w:ascii="Times New Roman" w:hAnsi="Times New Roman" w:cs="Times New Roman"/>
                <w:shd w:val="clear" w:color="auto" w:fill="F5F5F5"/>
              </w:rPr>
              <w:t>случае</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пожара</w:t>
            </w:r>
            <w:proofErr w:type="spellEnd"/>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81-73:2016</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 of lifts - Particular applications for passenger and goods passenger lifts - Part 73: Behaviour of lifts in the event of fire</w:t>
            </w:r>
          </w:p>
        </w:tc>
        <w:tc>
          <w:tcPr>
            <w:tcW w:w="1559" w:type="dxa"/>
          </w:tcPr>
          <w:p w:rsidR="00CF3ADD" w:rsidRPr="000E6ED3" w:rsidRDefault="00CF3ADD" w:rsidP="004751F7">
            <w:pPr>
              <w:jc w:val="center"/>
              <w:rPr>
                <w:rFonts w:ascii="Times New Roman" w:hAnsi="Times New Roman" w:cs="Times New Roman"/>
              </w:rPr>
            </w:pPr>
            <w:r w:rsidRPr="000E6ED3">
              <w:rPr>
                <w:rFonts w:ascii="Times New Roman" w:hAnsi="Times New Roman" w:cs="Times New Roman"/>
              </w:rPr>
              <w:t>EN 81-73:2005</w:t>
            </w:r>
          </w:p>
          <w:p w:rsidR="00CF3ADD" w:rsidRPr="000E6ED3" w:rsidRDefault="00CF3ADD" w:rsidP="004751F7">
            <w:pPr>
              <w:jc w:val="center"/>
              <w:rPr>
                <w:rFonts w:ascii="Times New Roman" w:hAnsi="Times New Roman" w:cs="Times New Roman"/>
                <w:b/>
                <w:bCs/>
                <w:lang w:val="ro-RO"/>
              </w:rPr>
            </w:pPr>
            <w:hyperlink r:id="rId6" w:anchor="Note 2.1" w:history="1">
              <w:r w:rsidRPr="000E6ED3">
                <w:rPr>
                  <w:rFonts w:ascii="Times New Roman" w:hAnsi="Times New Roman" w:cs="Times New Roman"/>
                  <w:lang w:val="ru-RU"/>
                </w:rPr>
                <w:t>Примечание</w:t>
              </w:r>
              <w:r w:rsidRPr="000E6ED3">
                <w:rPr>
                  <w:rStyle w:val="Hyperlink"/>
                  <w:rFonts w:ascii="Times New Roman" w:hAnsi="Times New Roman" w:cs="Times New Roman"/>
                  <w:color w:val="auto"/>
                  <w:u w:val="none"/>
                </w:rPr>
                <w:t xml:space="preserve"> </w:t>
              </w:r>
            </w:hyperlink>
            <w:r w:rsidRPr="000E6ED3">
              <w:rPr>
                <w:rStyle w:val="Hyperlink"/>
                <w:rFonts w:ascii="Times New Roman" w:hAnsi="Times New Roman" w:cs="Times New Roman"/>
                <w:color w:val="auto"/>
                <w:u w:val="none"/>
                <w:lang w:val="ru-RU"/>
              </w:rPr>
              <w:t>2</w:t>
            </w:r>
            <w:r w:rsidRPr="000E6ED3">
              <w:rPr>
                <w:rFonts w:ascii="Times New Roman" w:hAnsi="Times New Roman" w:cs="Times New Roman"/>
              </w:rPr>
              <w:t> </w:t>
            </w:r>
          </w:p>
        </w:tc>
        <w:tc>
          <w:tcPr>
            <w:tcW w:w="1559" w:type="dxa"/>
          </w:tcPr>
          <w:p w:rsidR="00CF3ADD" w:rsidRPr="000E6ED3" w:rsidRDefault="00CF3ADD" w:rsidP="004751F7">
            <w:pPr>
              <w:jc w:val="center"/>
              <w:rPr>
                <w:rFonts w:ascii="Times New Roman" w:hAnsi="Times New Roman" w:cs="Times New Roman"/>
                <w:b/>
                <w:bCs/>
                <w:lang w:val="en-GB"/>
              </w:rPr>
            </w:pPr>
            <w:r w:rsidRPr="000E6ED3">
              <w:rPr>
                <w:rFonts w:ascii="Times New Roman" w:hAnsi="Times New Roman" w:cs="Times New Roman"/>
                <w:b/>
                <w:bCs/>
                <w:lang w:val="ru-RU"/>
              </w:rPr>
              <w:t>31</w:t>
            </w:r>
            <w:r w:rsidRPr="000E6ED3">
              <w:rPr>
                <w:rFonts w:ascii="Times New Roman" w:hAnsi="Times New Roman" w:cs="Times New Roman"/>
                <w:b/>
                <w:bCs/>
                <w:lang w:val="ro-RO"/>
              </w:rPr>
              <w:t>.</w:t>
            </w:r>
            <w:r w:rsidRPr="000E6ED3">
              <w:rPr>
                <w:rFonts w:ascii="Times New Roman" w:hAnsi="Times New Roman" w:cs="Times New Roman"/>
                <w:b/>
                <w:bCs/>
                <w:lang w:val="ru-RU"/>
              </w:rPr>
              <w:t>08</w:t>
            </w:r>
            <w:r w:rsidRPr="000E6ED3">
              <w:rPr>
                <w:rFonts w:ascii="Times New Roman" w:hAnsi="Times New Roman" w:cs="Times New Roman"/>
                <w:b/>
                <w:bCs/>
                <w:lang w:val="ro-RO"/>
              </w:rPr>
              <w:t>.</w:t>
            </w:r>
            <w:r w:rsidRPr="000E6ED3">
              <w:rPr>
                <w:rFonts w:ascii="Times New Roman" w:hAnsi="Times New Roman" w:cs="Times New Roman"/>
                <w:b/>
                <w:bCs/>
                <w:lang w:val="ru-RU"/>
              </w:rPr>
              <w:t>201</w:t>
            </w:r>
            <w:r w:rsidRPr="000E6ED3">
              <w:rPr>
                <w:rFonts w:ascii="Times New Roman" w:hAnsi="Times New Roman" w:cs="Times New Roman"/>
                <w:b/>
                <w:bCs/>
                <w:lang w:val="en-GB"/>
              </w:rPr>
              <w:t>8</w:t>
            </w: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w:t>
            </w:r>
            <w:r w:rsidRPr="000E6ED3">
              <w:rPr>
                <w:rFonts w:ascii="Times New Roman" w:eastAsia="Times New Roman" w:hAnsi="Times New Roman" w:cs="Times New Roman"/>
                <w:lang w:val="ru-RU" w:eastAsia="en-GB"/>
              </w:rPr>
              <w:t>2</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81-77:2014 </w:t>
            </w:r>
          </w:p>
          <w:p w:rsidR="00CF3ADD" w:rsidRPr="000E6ED3" w:rsidRDefault="00CF3ADD" w:rsidP="004751F7">
            <w:pPr>
              <w:jc w:val="both"/>
              <w:rPr>
                <w:rFonts w:ascii="Times New Roman" w:eastAsia="Times New Roman" w:hAnsi="Times New Roman" w:cs="Times New Roman"/>
                <w:lang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hAnsi="Times New Roman" w:cs="Times New Roman"/>
                <w:shd w:val="clear" w:color="auto" w:fill="F5F5F5"/>
                <w:lang w:val="ru-RU"/>
              </w:rPr>
              <w:t xml:space="preserve">Правила безопасности к конструкции и установке лифтов. Специальные применения пассажирских и грузопассажирских лифтов. </w:t>
            </w:r>
            <w:proofErr w:type="spellStart"/>
            <w:r w:rsidRPr="000E6ED3">
              <w:rPr>
                <w:rFonts w:ascii="Times New Roman" w:hAnsi="Times New Roman" w:cs="Times New Roman"/>
                <w:shd w:val="clear" w:color="auto" w:fill="F5F5F5"/>
              </w:rPr>
              <w:t>Часть</w:t>
            </w:r>
            <w:proofErr w:type="spellEnd"/>
            <w:r w:rsidRPr="000E6ED3">
              <w:rPr>
                <w:rFonts w:ascii="Times New Roman" w:hAnsi="Times New Roman" w:cs="Times New Roman"/>
                <w:shd w:val="clear" w:color="auto" w:fill="F5F5F5"/>
              </w:rPr>
              <w:t xml:space="preserve"> 77: </w:t>
            </w:r>
            <w:proofErr w:type="spellStart"/>
            <w:r w:rsidRPr="000E6ED3">
              <w:rPr>
                <w:rFonts w:ascii="Times New Roman" w:hAnsi="Times New Roman" w:cs="Times New Roman"/>
                <w:shd w:val="clear" w:color="auto" w:fill="F5F5F5"/>
              </w:rPr>
              <w:t>Лифты</w:t>
            </w:r>
            <w:proofErr w:type="spellEnd"/>
            <w:r w:rsidRPr="000E6ED3">
              <w:rPr>
                <w:rFonts w:ascii="Times New Roman" w:hAnsi="Times New Roman" w:cs="Times New Roman"/>
                <w:shd w:val="clear" w:color="auto" w:fill="F5F5F5"/>
              </w:rPr>
              <w:t xml:space="preserve"> с </w:t>
            </w:r>
            <w:proofErr w:type="spellStart"/>
            <w:r w:rsidRPr="000E6ED3">
              <w:rPr>
                <w:rFonts w:ascii="Times New Roman" w:hAnsi="Times New Roman" w:cs="Times New Roman"/>
                <w:shd w:val="clear" w:color="auto" w:fill="F5F5F5"/>
              </w:rPr>
              <w:t>учетом</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сейсмических</w:t>
            </w:r>
            <w:proofErr w:type="spellEnd"/>
            <w:r w:rsidRPr="000E6ED3">
              <w:rPr>
                <w:rFonts w:ascii="Times New Roman" w:hAnsi="Times New Roman" w:cs="Times New Roman"/>
                <w:shd w:val="clear" w:color="auto" w:fill="F5F5F5"/>
              </w:rPr>
              <w:t xml:space="preserve"> </w:t>
            </w:r>
            <w:proofErr w:type="spellStart"/>
            <w:r w:rsidRPr="000E6ED3">
              <w:rPr>
                <w:rFonts w:ascii="Times New Roman" w:hAnsi="Times New Roman" w:cs="Times New Roman"/>
                <w:shd w:val="clear" w:color="auto" w:fill="F5F5F5"/>
              </w:rPr>
              <w:t>условий</w:t>
            </w:r>
            <w:proofErr w:type="spellEnd"/>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81-77:2013</w:t>
            </w:r>
          </w:p>
          <w:p w:rsidR="00CF3ADD" w:rsidRPr="000E6ED3" w:rsidRDefault="00CF3ADD" w:rsidP="004751F7">
            <w:pPr>
              <w:pStyle w:val="NormalWeb"/>
              <w:spacing w:before="75" w:beforeAutospacing="0" w:after="75" w:afterAutospacing="0"/>
              <w:rPr>
                <w:sz w:val="22"/>
                <w:szCs w:val="22"/>
              </w:rPr>
            </w:pPr>
            <w:r w:rsidRPr="000E6ED3">
              <w:rPr>
                <w:sz w:val="22"/>
                <w:szCs w:val="22"/>
              </w:rPr>
              <w:t>Safety rules for the construction and installations of lifts - Particular applications for passenger and goods passenger lifts - Part 77: Lifts subject to seismic conditions</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13.</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12016:2014 </w:t>
            </w:r>
          </w:p>
          <w:p w:rsidR="00CF3ADD" w:rsidRPr="000E6ED3" w:rsidRDefault="00CF3ADD" w:rsidP="004751F7">
            <w:pPr>
              <w:jc w:val="both"/>
              <w:rPr>
                <w:rFonts w:ascii="Times New Roman" w:eastAsia="Times New Roman" w:hAnsi="Times New Roman" w:cs="Times New Roman"/>
                <w:lang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hAnsi="Times New Roman" w:cs="Times New Roman"/>
                <w:shd w:val="clear" w:color="auto" w:fill="FFFFFF"/>
                <w:lang w:val="ru-RU"/>
              </w:rPr>
              <w:lastRenderedPageBreak/>
              <w:t xml:space="preserve">Электромагнитная совместимость. </w:t>
            </w:r>
            <w:r w:rsidRPr="000E6ED3">
              <w:rPr>
                <w:rFonts w:ascii="Times New Roman" w:hAnsi="Times New Roman" w:cs="Times New Roman"/>
                <w:shd w:val="clear" w:color="auto" w:fill="FFFFFF"/>
                <w:lang w:val="ru-RU"/>
              </w:rPr>
              <w:lastRenderedPageBreak/>
              <w:t xml:space="preserve">Стандарт на группу однородной продукции: лифты, эскалаторы и пассажирские конвейеры. </w:t>
            </w:r>
            <w:proofErr w:type="spellStart"/>
            <w:r w:rsidRPr="000E6ED3">
              <w:rPr>
                <w:rFonts w:ascii="Times New Roman" w:hAnsi="Times New Roman" w:cs="Times New Roman"/>
                <w:shd w:val="clear" w:color="auto" w:fill="FFFFFF"/>
              </w:rPr>
              <w:t>Невосприимчивость</w:t>
            </w:r>
            <w:proofErr w:type="spellEnd"/>
          </w:p>
          <w:p w:rsidR="00CF3ADD" w:rsidRPr="000E6ED3" w:rsidRDefault="00CF3ADD" w:rsidP="004751F7">
            <w:pPr>
              <w:pStyle w:val="NormalWeb"/>
              <w:spacing w:before="75" w:beforeAutospacing="0" w:after="75" w:afterAutospacing="0"/>
              <w:rPr>
                <w:sz w:val="22"/>
                <w:szCs w:val="22"/>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lastRenderedPageBreak/>
              <w:t>EN 12016:2013</w:t>
            </w:r>
          </w:p>
          <w:p w:rsidR="00CF3ADD" w:rsidRPr="000E6ED3" w:rsidRDefault="00CF3ADD" w:rsidP="004751F7">
            <w:pPr>
              <w:pStyle w:val="NormalWeb"/>
              <w:spacing w:before="75" w:beforeAutospacing="0" w:after="75" w:afterAutospacing="0"/>
              <w:rPr>
                <w:sz w:val="22"/>
                <w:szCs w:val="22"/>
              </w:rPr>
            </w:pPr>
            <w:r w:rsidRPr="000E6ED3">
              <w:rPr>
                <w:sz w:val="22"/>
                <w:szCs w:val="22"/>
              </w:rPr>
              <w:t xml:space="preserve">Electromagnetic </w:t>
            </w:r>
            <w:r w:rsidRPr="000E6ED3">
              <w:rPr>
                <w:sz w:val="22"/>
                <w:szCs w:val="22"/>
              </w:rPr>
              <w:lastRenderedPageBreak/>
              <w:t>compatibility - Product family standard for lifts, escalators and moving walks - Immunity</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lastRenderedPageBreak/>
              <w:t>1</w:t>
            </w:r>
            <w:r w:rsidRPr="000E6ED3">
              <w:rPr>
                <w:rFonts w:ascii="Times New Roman" w:eastAsia="Times New Roman" w:hAnsi="Times New Roman" w:cs="Times New Roman"/>
                <w:lang w:val="ru-RU" w:eastAsia="en-GB"/>
              </w:rPr>
              <w:t>4</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12385-3+</w:t>
            </w:r>
            <w:r w:rsidRPr="000E6ED3">
              <w:rPr>
                <w:rFonts w:ascii="Times New Roman" w:eastAsia="Times New Roman" w:hAnsi="Times New Roman" w:cs="Times New Roman"/>
                <w:lang w:eastAsia="en-GB"/>
              </w:rPr>
              <w:t>A</w:t>
            </w:r>
            <w:r w:rsidRPr="000E6ED3">
              <w:rPr>
                <w:rFonts w:ascii="Times New Roman" w:eastAsia="Times New Roman" w:hAnsi="Times New Roman" w:cs="Times New Roman"/>
                <w:lang w:val="ru-RU" w:eastAsia="en-GB"/>
              </w:rPr>
              <w:t xml:space="preserve">1:2011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FFFFF"/>
                <w:lang w:val="ru-RU"/>
              </w:rPr>
              <w:t>Канаты проволочные стальные. Безопасность. Часть 3: Информация по использованию и техническому обслуживанию</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12385-3:2004+A1:2008</w:t>
            </w:r>
          </w:p>
          <w:p w:rsidR="00CF3ADD" w:rsidRPr="000E6ED3" w:rsidRDefault="00CF3ADD" w:rsidP="004751F7">
            <w:pPr>
              <w:pStyle w:val="NormalWeb"/>
              <w:spacing w:before="75" w:beforeAutospacing="0" w:after="75" w:afterAutospacing="0"/>
              <w:rPr>
                <w:sz w:val="22"/>
                <w:szCs w:val="22"/>
              </w:rPr>
            </w:pPr>
            <w:r w:rsidRPr="000E6ED3">
              <w:rPr>
                <w:sz w:val="22"/>
                <w:szCs w:val="22"/>
              </w:rPr>
              <w:t>Steel wire ropes - Safety - Part 3: Information for use and maintenance</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15.</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12385-5:2011 </w:t>
            </w:r>
          </w:p>
          <w:p w:rsidR="00CF3ADD" w:rsidRPr="000E6ED3" w:rsidRDefault="00CF3ADD" w:rsidP="004751F7">
            <w:pPr>
              <w:jc w:val="both"/>
              <w:rPr>
                <w:rFonts w:ascii="Times New Roman" w:eastAsia="Times New Roman" w:hAnsi="Times New Roman" w:cs="Times New Roman"/>
                <w:lang w:val="ru-RU" w:eastAsia="en-GB"/>
              </w:rPr>
            </w:pP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lang w:val="ru-RU"/>
              </w:rPr>
            </w:pPr>
            <w:r w:rsidRPr="000E6ED3">
              <w:rPr>
                <w:sz w:val="22"/>
                <w:szCs w:val="22"/>
                <w:shd w:val="clear" w:color="auto" w:fill="FFFFFF"/>
                <w:lang w:val="ru-RU"/>
              </w:rPr>
              <w:t xml:space="preserve">Канаты проволочные стальные. Безопасность. Часть 5: </w:t>
            </w:r>
            <w:proofErr w:type="spellStart"/>
            <w:r w:rsidRPr="000E6ED3">
              <w:rPr>
                <w:sz w:val="22"/>
                <w:szCs w:val="22"/>
                <w:shd w:val="clear" w:color="auto" w:fill="FFFFFF"/>
                <w:lang w:val="ru-RU"/>
              </w:rPr>
              <w:t>Многопрядные</w:t>
            </w:r>
            <w:proofErr w:type="spellEnd"/>
            <w:r w:rsidRPr="000E6ED3">
              <w:rPr>
                <w:sz w:val="22"/>
                <w:szCs w:val="22"/>
                <w:shd w:val="clear" w:color="auto" w:fill="FFFFFF"/>
                <w:lang w:val="ru-RU"/>
              </w:rPr>
              <w:t xml:space="preserve"> канаты для лифтов</w:t>
            </w: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12385-5:2002</w:t>
            </w:r>
          </w:p>
          <w:p w:rsidR="00CF3ADD" w:rsidRPr="000E6ED3" w:rsidRDefault="00CF3ADD" w:rsidP="004751F7">
            <w:pPr>
              <w:pStyle w:val="NormalWeb"/>
              <w:spacing w:before="75" w:beforeAutospacing="0" w:after="75" w:afterAutospacing="0"/>
              <w:rPr>
                <w:sz w:val="22"/>
                <w:szCs w:val="22"/>
              </w:rPr>
            </w:pPr>
            <w:r w:rsidRPr="000E6ED3">
              <w:rPr>
                <w:sz w:val="22"/>
                <w:szCs w:val="22"/>
              </w:rPr>
              <w:t>Steel wire ropes - Safety - Part 5: Stranded ropes for lifts</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ru-RU" w:eastAsia="en-GB"/>
              </w:rPr>
            </w:pPr>
            <w:r w:rsidRPr="000E6ED3">
              <w:rPr>
                <w:rFonts w:ascii="Times New Roman" w:eastAsia="Times New Roman" w:hAnsi="Times New Roman" w:cs="Times New Roman"/>
                <w:lang w:val="ru-RU" w:eastAsia="en-GB"/>
              </w:rPr>
              <w:t>16.</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eastAsia="en-GB"/>
              </w:rPr>
            </w:pPr>
            <w:r w:rsidRPr="000E6ED3">
              <w:rPr>
                <w:rFonts w:ascii="Times New Roman" w:eastAsia="Times New Roman" w:hAnsi="Times New Roman" w:cs="Times New Roman"/>
                <w:lang w:eastAsia="en-GB"/>
              </w:rPr>
              <w:t>SM SR EN 12385-5:2011/AC:2011</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lang w:val="ru-RU"/>
              </w:rPr>
            </w:pPr>
            <w:r w:rsidRPr="000E6ED3">
              <w:rPr>
                <w:sz w:val="22"/>
                <w:szCs w:val="22"/>
                <w:shd w:val="clear" w:color="auto" w:fill="FFFFFF"/>
                <w:lang w:val="ru-RU"/>
              </w:rPr>
              <w:t xml:space="preserve">Канаты проволочные стальные. Безопасность. Часть 5: </w:t>
            </w:r>
            <w:proofErr w:type="spellStart"/>
            <w:r w:rsidRPr="000E6ED3">
              <w:rPr>
                <w:sz w:val="22"/>
                <w:szCs w:val="22"/>
                <w:shd w:val="clear" w:color="auto" w:fill="FFFFFF"/>
                <w:lang w:val="ru-RU"/>
              </w:rPr>
              <w:t>Многопрядные</w:t>
            </w:r>
            <w:proofErr w:type="spellEnd"/>
            <w:r w:rsidRPr="000E6ED3">
              <w:rPr>
                <w:sz w:val="22"/>
                <w:szCs w:val="22"/>
                <w:shd w:val="clear" w:color="auto" w:fill="FFFFFF"/>
                <w:lang w:val="ru-RU"/>
              </w:rPr>
              <w:t xml:space="preserve"> канаты для лифтов</w:t>
            </w: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12385-5:2002/AC:2005</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w:t>
            </w:r>
            <w:r w:rsidRPr="000E6ED3">
              <w:rPr>
                <w:rFonts w:ascii="Times New Roman" w:eastAsia="Times New Roman" w:hAnsi="Times New Roman" w:cs="Times New Roman"/>
                <w:lang w:val="ru-RU" w:eastAsia="en-GB"/>
              </w:rPr>
              <w:t>7</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13015+</w:t>
            </w:r>
            <w:r w:rsidRPr="000E6ED3">
              <w:rPr>
                <w:rFonts w:ascii="Times New Roman" w:eastAsia="Times New Roman" w:hAnsi="Times New Roman" w:cs="Times New Roman"/>
                <w:lang w:eastAsia="en-GB"/>
              </w:rPr>
              <w:t>A</w:t>
            </w:r>
            <w:r w:rsidRPr="000E6ED3">
              <w:rPr>
                <w:rFonts w:ascii="Times New Roman" w:eastAsia="Times New Roman" w:hAnsi="Times New Roman" w:cs="Times New Roman"/>
                <w:lang w:val="ru-RU" w:eastAsia="en-GB"/>
              </w:rPr>
              <w:t xml:space="preserve">1:2011 </w:t>
            </w: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5F5F5"/>
                <w:lang w:val="ru-RU"/>
              </w:rPr>
              <w:t>Техническое обслуживание лифтов и эскалаторов. Правила по разработке инструкций по техническому обслуживанию</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13015:2001+A1:2008</w:t>
            </w:r>
          </w:p>
          <w:p w:rsidR="00CF3ADD" w:rsidRPr="000E6ED3" w:rsidRDefault="00CF3ADD" w:rsidP="004751F7">
            <w:pPr>
              <w:pStyle w:val="NormalWeb"/>
              <w:spacing w:before="75" w:beforeAutospacing="0" w:after="75" w:afterAutospacing="0"/>
              <w:rPr>
                <w:sz w:val="22"/>
                <w:szCs w:val="22"/>
              </w:rPr>
            </w:pPr>
            <w:r w:rsidRPr="000E6ED3">
              <w:rPr>
                <w:sz w:val="22"/>
                <w:szCs w:val="22"/>
              </w:rPr>
              <w:t>Maintenance for lifts and escalators - Rules for maintenance instructions</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r w:rsidR="00CF3ADD" w:rsidRPr="000E6ED3" w:rsidTr="004751F7">
        <w:tc>
          <w:tcPr>
            <w:tcW w:w="704"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center"/>
              <w:rPr>
                <w:rFonts w:ascii="Times New Roman" w:eastAsia="Times New Roman" w:hAnsi="Times New Roman" w:cs="Times New Roman"/>
                <w:lang w:val="en-GB" w:eastAsia="en-GB"/>
              </w:rPr>
            </w:pPr>
            <w:r w:rsidRPr="000E6ED3">
              <w:rPr>
                <w:rFonts w:ascii="Times New Roman" w:eastAsia="Times New Roman" w:hAnsi="Times New Roman" w:cs="Times New Roman"/>
                <w:lang w:val="en-GB" w:eastAsia="en-GB"/>
              </w:rPr>
              <w:t>1</w:t>
            </w:r>
            <w:r w:rsidRPr="000E6ED3">
              <w:rPr>
                <w:rFonts w:ascii="Times New Roman" w:eastAsia="Times New Roman" w:hAnsi="Times New Roman" w:cs="Times New Roman"/>
                <w:lang w:val="ru-RU" w:eastAsia="en-GB"/>
              </w:rPr>
              <w:t>8</w:t>
            </w:r>
            <w:r w:rsidRPr="000E6ED3">
              <w:rPr>
                <w:rFonts w:ascii="Times New Roman" w:eastAsia="Times New Roman" w:hAnsi="Times New Roman" w:cs="Times New Roman"/>
                <w:lang w:val="en-GB" w:eastAsia="en-GB"/>
              </w:rPr>
              <w:t>.</w:t>
            </w:r>
          </w:p>
        </w:tc>
        <w:tc>
          <w:tcPr>
            <w:tcW w:w="1843" w:type="dxa"/>
            <w:tcBorders>
              <w:top w:val="single" w:sz="6" w:space="0" w:color="000000"/>
              <w:left w:val="single" w:sz="6" w:space="0" w:color="000000"/>
              <w:bottom w:val="single" w:sz="6" w:space="0" w:color="000000"/>
              <w:right w:val="single" w:sz="6" w:space="0" w:color="000000"/>
            </w:tcBorders>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eastAsia="Times New Roman" w:hAnsi="Times New Roman" w:cs="Times New Roman"/>
                <w:lang w:eastAsia="en-GB"/>
              </w:rPr>
              <w:t>SM</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SR</w:t>
            </w:r>
            <w:r w:rsidRPr="000E6ED3">
              <w:rPr>
                <w:rFonts w:ascii="Times New Roman" w:eastAsia="Times New Roman" w:hAnsi="Times New Roman" w:cs="Times New Roman"/>
                <w:lang w:val="ru-RU" w:eastAsia="en-GB"/>
              </w:rPr>
              <w:t xml:space="preserve"> </w:t>
            </w:r>
            <w:r w:rsidRPr="000E6ED3">
              <w:rPr>
                <w:rFonts w:ascii="Times New Roman" w:eastAsia="Times New Roman" w:hAnsi="Times New Roman" w:cs="Times New Roman"/>
                <w:lang w:eastAsia="en-GB"/>
              </w:rPr>
              <w:t>EN</w:t>
            </w:r>
            <w:r w:rsidRPr="000E6ED3">
              <w:rPr>
                <w:rFonts w:ascii="Times New Roman" w:eastAsia="Times New Roman" w:hAnsi="Times New Roman" w:cs="Times New Roman"/>
                <w:lang w:val="ru-RU" w:eastAsia="en-GB"/>
              </w:rPr>
              <w:t xml:space="preserve"> 13411-7+</w:t>
            </w:r>
            <w:r w:rsidRPr="000E6ED3">
              <w:rPr>
                <w:rFonts w:ascii="Times New Roman" w:eastAsia="Times New Roman" w:hAnsi="Times New Roman" w:cs="Times New Roman"/>
                <w:lang w:eastAsia="en-GB"/>
              </w:rPr>
              <w:t>A</w:t>
            </w:r>
            <w:r w:rsidRPr="000E6ED3">
              <w:rPr>
                <w:rFonts w:ascii="Times New Roman" w:eastAsia="Times New Roman" w:hAnsi="Times New Roman" w:cs="Times New Roman"/>
                <w:lang w:val="ru-RU" w:eastAsia="en-GB"/>
              </w:rPr>
              <w:t xml:space="preserve">1:2011 </w:t>
            </w:r>
          </w:p>
          <w:p w:rsidR="00CF3ADD" w:rsidRPr="000E6ED3" w:rsidRDefault="00CF3ADD" w:rsidP="004751F7">
            <w:pPr>
              <w:jc w:val="both"/>
              <w:rPr>
                <w:rFonts w:ascii="Times New Roman" w:eastAsia="Times New Roman" w:hAnsi="Times New Roman" w:cs="Times New Roman"/>
                <w:lang w:val="ru-RU" w:eastAsia="en-GB"/>
              </w:rPr>
            </w:pPr>
          </w:p>
          <w:p w:rsidR="00CF3ADD" w:rsidRPr="000E6ED3" w:rsidRDefault="00CF3ADD" w:rsidP="004751F7">
            <w:pPr>
              <w:jc w:val="both"/>
              <w:rPr>
                <w:rFonts w:ascii="Times New Roman" w:eastAsia="Times New Roman" w:hAnsi="Times New Roman" w:cs="Times New Roman"/>
                <w:lang w:val="ru-RU" w:eastAsia="en-GB"/>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jc w:val="both"/>
              <w:rPr>
                <w:rFonts w:ascii="Times New Roman" w:eastAsia="Times New Roman" w:hAnsi="Times New Roman" w:cs="Times New Roman"/>
                <w:lang w:val="ru-RU" w:eastAsia="en-GB"/>
              </w:rPr>
            </w:pPr>
            <w:r w:rsidRPr="000E6ED3">
              <w:rPr>
                <w:rFonts w:ascii="Times New Roman" w:hAnsi="Times New Roman" w:cs="Times New Roman"/>
                <w:shd w:val="clear" w:color="auto" w:fill="F5F5F5"/>
                <w:lang w:val="ru-RU"/>
              </w:rPr>
              <w:t>Соединения концевые для стальных проволочных канатов. Безопасность. Часть 7: Симметричный клиновый зажим</w:t>
            </w:r>
          </w:p>
          <w:p w:rsidR="00CF3ADD" w:rsidRPr="000E6ED3" w:rsidRDefault="00CF3ADD" w:rsidP="004751F7">
            <w:pPr>
              <w:pStyle w:val="NormalWeb"/>
              <w:spacing w:before="75" w:beforeAutospacing="0" w:after="75" w:afterAutospacing="0"/>
              <w:rPr>
                <w:sz w:val="22"/>
                <w:szCs w:val="22"/>
                <w:lang w:val="ru-RU"/>
              </w:rPr>
            </w:pPr>
          </w:p>
        </w:tc>
        <w:tc>
          <w:tcPr>
            <w:tcW w:w="2840" w:type="dxa"/>
            <w:tcBorders>
              <w:top w:val="single" w:sz="6" w:space="0" w:color="666666"/>
              <w:left w:val="single" w:sz="6" w:space="0" w:color="666666"/>
              <w:bottom w:val="single" w:sz="6" w:space="0" w:color="666666"/>
              <w:right w:val="single" w:sz="6" w:space="0" w:color="666666"/>
            </w:tcBorders>
            <w:shd w:val="clear" w:color="auto" w:fill="FFFFFF"/>
          </w:tcPr>
          <w:p w:rsidR="00CF3ADD" w:rsidRPr="000E6ED3" w:rsidRDefault="00CF3ADD" w:rsidP="004751F7">
            <w:pPr>
              <w:pStyle w:val="NormalWeb"/>
              <w:spacing w:before="75" w:beforeAutospacing="0" w:after="75" w:afterAutospacing="0"/>
              <w:rPr>
                <w:sz w:val="22"/>
                <w:szCs w:val="22"/>
              </w:rPr>
            </w:pPr>
            <w:r w:rsidRPr="000E6ED3">
              <w:rPr>
                <w:sz w:val="22"/>
                <w:szCs w:val="22"/>
              </w:rPr>
              <w:t>EN 13411-7:2006+A1:2008</w:t>
            </w:r>
          </w:p>
          <w:p w:rsidR="00CF3ADD" w:rsidRPr="000E6ED3" w:rsidRDefault="00CF3ADD" w:rsidP="004751F7">
            <w:pPr>
              <w:pStyle w:val="NormalWeb"/>
              <w:spacing w:before="75" w:beforeAutospacing="0" w:after="75" w:afterAutospacing="0"/>
              <w:rPr>
                <w:sz w:val="22"/>
                <w:szCs w:val="22"/>
              </w:rPr>
            </w:pPr>
            <w:r w:rsidRPr="000E6ED3">
              <w:rPr>
                <w:sz w:val="22"/>
                <w:szCs w:val="22"/>
              </w:rPr>
              <w:t>Terminations for steel wire ropes - Safety - Part 7: Symmetric wedge socket</w:t>
            </w:r>
          </w:p>
        </w:tc>
        <w:tc>
          <w:tcPr>
            <w:tcW w:w="1559" w:type="dxa"/>
          </w:tcPr>
          <w:p w:rsidR="00CF3ADD" w:rsidRPr="000E6ED3" w:rsidRDefault="00CF3ADD" w:rsidP="004751F7">
            <w:pPr>
              <w:jc w:val="center"/>
              <w:rPr>
                <w:rFonts w:ascii="Times New Roman" w:hAnsi="Times New Roman" w:cs="Times New Roman"/>
                <w:b/>
                <w:bCs/>
                <w:lang w:val="ro-RO"/>
              </w:rPr>
            </w:pPr>
          </w:p>
        </w:tc>
        <w:tc>
          <w:tcPr>
            <w:tcW w:w="1559" w:type="dxa"/>
          </w:tcPr>
          <w:p w:rsidR="00CF3ADD" w:rsidRPr="000E6ED3" w:rsidRDefault="00CF3ADD" w:rsidP="004751F7">
            <w:pPr>
              <w:jc w:val="center"/>
              <w:rPr>
                <w:rFonts w:ascii="Times New Roman" w:hAnsi="Times New Roman" w:cs="Times New Roman"/>
                <w:b/>
                <w:bCs/>
                <w:lang w:val="ro-RO"/>
              </w:rPr>
            </w:pPr>
          </w:p>
        </w:tc>
      </w:tr>
    </w:tbl>
    <w:p w:rsidR="00CF3ADD" w:rsidRPr="000E6ED3" w:rsidRDefault="00CF3ADD" w:rsidP="00CF3ADD">
      <w:pPr>
        <w:spacing w:after="0" w:line="240" w:lineRule="auto"/>
        <w:ind w:left="-567" w:firstLine="567"/>
        <w:jc w:val="both"/>
        <w:rPr>
          <w:rFonts w:ascii="Times New Roman" w:hAnsi="Times New Roman" w:cs="Times New Roman"/>
          <w:b/>
          <w:bCs/>
          <w:lang w:val="en-GB"/>
        </w:rPr>
      </w:pPr>
    </w:p>
    <w:p w:rsidR="00CF3ADD" w:rsidRPr="00335E1D" w:rsidRDefault="00CF3ADD" w:rsidP="00CF3ADD">
      <w:pPr>
        <w:spacing w:after="0" w:line="240" w:lineRule="auto"/>
        <w:ind w:left="-567" w:firstLine="567"/>
        <w:jc w:val="both"/>
        <w:rPr>
          <w:rFonts w:ascii="Times New Roman" w:hAnsi="Times New Roman" w:cs="Times New Roman"/>
          <w:b/>
          <w:bCs/>
          <w:lang w:val="ru-RU"/>
        </w:rPr>
      </w:pPr>
      <w:r w:rsidRPr="000E6ED3">
        <w:rPr>
          <w:rFonts w:ascii="Times New Roman" w:hAnsi="Times New Roman" w:cs="Times New Roman"/>
          <w:b/>
          <w:bCs/>
          <w:lang w:val="ru-RU"/>
        </w:rPr>
        <w:t>Примечание</w:t>
      </w:r>
      <w:r w:rsidRPr="00335E1D">
        <w:rPr>
          <w:rFonts w:ascii="Times New Roman" w:hAnsi="Times New Roman" w:cs="Times New Roman"/>
          <w:b/>
          <w:bCs/>
          <w:lang w:val="ru-RU"/>
        </w:rPr>
        <w:t xml:space="preserve"> 1: </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t xml:space="preserve">В целом, дата прекращения презумпции соответствия будет </w:t>
      </w:r>
      <w:r w:rsidRPr="000E6ED3">
        <w:rPr>
          <w:rFonts w:ascii="Times New Roman" w:hAnsi="Times New Roman" w:cs="Times New Roman"/>
          <w:color w:val="000000"/>
          <w:lang w:val="ru-RU"/>
        </w:rPr>
        <w:t>(„</w:t>
      </w:r>
      <w:proofErr w:type="spellStart"/>
      <w:r w:rsidRPr="000E6ED3">
        <w:rPr>
          <w:rFonts w:ascii="Times New Roman" w:hAnsi="Times New Roman" w:cs="Times New Roman"/>
          <w:color w:val="000000"/>
          <w:lang w:val="ru-RU"/>
        </w:rPr>
        <w:t>dow</w:t>
      </w:r>
      <w:proofErr w:type="spellEnd"/>
      <w:r w:rsidRPr="000E6ED3">
        <w:rPr>
          <w:rFonts w:ascii="Times New Roman" w:hAnsi="Times New Roman" w:cs="Times New Roman"/>
          <w:color w:val="000000"/>
          <w:lang w:val="ru-RU"/>
        </w:rPr>
        <w:t xml:space="preserve">”) </w:t>
      </w:r>
      <w:r w:rsidRPr="000E6ED3">
        <w:rPr>
          <w:rFonts w:ascii="Times New Roman" w:hAnsi="Times New Roman" w:cs="Times New Roman"/>
          <w:bCs/>
          <w:lang w:val="ru-RU"/>
        </w:rPr>
        <w:t>дата, установленная Европейским органом по стандартизации, но внимание пользователей этих стандартов обращается на тот факт, что в некоторых исключительных случаях эта дата может быть иной.</w:t>
      </w:r>
    </w:p>
    <w:p w:rsidR="00CF3ADD" w:rsidRPr="000E6ED3" w:rsidRDefault="00CF3ADD" w:rsidP="00CF3ADD">
      <w:pPr>
        <w:spacing w:after="0" w:line="240" w:lineRule="auto"/>
        <w:ind w:left="-567" w:firstLine="567"/>
        <w:jc w:val="both"/>
        <w:rPr>
          <w:rFonts w:ascii="Times New Roman" w:hAnsi="Times New Roman" w:cs="Times New Roman"/>
          <w:b/>
          <w:bCs/>
          <w:lang w:val="ru-RU"/>
        </w:rPr>
      </w:pPr>
      <w:r w:rsidRPr="000E6ED3">
        <w:rPr>
          <w:rFonts w:ascii="Times New Roman" w:hAnsi="Times New Roman" w:cs="Times New Roman"/>
          <w:b/>
          <w:bCs/>
          <w:lang w:val="ru-RU"/>
        </w:rPr>
        <w:t xml:space="preserve">Примечание 2: </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t>Новый стандарт (или заменённый) имеет ту же область применения, что и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lastRenderedPageBreak/>
        <w:t>Новый стандарт имеет более широкую область применения, чем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t>Новый стандарт имеет сокращенную область применения, чем замененный стандарт. В указанную дату замененный (частично) стандарт приостанавливает презумпцию соответствия основным или другим требованиям соответствующего законодательства для той продукции или услуг, на которые распространяется новый стандарт. Презумпция соответствия основным или другим требованиям соответствующего законодательства для продукции или услуг, которые остаются в пределах той же области применения, замененного (частично) стандарта, но не попадающие в область применения нового стандарта, не затрагивается.</w:t>
      </w:r>
    </w:p>
    <w:p w:rsidR="00CF3ADD" w:rsidRPr="000E6ED3" w:rsidRDefault="00CF3ADD" w:rsidP="00CF3ADD">
      <w:pPr>
        <w:spacing w:after="0" w:line="240" w:lineRule="auto"/>
        <w:ind w:left="-567" w:firstLine="567"/>
        <w:jc w:val="both"/>
        <w:rPr>
          <w:rFonts w:ascii="Times New Roman" w:hAnsi="Times New Roman" w:cs="Times New Roman"/>
          <w:b/>
          <w:bCs/>
          <w:lang w:val="ru-RU"/>
        </w:rPr>
      </w:pPr>
      <w:r w:rsidRPr="000E6ED3">
        <w:rPr>
          <w:rFonts w:ascii="Times New Roman" w:hAnsi="Times New Roman" w:cs="Times New Roman"/>
          <w:b/>
          <w:bCs/>
          <w:lang w:val="ru-RU"/>
        </w:rPr>
        <w:t xml:space="preserve">Примечание 3: </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t xml:space="preserve">В случае изменения стандарта, основным стандартом является стандарт SM CCCCC: YYYY, его предыдущие изменения, если таковые имеются, и указанное изменение. Таким образом, измененный стандарт состоит из </w:t>
      </w:r>
      <w:proofErr w:type="gramStart"/>
      <w:r w:rsidRPr="000E6ED3">
        <w:rPr>
          <w:rFonts w:ascii="Times New Roman" w:hAnsi="Times New Roman" w:cs="Times New Roman"/>
          <w:bCs/>
          <w:lang w:val="ru-RU"/>
        </w:rPr>
        <w:t>S</w:t>
      </w:r>
      <w:proofErr w:type="gramEnd"/>
      <w:r w:rsidRPr="000E6ED3">
        <w:rPr>
          <w:rFonts w:ascii="Times New Roman" w:hAnsi="Times New Roman" w:cs="Times New Roman"/>
          <w:bCs/>
          <w:lang w:val="ru-RU"/>
        </w:rPr>
        <w:t>М CCCCC: YYYY и его предыдущих изменений, если таковые имеются, но без указанного изменения. На указанную дату замененный стандарт приостанавливает предоставление презумпции соответствия основным или другим требованиям соответствующего законодательства.</w:t>
      </w:r>
    </w:p>
    <w:p w:rsidR="00CF3ADD" w:rsidRPr="000E6ED3" w:rsidRDefault="00CF3ADD" w:rsidP="00CF3ADD">
      <w:pPr>
        <w:spacing w:after="0" w:line="240" w:lineRule="auto"/>
        <w:ind w:left="-567" w:firstLine="567"/>
        <w:jc w:val="both"/>
        <w:rPr>
          <w:rFonts w:ascii="Times New Roman" w:hAnsi="Times New Roman" w:cs="Times New Roman"/>
          <w:b/>
          <w:bCs/>
          <w:lang w:val="ru-RU"/>
        </w:rPr>
      </w:pPr>
      <w:r w:rsidRPr="000E6ED3">
        <w:rPr>
          <w:rFonts w:ascii="Times New Roman" w:hAnsi="Times New Roman" w:cs="Times New Roman"/>
          <w:b/>
          <w:bCs/>
          <w:lang w:val="ru-RU"/>
        </w:rPr>
        <w:t xml:space="preserve">Примечание 4: </w:t>
      </w:r>
    </w:p>
    <w:p w:rsidR="00CF3ADD" w:rsidRPr="000E6ED3" w:rsidRDefault="00CF3ADD" w:rsidP="00CF3ADD">
      <w:pPr>
        <w:spacing w:after="0" w:line="240" w:lineRule="auto"/>
        <w:ind w:left="-567" w:firstLine="567"/>
        <w:jc w:val="both"/>
        <w:rPr>
          <w:rFonts w:ascii="Times New Roman" w:hAnsi="Times New Roman" w:cs="Times New Roman"/>
          <w:bCs/>
          <w:lang w:val="ru-RU"/>
        </w:rPr>
      </w:pPr>
      <w:r w:rsidRPr="000E6ED3">
        <w:rPr>
          <w:rFonts w:ascii="Times New Roman" w:hAnsi="Times New Roman" w:cs="Times New Roman"/>
          <w:bCs/>
          <w:lang w:val="ru-RU"/>
        </w:rPr>
        <w:t>Не принимаются в качестве молдавских стандартов - европейские стандарты, отмененные европейскими органами стандартизации, для которых срок предоставления презумпции соответствия истёк, но которые, после этого срока, не были приняты в качестве молдавских стандартов. Эти отмененные европейские стандарты могут быть использованы напрямую, если это необходимо.</w:t>
      </w:r>
    </w:p>
    <w:p w:rsidR="00DE113C" w:rsidRPr="00CF3ADD" w:rsidRDefault="00DE113C">
      <w:pPr>
        <w:rPr>
          <w:lang w:val="ru-RU"/>
        </w:rPr>
      </w:pPr>
    </w:p>
    <w:sectPr w:rsidR="00DE113C" w:rsidRPr="00CF3ADD" w:rsidSect="000E6ED3">
      <w:pgSz w:w="11906" w:h="16838"/>
      <w:pgMar w:top="993" w:right="70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DD"/>
    <w:rsid w:val="00035534"/>
    <w:rsid w:val="0044327B"/>
    <w:rsid w:val="00CF3ADD"/>
    <w:rsid w:val="00DE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D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ADD"/>
    <w:rPr>
      <w:color w:val="0000FF"/>
      <w:u w:val="single"/>
    </w:rPr>
  </w:style>
  <w:style w:type="table" w:styleId="TableGrid">
    <w:name w:val="Table Grid"/>
    <w:basedOn w:val="TableNormal"/>
    <w:uiPriority w:val="39"/>
    <w:rsid w:val="00CF3A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AD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D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ADD"/>
    <w:rPr>
      <w:color w:val="0000FF"/>
      <w:u w:val="single"/>
    </w:rPr>
  </w:style>
  <w:style w:type="table" w:styleId="TableGrid">
    <w:name w:val="Table Grid"/>
    <w:basedOn w:val="TableNormal"/>
    <w:uiPriority w:val="39"/>
    <w:rsid w:val="00CF3A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AD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europa.eu/growth/single-market/european-standards/harmonised-standards/lifts_en" TargetMode="External"/><Relationship Id="rId5" Type="http://schemas.openxmlformats.org/officeDocument/2006/relationships/hyperlink" Target="https://ec.europa.eu/growth/single-market/european-standards/harmonised-standards/lift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2</cp:revision>
  <dcterms:created xsi:type="dcterms:W3CDTF">2018-10-08T10:43:00Z</dcterms:created>
  <dcterms:modified xsi:type="dcterms:W3CDTF">2018-10-08T10:43:00Z</dcterms:modified>
</cp:coreProperties>
</file>