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36" w:rsidRPr="003A53F4" w:rsidRDefault="00BF3736" w:rsidP="00BF3736">
      <w:pPr>
        <w:pStyle w:val="ListParagraph1"/>
        <w:spacing w:after="0"/>
        <w:ind w:left="5529" w:hanging="142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>Приложение № 1</w:t>
      </w:r>
    </w:p>
    <w:p w:rsidR="00BF3736" w:rsidRDefault="00BF3736" w:rsidP="00BF3736">
      <w:pPr>
        <w:pStyle w:val="ListParagraph1"/>
        <w:spacing w:after="0"/>
        <w:ind w:left="5529" w:hanging="142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 xml:space="preserve">к Постановлению Правительства </w:t>
      </w:r>
    </w:p>
    <w:p w:rsidR="00BF3736" w:rsidRPr="003A53F4" w:rsidRDefault="00BF3736" w:rsidP="00BF3736">
      <w:pPr>
        <w:pStyle w:val="ListParagraph1"/>
        <w:spacing w:after="0"/>
        <w:ind w:left="5529" w:hanging="142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>№</w:t>
      </w:r>
      <w:r w:rsidRPr="00A76BC5">
        <w:rPr>
          <w:rFonts w:ascii="Times New Roman" w:hAnsi="Times New Roman"/>
          <w:sz w:val="28"/>
          <w:szCs w:val="28"/>
        </w:rPr>
        <w:t>1164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3F4">
        <w:rPr>
          <w:rFonts w:ascii="Times New Roman" w:hAnsi="Times New Roman"/>
          <w:sz w:val="28"/>
          <w:szCs w:val="28"/>
        </w:rPr>
        <w:t xml:space="preserve">от </w:t>
      </w:r>
      <w:r w:rsidRPr="00A76BC5">
        <w:rPr>
          <w:rFonts w:ascii="Times New Roman" w:hAnsi="Times New Roman"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>октября</w:t>
      </w:r>
      <w:r w:rsidRPr="003A53F4">
        <w:rPr>
          <w:rFonts w:ascii="Times New Roman" w:hAnsi="Times New Roman"/>
          <w:sz w:val="28"/>
          <w:szCs w:val="28"/>
        </w:rPr>
        <w:t xml:space="preserve"> 2016г. </w:t>
      </w:r>
    </w:p>
    <w:p w:rsidR="00BF3736" w:rsidRPr="003A53F4" w:rsidRDefault="00BF3736" w:rsidP="00BF3736">
      <w:pPr>
        <w:pStyle w:val="ListParagraph1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BF3736" w:rsidRPr="003A53F4" w:rsidRDefault="00BF3736" w:rsidP="00BF3736">
      <w:pPr>
        <w:pStyle w:val="ListParagraph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53F4">
        <w:rPr>
          <w:rFonts w:ascii="Times New Roman" w:hAnsi="Times New Roman"/>
          <w:b/>
          <w:sz w:val="28"/>
          <w:szCs w:val="28"/>
        </w:rPr>
        <w:t>НАЦИОНАЛЬНАЯ ПРОГРАММА</w:t>
      </w:r>
    </w:p>
    <w:p w:rsidR="00BF3736" w:rsidRPr="003A53F4" w:rsidRDefault="00BF3736" w:rsidP="00BF3736">
      <w:pPr>
        <w:pStyle w:val="ListParagraph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53F4">
        <w:rPr>
          <w:rFonts w:ascii="Times New Roman" w:hAnsi="Times New Roman"/>
          <w:b/>
          <w:sz w:val="28"/>
          <w:szCs w:val="28"/>
        </w:rPr>
        <w:t>профилактики и контроля ВИЧ/СПИДа и инфекций,</w:t>
      </w:r>
    </w:p>
    <w:p w:rsidR="00BF3736" w:rsidRPr="003A53F4" w:rsidRDefault="00BF3736" w:rsidP="00BF3736">
      <w:pPr>
        <w:pStyle w:val="ListParagraph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53F4">
        <w:rPr>
          <w:rFonts w:ascii="Times New Roman" w:eastAsia="Times New Roman" w:hAnsi="Times New Roman"/>
          <w:b/>
          <w:sz w:val="28"/>
          <w:szCs w:val="28"/>
        </w:rPr>
        <w:t>передающихся</w:t>
      </w:r>
      <w:r w:rsidRPr="003A53F4">
        <w:rPr>
          <w:rFonts w:ascii="Times New Roman" w:hAnsi="Times New Roman"/>
          <w:b/>
          <w:sz w:val="28"/>
          <w:szCs w:val="28"/>
        </w:rPr>
        <w:t xml:space="preserve"> половым путем, на 2016-2020 гг.</w:t>
      </w:r>
    </w:p>
    <w:p w:rsidR="00BF3736" w:rsidRPr="003A53F4" w:rsidRDefault="00BF3736" w:rsidP="00BF3736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>Национальная программа основана на анализе национального ответа, подтверждающего актуальность проблемы ВИЧ,  расширении доступа к тестированию через проведение тестирований неправительственными организациями; внедрении проектов снижения рисков, включая заместительную терапию и расширение ее географического покрытия; децентрализации медицинского наблюдения за лицами, инфицированными ВИЧ; обеспечении всеобщего доступа к антиретровирусной терапии с добавлением показаний к ее применению, внедрени</w:t>
      </w:r>
      <w:r>
        <w:rPr>
          <w:rFonts w:ascii="Times New Roman" w:hAnsi="Times New Roman"/>
          <w:sz w:val="28"/>
          <w:szCs w:val="28"/>
        </w:rPr>
        <w:t>и</w:t>
      </w:r>
      <w:r w:rsidRPr="003A53F4">
        <w:rPr>
          <w:rFonts w:ascii="Times New Roman" w:hAnsi="Times New Roman"/>
          <w:sz w:val="28"/>
          <w:szCs w:val="28"/>
        </w:rPr>
        <w:t xml:space="preserve"> проектов оказания психосоциальной поддержки и т.д.</w:t>
      </w:r>
    </w:p>
    <w:p w:rsidR="00BF3736" w:rsidRPr="003A53F4" w:rsidRDefault="00BF3736" w:rsidP="00BF3736">
      <w:pPr>
        <w:pStyle w:val="ListParagraph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>Оценка текущей ситуации подтвердила, что эпидемия ВИЧ в Молдове изначально определялась употреблением инъекционных наркотиков и сейчас распространяется в основном посредством половых партнеров потребителей наркотиков. Также было установлено, что на развитие эпидемии оказывают влияние работницы коммерческого секса и скрытая эпидемия среди мужчин, практикующих секс с мужчинами, что не исключает возможности передачи ВИЧ за пределы указанных групп.</w:t>
      </w:r>
    </w:p>
    <w:p w:rsidR="00BF3736" w:rsidRPr="003A53F4" w:rsidRDefault="00BF3736" w:rsidP="00BF3736">
      <w:pPr>
        <w:pStyle w:val="ListParagraph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 xml:space="preserve">Результаты осуществления практики «Рациональное выделение средств на </w:t>
      </w:r>
      <w:r>
        <w:rPr>
          <w:rFonts w:ascii="Times New Roman" w:hAnsi="Times New Roman"/>
          <w:sz w:val="28"/>
          <w:szCs w:val="28"/>
        </w:rPr>
        <w:t>основе</w:t>
      </w:r>
      <w:r w:rsidRPr="003A53F4">
        <w:rPr>
          <w:rFonts w:ascii="Times New Roman" w:hAnsi="Times New Roman"/>
          <w:sz w:val="28"/>
          <w:szCs w:val="28"/>
        </w:rPr>
        <w:t xml:space="preserve"> инвестиционного подхода», также подтвердившие концентрацию эпидемии среди уязвимых групп, подчеркнули особую важность приоритизации антиретровирусной терапии, которая имеет ключевое значение для снижения заболеваемости ВИЧ, а также необходимость уделения должного внимания профилактике среди групп повышенного риска инфицирования путем переориентации финансовых средств.</w:t>
      </w:r>
    </w:p>
    <w:p w:rsidR="00BF3736" w:rsidRPr="003A53F4" w:rsidRDefault="00BF3736" w:rsidP="00BF3736">
      <w:pPr>
        <w:pStyle w:val="ListParagraph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>Анализ эффективности расходов на профилактику передачи ВИЧ и вирусного гепатита С среди потребителей инъекционных наркотиков показал эпидемиологическую и экономическую эффективность продвижения вмешательств по заместительной терапии, проектов снижения рисков, тестирования на ВИЧ и покрытия антиретровирусной терапией.</w:t>
      </w:r>
    </w:p>
    <w:p w:rsidR="00BF3736" w:rsidRPr="003A53F4" w:rsidRDefault="00BF3736" w:rsidP="00BF3736">
      <w:pPr>
        <w:pStyle w:val="ListParagraph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 xml:space="preserve">Национальная программа призвана удержать эпидемию, сконцентрированную в группах повышенного риска инфицирования, и не </w:t>
      </w:r>
      <w:r w:rsidRPr="003A53F4">
        <w:rPr>
          <w:rFonts w:ascii="Times New Roman" w:hAnsi="Times New Roman"/>
          <w:sz w:val="28"/>
          <w:szCs w:val="28"/>
        </w:rPr>
        <w:lastRenderedPageBreak/>
        <w:t>допустить распространения ВИЧ среди общего населения и ориентироваться на новые мировые стратегии, которые продвигают наиболее эффективные вмешательства: стратегия 90-90-90, предполагающая идентификацию и диагностику 90% оценочного числа людей, инфицированных ВИЧ, вовлечение в антиретровирусную терапию 90% диагностированных и подавление вирусной нагрузки у 90% из тех, кто получает лечение.</w:t>
      </w:r>
    </w:p>
    <w:p w:rsidR="00BF3736" w:rsidRPr="003A53F4" w:rsidRDefault="00BF3736" w:rsidP="00BF3736">
      <w:pPr>
        <w:pStyle w:val="ListParagraph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>Процесс разработки Национальной программы также плотно связан с процессом разработки и последующей реализации заявки Республики Молдова в Глобальный фонд по борьбе с ВИЧ/СПИДом, туберкулезом и малярией.</w:t>
      </w:r>
    </w:p>
    <w:p w:rsidR="00BF3736" w:rsidRPr="003A53F4" w:rsidRDefault="00BF3736" w:rsidP="00BF3736">
      <w:pPr>
        <w:pStyle w:val="ListParagraph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>Процесс разработки Национальной программы был прозрачным, активным, с возможностью участия в принятии решений и вовлечени</w:t>
      </w:r>
      <w:r>
        <w:rPr>
          <w:rFonts w:ascii="Times New Roman" w:hAnsi="Times New Roman"/>
          <w:sz w:val="28"/>
          <w:szCs w:val="28"/>
        </w:rPr>
        <w:t>я</w:t>
      </w:r>
      <w:r w:rsidRPr="003A53F4">
        <w:rPr>
          <w:rFonts w:ascii="Times New Roman" w:hAnsi="Times New Roman"/>
          <w:sz w:val="28"/>
          <w:szCs w:val="28"/>
        </w:rPr>
        <w:t xml:space="preserve"> правительственных и неправительственных организаций, а также международных партнеров по развитию.</w:t>
      </w:r>
    </w:p>
    <w:p w:rsidR="00BF3736" w:rsidRPr="003A53F4" w:rsidRDefault="00BF3736" w:rsidP="00BF3736">
      <w:pPr>
        <w:pStyle w:val="ListParagraph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53F4">
        <w:rPr>
          <w:rFonts w:ascii="Times New Roman" w:eastAsia="Times New Roman" w:hAnsi="Times New Roman"/>
          <w:color w:val="000000"/>
          <w:sz w:val="28"/>
          <w:szCs w:val="28"/>
        </w:rPr>
        <w:t>Национальная программа была разработана на основе  принципов, применяемых на международном и национальном уровне в рамках программ общественного здоровья:</w:t>
      </w:r>
    </w:p>
    <w:p w:rsidR="00BF3736" w:rsidRPr="003A53F4" w:rsidRDefault="00BF3736" w:rsidP="00BF3736">
      <w:pPr>
        <w:numPr>
          <w:ilvl w:val="0"/>
          <w:numId w:val="2"/>
        </w:numPr>
        <w:tabs>
          <w:tab w:val="clear" w:pos="2205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A53F4">
        <w:rPr>
          <w:color w:val="000000"/>
          <w:sz w:val="28"/>
          <w:szCs w:val="28"/>
        </w:rPr>
        <w:t>принцип 1: разработка национального ответа в случае ВИЧ-инфекции на основе данных, подтвержденных, что эпидемия ВИЧ в Республике Молдова концентрирована в группах повышенного риска инфицирования;</w:t>
      </w:r>
    </w:p>
    <w:p w:rsidR="00BF3736" w:rsidRPr="003A53F4" w:rsidRDefault="00BF3736" w:rsidP="00BF3736">
      <w:pPr>
        <w:numPr>
          <w:ilvl w:val="0"/>
          <w:numId w:val="2"/>
        </w:numPr>
        <w:tabs>
          <w:tab w:val="clear" w:pos="2205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A53F4">
        <w:rPr>
          <w:color w:val="000000"/>
          <w:sz w:val="28"/>
          <w:szCs w:val="28"/>
        </w:rPr>
        <w:t>принцип 2: подход, основанный на соблюдении прав человека;</w:t>
      </w:r>
    </w:p>
    <w:p w:rsidR="00BF3736" w:rsidRPr="003A53F4" w:rsidRDefault="00BF3736" w:rsidP="00BF3736">
      <w:pPr>
        <w:numPr>
          <w:ilvl w:val="0"/>
          <w:numId w:val="2"/>
        </w:numPr>
        <w:tabs>
          <w:tab w:val="clear" w:pos="2205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A53F4">
        <w:rPr>
          <w:color w:val="000000"/>
          <w:sz w:val="28"/>
          <w:szCs w:val="28"/>
        </w:rPr>
        <w:t>принцип 3: подход, основанный на недопущении дискриминации;</w:t>
      </w:r>
    </w:p>
    <w:p w:rsidR="00BF3736" w:rsidRPr="003A53F4" w:rsidRDefault="00BF3736" w:rsidP="00BF3736">
      <w:pPr>
        <w:numPr>
          <w:ilvl w:val="0"/>
          <w:numId w:val="2"/>
        </w:numPr>
        <w:tabs>
          <w:tab w:val="clear" w:pos="2205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A53F4">
        <w:rPr>
          <w:color w:val="000000"/>
          <w:sz w:val="28"/>
          <w:szCs w:val="28"/>
        </w:rPr>
        <w:t>принцип 4: обеспечение всеобщего доступа к услугам профилактики, лечения и ухода;</w:t>
      </w:r>
    </w:p>
    <w:p w:rsidR="00BF3736" w:rsidRPr="003A53F4" w:rsidRDefault="00BF3736" w:rsidP="00BF3736">
      <w:pPr>
        <w:numPr>
          <w:ilvl w:val="0"/>
          <w:numId w:val="2"/>
        </w:numPr>
        <w:tabs>
          <w:tab w:val="clear" w:pos="2205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A53F4">
        <w:rPr>
          <w:color w:val="000000"/>
          <w:sz w:val="28"/>
          <w:szCs w:val="28"/>
        </w:rPr>
        <w:t>принцип 5: продвижение мероприятий, эффективных с эпидемиологической и экономической точки зрения, обеспечивая таким образом значительное влияние при минимальных затратах;</w:t>
      </w:r>
    </w:p>
    <w:p w:rsidR="00BF3736" w:rsidRPr="003A53F4" w:rsidRDefault="00BF3736" w:rsidP="00BF3736">
      <w:pPr>
        <w:numPr>
          <w:ilvl w:val="0"/>
          <w:numId w:val="2"/>
        </w:numPr>
        <w:tabs>
          <w:tab w:val="clear" w:pos="2205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A53F4">
        <w:rPr>
          <w:color w:val="000000"/>
          <w:sz w:val="28"/>
          <w:szCs w:val="28"/>
        </w:rPr>
        <w:t>принцип 6: многоотраслевое и междисциплинарное участие на национальном и местном уровне для обеспечения адекватных ответных мер в отношении эпидемии ВИЧ.</w:t>
      </w:r>
    </w:p>
    <w:p w:rsidR="00BF3736" w:rsidRPr="003A53F4" w:rsidRDefault="00BF3736" w:rsidP="00BF3736">
      <w:pPr>
        <w:tabs>
          <w:tab w:val="left" w:pos="1134"/>
        </w:tabs>
        <w:ind w:left="709" w:firstLine="0"/>
        <w:jc w:val="both"/>
        <w:rPr>
          <w:color w:val="000000"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53F4">
        <w:rPr>
          <w:rFonts w:ascii="Times New Roman" w:eastAsia="Times New Roman" w:hAnsi="Times New Roman"/>
          <w:color w:val="000000"/>
          <w:sz w:val="28"/>
          <w:szCs w:val="28"/>
        </w:rPr>
        <w:t>Программа задумана как комплексный, межотраслевой инструмент, который координирует деятельность организаций, вовлеченных в национальный ответ, для сокращения случаев передачи ВИЧ и снижения негативного влияния эпидемии ВИЧ. С этой точки зрения, основной акцент усилий Республики Молдова в контексте реализации национального ответа на эпидемию ВИЧ делается на профилактике передачи ВИЧ среди групп с повышенным риском инфицирования, обеспечении того, что ВИЧ не распространится среди общего населения страны в целом и обеспечении ВИЧ инфицированных лиц лечением, уходом и психосоциальной поддержкой.</w:t>
      </w:r>
    </w:p>
    <w:p w:rsidR="00BF3736" w:rsidRPr="003A53F4" w:rsidRDefault="00BF3736" w:rsidP="00BF3736">
      <w:pPr>
        <w:pStyle w:val="ListParagraph1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53F4">
        <w:rPr>
          <w:rFonts w:ascii="Times New Roman" w:eastAsia="Times New Roman" w:hAnsi="Times New Roman"/>
          <w:color w:val="000000"/>
          <w:sz w:val="28"/>
          <w:szCs w:val="28"/>
        </w:rPr>
        <w:t xml:space="preserve">Национальная программа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основной </w:t>
      </w:r>
      <w:r w:rsidRPr="003A53F4">
        <w:rPr>
          <w:rFonts w:ascii="Times New Roman" w:eastAsia="Times New Roman" w:hAnsi="Times New Roman"/>
          <w:color w:val="000000"/>
          <w:sz w:val="28"/>
          <w:szCs w:val="28"/>
        </w:rPr>
        <w:t>документ политик о национальных действиях в сфере ВИЧ и инфекций, передающихся половым путем. Она устанавливает руководящие принципы и приоритеты действий по профилактике распространения ВИЧ и инфекций, передающихся половым путем, и снижению их воздействия. Все программы и мероприятия по контролю ВИЧ-инфекции и инфекций, передающихся половым путем, будут финансироваться из публичных ресурсов или международных программ, стороной которых является  Республика Молдова, и должны быть направлены на реализацию задач, установленных  настоящей Программой.</w:t>
      </w:r>
    </w:p>
    <w:p w:rsidR="00BF3736" w:rsidRPr="003A53F4" w:rsidRDefault="00BF3736" w:rsidP="00BF3736">
      <w:pPr>
        <w:pStyle w:val="ListParagraph1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53F4">
        <w:rPr>
          <w:rFonts w:ascii="Times New Roman" w:eastAsia="Times New Roman" w:hAnsi="Times New Roman"/>
          <w:color w:val="000000"/>
          <w:sz w:val="28"/>
          <w:szCs w:val="28"/>
        </w:rPr>
        <w:t xml:space="preserve">В качестве механизма взаимодействия и координации выступает Национальный совет по координации национальных программ профилактики и контроля ВИЧ/СПИДа, инфекций, передающихся половым путем, и контроля туберкулеза, под председательством Министерства </w:t>
      </w:r>
      <w:r w:rsidR="00EA60E0">
        <w:rPr>
          <w:rFonts w:ascii="Times New Roman" w:eastAsia="Times New Roman" w:hAnsi="Times New Roman"/>
          <w:color w:val="000000"/>
          <w:sz w:val="28"/>
          <w:szCs w:val="28"/>
        </w:rPr>
        <w:t>здравоохранения, труда и социальной защиты</w:t>
      </w:r>
      <w:r w:rsidRPr="003A53F4">
        <w:rPr>
          <w:rFonts w:ascii="Times New Roman" w:eastAsia="Times New Roman" w:hAnsi="Times New Roman"/>
          <w:color w:val="000000"/>
          <w:sz w:val="28"/>
          <w:szCs w:val="28"/>
        </w:rPr>
        <w:t xml:space="preserve">, в ведении которого находится большая часть соответствующих организаций и учреждений. </w:t>
      </w:r>
    </w:p>
    <w:p w:rsidR="00BF3736" w:rsidRPr="003A53F4" w:rsidRDefault="00BF3736" w:rsidP="00BF3736">
      <w:pPr>
        <w:pStyle w:val="ListParagraph1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53F4">
        <w:rPr>
          <w:rFonts w:ascii="Times New Roman" w:eastAsia="Times New Roman" w:hAnsi="Times New Roman"/>
          <w:color w:val="000000"/>
          <w:sz w:val="28"/>
          <w:szCs w:val="28"/>
        </w:rPr>
        <w:t xml:space="preserve">Координация межотраслевых действий по реализации задач будет выполняться на уровне Министерства </w:t>
      </w:r>
      <w:r w:rsidR="00EA60E0">
        <w:rPr>
          <w:rFonts w:ascii="Times New Roman" w:eastAsia="Times New Roman" w:hAnsi="Times New Roman"/>
          <w:color w:val="000000"/>
          <w:sz w:val="28"/>
          <w:szCs w:val="28"/>
        </w:rPr>
        <w:t>здравоохранения, труда и социальной защиты</w:t>
      </w:r>
      <w:r w:rsidRPr="003A53F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F3736" w:rsidRPr="003A53F4" w:rsidRDefault="00BF3736" w:rsidP="00BF3736">
      <w:pPr>
        <w:pStyle w:val="ListParagraph1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53F4">
        <w:rPr>
          <w:rFonts w:ascii="Times New Roman" w:eastAsia="Times New Roman" w:hAnsi="Times New Roman"/>
          <w:color w:val="000000"/>
          <w:sz w:val="28"/>
          <w:szCs w:val="28"/>
        </w:rPr>
        <w:t xml:space="preserve">Национальный совет по координации национальных программ профилактики и контроля ВИЧ/СПИДа, инфекций, передающихся половым путем, и контроля туберкулеза действует на основании партнерства между государственными учреждениями, патронатами, международными и неправительственными организациями, соблюдая принципы прозрачности и взаимного сотрудничества. </w:t>
      </w:r>
    </w:p>
    <w:p w:rsidR="00BF3736" w:rsidRPr="003A53F4" w:rsidRDefault="00BF3736" w:rsidP="00BF3736">
      <w:pPr>
        <w:pStyle w:val="ListParagraph1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53F4">
        <w:rPr>
          <w:rFonts w:ascii="Times New Roman" w:eastAsia="Times New Roman" w:hAnsi="Times New Roman"/>
          <w:color w:val="000000"/>
          <w:sz w:val="28"/>
          <w:szCs w:val="28"/>
        </w:rPr>
        <w:t xml:space="preserve">Поставщики услуг и те, кто их внедряет, будут согласовывать действия в вопросах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их </w:t>
      </w:r>
      <w:r w:rsidRPr="003A53F4">
        <w:rPr>
          <w:rFonts w:ascii="Times New Roman" w:eastAsia="Times New Roman" w:hAnsi="Times New Roman"/>
          <w:color w:val="000000"/>
          <w:sz w:val="28"/>
          <w:szCs w:val="28"/>
        </w:rPr>
        <w:t xml:space="preserve">внедрения с координатором Национальной программы и Национальным советом по координации национальных программ профилактики и контроля ВИЧ/СПИДа, инфекций, передающихся половым путем, и контроля туберкулеза. Прозрачность реализации действий будет обеспечиваться посредством функционирования веб-сайта </w:t>
      </w:r>
      <w:hyperlink r:id="rId5" w:history="1">
        <w:r w:rsidRPr="003A53F4">
          <w:rPr>
            <w:rStyle w:val="Hyperlink"/>
            <w:rFonts w:ascii="Times New Roman" w:hAnsi="Times New Roman"/>
            <w:sz w:val="28"/>
            <w:szCs w:val="28"/>
          </w:rPr>
          <w:t>www.aids.md</w:t>
        </w:r>
      </w:hyperlink>
      <w:r w:rsidRPr="003A53F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F3736" w:rsidRPr="003A53F4" w:rsidRDefault="00BF3736" w:rsidP="00BF3736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3736" w:rsidRPr="003A53F4" w:rsidRDefault="00BF3736" w:rsidP="00BF3736">
      <w:pPr>
        <w:pStyle w:val="ListParagraph1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53F4">
        <w:rPr>
          <w:rFonts w:ascii="Times New Roman" w:hAnsi="Times New Roman"/>
          <w:b/>
          <w:sz w:val="28"/>
          <w:szCs w:val="28"/>
        </w:rPr>
        <w:t>Глава I. Определение проблемы</w:t>
      </w:r>
    </w:p>
    <w:p w:rsidR="00BF3736" w:rsidRPr="003A53F4" w:rsidRDefault="00BF3736" w:rsidP="00BF3736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 xml:space="preserve">Инфекция ВИЧ/СПИДа и инфекции, передающиеся половым путем, являются приоритетными для области общественного здоровья, и  затрагивают не только область медицины, но и на социальные, экономические аспекты, </w:t>
      </w:r>
      <w:r w:rsidRPr="003A53F4">
        <w:rPr>
          <w:rFonts w:ascii="Times New Roman" w:hAnsi="Times New Roman"/>
          <w:sz w:val="28"/>
          <w:szCs w:val="28"/>
        </w:rPr>
        <w:lastRenderedPageBreak/>
        <w:t>развитие и пр., характеризуются комплексностью и влиянием на все компоненты общества.</w:t>
      </w:r>
    </w:p>
    <w:p w:rsidR="00BF3736" w:rsidRPr="003A53F4" w:rsidRDefault="00BF3736" w:rsidP="00BF3736">
      <w:pPr>
        <w:pStyle w:val="ListParagraph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 xml:space="preserve">По данным статистики, в конце </w:t>
      </w:r>
      <w:smartTag w:uri="urn:schemas-microsoft-com:office:smarttags" w:element="metricconverter">
        <w:smartTagPr>
          <w:attr w:name="ProductID" w:val="2014 г"/>
        </w:smartTagPr>
        <w:r w:rsidRPr="003A53F4">
          <w:rPr>
            <w:rFonts w:ascii="Times New Roman" w:hAnsi="Times New Roman"/>
            <w:sz w:val="28"/>
            <w:szCs w:val="28"/>
          </w:rPr>
          <w:t>2014 г</w:t>
        </w:r>
      </w:smartTag>
      <w:r w:rsidRPr="003A53F4">
        <w:rPr>
          <w:rFonts w:ascii="Times New Roman" w:hAnsi="Times New Roman"/>
          <w:sz w:val="28"/>
          <w:szCs w:val="28"/>
        </w:rPr>
        <w:t>., в Республике Молдова было зарегистрировано в целом 9389 случаев ВИЧ/СПИДа. Из них 2491 человек умер</w:t>
      </w:r>
      <w:r>
        <w:rPr>
          <w:rFonts w:ascii="Times New Roman" w:hAnsi="Times New Roman"/>
          <w:sz w:val="28"/>
          <w:szCs w:val="28"/>
        </w:rPr>
        <w:t>ли</w:t>
      </w:r>
      <w:r w:rsidRPr="003A53F4">
        <w:rPr>
          <w:rFonts w:ascii="Times New Roman" w:hAnsi="Times New Roman"/>
          <w:sz w:val="28"/>
          <w:szCs w:val="28"/>
        </w:rPr>
        <w:t>. Согласно последним оценкам (март 2015), проведенным в сотрудничестве с Программой Объединенных Наций по ВИЧ/СПИДу (UNAIDS), количество лиц, инфицированных ВИЧ/СПИДом в Республике Молдова, составляет около 18300 человек, что определило одну из приоритетных задач Национальной программы – интенсивное раннее обнаружение случаев ВИЧ-инфекции.</w:t>
      </w:r>
    </w:p>
    <w:p w:rsidR="00BF3736" w:rsidRPr="003A53F4" w:rsidRDefault="00BF3736" w:rsidP="00BF3736">
      <w:pPr>
        <w:pStyle w:val="ListParagraph1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 xml:space="preserve"> </w:t>
      </w:r>
    </w:p>
    <w:p w:rsidR="00BF3736" w:rsidRPr="003A53F4" w:rsidRDefault="00BF3736" w:rsidP="00BF3736">
      <w:pPr>
        <w:pStyle w:val="ListParagraph1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 xml:space="preserve">Уровень распространения оценивается в 0,179% (на территории правого берега Днестра – 0,13%, на левом берегу Днестра – 0,44%). </w:t>
      </w:r>
    </w:p>
    <w:p w:rsidR="00BF3736" w:rsidRPr="003A53F4" w:rsidRDefault="00BF3736" w:rsidP="00BF3736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>Из общего количества зарегистрированных случаев, доля мужчин составляет 58%, а женщин, соответственно - 42%. Доля молодежи (возраст 15-24 в момент установления ВИЧ+) - 26,2%.</w:t>
      </w:r>
    </w:p>
    <w:p w:rsidR="00BF3736" w:rsidRPr="003A53F4" w:rsidRDefault="00BF3736" w:rsidP="00BF3736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F3736" w:rsidRPr="003A53F4" w:rsidRDefault="00BF3736" w:rsidP="00BF3736">
      <w:pPr>
        <w:pStyle w:val="ListParagraph1"/>
        <w:spacing w:after="0"/>
        <w:ind w:left="7080"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Ref412493326"/>
      <w:r w:rsidRPr="003A53F4">
        <w:rPr>
          <w:rFonts w:ascii="Times New Roman" w:eastAsia="Times New Roman" w:hAnsi="Times New Roman"/>
          <w:b/>
          <w:bCs/>
          <w:sz w:val="24"/>
          <w:szCs w:val="24"/>
        </w:rPr>
        <w:t xml:space="preserve">Таблица </w:t>
      </w:r>
      <w:r w:rsidR="00C1176E" w:rsidRPr="003A53F4">
        <w:rPr>
          <w:rFonts w:ascii="Times New Roman" w:eastAsia="Times New Roman" w:hAnsi="Times New Roman"/>
          <w:b/>
          <w:bCs/>
          <w:sz w:val="24"/>
          <w:szCs w:val="24"/>
        </w:rPr>
        <w:fldChar w:fldCharType="begin"/>
      </w:r>
      <w:r w:rsidRPr="003A53F4">
        <w:rPr>
          <w:rFonts w:ascii="Times New Roman" w:eastAsia="Times New Roman" w:hAnsi="Times New Roman"/>
          <w:b/>
          <w:bCs/>
          <w:sz w:val="24"/>
          <w:szCs w:val="24"/>
        </w:rPr>
        <w:instrText xml:space="preserve"> SEQ Tabelul \* ARABIC </w:instrText>
      </w:r>
      <w:r w:rsidR="00C1176E" w:rsidRPr="003A53F4">
        <w:rPr>
          <w:rFonts w:ascii="Times New Roman" w:eastAsia="Times New Roman" w:hAnsi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>1</w:t>
      </w:r>
      <w:r w:rsidR="00C1176E" w:rsidRPr="003A53F4">
        <w:rPr>
          <w:rFonts w:ascii="Times New Roman" w:eastAsia="Times New Roman" w:hAnsi="Times New Roman"/>
          <w:b/>
          <w:bCs/>
          <w:sz w:val="24"/>
          <w:szCs w:val="24"/>
        </w:rPr>
        <w:fldChar w:fldCharType="end"/>
      </w:r>
      <w:bookmarkEnd w:id="0"/>
      <w:r w:rsidRPr="003A53F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BF3736" w:rsidRPr="003A53F4" w:rsidRDefault="00BF3736" w:rsidP="00BF3736">
      <w:pPr>
        <w:pStyle w:val="ListParagraph1"/>
        <w:spacing w:after="0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A53F4">
        <w:rPr>
          <w:rFonts w:ascii="Times New Roman" w:eastAsia="Times New Roman" w:hAnsi="Times New Roman"/>
          <w:b/>
          <w:bCs/>
          <w:sz w:val="24"/>
          <w:szCs w:val="24"/>
        </w:rPr>
        <w:t>Характеристики новых зарегистрированных случаев заражения ВИЧ, по возрасту и полу</w:t>
      </w:r>
      <w:r w:rsidRPr="003A53F4">
        <w:rPr>
          <w:rFonts w:ascii="Times New Roman" w:eastAsia="Times New Roman" w:hAnsi="Times New Roman"/>
          <w:b/>
          <w:bCs/>
          <w:sz w:val="20"/>
          <w:szCs w:val="20"/>
        </w:rPr>
        <w:t xml:space="preserve"> (Отчет ”Мониторинг контроля ВИЧ-инфекции в Республике Молдова, </w:t>
      </w:r>
      <w:smartTag w:uri="urn:schemas-microsoft-com:office:smarttags" w:element="metricconverter">
        <w:smartTagPr>
          <w:attr w:name="ProductID" w:val="2014 г"/>
        </w:smartTagPr>
        <w:r w:rsidRPr="003A53F4">
          <w:rPr>
            <w:rFonts w:ascii="Times New Roman" w:eastAsia="Times New Roman" w:hAnsi="Times New Roman"/>
            <w:b/>
            <w:bCs/>
            <w:sz w:val="20"/>
            <w:szCs w:val="20"/>
          </w:rPr>
          <w:t>2014 г</w:t>
        </w:r>
      </w:smartTag>
      <w:r w:rsidRPr="003A53F4">
        <w:rPr>
          <w:rFonts w:ascii="Times New Roman" w:eastAsia="Times New Roman" w:hAnsi="Times New Roman"/>
          <w:b/>
          <w:bCs/>
          <w:sz w:val="20"/>
          <w:szCs w:val="20"/>
        </w:rPr>
        <w:t>.”</w:t>
      </w:r>
      <w:r w:rsidRPr="003A53F4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150"/>
        <w:tblW w:w="10289" w:type="dxa"/>
        <w:tblLayout w:type="fixed"/>
        <w:tblCellMar>
          <w:left w:w="29" w:type="dxa"/>
          <w:right w:w="29" w:type="dxa"/>
        </w:tblCellMar>
        <w:tblLook w:val="06A0"/>
      </w:tblPr>
      <w:tblGrid>
        <w:gridCol w:w="738"/>
        <w:gridCol w:w="1811"/>
        <w:gridCol w:w="616"/>
        <w:gridCol w:w="616"/>
        <w:gridCol w:w="616"/>
        <w:gridCol w:w="617"/>
        <w:gridCol w:w="616"/>
        <w:gridCol w:w="616"/>
        <w:gridCol w:w="616"/>
        <w:gridCol w:w="617"/>
        <w:gridCol w:w="616"/>
        <w:gridCol w:w="616"/>
        <w:gridCol w:w="617"/>
        <w:gridCol w:w="961"/>
      </w:tblGrid>
      <w:tr w:rsidR="00BF3736" w:rsidRPr="003A53F4" w:rsidTr="006322C7">
        <w:trPr>
          <w:tblHeader/>
        </w:trPr>
        <w:tc>
          <w:tcPr>
            <w:tcW w:w="73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  <w:rPr>
                <w:b/>
                <w:color w:val="FFFFFF"/>
              </w:rPr>
            </w:pPr>
          </w:p>
        </w:tc>
        <w:tc>
          <w:tcPr>
            <w:tcW w:w="181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</w:p>
        </w:tc>
        <w:tc>
          <w:tcPr>
            <w:tcW w:w="616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  <w:rPr>
                <w:b/>
              </w:rPr>
            </w:pPr>
            <w:r w:rsidRPr="003A53F4">
              <w:rPr>
                <w:b/>
              </w:rPr>
              <w:t>2004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  <w:rPr>
                <w:b/>
              </w:rPr>
            </w:pPr>
            <w:r w:rsidRPr="003A53F4">
              <w:rPr>
                <w:b/>
              </w:rPr>
              <w:t>2005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  <w:rPr>
                <w:b/>
              </w:rPr>
            </w:pPr>
            <w:r w:rsidRPr="003A53F4">
              <w:rPr>
                <w:b/>
              </w:rPr>
              <w:t>2006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  <w:rPr>
                <w:b/>
              </w:rPr>
            </w:pPr>
            <w:r w:rsidRPr="003A53F4">
              <w:rPr>
                <w:b/>
              </w:rPr>
              <w:t>2007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  <w:rPr>
                <w:b/>
              </w:rPr>
            </w:pPr>
            <w:r w:rsidRPr="003A53F4">
              <w:rPr>
                <w:b/>
              </w:rPr>
              <w:t>2008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  <w:rPr>
                <w:b/>
              </w:rPr>
            </w:pPr>
            <w:r w:rsidRPr="003A53F4">
              <w:rPr>
                <w:b/>
              </w:rPr>
              <w:t>2009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  <w:rPr>
                <w:b/>
              </w:rPr>
            </w:pPr>
            <w:r w:rsidRPr="003A53F4">
              <w:rPr>
                <w:b/>
              </w:rPr>
              <w:t>2010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  <w:rPr>
                <w:b/>
              </w:rPr>
            </w:pPr>
            <w:r w:rsidRPr="003A53F4">
              <w:rPr>
                <w:b/>
              </w:rPr>
              <w:t>2011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  <w:rPr>
                <w:b/>
              </w:rPr>
            </w:pPr>
            <w:r w:rsidRPr="003A53F4">
              <w:rPr>
                <w:b/>
              </w:rPr>
              <w:t>2012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  <w:rPr>
                <w:b/>
              </w:rPr>
            </w:pPr>
            <w:r w:rsidRPr="003A53F4">
              <w:rPr>
                <w:b/>
              </w:rPr>
              <w:t>2013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  <w:rPr>
                <w:b/>
              </w:rPr>
            </w:pPr>
            <w:r w:rsidRPr="003A53F4">
              <w:rPr>
                <w:b/>
              </w:rPr>
              <w:t>2014</w:t>
            </w:r>
          </w:p>
        </w:tc>
        <w:tc>
          <w:tcPr>
            <w:tcW w:w="96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  <w:rPr>
                <w:b/>
              </w:rPr>
            </w:pPr>
            <w:r w:rsidRPr="003A53F4">
              <w:rPr>
                <w:b/>
              </w:rPr>
              <w:t xml:space="preserve">Итого </w:t>
            </w:r>
          </w:p>
          <w:p w:rsidR="00BF3736" w:rsidRPr="003A53F4" w:rsidRDefault="00BF3736" w:rsidP="006322C7">
            <w:pPr>
              <w:ind w:firstLine="0"/>
              <w:rPr>
                <w:b/>
              </w:rPr>
            </w:pPr>
            <w:r w:rsidRPr="003A53F4">
              <w:rPr>
                <w:b/>
              </w:rPr>
              <w:t>(с 1987)</w:t>
            </w:r>
          </w:p>
        </w:tc>
      </w:tr>
      <w:tr w:rsidR="00BF3736" w:rsidRPr="003A53F4" w:rsidTr="006322C7">
        <w:tc>
          <w:tcPr>
            <w:tcW w:w="738" w:type="dxa"/>
            <w:vMerge w:val="restart"/>
            <w:tcBorders>
              <w:top w:val="single" w:sz="2" w:space="0" w:color="404040"/>
              <w:left w:val="single" w:sz="4" w:space="0" w:color="auto"/>
              <w:bottom w:val="single" w:sz="4" w:space="0" w:color="404040"/>
              <w:right w:val="single" w:sz="8" w:space="0" w:color="404040"/>
            </w:tcBorders>
            <w:shd w:val="clear" w:color="auto" w:fill="auto"/>
            <w:textDirection w:val="btLr"/>
          </w:tcPr>
          <w:p w:rsidR="00BF3736" w:rsidRPr="003A53F4" w:rsidRDefault="00BF3736" w:rsidP="006322C7">
            <w:pPr>
              <w:ind w:left="113" w:right="113" w:firstLine="0"/>
              <w:jc w:val="center"/>
              <w:rPr>
                <w:b/>
                <w:color w:val="000000"/>
              </w:rPr>
            </w:pPr>
            <w:r w:rsidRPr="003A53F4">
              <w:rPr>
                <w:b/>
                <w:color w:val="000000"/>
              </w:rPr>
              <w:t>Республика  Молдова</w:t>
            </w:r>
          </w:p>
        </w:tc>
        <w:tc>
          <w:tcPr>
            <w:tcW w:w="1811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Итого, число лиц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358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533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621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741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795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702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702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718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767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709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831</w:t>
            </w:r>
          </w:p>
        </w:tc>
        <w:tc>
          <w:tcPr>
            <w:tcW w:w="961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2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9389</w:t>
            </w:r>
          </w:p>
        </w:tc>
      </w:tr>
      <w:tr w:rsidR="00BF3736" w:rsidRPr="003A53F4" w:rsidTr="006322C7">
        <w:tc>
          <w:tcPr>
            <w:tcW w:w="738" w:type="dxa"/>
            <w:vMerge/>
            <w:tcBorders>
              <w:left w:val="single" w:sz="4" w:space="0" w:color="auto"/>
              <w:bottom w:val="single" w:sz="4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left="113" w:right="11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811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15-24, % из общего количества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31,0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31,3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25,1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24,6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17,0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22,5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21,4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17,0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18,6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17,8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12,8</w:t>
            </w:r>
          </w:p>
        </w:tc>
        <w:tc>
          <w:tcPr>
            <w:tcW w:w="961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25,2</w:t>
            </w:r>
          </w:p>
        </w:tc>
      </w:tr>
      <w:tr w:rsidR="00BF3736" w:rsidRPr="003A53F4" w:rsidTr="006322C7">
        <w:tc>
          <w:tcPr>
            <w:tcW w:w="738" w:type="dxa"/>
            <w:vMerge/>
            <w:tcBorders>
              <w:left w:val="single" w:sz="4" w:space="0" w:color="auto"/>
              <w:bottom w:val="single" w:sz="4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left="113" w:right="11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811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15-49, % из общего числа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95,3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96,2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94,7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92,8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91,7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92,3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92,3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88,3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89,6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87,4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86,4</w:t>
            </w:r>
          </w:p>
        </w:tc>
        <w:tc>
          <w:tcPr>
            <w:tcW w:w="961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2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92,6</w:t>
            </w:r>
          </w:p>
        </w:tc>
      </w:tr>
      <w:tr w:rsidR="00BF3736" w:rsidRPr="003A53F4" w:rsidTr="006322C7">
        <w:tc>
          <w:tcPr>
            <w:tcW w:w="738" w:type="dxa"/>
            <w:vMerge/>
            <w:tcBorders>
              <w:left w:val="single" w:sz="4" w:space="0" w:color="auto"/>
              <w:bottom w:val="single" w:sz="4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left="113" w:right="11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811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Соотношение мужчины/женщины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1,27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1,43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1,41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1,38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1,26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1,34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0,98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1,11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0,98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1,14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1,17</w:t>
            </w:r>
          </w:p>
        </w:tc>
        <w:tc>
          <w:tcPr>
            <w:tcW w:w="961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2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1,39</w:t>
            </w:r>
          </w:p>
        </w:tc>
      </w:tr>
      <w:tr w:rsidR="00BF3736" w:rsidRPr="003A53F4" w:rsidTr="006322C7">
        <w:tc>
          <w:tcPr>
            <w:tcW w:w="738" w:type="dxa"/>
            <w:vMerge w:val="restart"/>
            <w:tcBorders>
              <w:top w:val="single" w:sz="12" w:space="0" w:color="404040"/>
              <w:left w:val="single" w:sz="4" w:space="0" w:color="auto"/>
              <w:bottom w:val="single" w:sz="4" w:space="0" w:color="404040"/>
              <w:right w:val="single" w:sz="8" w:space="0" w:color="404040"/>
            </w:tcBorders>
            <w:shd w:val="clear" w:color="auto" w:fill="auto"/>
            <w:textDirection w:val="btLr"/>
          </w:tcPr>
          <w:p w:rsidR="00BF3736" w:rsidRPr="003A53F4" w:rsidRDefault="00BF3736" w:rsidP="006322C7">
            <w:pPr>
              <w:ind w:left="113" w:right="113" w:firstLine="0"/>
              <w:jc w:val="center"/>
              <w:rPr>
                <w:b/>
                <w:color w:val="000000"/>
              </w:rPr>
            </w:pPr>
            <w:r w:rsidRPr="003A53F4">
              <w:rPr>
                <w:b/>
                <w:color w:val="000000"/>
              </w:rPr>
              <w:t>Правобережье    Днестра</w:t>
            </w:r>
          </w:p>
        </w:tc>
        <w:tc>
          <w:tcPr>
            <w:tcW w:w="1811" w:type="dxa"/>
            <w:tcBorders>
              <w:top w:val="single" w:sz="1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Итого, число  лиц</w:t>
            </w:r>
          </w:p>
        </w:tc>
        <w:tc>
          <w:tcPr>
            <w:tcW w:w="616" w:type="dxa"/>
            <w:tcBorders>
              <w:top w:val="single" w:sz="1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225</w:t>
            </w:r>
          </w:p>
        </w:tc>
        <w:tc>
          <w:tcPr>
            <w:tcW w:w="616" w:type="dxa"/>
            <w:tcBorders>
              <w:top w:val="single" w:sz="1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311</w:t>
            </w:r>
          </w:p>
        </w:tc>
        <w:tc>
          <w:tcPr>
            <w:tcW w:w="616" w:type="dxa"/>
            <w:tcBorders>
              <w:top w:val="single" w:sz="1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360</w:t>
            </w:r>
          </w:p>
        </w:tc>
        <w:tc>
          <w:tcPr>
            <w:tcW w:w="617" w:type="dxa"/>
            <w:tcBorders>
              <w:top w:val="single" w:sz="1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423</w:t>
            </w:r>
          </w:p>
        </w:tc>
        <w:tc>
          <w:tcPr>
            <w:tcW w:w="616" w:type="dxa"/>
            <w:tcBorders>
              <w:top w:val="single" w:sz="1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450</w:t>
            </w:r>
          </w:p>
        </w:tc>
        <w:tc>
          <w:tcPr>
            <w:tcW w:w="616" w:type="dxa"/>
            <w:tcBorders>
              <w:top w:val="single" w:sz="1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449</w:t>
            </w:r>
          </w:p>
        </w:tc>
        <w:tc>
          <w:tcPr>
            <w:tcW w:w="616" w:type="dxa"/>
            <w:tcBorders>
              <w:top w:val="single" w:sz="1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463</w:t>
            </w:r>
          </w:p>
        </w:tc>
        <w:tc>
          <w:tcPr>
            <w:tcW w:w="617" w:type="dxa"/>
            <w:tcBorders>
              <w:top w:val="single" w:sz="1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492</w:t>
            </w:r>
          </w:p>
        </w:tc>
        <w:tc>
          <w:tcPr>
            <w:tcW w:w="616" w:type="dxa"/>
            <w:tcBorders>
              <w:top w:val="single" w:sz="1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488</w:t>
            </w:r>
          </w:p>
        </w:tc>
        <w:tc>
          <w:tcPr>
            <w:tcW w:w="616" w:type="dxa"/>
            <w:tcBorders>
              <w:top w:val="single" w:sz="1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467</w:t>
            </w:r>
          </w:p>
        </w:tc>
        <w:tc>
          <w:tcPr>
            <w:tcW w:w="617" w:type="dxa"/>
            <w:tcBorders>
              <w:top w:val="single" w:sz="1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586</w:t>
            </w:r>
          </w:p>
        </w:tc>
        <w:tc>
          <w:tcPr>
            <w:tcW w:w="961" w:type="dxa"/>
            <w:tcBorders>
              <w:top w:val="single" w:sz="12" w:space="0" w:color="404040"/>
              <w:left w:val="single" w:sz="8" w:space="0" w:color="404040"/>
              <w:bottom w:val="single" w:sz="8" w:space="0" w:color="404040"/>
              <w:right w:val="single" w:sz="2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6368</w:t>
            </w:r>
          </w:p>
        </w:tc>
      </w:tr>
      <w:tr w:rsidR="00BF3736" w:rsidRPr="003A53F4" w:rsidTr="006322C7">
        <w:tc>
          <w:tcPr>
            <w:tcW w:w="738" w:type="dxa"/>
            <w:vMerge/>
            <w:tcBorders>
              <w:left w:val="single" w:sz="4" w:space="0" w:color="auto"/>
              <w:bottom w:val="single" w:sz="4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left="113" w:right="11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811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15-24, % из общего числа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29,8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25,1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25,3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25,8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17,8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24,3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19,9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17,1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20,3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17,8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13,8</w:t>
            </w:r>
          </w:p>
        </w:tc>
        <w:tc>
          <w:tcPr>
            <w:tcW w:w="961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26,2</w:t>
            </w:r>
          </w:p>
        </w:tc>
      </w:tr>
      <w:tr w:rsidR="00BF3736" w:rsidRPr="003A53F4" w:rsidTr="006322C7">
        <w:tc>
          <w:tcPr>
            <w:tcW w:w="738" w:type="dxa"/>
            <w:vMerge/>
            <w:tcBorders>
              <w:left w:val="single" w:sz="4" w:space="0" w:color="auto"/>
              <w:bottom w:val="single" w:sz="4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left="113" w:right="11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811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15-49, % из общего числа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93,3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95,2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93,3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90,5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90,4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92,4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91,6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87,8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90,0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88,0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86,0</w:t>
            </w:r>
          </w:p>
        </w:tc>
        <w:tc>
          <w:tcPr>
            <w:tcW w:w="961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2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92,4</w:t>
            </w:r>
          </w:p>
        </w:tc>
      </w:tr>
      <w:tr w:rsidR="00BF3736" w:rsidRPr="003A53F4" w:rsidTr="006322C7">
        <w:tc>
          <w:tcPr>
            <w:tcW w:w="738" w:type="dxa"/>
            <w:vMerge/>
            <w:tcBorders>
              <w:left w:val="single" w:sz="4" w:space="0" w:color="auto"/>
              <w:bottom w:val="single" w:sz="4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left="113" w:right="113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811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Соотношение мужчины/женщины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1,06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1,34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1,18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1,25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1,15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1,31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1,00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1,13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0,99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1,27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1,17</w:t>
            </w:r>
          </w:p>
        </w:tc>
        <w:tc>
          <w:tcPr>
            <w:tcW w:w="961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2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1,34</w:t>
            </w:r>
          </w:p>
        </w:tc>
      </w:tr>
      <w:tr w:rsidR="00BF3736" w:rsidRPr="003A53F4" w:rsidTr="006322C7">
        <w:tc>
          <w:tcPr>
            <w:tcW w:w="738" w:type="dxa"/>
            <w:vMerge w:val="restart"/>
            <w:tcBorders>
              <w:top w:val="single" w:sz="12" w:space="0" w:color="404040"/>
              <w:left w:val="single" w:sz="4" w:space="0" w:color="auto"/>
              <w:bottom w:val="single" w:sz="4" w:space="0" w:color="404040"/>
              <w:right w:val="single" w:sz="8" w:space="0" w:color="404040"/>
            </w:tcBorders>
            <w:shd w:val="clear" w:color="auto" w:fill="auto"/>
            <w:textDirection w:val="btLr"/>
          </w:tcPr>
          <w:p w:rsidR="00BF3736" w:rsidRPr="003A53F4" w:rsidRDefault="00BF3736" w:rsidP="006322C7">
            <w:pPr>
              <w:ind w:left="113" w:right="113" w:firstLine="0"/>
              <w:jc w:val="center"/>
              <w:rPr>
                <w:b/>
                <w:color w:val="000000"/>
              </w:rPr>
            </w:pPr>
            <w:r w:rsidRPr="003A53F4">
              <w:rPr>
                <w:b/>
                <w:color w:val="000000"/>
              </w:rPr>
              <w:t>Левобережье Днестра</w:t>
            </w:r>
          </w:p>
        </w:tc>
        <w:tc>
          <w:tcPr>
            <w:tcW w:w="1811" w:type="dxa"/>
            <w:tcBorders>
              <w:top w:val="single" w:sz="12" w:space="0" w:color="404040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Итого, число лиц</w:t>
            </w:r>
          </w:p>
        </w:tc>
        <w:tc>
          <w:tcPr>
            <w:tcW w:w="616" w:type="dxa"/>
            <w:tcBorders>
              <w:top w:val="single" w:sz="12" w:space="0" w:color="404040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133</w:t>
            </w:r>
          </w:p>
        </w:tc>
        <w:tc>
          <w:tcPr>
            <w:tcW w:w="616" w:type="dxa"/>
            <w:tcBorders>
              <w:top w:val="single" w:sz="12" w:space="0" w:color="404040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222</w:t>
            </w:r>
          </w:p>
        </w:tc>
        <w:tc>
          <w:tcPr>
            <w:tcW w:w="616" w:type="dxa"/>
            <w:tcBorders>
              <w:top w:val="single" w:sz="12" w:space="0" w:color="404040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261</w:t>
            </w:r>
          </w:p>
        </w:tc>
        <w:tc>
          <w:tcPr>
            <w:tcW w:w="617" w:type="dxa"/>
            <w:tcBorders>
              <w:top w:val="single" w:sz="12" w:space="0" w:color="404040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318</w:t>
            </w:r>
          </w:p>
        </w:tc>
        <w:tc>
          <w:tcPr>
            <w:tcW w:w="616" w:type="dxa"/>
            <w:tcBorders>
              <w:top w:val="single" w:sz="12" w:space="0" w:color="404040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345</w:t>
            </w:r>
          </w:p>
        </w:tc>
        <w:tc>
          <w:tcPr>
            <w:tcW w:w="616" w:type="dxa"/>
            <w:tcBorders>
              <w:top w:val="single" w:sz="12" w:space="0" w:color="404040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253</w:t>
            </w:r>
          </w:p>
        </w:tc>
        <w:tc>
          <w:tcPr>
            <w:tcW w:w="616" w:type="dxa"/>
            <w:tcBorders>
              <w:top w:val="single" w:sz="12" w:space="0" w:color="404040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239</w:t>
            </w:r>
          </w:p>
        </w:tc>
        <w:tc>
          <w:tcPr>
            <w:tcW w:w="617" w:type="dxa"/>
            <w:tcBorders>
              <w:top w:val="single" w:sz="12" w:space="0" w:color="404040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226</w:t>
            </w:r>
          </w:p>
        </w:tc>
        <w:tc>
          <w:tcPr>
            <w:tcW w:w="616" w:type="dxa"/>
            <w:tcBorders>
              <w:top w:val="single" w:sz="12" w:space="0" w:color="404040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279</w:t>
            </w:r>
          </w:p>
        </w:tc>
        <w:tc>
          <w:tcPr>
            <w:tcW w:w="616" w:type="dxa"/>
            <w:tcBorders>
              <w:top w:val="single" w:sz="12" w:space="0" w:color="404040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242</w:t>
            </w:r>
          </w:p>
        </w:tc>
        <w:tc>
          <w:tcPr>
            <w:tcW w:w="617" w:type="dxa"/>
            <w:tcBorders>
              <w:top w:val="single" w:sz="12" w:space="0" w:color="404040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245</w:t>
            </w:r>
          </w:p>
        </w:tc>
        <w:tc>
          <w:tcPr>
            <w:tcW w:w="961" w:type="dxa"/>
            <w:tcBorders>
              <w:top w:val="single" w:sz="12" w:space="0" w:color="404040"/>
              <w:left w:val="single" w:sz="8" w:space="0" w:color="404040"/>
              <w:bottom w:val="single" w:sz="4" w:space="0" w:color="404040"/>
              <w:right w:val="single" w:sz="2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3021</w:t>
            </w:r>
          </w:p>
        </w:tc>
      </w:tr>
      <w:tr w:rsidR="00BF3736" w:rsidRPr="003A53F4" w:rsidTr="006322C7">
        <w:tc>
          <w:tcPr>
            <w:tcW w:w="738" w:type="dxa"/>
            <w:vMerge/>
            <w:tcBorders>
              <w:left w:val="single" w:sz="4" w:space="0" w:color="auto"/>
              <w:bottom w:val="single" w:sz="4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  <w:rPr>
                <w:b/>
                <w:color w:val="FFFFFF"/>
              </w:rPr>
            </w:pPr>
          </w:p>
        </w:tc>
        <w:tc>
          <w:tcPr>
            <w:tcW w:w="1811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15-24, % из общего числа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33,1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40,1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24,9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23,0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15,9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19,4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24,3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16,8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15,8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17,8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10,2</w:t>
            </w:r>
          </w:p>
        </w:tc>
        <w:tc>
          <w:tcPr>
            <w:tcW w:w="961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23,0</w:t>
            </w:r>
          </w:p>
        </w:tc>
      </w:tr>
      <w:tr w:rsidR="00BF3736" w:rsidRPr="003A53F4" w:rsidTr="006322C7">
        <w:tc>
          <w:tcPr>
            <w:tcW w:w="738" w:type="dxa"/>
            <w:vMerge/>
            <w:tcBorders>
              <w:left w:val="single" w:sz="4" w:space="0" w:color="auto"/>
              <w:bottom w:val="single" w:sz="4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  <w:rPr>
                <w:b/>
                <w:color w:val="FFFFFF"/>
              </w:rPr>
            </w:pPr>
          </w:p>
        </w:tc>
        <w:tc>
          <w:tcPr>
            <w:tcW w:w="1811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15-49, % из общего числа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98,5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97,7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96,6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95,9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93,3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92,1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93,7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89,4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88,9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86,4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87,3</w:t>
            </w:r>
          </w:p>
        </w:tc>
        <w:tc>
          <w:tcPr>
            <w:tcW w:w="961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2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93,0</w:t>
            </w:r>
          </w:p>
        </w:tc>
      </w:tr>
      <w:tr w:rsidR="00BF3736" w:rsidRPr="003A53F4" w:rsidTr="006322C7">
        <w:tc>
          <w:tcPr>
            <w:tcW w:w="738" w:type="dxa"/>
            <w:vMerge/>
            <w:tcBorders>
              <w:left w:val="single" w:sz="4" w:space="0" w:color="auto"/>
              <w:bottom w:val="single" w:sz="4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  <w:rPr>
                <w:b/>
                <w:color w:val="FFFFFF"/>
              </w:rPr>
            </w:pPr>
          </w:p>
        </w:tc>
        <w:tc>
          <w:tcPr>
            <w:tcW w:w="1811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Соотношение мужчины/женщины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1,71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1,58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1,81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1,56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1,41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1,39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0,93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1,05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0,95</w:t>
            </w:r>
          </w:p>
        </w:tc>
        <w:tc>
          <w:tcPr>
            <w:tcW w:w="616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0,94</w:t>
            </w:r>
          </w:p>
        </w:tc>
        <w:tc>
          <w:tcPr>
            <w:tcW w:w="617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8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1,17</w:t>
            </w:r>
          </w:p>
        </w:tc>
        <w:tc>
          <w:tcPr>
            <w:tcW w:w="961" w:type="dxa"/>
            <w:tcBorders>
              <w:top w:val="single" w:sz="2" w:space="0" w:color="404040"/>
              <w:left w:val="single" w:sz="8" w:space="0" w:color="404040"/>
              <w:bottom w:val="single" w:sz="12" w:space="0" w:color="404040"/>
              <w:right w:val="single" w:sz="2" w:space="0" w:color="404040"/>
            </w:tcBorders>
            <w:shd w:val="clear" w:color="auto" w:fill="auto"/>
          </w:tcPr>
          <w:p w:rsidR="00BF3736" w:rsidRPr="003A53F4" w:rsidRDefault="00BF3736" w:rsidP="006322C7">
            <w:pPr>
              <w:ind w:firstLine="0"/>
            </w:pPr>
            <w:r w:rsidRPr="003A53F4">
              <w:t>1,31</w:t>
            </w:r>
          </w:p>
        </w:tc>
      </w:tr>
    </w:tbl>
    <w:p w:rsidR="00BF3736" w:rsidRPr="003A53F4" w:rsidRDefault="00BF3736" w:rsidP="00BF3736">
      <w:pPr>
        <w:pStyle w:val="ListParagraph1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A53F4">
        <w:rPr>
          <w:rFonts w:ascii="Times New Roman" w:eastAsia="Times New Roman" w:hAnsi="Times New Roman"/>
          <w:bCs/>
          <w:sz w:val="24"/>
          <w:szCs w:val="24"/>
        </w:rPr>
        <w:tab/>
      </w: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A53F4">
        <w:rPr>
          <w:rFonts w:ascii="Times New Roman" w:eastAsia="Times New Roman" w:hAnsi="Times New Roman"/>
          <w:bCs/>
          <w:sz w:val="28"/>
          <w:szCs w:val="28"/>
        </w:rPr>
        <w:t xml:space="preserve">Основным методом передачи инфекции все еще остается гетеросексуальный путь, 86,6% в </w:t>
      </w:r>
      <w:smartTag w:uri="urn:schemas-microsoft-com:office:smarttags" w:element="metricconverter">
        <w:smartTagPr>
          <w:attr w:name="ProductID" w:val="2014 г"/>
        </w:smartTagPr>
        <w:r w:rsidRPr="003A53F4">
          <w:rPr>
            <w:rFonts w:ascii="Times New Roman" w:eastAsia="Times New Roman" w:hAnsi="Times New Roman"/>
            <w:bCs/>
            <w:sz w:val="28"/>
            <w:szCs w:val="28"/>
          </w:rPr>
          <w:t>2014 г</w:t>
        </w:r>
      </w:smartTag>
      <w:r w:rsidRPr="003A53F4">
        <w:rPr>
          <w:rFonts w:ascii="Times New Roman" w:eastAsia="Times New Roman" w:hAnsi="Times New Roman"/>
          <w:bCs/>
          <w:sz w:val="28"/>
          <w:szCs w:val="28"/>
        </w:rPr>
        <w:t xml:space="preserve">., что представляет обычное развитие </w:t>
      </w:r>
      <w:r w:rsidRPr="003A53F4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концентрированной эпидемии, которая началась среди потребителей инъекционных наркотиков и продолжилась в результате распространения инфекции среди их половых партнеров. </w:t>
      </w:r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276"/>
        </w:tabs>
        <w:spacing w:before="120"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3A53F4">
        <w:rPr>
          <w:rFonts w:ascii="Times New Roman" w:eastAsia="Times New Roman" w:hAnsi="Times New Roman"/>
          <w:sz w:val="28"/>
          <w:szCs w:val="28"/>
        </w:rPr>
        <w:t>В то же время, в последние годы эпидемия ВИЧ становится более сложной, будучи обусловлена двумя факторами: относительно большое количество женщин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3A53F4">
        <w:rPr>
          <w:rFonts w:ascii="Times New Roman" w:eastAsia="Times New Roman" w:hAnsi="Times New Roman"/>
          <w:sz w:val="28"/>
          <w:szCs w:val="28"/>
        </w:rPr>
        <w:t>потребителей инъекционных наркотиков, которые более уязвимы к инфекции, и, возможно, скрытая эпидемия среди мужчин, практикующих секс с мужчинами, которая вносит свой вклад в увеличение количества случаев заражения ВИЧ среди мужчин. Это объясняет значительный рост количества мужчин, инфицированных половым путем.</w:t>
      </w:r>
    </w:p>
    <w:p w:rsidR="00BF3736" w:rsidRPr="003A53F4" w:rsidRDefault="00BF3736" w:rsidP="00BF3736">
      <w:pPr>
        <w:pStyle w:val="ListParagraph1"/>
        <w:tabs>
          <w:tab w:val="left" w:pos="1276"/>
        </w:tabs>
        <w:spacing w:before="120"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276"/>
        </w:tabs>
        <w:spacing w:before="120"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3A53F4">
        <w:rPr>
          <w:rFonts w:ascii="Times New Roman" w:eastAsia="Times New Roman" w:hAnsi="Times New Roman"/>
          <w:sz w:val="28"/>
          <w:szCs w:val="28"/>
        </w:rPr>
        <w:t xml:space="preserve">По данным эпидемиологического надзора II-го поколения, отмечается сохранение распространения ВИЧ среди потребителей инъекционных наркотиков, работниц коммерческого секса, снижение уровня распространения ВИЧ среди заключенных (с 3,4% по данным исследований </w:t>
      </w:r>
      <w:smartTag w:uri="urn:schemas-microsoft-com:office:smarttags" w:element="metricconverter">
        <w:smartTagPr>
          <w:attr w:name="ProductID" w:val="2010 г"/>
        </w:smartTagPr>
        <w:r w:rsidRPr="003A53F4">
          <w:rPr>
            <w:rFonts w:ascii="Times New Roman" w:eastAsia="Times New Roman" w:hAnsi="Times New Roman"/>
            <w:sz w:val="28"/>
            <w:szCs w:val="28"/>
          </w:rPr>
          <w:t>2010 г</w:t>
        </w:r>
      </w:smartTag>
      <w:r w:rsidRPr="003A53F4">
        <w:rPr>
          <w:rFonts w:ascii="Times New Roman" w:eastAsia="Times New Roman" w:hAnsi="Times New Roman"/>
          <w:sz w:val="28"/>
          <w:szCs w:val="28"/>
        </w:rPr>
        <w:t xml:space="preserve">. до 1,9% в </w:t>
      </w:r>
      <w:smartTag w:uri="urn:schemas-microsoft-com:office:smarttags" w:element="metricconverter">
        <w:smartTagPr>
          <w:attr w:name="ProductID" w:val="2013 г"/>
        </w:smartTagPr>
        <w:r w:rsidRPr="003A53F4">
          <w:rPr>
            <w:rFonts w:ascii="Times New Roman" w:eastAsia="Times New Roman" w:hAnsi="Times New Roman"/>
            <w:sz w:val="28"/>
            <w:szCs w:val="28"/>
          </w:rPr>
          <w:t>2013 г</w:t>
        </w:r>
      </w:smartTag>
      <w:r w:rsidRPr="003A53F4">
        <w:rPr>
          <w:rFonts w:ascii="Times New Roman" w:eastAsia="Times New Roman" w:hAnsi="Times New Roman"/>
          <w:sz w:val="28"/>
          <w:szCs w:val="28"/>
        </w:rPr>
        <w:t>.), однако вызывает озабоченность увеличение более чем на 5% уровня распространения инфекции среди мужчин, практикующих секс с мужчинами (таблица 2).</w:t>
      </w:r>
    </w:p>
    <w:p w:rsidR="00BF3736" w:rsidRPr="003A53F4" w:rsidRDefault="00BF3736" w:rsidP="00BF3736">
      <w:pPr>
        <w:keepNext/>
        <w:spacing w:before="160"/>
        <w:ind w:left="6654"/>
        <w:jc w:val="both"/>
        <w:rPr>
          <w:b/>
          <w:bCs/>
          <w:sz w:val="24"/>
          <w:szCs w:val="24"/>
        </w:rPr>
      </w:pPr>
      <w:bookmarkStart w:id="1" w:name="_Ref415077422"/>
      <w:r w:rsidRPr="003A53F4">
        <w:rPr>
          <w:b/>
          <w:bCs/>
          <w:sz w:val="24"/>
          <w:szCs w:val="24"/>
        </w:rPr>
        <w:t xml:space="preserve">Таблица </w:t>
      </w:r>
      <w:bookmarkEnd w:id="1"/>
      <w:r w:rsidRPr="003A53F4">
        <w:rPr>
          <w:b/>
          <w:bCs/>
          <w:sz w:val="24"/>
          <w:szCs w:val="24"/>
        </w:rPr>
        <w:t xml:space="preserve">2 </w:t>
      </w:r>
    </w:p>
    <w:p w:rsidR="00BF3736" w:rsidRPr="003A53F4" w:rsidRDefault="00BF3736" w:rsidP="00BF3736">
      <w:pPr>
        <w:keepNext/>
        <w:spacing w:before="160"/>
        <w:ind w:firstLine="0"/>
        <w:jc w:val="center"/>
        <w:rPr>
          <w:b/>
          <w:bCs/>
        </w:rPr>
      </w:pPr>
      <w:r w:rsidRPr="003A53F4">
        <w:rPr>
          <w:b/>
          <w:bCs/>
          <w:sz w:val="24"/>
          <w:szCs w:val="24"/>
        </w:rPr>
        <w:t>Уровень распространения антител к ВИЧ в группах повышенного риска инфицирования, по данным IBSS, % (</w:t>
      </w:r>
      <w:r w:rsidRPr="003A53F4">
        <w:rPr>
          <w:b/>
          <w:bCs/>
        </w:rPr>
        <w:t>Отчет «Комплексное биоповеденческое исследование в группах повышенного риска инфицирования ВИЧ, Молдова 2012-2013гг.»)</w:t>
      </w:r>
    </w:p>
    <w:p w:rsidR="00BF3736" w:rsidRPr="003A53F4" w:rsidRDefault="00BF3736" w:rsidP="00BF3736">
      <w:pPr>
        <w:keepNext/>
        <w:spacing w:before="160"/>
        <w:ind w:firstLine="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58" w:type="dxa"/>
          <w:right w:w="58" w:type="dxa"/>
        </w:tblCellMar>
        <w:tblLook w:val="04A0"/>
      </w:tblPr>
      <w:tblGrid>
        <w:gridCol w:w="2609"/>
        <w:gridCol w:w="2127"/>
        <w:gridCol w:w="1275"/>
        <w:gridCol w:w="1480"/>
        <w:gridCol w:w="1979"/>
      </w:tblGrid>
      <w:tr w:rsidR="00BF3736" w:rsidRPr="003A53F4" w:rsidTr="006322C7">
        <w:tc>
          <w:tcPr>
            <w:tcW w:w="2609" w:type="dxa"/>
            <w:vMerge w:val="restart"/>
            <w:shd w:val="clear" w:color="auto" w:fill="auto"/>
          </w:tcPr>
          <w:p w:rsidR="00BF3736" w:rsidRPr="003A53F4" w:rsidRDefault="00BF3736" w:rsidP="006322C7">
            <w:pPr>
              <w:ind w:firstLine="0"/>
              <w:rPr>
                <w:b/>
              </w:rPr>
            </w:pPr>
            <w:r w:rsidRPr="003A53F4">
              <w:rPr>
                <w:b/>
              </w:rPr>
              <w:t>Целевая группа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F3736" w:rsidRPr="003A53F4" w:rsidRDefault="00BF3736" w:rsidP="006322C7">
            <w:pPr>
              <w:ind w:firstLine="0"/>
              <w:rPr>
                <w:b/>
              </w:rPr>
            </w:pPr>
            <w:r w:rsidRPr="003A53F4">
              <w:rPr>
                <w:b/>
              </w:rPr>
              <w:t>Место</w:t>
            </w:r>
          </w:p>
        </w:tc>
        <w:tc>
          <w:tcPr>
            <w:tcW w:w="4734" w:type="dxa"/>
            <w:gridSpan w:val="3"/>
            <w:shd w:val="clear" w:color="auto" w:fill="auto"/>
          </w:tcPr>
          <w:p w:rsidR="00BF3736" w:rsidRPr="003A53F4" w:rsidRDefault="00BF3736" w:rsidP="006322C7">
            <w:pPr>
              <w:ind w:firstLine="0"/>
              <w:jc w:val="center"/>
              <w:rPr>
                <w:b/>
              </w:rPr>
            </w:pPr>
            <w:r w:rsidRPr="003A53F4">
              <w:rPr>
                <w:b/>
              </w:rPr>
              <w:t>ВИЧ</w:t>
            </w:r>
          </w:p>
        </w:tc>
      </w:tr>
      <w:tr w:rsidR="00BF3736" w:rsidRPr="003A53F4" w:rsidTr="006322C7">
        <w:tc>
          <w:tcPr>
            <w:tcW w:w="2609" w:type="dxa"/>
            <w:vMerge/>
            <w:tcBorders>
              <w:bottom w:val="single" w:sz="4" w:space="0" w:color="1F497D"/>
            </w:tcBorders>
            <w:shd w:val="clear" w:color="auto" w:fill="000000"/>
          </w:tcPr>
          <w:p w:rsidR="00BF3736" w:rsidRPr="003A53F4" w:rsidRDefault="00BF3736" w:rsidP="006322C7">
            <w:pPr>
              <w:ind w:firstLine="0"/>
              <w:rPr>
                <w:b/>
                <w:color w:val="FFFFFF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3736" w:rsidRPr="003A53F4" w:rsidRDefault="00BF3736" w:rsidP="006322C7">
            <w:pPr>
              <w:ind w:firstLine="0"/>
              <w:rPr>
                <w:b/>
                <w:color w:val="FFFFFF"/>
              </w:rPr>
            </w:pPr>
          </w:p>
        </w:tc>
        <w:tc>
          <w:tcPr>
            <w:tcW w:w="1275" w:type="dxa"/>
            <w:shd w:val="clear" w:color="auto" w:fill="auto"/>
          </w:tcPr>
          <w:p w:rsidR="00BF3736" w:rsidRPr="003A53F4" w:rsidRDefault="00BF3736" w:rsidP="006322C7">
            <w:pPr>
              <w:ind w:firstLine="0"/>
              <w:jc w:val="center"/>
              <w:rPr>
                <w:b/>
              </w:rPr>
            </w:pPr>
            <w:r w:rsidRPr="003A53F4">
              <w:rPr>
                <w:b/>
              </w:rPr>
              <w:t>2007</w:t>
            </w:r>
          </w:p>
        </w:tc>
        <w:tc>
          <w:tcPr>
            <w:tcW w:w="1480" w:type="dxa"/>
            <w:shd w:val="clear" w:color="auto" w:fill="auto"/>
          </w:tcPr>
          <w:p w:rsidR="00BF3736" w:rsidRPr="003A53F4" w:rsidRDefault="00BF3736" w:rsidP="006322C7">
            <w:pPr>
              <w:ind w:firstLine="0"/>
              <w:jc w:val="center"/>
              <w:rPr>
                <w:b/>
              </w:rPr>
            </w:pPr>
            <w:r w:rsidRPr="003A53F4">
              <w:rPr>
                <w:b/>
              </w:rPr>
              <w:t>2010</w:t>
            </w:r>
          </w:p>
        </w:tc>
        <w:tc>
          <w:tcPr>
            <w:tcW w:w="1979" w:type="dxa"/>
            <w:shd w:val="clear" w:color="auto" w:fill="auto"/>
          </w:tcPr>
          <w:p w:rsidR="00BF3736" w:rsidRPr="003A53F4" w:rsidRDefault="00BF3736" w:rsidP="006322C7">
            <w:pPr>
              <w:ind w:firstLine="0"/>
              <w:jc w:val="center"/>
              <w:rPr>
                <w:b/>
              </w:rPr>
            </w:pPr>
            <w:r w:rsidRPr="003A53F4">
              <w:rPr>
                <w:b/>
              </w:rPr>
              <w:t>2012/2013</w:t>
            </w:r>
          </w:p>
        </w:tc>
      </w:tr>
      <w:tr w:rsidR="00BF3736" w:rsidRPr="003A53F4" w:rsidTr="006322C7">
        <w:tc>
          <w:tcPr>
            <w:tcW w:w="2609" w:type="dxa"/>
            <w:tcBorders>
              <w:bottom w:val="nil"/>
            </w:tcBorders>
          </w:tcPr>
          <w:p w:rsidR="00BF3736" w:rsidRPr="003A53F4" w:rsidRDefault="00BF3736" w:rsidP="006322C7">
            <w:pPr>
              <w:ind w:firstLine="0"/>
            </w:pPr>
            <w:r w:rsidRPr="003A53F4">
              <w:t>Потребители инъекционных наркотиков</w:t>
            </w:r>
          </w:p>
        </w:tc>
        <w:tc>
          <w:tcPr>
            <w:tcW w:w="2127" w:type="dxa"/>
          </w:tcPr>
          <w:p w:rsidR="00BF3736" w:rsidRPr="003A53F4" w:rsidRDefault="00BF3736" w:rsidP="006322C7">
            <w:pPr>
              <w:ind w:firstLine="0"/>
            </w:pPr>
            <w:r w:rsidRPr="003A53F4">
              <w:t>Кишинэу</w:t>
            </w:r>
          </w:p>
        </w:tc>
        <w:tc>
          <w:tcPr>
            <w:tcW w:w="1275" w:type="dxa"/>
          </w:tcPr>
          <w:p w:rsidR="00BF3736" w:rsidRPr="003A53F4" w:rsidRDefault="00BF3736" w:rsidP="006322C7">
            <w:pPr>
              <w:ind w:firstLine="0"/>
              <w:jc w:val="center"/>
            </w:pPr>
            <w:r w:rsidRPr="003A53F4">
              <w:t>-</w:t>
            </w:r>
          </w:p>
        </w:tc>
        <w:tc>
          <w:tcPr>
            <w:tcW w:w="1480" w:type="dxa"/>
          </w:tcPr>
          <w:p w:rsidR="00BF3736" w:rsidRPr="003A53F4" w:rsidRDefault="00BF3736" w:rsidP="006322C7">
            <w:pPr>
              <w:ind w:firstLine="0"/>
              <w:jc w:val="center"/>
            </w:pPr>
            <w:r w:rsidRPr="003A53F4">
              <w:t>16,4</w:t>
            </w:r>
          </w:p>
        </w:tc>
        <w:tc>
          <w:tcPr>
            <w:tcW w:w="1979" w:type="dxa"/>
          </w:tcPr>
          <w:p w:rsidR="00BF3736" w:rsidRPr="003A53F4" w:rsidRDefault="00BF3736" w:rsidP="006322C7">
            <w:pPr>
              <w:ind w:firstLine="0"/>
              <w:jc w:val="center"/>
            </w:pPr>
            <w:r w:rsidRPr="003A53F4">
              <w:t>8,5</w:t>
            </w:r>
          </w:p>
        </w:tc>
      </w:tr>
      <w:tr w:rsidR="00BF3736" w:rsidRPr="003A53F4" w:rsidTr="006322C7">
        <w:tc>
          <w:tcPr>
            <w:tcW w:w="2609" w:type="dxa"/>
            <w:tcBorders>
              <w:top w:val="nil"/>
              <w:bottom w:val="nil"/>
            </w:tcBorders>
          </w:tcPr>
          <w:p w:rsidR="00BF3736" w:rsidRPr="003A53F4" w:rsidRDefault="00BF3736" w:rsidP="006322C7">
            <w:pPr>
              <w:ind w:firstLine="0"/>
            </w:pPr>
          </w:p>
        </w:tc>
        <w:tc>
          <w:tcPr>
            <w:tcW w:w="2127" w:type="dxa"/>
          </w:tcPr>
          <w:p w:rsidR="00BF3736" w:rsidRPr="003A53F4" w:rsidRDefault="00BF3736" w:rsidP="006322C7">
            <w:pPr>
              <w:ind w:firstLine="0"/>
            </w:pPr>
            <w:r w:rsidRPr="003A53F4">
              <w:t>Бэлць</w:t>
            </w:r>
          </w:p>
        </w:tc>
        <w:tc>
          <w:tcPr>
            <w:tcW w:w="1275" w:type="dxa"/>
          </w:tcPr>
          <w:p w:rsidR="00BF3736" w:rsidRPr="003A53F4" w:rsidRDefault="00BF3736" w:rsidP="006322C7">
            <w:pPr>
              <w:ind w:firstLine="0"/>
              <w:jc w:val="center"/>
            </w:pPr>
            <w:r w:rsidRPr="003A53F4">
              <w:t>-</w:t>
            </w:r>
          </w:p>
        </w:tc>
        <w:tc>
          <w:tcPr>
            <w:tcW w:w="1480" w:type="dxa"/>
          </w:tcPr>
          <w:p w:rsidR="00BF3736" w:rsidRPr="003A53F4" w:rsidRDefault="00BF3736" w:rsidP="006322C7">
            <w:pPr>
              <w:ind w:firstLine="0"/>
              <w:jc w:val="center"/>
            </w:pPr>
            <w:r w:rsidRPr="003A53F4">
              <w:t>39,8</w:t>
            </w:r>
          </w:p>
        </w:tc>
        <w:tc>
          <w:tcPr>
            <w:tcW w:w="1979" w:type="dxa"/>
          </w:tcPr>
          <w:p w:rsidR="00BF3736" w:rsidRPr="003A53F4" w:rsidRDefault="00BF3736" w:rsidP="006322C7">
            <w:pPr>
              <w:ind w:firstLine="0"/>
              <w:jc w:val="center"/>
            </w:pPr>
            <w:r w:rsidRPr="003A53F4">
              <w:t>41,8</w:t>
            </w:r>
          </w:p>
        </w:tc>
      </w:tr>
      <w:tr w:rsidR="00BF3736" w:rsidRPr="003A53F4" w:rsidTr="006322C7">
        <w:tc>
          <w:tcPr>
            <w:tcW w:w="2609" w:type="dxa"/>
            <w:tcBorders>
              <w:top w:val="nil"/>
              <w:bottom w:val="single" w:sz="4" w:space="0" w:color="1F497D"/>
            </w:tcBorders>
          </w:tcPr>
          <w:p w:rsidR="00BF3736" w:rsidRPr="003A53F4" w:rsidRDefault="00BF3736" w:rsidP="006322C7">
            <w:pPr>
              <w:ind w:firstLine="0"/>
            </w:pPr>
          </w:p>
        </w:tc>
        <w:tc>
          <w:tcPr>
            <w:tcW w:w="2127" w:type="dxa"/>
          </w:tcPr>
          <w:p w:rsidR="00BF3736" w:rsidRPr="003A53F4" w:rsidRDefault="00BF3736" w:rsidP="006322C7">
            <w:pPr>
              <w:ind w:firstLine="0"/>
            </w:pPr>
            <w:r w:rsidRPr="003A53F4">
              <w:t>Тирасполь</w:t>
            </w:r>
          </w:p>
        </w:tc>
        <w:tc>
          <w:tcPr>
            <w:tcW w:w="1275" w:type="dxa"/>
          </w:tcPr>
          <w:p w:rsidR="00BF3736" w:rsidRPr="003A53F4" w:rsidRDefault="00BF3736" w:rsidP="006322C7">
            <w:pPr>
              <w:ind w:firstLine="0"/>
              <w:jc w:val="center"/>
            </w:pPr>
            <w:r w:rsidRPr="003A53F4">
              <w:t>-</w:t>
            </w:r>
          </w:p>
        </w:tc>
        <w:tc>
          <w:tcPr>
            <w:tcW w:w="1480" w:type="dxa"/>
          </w:tcPr>
          <w:p w:rsidR="00BF3736" w:rsidRPr="003A53F4" w:rsidRDefault="00BF3736" w:rsidP="006322C7">
            <w:pPr>
              <w:ind w:firstLine="0"/>
              <w:jc w:val="center"/>
            </w:pPr>
            <w:r w:rsidRPr="003A53F4">
              <w:t>12,2</w:t>
            </w:r>
          </w:p>
        </w:tc>
        <w:tc>
          <w:tcPr>
            <w:tcW w:w="1979" w:type="dxa"/>
          </w:tcPr>
          <w:p w:rsidR="00BF3736" w:rsidRPr="003A53F4" w:rsidRDefault="00BF3736" w:rsidP="006322C7">
            <w:pPr>
              <w:ind w:firstLine="0"/>
              <w:jc w:val="center"/>
            </w:pPr>
            <w:r w:rsidRPr="003A53F4">
              <w:t>23,9</w:t>
            </w:r>
          </w:p>
        </w:tc>
      </w:tr>
      <w:tr w:rsidR="00BF3736" w:rsidRPr="003A53F4" w:rsidTr="006322C7">
        <w:tc>
          <w:tcPr>
            <w:tcW w:w="2609" w:type="dxa"/>
            <w:tcBorders>
              <w:bottom w:val="nil"/>
            </w:tcBorders>
          </w:tcPr>
          <w:p w:rsidR="00BF3736" w:rsidRPr="003A53F4" w:rsidRDefault="00BF3736" w:rsidP="006322C7">
            <w:pPr>
              <w:ind w:firstLine="0"/>
            </w:pPr>
            <w:r w:rsidRPr="003A53F4">
              <w:t>Работницы коммерческого секса</w:t>
            </w:r>
          </w:p>
        </w:tc>
        <w:tc>
          <w:tcPr>
            <w:tcW w:w="2127" w:type="dxa"/>
          </w:tcPr>
          <w:p w:rsidR="00BF3736" w:rsidRPr="003A53F4" w:rsidRDefault="00BF3736" w:rsidP="006322C7">
            <w:pPr>
              <w:ind w:firstLine="0"/>
            </w:pPr>
            <w:r w:rsidRPr="003A53F4">
              <w:t>Кишинэу</w:t>
            </w:r>
          </w:p>
        </w:tc>
        <w:tc>
          <w:tcPr>
            <w:tcW w:w="1275" w:type="dxa"/>
          </w:tcPr>
          <w:p w:rsidR="00BF3736" w:rsidRPr="003A53F4" w:rsidRDefault="00BF3736" w:rsidP="006322C7">
            <w:pPr>
              <w:ind w:firstLine="0"/>
              <w:jc w:val="center"/>
            </w:pPr>
            <w:r w:rsidRPr="003A53F4">
              <w:t>-</w:t>
            </w:r>
          </w:p>
        </w:tc>
        <w:tc>
          <w:tcPr>
            <w:tcW w:w="1480" w:type="dxa"/>
          </w:tcPr>
          <w:p w:rsidR="00BF3736" w:rsidRPr="003A53F4" w:rsidRDefault="00BF3736" w:rsidP="006322C7">
            <w:pPr>
              <w:ind w:firstLine="0"/>
              <w:jc w:val="center"/>
            </w:pPr>
            <w:r w:rsidRPr="003A53F4">
              <w:t>6,1</w:t>
            </w:r>
          </w:p>
        </w:tc>
        <w:tc>
          <w:tcPr>
            <w:tcW w:w="1979" w:type="dxa"/>
          </w:tcPr>
          <w:p w:rsidR="00BF3736" w:rsidRPr="003A53F4" w:rsidRDefault="00BF3736" w:rsidP="006322C7">
            <w:pPr>
              <w:ind w:firstLine="0"/>
              <w:jc w:val="center"/>
            </w:pPr>
            <w:r w:rsidRPr="003A53F4">
              <w:t>11,6</w:t>
            </w:r>
          </w:p>
        </w:tc>
      </w:tr>
      <w:tr w:rsidR="00BF3736" w:rsidRPr="003A53F4" w:rsidTr="006322C7">
        <w:tc>
          <w:tcPr>
            <w:tcW w:w="2609" w:type="dxa"/>
            <w:tcBorders>
              <w:top w:val="nil"/>
              <w:bottom w:val="single" w:sz="4" w:space="0" w:color="1F497D"/>
            </w:tcBorders>
          </w:tcPr>
          <w:p w:rsidR="00BF3736" w:rsidRPr="003A53F4" w:rsidRDefault="00BF3736" w:rsidP="006322C7">
            <w:pPr>
              <w:ind w:firstLine="0"/>
            </w:pPr>
          </w:p>
        </w:tc>
        <w:tc>
          <w:tcPr>
            <w:tcW w:w="2127" w:type="dxa"/>
          </w:tcPr>
          <w:p w:rsidR="00BF3736" w:rsidRPr="003A53F4" w:rsidRDefault="00BF3736" w:rsidP="006322C7">
            <w:pPr>
              <w:ind w:firstLine="0"/>
            </w:pPr>
            <w:r w:rsidRPr="003A53F4">
              <w:t>Бэлць</w:t>
            </w:r>
          </w:p>
        </w:tc>
        <w:tc>
          <w:tcPr>
            <w:tcW w:w="1275" w:type="dxa"/>
          </w:tcPr>
          <w:p w:rsidR="00BF3736" w:rsidRPr="003A53F4" w:rsidRDefault="00BF3736" w:rsidP="006322C7">
            <w:pPr>
              <w:ind w:firstLine="0"/>
              <w:jc w:val="center"/>
            </w:pPr>
            <w:r w:rsidRPr="003A53F4">
              <w:t>-</w:t>
            </w:r>
          </w:p>
        </w:tc>
        <w:tc>
          <w:tcPr>
            <w:tcW w:w="1480" w:type="dxa"/>
          </w:tcPr>
          <w:p w:rsidR="00BF3736" w:rsidRPr="003A53F4" w:rsidRDefault="00BF3736" w:rsidP="006322C7">
            <w:pPr>
              <w:ind w:firstLine="0"/>
              <w:jc w:val="center"/>
            </w:pPr>
            <w:r w:rsidRPr="003A53F4">
              <w:t>23,4</w:t>
            </w:r>
          </w:p>
        </w:tc>
        <w:tc>
          <w:tcPr>
            <w:tcW w:w="1979" w:type="dxa"/>
          </w:tcPr>
          <w:p w:rsidR="00BF3736" w:rsidRPr="003A53F4" w:rsidRDefault="00BF3736" w:rsidP="006322C7">
            <w:pPr>
              <w:ind w:firstLine="0"/>
              <w:jc w:val="center"/>
            </w:pPr>
            <w:r w:rsidRPr="003A53F4">
              <w:t>21,5</w:t>
            </w:r>
          </w:p>
        </w:tc>
      </w:tr>
      <w:tr w:rsidR="00BF3736" w:rsidRPr="003A53F4" w:rsidTr="006322C7">
        <w:tc>
          <w:tcPr>
            <w:tcW w:w="2609" w:type="dxa"/>
            <w:tcBorders>
              <w:bottom w:val="nil"/>
            </w:tcBorders>
          </w:tcPr>
          <w:p w:rsidR="00BF3736" w:rsidRPr="003A53F4" w:rsidRDefault="00BF3736" w:rsidP="006322C7">
            <w:pPr>
              <w:ind w:firstLine="0"/>
            </w:pPr>
            <w:r w:rsidRPr="003A53F4">
              <w:t>Мужчины, практикующие секс с мужчинами</w:t>
            </w:r>
          </w:p>
        </w:tc>
        <w:tc>
          <w:tcPr>
            <w:tcW w:w="2127" w:type="dxa"/>
          </w:tcPr>
          <w:p w:rsidR="00BF3736" w:rsidRPr="003A53F4" w:rsidRDefault="00BF3736" w:rsidP="006322C7">
            <w:pPr>
              <w:ind w:firstLine="0"/>
            </w:pPr>
            <w:r w:rsidRPr="003A53F4">
              <w:t>Кишинэу</w:t>
            </w:r>
          </w:p>
        </w:tc>
        <w:tc>
          <w:tcPr>
            <w:tcW w:w="1275" w:type="dxa"/>
          </w:tcPr>
          <w:p w:rsidR="00BF3736" w:rsidRPr="003A53F4" w:rsidRDefault="00BF3736" w:rsidP="006322C7">
            <w:pPr>
              <w:ind w:firstLine="0"/>
              <w:jc w:val="center"/>
            </w:pPr>
            <w:r w:rsidRPr="003A53F4">
              <w:t>-</w:t>
            </w:r>
          </w:p>
        </w:tc>
        <w:tc>
          <w:tcPr>
            <w:tcW w:w="1480" w:type="dxa"/>
          </w:tcPr>
          <w:p w:rsidR="00BF3736" w:rsidRPr="003A53F4" w:rsidRDefault="00BF3736" w:rsidP="006322C7">
            <w:pPr>
              <w:ind w:firstLine="0"/>
              <w:jc w:val="center"/>
            </w:pPr>
            <w:r w:rsidRPr="003A53F4">
              <w:t>1,7</w:t>
            </w:r>
          </w:p>
        </w:tc>
        <w:tc>
          <w:tcPr>
            <w:tcW w:w="1979" w:type="dxa"/>
          </w:tcPr>
          <w:p w:rsidR="00BF3736" w:rsidRPr="003A53F4" w:rsidRDefault="00BF3736" w:rsidP="006322C7">
            <w:pPr>
              <w:ind w:firstLine="0"/>
              <w:jc w:val="center"/>
            </w:pPr>
            <w:r w:rsidRPr="003A53F4">
              <w:t>5,4</w:t>
            </w:r>
          </w:p>
        </w:tc>
      </w:tr>
      <w:tr w:rsidR="00BF3736" w:rsidRPr="003A53F4" w:rsidTr="006322C7">
        <w:tc>
          <w:tcPr>
            <w:tcW w:w="2609" w:type="dxa"/>
            <w:tcBorders>
              <w:top w:val="nil"/>
            </w:tcBorders>
          </w:tcPr>
          <w:p w:rsidR="00BF3736" w:rsidRPr="003A53F4" w:rsidRDefault="00BF3736" w:rsidP="006322C7">
            <w:pPr>
              <w:ind w:firstLine="0"/>
            </w:pPr>
          </w:p>
        </w:tc>
        <w:tc>
          <w:tcPr>
            <w:tcW w:w="2127" w:type="dxa"/>
          </w:tcPr>
          <w:p w:rsidR="00BF3736" w:rsidRPr="003A53F4" w:rsidRDefault="00BF3736" w:rsidP="006322C7">
            <w:pPr>
              <w:ind w:firstLine="0"/>
            </w:pPr>
            <w:r w:rsidRPr="003A53F4">
              <w:t>Бэлць</w:t>
            </w:r>
          </w:p>
        </w:tc>
        <w:tc>
          <w:tcPr>
            <w:tcW w:w="1275" w:type="dxa"/>
          </w:tcPr>
          <w:p w:rsidR="00BF3736" w:rsidRPr="003A53F4" w:rsidRDefault="00BF3736" w:rsidP="006322C7">
            <w:pPr>
              <w:ind w:firstLine="0"/>
              <w:jc w:val="center"/>
            </w:pPr>
            <w:r w:rsidRPr="003A53F4">
              <w:t>-</w:t>
            </w:r>
          </w:p>
        </w:tc>
        <w:tc>
          <w:tcPr>
            <w:tcW w:w="1480" w:type="dxa"/>
          </w:tcPr>
          <w:p w:rsidR="00BF3736" w:rsidRPr="003A53F4" w:rsidRDefault="00BF3736" w:rsidP="006322C7">
            <w:pPr>
              <w:ind w:firstLine="0"/>
              <w:jc w:val="center"/>
            </w:pPr>
            <w:r w:rsidRPr="003A53F4">
              <w:t>0,2</w:t>
            </w:r>
          </w:p>
        </w:tc>
        <w:tc>
          <w:tcPr>
            <w:tcW w:w="1979" w:type="dxa"/>
          </w:tcPr>
          <w:p w:rsidR="00BF3736" w:rsidRPr="003A53F4" w:rsidRDefault="00BF3736" w:rsidP="006322C7">
            <w:pPr>
              <w:ind w:firstLine="0"/>
              <w:jc w:val="center"/>
            </w:pPr>
            <w:r w:rsidRPr="003A53F4">
              <w:t>8,2</w:t>
            </w:r>
          </w:p>
        </w:tc>
      </w:tr>
      <w:tr w:rsidR="00BF3736" w:rsidRPr="003A53F4" w:rsidTr="006322C7">
        <w:tc>
          <w:tcPr>
            <w:tcW w:w="2609" w:type="dxa"/>
          </w:tcPr>
          <w:p w:rsidR="00BF3736" w:rsidRPr="003A53F4" w:rsidRDefault="00BF3736" w:rsidP="006322C7">
            <w:pPr>
              <w:ind w:firstLine="0"/>
            </w:pPr>
            <w:r w:rsidRPr="003A53F4">
              <w:t>Заключенные</w:t>
            </w:r>
          </w:p>
        </w:tc>
        <w:tc>
          <w:tcPr>
            <w:tcW w:w="2127" w:type="dxa"/>
          </w:tcPr>
          <w:p w:rsidR="00BF3736" w:rsidRPr="003A53F4" w:rsidRDefault="00BF3736" w:rsidP="006322C7">
            <w:pPr>
              <w:ind w:firstLine="0"/>
            </w:pPr>
            <w:r w:rsidRPr="003A53F4">
              <w:t>Правобережье Днестра</w:t>
            </w:r>
          </w:p>
        </w:tc>
        <w:tc>
          <w:tcPr>
            <w:tcW w:w="1275" w:type="dxa"/>
          </w:tcPr>
          <w:p w:rsidR="00BF3736" w:rsidRPr="003A53F4" w:rsidRDefault="00BF3736" w:rsidP="006322C7">
            <w:pPr>
              <w:ind w:firstLine="0"/>
              <w:jc w:val="center"/>
            </w:pPr>
            <w:r w:rsidRPr="003A53F4">
              <w:t>4,2</w:t>
            </w:r>
          </w:p>
        </w:tc>
        <w:tc>
          <w:tcPr>
            <w:tcW w:w="1480" w:type="dxa"/>
          </w:tcPr>
          <w:p w:rsidR="00BF3736" w:rsidRPr="003A53F4" w:rsidRDefault="00BF3736" w:rsidP="006322C7">
            <w:pPr>
              <w:ind w:firstLine="0"/>
              <w:jc w:val="center"/>
            </w:pPr>
            <w:r w:rsidRPr="003A53F4">
              <w:t>3,4</w:t>
            </w:r>
          </w:p>
        </w:tc>
        <w:tc>
          <w:tcPr>
            <w:tcW w:w="1979" w:type="dxa"/>
          </w:tcPr>
          <w:p w:rsidR="00BF3736" w:rsidRPr="003A53F4" w:rsidRDefault="00BF3736" w:rsidP="006322C7">
            <w:pPr>
              <w:ind w:firstLine="0"/>
              <w:jc w:val="center"/>
            </w:pPr>
            <w:r w:rsidRPr="003A53F4">
              <w:t>1,9</w:t>
            </w:r>
          </w:p>
        </w:tc>
      </w:tr>
    </w:tbl>
    <w:p w:rsidR="00BF3736" w:rsidRPr="003A53F4" w:rsidRDefault="00BF3736" w:rsidP="00BF3736">
      <w:pPr>
        <w:pStyle w:val="ListParagraph1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3A53F4">
        <w:rPr>
          <w:rFonts w:ascii="Times New Roman" w:eastAsia="Times New Roman" w:hAnsi="Times New Roman"/>
          <w:sz w:val="28"/>
          <w:szCs w:val="28"/>
        </w:rPr>
        <w:t xml:space="preserve">По данным годового отчета, 5711 человек, инфицированных ВИЧ, находились под медицинским наблюдением к концу </w:t>
      </w:r>
      <w:smartTag w:uri="urn:schemas-microsoft-com:office:smarttags" w:element="metricconverter">
        <w:smartTagPr>
          <w:attr w:name="ProductID" w:val="2014 г"/>
        </w:smartTagPr>
        <w:r w:rsidRPr="003A53F4">
          <w:rPr>
            <w:rFonts w:ascii="Times New Roman" w:eastAsia="Times New Roman" w:hAnsi="Times New Roman"/>
            <w:sz w:val="28"/>
            <w:szCs w:val="28"/>
          </w:rPr>
          <w:t>2014 г</w:t>
        </w:r>
      </w:smartTag>
      <w:r w:rsidRPr="003A53F4">
        <w:rPr>
          <w:rFonts w:ascii="Times New Roman" w:eastAsia="Times New Roman" w:hAnsi="Times New Roman"/>
          <w:sz w:val="28"/>
          <w:szCs w:val="28"/>
        </w:rPr>
        <w:t>. в одном из 8 территориальных кабинетов лечения, в том числе 3116 человек, получающих антиретровирусную терапию.</w:t>
      </w:r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3A53F4">
        <w:rPr>
          <w:rFonts w:ascii="Times New Roman" w:eastAsia="Times New Roman" w:hAnsi="Times New Roman"/>
          <w:sz w:val="28"/>
          <w:szCs w:val="28"/>
        </w:rPr>
        <w:lastRenderedPageBreak/>
        <w:t>В настоящее время терапию получают все пациенты, соответствующие критериям включения в схему лечения, и уровень покрытия составляет 17,7% из оценочного числа лиц, инфицированных ВИЧ, и 55% лиц находя</w:t>
      </w:r>
      <w:r>
        <w:rPr>
          <w:rFonts w:ascii="Times New Roman" w:eastAsia="Times New Roman" w:hAnsi="Times New Roman"/>
          <w:sz w:val="28"/>
          <w:szCs w:val="28"/>
        </w:rPr>
        <w:t>тся</w:t>
      </w:r>
      <w:r w:rsidRPr="003A53F4">
        <w:rPr>
          <w:rFonts w:ascii="Times New Roman" w:eastAsia="Times New Roman" w:hAnsi="Times New Roman"/>
          <w:sz w:val="28"/>
          <w:szCs w:val="28"/>
        </w:rPr>
        <w:t xml:space="preserve"> под медицинским наблюдением. Связь между элементами цикла ухода за пациентом с ВИЧ в соответствии с руководствами Всемирной организации </w:t>
      </w:r>
      <w:r w:rsidR="00EA60E0">
        <w:rPr>
          <w:rFonts w:ascii="Times New Roman" w:eastAsia="Times New Roman" w:hAnsi="Times New Roman"/>
          <w:sz w:val="28"/>
          <w:szCs w:val="28"/>
        </w:rPr>
        <w:t>здравоохранения, труда и социальной защиты</w:t>
      </w:r>
      <w:r w:rsidRPr="003A53F4">
        <w:rPr>
          <w:rFonts w:ascii="Times New Roman" w:eastAsia="Times New Roman" w:hAnsi="Times New Roman"/>
          <w:sz w:val="28"/>
          <w:szCs w:val="28"/>
        </w:rPr>
        <w:t xml:space="preserve">, реализованная в </w:t>
      </w:r>
      <w:smartTag w:uri="urn:schemas-microsoft-com:office:smarttags" w:element="metricconverter">
        <w:smartTagPr>
          <w:attr w:name="ProductID" w:val="2014 г"/>
        </w:smartTagPr>
        <w:r w:rsidRPr="003A53F4">
          <w:rPr>
            <w:rFonts w:ascii="Times New Roman" w:eastAsia="Times New Roman" w:hAnsi="Times New Roman"/>
            <w:sz w:val="28"/>
            <w:szCs w:val="28"/>
          </w:rPr>
          <w:t>2014 г</w:t>
        </w:r>
      </w:smartTag>
      <w:r w:rsidRPr="003A53F4">
        <w:rPr>
          <w:rFonts w:ascii="Times New Roman" w:eastAsia="Times New Roman" w:hAnsi="Times New Roman"/>
          <w:sz w:val="28"/>
          <w:szCs w:val="28"/>
        </w:rPr>
        <w:t>. (рис. ниже), указывает, что только 40% из оценочного числа ВИЧ-инфицированных были диагностированы, 45% из диагностированных получают антиретровирусную терапию и у 76% вирусная нагрузка подавлена.</w:t>
      </w:r>
    </w:p>
    <w:p w:rsidR="00BF3736" w:rsidRDefault="00BF3736" w:rsidP="00BF3736">
      <w:pPr>
        <w:pStyle w:val="ListParagraph1"/>
        <w:spacing w:after="0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F3736" w:rsidRPr="003A53F4" w:rsidRDefault="00BF3736" w:rsidP="00BF3736">
      <w:pPr>
        <w:pStyle w:val="ListParagraph1"/>
        <w:spacing w:after="0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F3736" w:rsidRPr="003A53F4" w:rsidRDefault="00BF3736" w:rsidP="00BF3736">
      <w:pPr>
        <w:pStyle w:val="ListParagraph1"/>
        <w:spacing w:after="0"/>
        <w:ind w:left="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3A53F4">
        <w:rPr>
          <w:rFonts w:ascii="Times New Roman" w:eastAsia="Times New Roman" w:hAnsi="Times New Roman"/>
          <w:b/>
          <w:sz w:val="28"/>
          <w:szCs w:val="28"/>
        </w:rPr>
        <w:t xml:space="preserve">Каскад лечения, </w:t>
      </w:r>
      <w:smartTag w:uri="urn:schemas-microsoft-com:office:smarttags" w:element="metricconverter">
        <w:smartTagPr>
          <w:attr w:name="ProductID" w:val="2014 г"/>
        </w:smartTagPr>
        <w:r w:rsidRPr="003A53F4">
          <w:rPr>
            <w:rFonts w:ascii="Times New Roman" w:eastAsia="Times New Roman" w:hAnsi="Times New Roman"/>
            <w:b/>
            <w:sz w:val="28"/>
            <w:szCs w:val="28"/>
          </w:rPr>
          <w:t>2014 г</w:t>
        </w:r>
      </w:smartTag>
      <w:r w:rsidRPr="003A53F4">
        <w:rPr>
          <w:rFonts w:ascii="Times New Roman" w:eastAsia="Times New Roman" w:hAnsi="Times New Roman"/>
          <w:b/>
          <w:sz w:val="28"/>
          <w:szCs w:val="28"/>
        </w:rPr>
        <w:t>.</w:t>
      </w:r>
      <w:r w:rsidRPr="003A53F4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BF3736" w:rsidRDefault="00BF3736" w:rsidP="00BF3736">
      <w:pPr>
        <w:pStyle w:val="ListParagraph1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A53F4">
        <w:rPr>
          <w:rFonts w:ascii="Times New Roman" w:eastAsia="Times New Roman" w:hAnsi="Times New Roman"/>
          <w:b/>
          <w:bCs/>
          <w:sz w:val="20"/>
          <w:szCs w:val="20"/>
        </w:rPr>
        <w:t xml:space="preserve">(Отчет «Мониторинг контроля ВИЧ-инфекции в Республике Молдова, </w:t>
      </w:r>
      <w:smartTag w:uri="urn:schemas-microsoft-com:office:smarttags" w:element="metricconverter">
        <w:smartTagPr>
          <w:attr w:name="ProductID" w:val="2014 г"/>
        </w:smartTagPr>
        <w:r w:rsidRPr="003A53F4">
          <w:rPr>
            <w:rFonts w:ascii="Times New Roman" w:eastAsia="Times New Roman" w:hAnsi="Times New Roman"/>
            <w:b/>
            <w:bCs/>
            <w:sz w:val="20"/>
            <w:szCs w:val="20"/>
          </w:rPr>
          <w:t>2014 г</w:t>
        </w:r>
      </w:smartTag>
      <w:r w:rsidRPr="003A53F4">
        <w:rPr>
          <w:rFonts w:ascii="Times New Roman" w:eastAsia="Times New Roman" w:hAnsi="Times New Roman"/>
          <w:b/>
          <w:bCs/>
          <w:sz w:val="20"/>
          <w:szCs w:val="20"/>
        </w:rPr>
        <w:t>.»</w:t>
      </w:r>
      <w:r w:rsidRPr="003A53F4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BF3736" w:rsidRPr="003A53F4" w:rsidRDefault="00BF3736" w:rsidP="00BF3736">
      <w:pPr>
        <w:pStyle w:val="ListParagraph1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F3736" w:rsidRPr="00356E79" w:rsidRDefault="00BF3736" w:rsidP="00BF3736">
      <w:pPr>
        <w:pStyle w:val="ListParagraph1"/>
        <w:spacing w:after="0"/>
        <w:ind w:left="0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val="en-GB" w:eastAsia="en-GB"/>
        </w:rPr>
        <w:drawing>
          <wp:inline distT="0" distB="0" distL="0" distR="0">
            <wp:extent cx="6057900" cy="3952875"/>
            <wp:effectExtent l="0" t="0" r="0" b="0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A53F4">
        <w:rPr>
          <w:rFonts w:ascii="Times New Roman" w:eastAsia="Times New Roman" w:hAnsi="Times New Roman"/>
          <w:bCs/>
          <w:sz w:val="28"/>
          <w:szCs w:val="28"/>
        </w:rPr>
        <w:t>Инфекции, передающиеся половым путем, например, сифилис и гонорея,  являются одной из наиболее распространенных причин заболевания молодежи и оказывают значительное отрицательное влияние на состояние здоровья и репродуктивный потенциал сообщества.</w:t>
      </w:r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705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A53F4">
        <w:rPr>
          <w:rFonts w:ascii="Times New Roman" w:eastAsia="Times New Roman" w:hAnsi="Times New Roman"/>
          <w:bCs/>
          <w:sz w:val="28"/>
          <w:szCs w:val="28"/>
        </w:rPr>
        <w:t xml:space="preserve">Частота распространения сифилиса в </w:t>
      </w:r>
      <w:smartTag w:uri="urn:schemas-microsoft-com:office:smarttags" w:element="metricconverter">
        <w:smartTagPr>
          <w:attr w:name="ProductID" w:val="2014 г"/>
        </w:smartTagPr>
        <w:r w:rsidRPr="003A53F4">
          <w:rPr>
            <w:rFonts w:ascii="Times New Roman" w:eastAsia="Times New Roman" w:hAnsi="Times New Roman"/>
            <w:bCs/>
            <w:sz w:val="28"/>
            <w:szCs w:val="28"/>
          </w:rPr>
          <w:t>2014 г</w:t>
        </w:r>
      </w:smartTag>
      <w:r w:rsidRPr="003A53F4">
        <w:rPr>
          <w:rFonts w:ascii="Times New Roman" w:eastAsia="Times New Roman" w:hAnsi="Times New Roman"/>
          <w:bCs/>
          <w:sz w:val="28"/>
          <w:szCs w:val="28"/>
        </w:rPr>
        <w:t xml:space="preserve">. составила 52,1 случаев на 100 000 населения, небольшое снижение по сравнению с 70,4 случаев в </w:t>
      </w:r>
      <w:smartTag w:uri="urn:schemas-microsoft-com:office:smarttags" w:element="metricconverter">
        <w:smartTagPr>
          <w:attr w:name="ProductID" w:val="2010 г"/>
        </w:smartTagPr>
        <w:r w:rsidRPr="003A53F4">
          <w:rPr>
            <w:rFonts w:ascii="Times New Roman" w:eastAsia="Times New Roman" w:hAnsi="Times New Roman"/>
            <w:bCs/>
            <w:sz w:val="28"/>
            <w:szCs w:val="28"/>
          </w:rPr>
          <w:t xml:space="preserve">2010 </w:t>
        </w:r>
        <w:r w:rsidRPr="003A53F4">
          <w:rPr>
            <w:rFonts w:ascii="Times New Roman" w:eastAsia="Times New Roman" w:hAnsi="Times New Roman"/>
            <w:bCs/>
            <w:sz w:val="28"/>
            <w:szCs w:val="28"/>
          </w:rPr>
          <w:lastRenderedPageBreak/>
          <w:t>г</w:t>
        </w:r>
      </w:smartTag>
      <w:r w:rsidRPr="003A53F4">
        <w:rPr>
          <w:rFonts w:ascii="Times New Roman" w:eastAsia="Times New Roman" w:hAnsi="Times New Roman"/>
          <w:bCs/>
          <w:sz w:val="28"/>
          <w:szCs w:val="28"/>
        </w:rPr>
        <w:t xml:space="preserve">. Частота распространения гонореи в </w:t>
      </w:r>
      <w:smartTag w:uri="urn:schemas-microsoft-com:office:smarttags" w:element="metricconverter">
        <w:smartTagPr>
          <w:attr w:name="ProductID" w:val="2014 г"/>
        </w:smartTagPr>
        <w:r w:rsidRPr="003A53F4">
          <w:rPr>
            <w:rFonts w:ascii="Times New Roman" w:eastAsia="Times New Roman" w:hAnsi="Times New Roman"/>
            <w:bCs/>
            <w:sz w:val="28"/>
            <w:szCs w:val="28"/>
          </w:rPr>
          <w:t>2014 г</w:t>
        </w:r>
      </w:smartTag>
      <w:r w:rsidRPr="003A53F4">
        <w:rPr>
          <w:rFonts w:ascii="Times New Roman" w:eastAsia="Times New Roman" w:hAnsi="Times New Roman"/>
          <w:bCs/>
          <w:sz w:val="28"/>
          <w:szCs w:val="28"/>
        </w:rPr>
        <w:t xml:space="preserve">. составила 28,2 случаев на 100 000 населения, снижение по сравнению с </w:t>
      </w:r>
      <w:smartTag w:uri="urn:schemas-microsoft-com:office:smarttags" w:element="metricconverter">
        <w:smartTagPr>
          <w:attr w:name="ProductID" w:val="2010 г"/>
        </w:smartTagPr>
        <w:r w:rsidRPr="003A53F4">
          <w:rPr>
            <w:rFonts w:ascii="Times New Roman" w:eastAsia="Times New Roman" w:hAnsi="Times New Roman"/>
            <w:bCs/>
            <w:sz w:val="28"/>
            <w:szCs w:val="28"/>
          </w:rPr>
          <w:t>2010 г</w:t>
        </w:r>
      </w:smartTag>
      <w:r w:rsidRPr="003A53F4">
        <w:rPr>
          <w:rFonts w:ascii="Times New Roman" w:eastAsia="Times New Roman" w:hAnsi="Times New Roman"/>
          <w:bCs/>
          <w:sz w:val="28"/>
          <w:szCs w:val="28"/>
        </w:rPr>
        <w:t xml:space="preserve">., когда было 36,0 случаев. </w:t>
      </w:r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A53F4">
        <w:rPr>
          <w:rFonts w:ascii="Times New Roman" w:eastAsia="Times New Roman" w:hAnsi="Times New Roman"/>
          <w:b/>
          <w:bCs/>
          <w:sz w:val="28"/>
          <w:szCs w:val="28"/>
        </w:rPr>
        <w:t>Глава II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3A53F4">
        <w:rPr>
          <w:rFonts w:ascii="Times New Roman" w:eastAsia="Times New Roman" w:hAnsi="Times New Roman"/>
          <w:b/>
          <w:bCs/>
          <w:sz w:val="28"/>
          <w:szCs w:val="28"/>
        </w:rPr>
        <w:t>Цель и специфические задачи Национальной программы</w:t>
      </w:r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eastAsia="Times New Roman" w:hAnsi="Times New Roman"/>
          <w:b/>
          <w:bCs/>
          <w:sz w:val="28"/>
          <w:szCs w:val="28"/>
        </w:rPr>
        <w:t>Цель Программы</w:t>
      </w:r>
      <w:r w:rsidRPr="003A53F4">
        <w:rPr>
          <w:rFonts w:ascii="Times New Roman" w:eastAsia="Times New Roman" w:hAnsi="Times New Roman"/>
          <w:bCs/>
          <w:sz w:val="28"/>
          <w:szCs w:val="28"/>
        </w:rPr>
        <w:t xml:space="preserve">: </w:t>
      </w:r>
      <w:r w:rsidRPr="003A53F4">
        <w:rPr>
          <w:rFonts w:ascii="Times New Roman" w:hAnsi="Times New Roman"/>
          <w:sz w:val="28"/>
          <w:szCs w:val="28"/>
        </w:rPr>
        <w:t>свести к минимуму последствия эпидемии ВИЧ и инфекций, передающихся половым путем, через сокращение количества случаев передачи инфекции, в частности в ключевых группах населения, а также свести к минимуму уровень смертности, связанной с ВИЧ.</w:t>
      </w: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3A53F4">
        <w:rPr>
          <w:rFonts w:ascii="Times New Roman" w:hAnsi="Times New Roman"/>
          <w:b/>
          <w:sz w:val="28"/>
          <w:szCs w:val="28"/>
        </w:rPr>
        <w:t>Специфические задачи Национальной программы:</w:t>
      </w:r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3A53F4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3A53F4">
        <w:rPr>
          <w:rFonts w:ascii="Times New Roman" w:hAnsi="Times New Roman"/>
          <w:b/>
          <w:sz w:val="28"/>
          <w:szCs w:val="28"/>
        </w:rPr>
        <w:t>: Профилактика передачи ВИЧ и инфекций, передающихся половым путем, в особенности среди ключевых групп населения</w:t>
      </w:r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3A53F4">
        <w:rPr>
          <w:rFonts w:ascii="Times New Roman" w:hAnsi="Times New Roman"/>
          <w:color w:val="000000"/>
          <w:sz w:val="28"/>
          <w:szCs w:val="28"/>
        </w:rPr>
        <w:t xml:space="preserve">Настоящая задача ориентирована на продолжение реализации мероприятий по профилактике передачи ВИЧ и </w:t>
      </w:r>
      <w:r w:rsidRPr="003A53F4">
        <w:rPr>
          <w:rFonts w:ascii="Times New Roman" w:hAnsi="Times New Roman"/>
          <w:sz w:val="28"/>
          <w:szCs w:val="28"/>
        </w:rPr>
        <w:t>инфекций, передающихся половым путем</w:t>
      </w:r>
      <w:r w:rsidRPr="003A53F4">
        <w:rPr>
          <w:rFonts w:ascii="Times New Roman" w:hAnsi="Times New Roman"/>
          <w:color w:val="000000"/>
          <w:sz w:val="28"/>
          <w:szCs w:val="28"/>
        </w:rPr>
        <w:t xml:space="preserve"> среди групп с повышенным риском инфицирования (потребители инъекционных наркотиков, работницы коммерческого секса, мужчины, практикующие секс с мужчинами, заключенные)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A53F4">
        <w:rPr>
          <w:rFonts w:ascii="Times New Roman" w:hAnsi="Times New Roman"/>
          <w:color w:val="000000"/>
          <w:sz w:val="28"/>
          <w:szCs w:val="28"/>
        </w:rPr>
        <w:t xml:space="preserve"> путем обеспечения доступа и покрытия программами снижения рисков этих категорий в соотношении не менее 60% от оценочного числа, а также на профилактику передачи инфекции из этих групп в общие слои населения.</w:t>
      </w:r>
    </w:p>
    <w:p w:rsidR="00BF3736" w:rsidRPr="00356E79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rPr>
          <w:rFonts w:ascii="Times New Roman" w:hAnsi="Times New Roman"/>
          <w:b/>
          <w:sz w:val="12"/>
          <w:szCs w:val="28"/>
          <w:u w:val="single"/>
        </w:rPr>
      </w:pPr>
      <w:bookmarkStart w:id="2" w:name="_GoBack"/>
      <w:bookmarkEnd w:id="2"/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3A53F4">
        <w:rPr>
          <w:rFonts w:ascii="Times New Roman" w:hAnsi="Times New Roman"/>
          <w:b/>
          <w:sz w:val="28"/>
          <w:szCs w:val="28"/>
          <w:u w:val="single"/>
        </w:rPr>
        <w:t>Задача 2:</w:t>
      </w:r>
      <w:r w:rsidRPr="003A53F4">
        <w:rPr>
          <w:rFonts w:ascii="Times New Roman" w:hAnsi="Times New Roman"/>
          <w:b/>
          <w:sz w:val="28"/>
          <w:szCs w:val="28"/>
        </w:rPr>
        <w:t xml:space="preserve"> Обеспечение всеобщего доступа к лечению, уходу и поддержке лиц, инфицированных ВИЧ и инфекци</w:t>
      </w:r>
      <w:r>
        <w:rPr>
          <w:rFonts w:ascii="Times New Roman" w:hAnsi="Times New Roman"/>
          <w:b/>
          <w:sz w:val="28"/>
          <w:szCs w:val="28"/>
        </w:rPr>
        <w:t>ями</w:t>
      </w:r>
      <w:r w:rsidRPr="003A53F4">
        <w:rPr>
          <w:rFonts w:ascii="Times New Roman" w:hAnsi="Times New Roman"/>
          <w:b/>
          <w:sz w:val="28"/>
          <w:szCs w:val="28"/>
        </w:rPr>
        <w:t>, передающи</w:t>
      </w:r>
      <w:r>
        <w:rPr>
          <w:rFonts w:ascii="Times New Roman" w:hAnsi="Times New Roman"/>
          <w:b/>
          <w:sz w:val="28"/>
          <w:szCs w:val="28"/>
        </w:rPr>
        <w:t>ми</w:t>
      </w:r>
      <w:r w:rsidRPr="003A53F4">
        <w:rPr>
          <w:rFonts w:ascii="Times New Roman" w:hAnsi="Times New Roman"/>
          <w:b/>
          <w:sz w:val="28"/>
          <w:szCs w:val="28"/>
        </w:rPr>
        <w:t>ся половым путем</w:t>
      </w:r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>Настоящая задача направлена на снижение влияния ВИЧ-инфекции путем обеспечения доступа к антиретровирусной терапии, лечени</w:t>
      </w:r>
      <w:r>
        <w:rPr>
          <w:rFonts w:ascii="Times New Roman" w:hAnsi="Times New Roman"/>
          <w:sz w:val="28"/>
          <w:szCs w:val="28"/>
        </w:rPr>
        <w:t>я</w:t>
      </w:r>
      <w:r w:rsidRPr="003A53F4">
        <w:rPr>
          <w:rFonts w:ascii="Times New Roman" w:hAnsi="Times New Roman"/>
          <w:sz w:val="28"/>
          <w:szCs w:val="28"/>
        </w:rPr>
        <w:t xml:space="preserve"> оппортунистических и сопутствующих инфекций, уход</w:t>
      </w:r>
      <w:r>
        <w:rPr>
          <w:rFonts w:ascii="Times New Roman" w:hAnsi="Times New Roman"/>
          <w:sz w:val="28"/>
          <w:szCs w:val="28"/>
        </w:rPr>
        <w:t>а</w:t>
      </w:r>
      <w:r w:rsidRPr="003A53F4">
        <w:rPr>
          <w:rFonts w:ascii="Times New Roman" w:hAnsi="Times New Roman"/>
          <w:sz w:val="28"/>
          <w:szCs w:val="28"/>
        </w:rPr>
        <w:t xml:space="preserve"> и поддержк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A53F4">
        <w:rPr>
          <w:rFonts w:ascii="Times New Roman" w:hAnsi="Times New Roman"/>
          <w:sz w:val="28"/>
          <w:szCs w:val="28"/>
        </w:rPr>
        <w:t>лиц, живущих с ВИЧ, и членов их семей, а также на профилактику передачи ВИЧ от матери к ребенку и профилактику постконтакта с вирусом.</w:t>
      </w:r>
    </w:p>
    <w:p w:rsidR="00BF3736" w:rsidRPr="00356E79" w:rsidRDefault="00BF3736" w:rsidP="00BF3736">
      <w:pPr>
        <w:tabs>
          <w:tab w:val="left" w:pos="1276"/>
        </w:tabs>
        <w:ind w:firstLine="705"/>
        <w:jc w:val="center"/>
        <w:rPr>
          <w:b/>
          <w:sz w:val="14"/>
          <w:szCs w:val="28"/>
          <w:u w:val="single"/>
        </w:rPr>
      </w:pPr>
    </w:p>
    <w:p w:rsidR="00BF3736" w:rsidRPr="003A53F4" w:rsidRDefault="00BF3736" w:rsidP="00BF3736">
      <w:pPr>
        <w:tabs>
          <w:tab w:val="left" w:pos="1276"/>
        </w:tabs>
        <w:ind w:firstLine="705"/>
        <w:jc w:val="both"/>
        <w:rPr>
          <w:b/>
          <w:sz w:val="28"/>
          <w:szCs w:val="28"/>
        </w:rPr>
      </w:pPr>
      <w:r w:rsidRPr="003A53F4">
        <w:rPr>
          <w:b/>
          <w:sz w:val="28"/>
          <w:szCs w:val="28"/>
          <w:u w:val="single"/>
        </w:rPr>
        <w:t>Задача 3:</w:t>
      </w:r>
      <w:r w:rsidRPr="003A53F4">
        <w:rPr>
          <w:b/>
          <w:sz w:val="28"/>
          <w:szCs w:val="28"/>
        </w:rPr>
        <w:t xml:space="preserve"> Обеспечение эффективного управления Национальной программой</w:t>
      </w:r>
    </w:p>
    <w:p w:rsidR="00BF3736" w:rsidRPr="003A53F4" w:rsidRDefault="00BF3736" w:rsidP="00BF3736">
      <w:pPr>
        <w:tabs>
          <w:tab w:val="left" w:pos="1276"/>
        </w:tabs>
        <w:ind w:firstLine="705"/>
        <w:jc w:val="both"/>
        <w:rPr>
          <w:color w:val="000000"/>
          <w:sz w:val="28"/>
          <w:szCs w:val="28"/>
        </w:rPr>
      </w:pPr>
      <w:r w:rsidRPr="003A53F4">
        <w:rPr>
          <w:color w:val="000000"/>
          <w:sz w:val="28"/>
          <w:szCs w:val="28"/>
        </w:rPr>
        <w:t>Настоящая задача призвана обеспечить эффективное управление Национальной программой путем координации действий всех отраслей и вовлеченных сторон в реализацию настоящей программы посредством достаточного и устойчивого финансирования необходимых исследований и эффективных систем мониторинга и оценки.</w:t>
      </w:r>
    </w:p>
    <w:p w:rsidR="00BF3736" w:rsidRPr="00356E79" w:rsidRDefault="00BF3736" w:rsidP="00BF3736">
      <w:pPr>
        <w:tabs>
          <w:tab w:val="left" w:pos="1276"/>
        </w:tabs>
        <w:ind w:firstLine="705"/>
        <w:jc w:val="both"/>
        <w:rPr>
          <w:color w:val="000000"/>
          <w:sz w:val="14"/>
          <w:szCs w:val="28"/>
        </w:rPr>
      </w:pPr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jc w:val="center"/>
        <w:rPr>
          <w:rFonts w:ascii="Times New Roman" w:hAnsi="Times New Roman"/>
          <w:b/>
          <w:sz w:val="28"/>
          <w:szCs w:val="28"/>
        </w:rPr>
      </w:pPr>
      <w:r w:rsidRPr="003A53F4">
        <w:rPr>
          <w:rFonts w:ascii="Times New Roman" w:hAnsi="Times New Roman"/>
          <w:b/>
          <w:sz w:val="28"/>
          <w:szCs w:val="28"/>
        </w:rPr>
        <w:t>Глава 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A53F4">
        <w:rPr>
          <w:rFonts w:ascii="Times New Roman" w:hAnsi="Times New Roman"/>
          <w:b/>
          <w:sz w:val="28"/>
          <w:szCs w:val="28"/>
        </w:rPr>
        <w:t>Действия, которые будут предприняты</w:t>
      </w:r>
    </w:p>
    <w:p w:rsidR="00BF3736" w:rsidRPr="00356E79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jc w:val="center"/>
        <w:rPr>
          <w:rFonts w:ascii="Times New Roman" w:hAnsi="Times New Roman"/>
          <w:b/>
          <w:sz w:val="16"/>
          <w:szCs w:val="28"/>
          <w:u w:val="single"/>
        </w:rPr>
      </w:pPr>
    </w:p>
    <w:p w:rsidR="00BF3736" w:rsidRPr="00356E79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3A53F4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3A53F4">
        <w:rPr>
          <w:rFonts w:ascii="Times New Roman" w:hAnsi="Times New Roman"/>
          <w:b/>
          <w:sz w:val="28"/>
          <w:szCs w:val="28"/>
        </w:rPr>
        <w:t xml:space="preserve">: Профилактика передачи ВИЧ и инфекций, передающихся половым путем, в частности  </w:t>
      </w:r>
      <w:r>
        <w:rPr>
          <w:rFonts w:ascii="Times New Roman" w:hAnsi="Times New Roman"/>
          <w:b/>
          <w:sz w:val="28"/>
          <w:szCs w:val="28"/>
        </w:rPr>
        <w:t>среди целевых групп населения</w:t>
      </w:r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u w:val="single"/>
        </w:rPr>
      </w:pPr>
      <w:r w:rsidRPr="003A53F4">
        <w:rPr>
          <w:rFonts w:ascii="Times New Roman" w:hAnsi="Times New Roman"/>
          <w:sz w:val="28"/>
          <w:szCs w:val="28"/>
          <w:u w:val="single"/>
        </w:rPr>
        <w:t>Действия:</w:t>
      </w:r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lastRenderedPageBreak/>
        <w:t>1)</w:t>
      </w:r>
      <w:r w:rsidRPr="003A53F4">
        <w:rPr>
          <w:rFonts w:ascii="Times New Roman" w:hAnsi="Times New Roman"/>
          <w:b/>
          <w:sz w:val="28"/>
          <w:szCs w:val="28"/>
        </w:rPr>
        <w:t xml:space="preserve"> </w:t>
      </w:r>
      <w:r w:rsidRPr="003A53F4">
        <w:rPr>
          <w:rFonts w:ascii="Times New Roman" w:hAnsi="Times New Roman"/>
          <w:sz w:val="28"/>
          <w:szCs w:val="28"/>
        </w:rPr>
        <w:t xml:space="preserve">К </w:t>
      </w:r>
      <w:smartTag w:uri="urn:schemas-microsoft-com:office:smarttags" w:element="metricconverter">
        <w:smartTagPr>
          <w:attr w:name="ProductID" w:val="2020 г"/>
        </w:smartTagPr>
        <w:r w:rsidRPr="003A53F4">
          <w:rPr>
            <w:rFonts w:ascii="Times New Roman" w:hAnsi="Times New Roman"/>
            <w:sz w:val="28"/>
            <w:szCs w:val="28"/>
          </w:rPr>
          <w:t>2020 г</w:t>
        </w:r>
      </w:smartTag>
      <w:r w:rsidRPr="003A53F4">
        <w:rPr>
          <w:rFonts w:ascii="Times New Roman" w:hAnsi="Times New Roman"/>
          <w:sz w:val="28"/>
          <w:szCs w:val="28"/>
        </w:rPr>
        <w:t xml:space="preserve">. не менее 60% потребителей инъекционных наркотиков </w:t>
      </w:r>
      <w:r>
        <w:rPr>
          <w:rFonts w:ascii="Times New Roman" w:hAnsi="Times New Roman"/>
          <w:sz w:val="28"/>
          <w:szCs w:val="28"/>
        </w:rPr>
        <w:t>охвачены</w:t>
      </w:r>
      <w:r w:rsidRPr="003A53F4">
        <w:rPr>
          <w:rFonts w:ascii="Times New Roman" w:hAnsi="Times New Roman"/>
          <w:sz w:val="28"/>
          <w:szCs w:val="28"/>
        </w:rPr>
        <w:t xml:space="preserve"> профилактическими услугами в рамках программ снижения рисков.</w:t>
      </w:r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 xml:space="preserve">2) К </w:t>
      </w:r>
      <w:smartTag w:uri="urn:schemas-microsoft-com:office:smarttags" w:element="metricconverter">
        <w:smartTagPr>
          <w:attr w:name="ProductID" w:val="2020 г"/>
        </w:smartTagPr>
        <w:r w:rsidRPr="003A53F4">
          <w:rPr>
            <w:rFonts w:ascii="Times New Roman" w:hAnsi="Times New Roman"/>
            <w:sz w:val="28"/>
            <w:szCs w:val="28"/>
          </w:rPr>
          <w:t>2020 г</w:t>
        </w:r>
      </w:smartTag>
      <w:r w:rsidRPr="003A53F4">
        <w:rPr>
          <w:rFonts w:ascii="Times New Roman" w:hAnsi="Times New Roman"/>
          <w:sz w:val="28"/>
          <w:szCs w:val="28"/>
        </w:rPr>
        <w:t>. опиоидная заместительная терапия, предоставляемая в 11 административных единицах, покрывает не менее 4,2% от оценочного числа потребителей инъекционных опиоидов.</w:t>
      </w:r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 xml:space="preserve">3) К </w:t>
      </w:r>
      <w:smartTag w:uri="urn:schemas-microsoft-com:office:smarttags" w:element="metricconverter">
        <w:smartTagPr>
          <w:attr w:name="ProductID" w:val="2020 г"/>
        </w:smartTagPr>
        <w:r w:rsidRPr="003A53F4">
          <w:rPr>
            <w:rFonts w:ascii="Times New Roman" w:hAnsi="Times New Roman"/>
            <w:sz w:val="28"/>
            <w:szCs w:val="28"/>
          </w:rPr>
          <w:t>2020 г</w:t>
        </w:r>
      </w:smartTag>
      <w:r w:rsidRPr="003A53F4">
        <w:rPr>
          <w:rFonts w:ascii="Times New Roman" w:hAnsi="Times New Roman"/>
          <w:sz w:val="28"/>
          <w:szCs w:val="28"/>
        </w:rPr>
        <w:t xml:space="preserve">. 20% из оценочного числа потребителей инъекционных наркотиков </w:t>
      </w:r>
      <w:r>
        <w:rPr>
          <w:rFonts w:ascii="Times New Roman" w:hAnsi="Times New Roman"/>
          <w:sz w:val="28"/>
          <w:szCs w:val="28"/>
        </w:rPr>
        <w:t>охвачены</w:t>
      </w:r>
      <w:r w:rsidRPr="003A53F4">
        <w:rPr>
          <w:rFonts w:ascii="Times New Roman" w:hAnsi="Times New Roman"/>
          <w:sz w:val="28"/>
          <w:szCs w:val="28"/>
        </w:rPr>
        <w:t xml:space="preserve"> услугами психосоциальной поддержки и реабилитации для своевременного доступа к диагностике ВИЧ, туберкулеза и инфекций, передающихся половым путем, своевременного доступа к лечению и сохранению приверженности к лечению.</w:t>
      </w:r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>4)</w:t>
      </w:r>
      <w:r w:rsidRPr="003A53F4">
        <w:rPr>
          <w:rFonts w:ascii="Times New Roman" w:hAnsi="Times New Roman"/>
          <w:b/>
          <w:sz w:val="28"/>
          <w:szCs w:val="28"/>
        </w:rPr>
        <w:t xml:space="preserve"> </w:t>
      </w:r>
      <w:r w:rsidRPr="003A53F4">
        <w:rPr>
          <w:rFonts w:ascii="Times New Roman" w:hAnsi="Times New Roman"/>
          <w:sz w:val="28"/>
          <w:szCs w:val="28"/>
        </w:rPr>
        <w:t xml:space="preserve">К </w:t>
      </w:r>
      <w:smartTag w:uri="urn:schemas-microsoft-com:office:smarttags" w:element="metricconverter">
        <w:smartTagPr>
          <w:attr w:name="ProductID" w:val="2020 г"/>
        </w:smartTagPr>
        <w:r w:rsidRPr="003A53F4">
          <w:rPr>
            <w:rFonts w:ascii="Times New Roman" w:hAnsi="Times New Roman"/>
            <w:sz w:val="28"/>
            <w:szCs w:val="28"/>
          </w:rPr>
          <w:t>2020 г</w:t>
        </w:r>
      </w:smartTag>
      <w:r w:rsidRPr="003A53F4">
        <w:rPr>
          <w:rFonts w:ascii="Times New Roman" w:hAnsi="Times New Roman"/>
          <w:sz w:val="28"/>
          <w:szCs w:val="28"/>
        </w:rPr>
        <w:t xml:space="preserve">. не менее 60% работниц коммерческого секса </w:t>
      </w:r>
      <w:r>
        <w:rPr>
          <w:rFonts w:ascii="Times New Roman" w:hAnsi="Times New Roman"/>
          <w:sz w:val="28"/>
          <w:szCs w:val="28"/>
        </w:rPr>
        <w:t>охвачены</w:t>
      </w:r>
      <w:r w:rsidRPr="003A53F4">
        <w:rPr>
          <w:rFonts w:ascii="Times New Roman" w:hAnsi="Times New Roman"/>
          <w:sz w:val="28"/>
          <w:szCs w:val="28"/>
        </w:rPr>
        <w:t xml:space="preserve"> услугами профилактики в рамках профилактических программ и услугами профилактики ВИЧ среди работниц коммерческого секса в 10 административных территориях.</w:t>
      </w:r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 xml:space="preserve">5) К </w:t>
      </w:r>
      <w:smartTag w:uri="urn:schemas-microsoft-com:office:smarttags" w:element="metricconverter">
        <w:smartTagPr>
          <w:attr w:name="ProductID" w:val="2020 г"/>
        </w:smartTagPr>
        <w:r w:rsidRPr="003A53F4">
          <w:rPr>
            <w:rFonts w:ascii="Times New Roman" w:hAnsi="Times New Roman"/>
            <w:sz w:val="28"/>
            <w:szCs w:val="28"/>
          </w:rPr>
          <w:t>2020 г</w:t>
        </w:r>
      </w:smartTag>
      <w:r w:rsidRPr="003A53F4">
        <w:rPr>
          <w:rFonts w:ascii="Times New Roman" w:hAnsi="Times New Roman"/>
          <w:sz w:val="28"/>
          <w:szCs w:val="28"/>
        </w:rPr>
        <w:t xml:space="preserve">. будут </w:t>
      </w:r>
      <w:r>
        <w:rPr>
          <w:rFonts w:ascii="Times New Roman" w:hAnsi="Times New Roman"/>
          <w:sz w:val="28"/>
          <w:szCs w:val="28"/>
        </w:rPr>
        <w:t>охвачены</w:t>
      </w:r>
      <w:r w:rsidRPr="003A53F4">
        <w:rPr>
          <w:rFonts w:ascii="Times New Roman" w:hAnsi="Times New Roman"/>
          <w:sz w:val="28"/>
          <w:szCs w:val="28"/>
        </w:rPr>
        <w:t xml:space="preserve"> услугами профилактики ВИЧ не менее 40% мужчин, практикующих секс с мужчинами.</w:t>
      </w:r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 xml:space="preserve">6) К </w:t>
      </w:r>
      <w:smartTag w:uri="urn:schemas-microsoft-com:office:smarttags" w:element="metricconverter">
        <w:smartTagPr>
          <w:attr w:name="ProductID" w:val="2020 г"/>
        </w:smartTagPr>
        <w:r w:rsidRPr="003A53F4">
          <w:rPr>
            <w:rFonts w:ascii="Times New Roman" w:hAnsi="Times New Roman"/>
            <w:sz w:val="28"/>
            <w:szCs w:val="28"/>
          </w:rPr>
          <w:t>2020 г</w:t>
        </w:r>
      </w:smartTag>
      <w:r w:rsidRPr="003A53F4">
        <w:rPr>
          <w:rFonts w:ascii="Times New Roman" w:hAnsi="Times New Roman"/>
          <w:sz w:val="28"/>
          <w:szCs w:val="28"/>
        </w:rPr>
        <w:t>. не менее 60% потребителей инъекционных наркотиков, работниц коммерческого секса, заключенных и 40% мужчин, практикующих секс с мужчинами, прошли тест на ВИЧ и знают его результат.</w:t>
      </w:r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>7)</w:t>
      </w:r>
      <w:r w:rsidRPr="003A53F4">
        <w:rPr>
          <w:rFonts w:ascii="Times New Roman" w:hAnsi="Times New Roman"/>
          <w:b/>
          <w:sz w:val="28"/>
          <w:szCs w:val="28"/>
        </w:rPr>
        <w:t xml:space="preserve"> </w:t>
      </w:r>
      <w:r w:rsidRPr="003A53F4">
        <w:rPr>
          <w:rFonts w:ascii="Times New Roman" w:hAnsi="Times New Roman"/>
          <w:sz w:val="28"/>
          <w:szCs w:val="28"/>
        </w:rPr>
        <w:t xml:space="preserve">К </w:t>
      </w:r>
      <w:smartTag w:uri="urn:schemas-microsoft-com:office:smarttags" w:element="metricconverter">
        <w:smartTagPr>
          <w:attr w:name="ProductID" w:val="2020 г"/>
        </w:smartTagPr>
        <w:r w:rsidRPr="003A53F4">
          <w:rPr>
            <w:rFonts w:ascii="Times New Roman" w:hAnsi="Times New Roman"/>
            <w:sz w:val="28"/>
            <w:szCs w:val="28"/>
          </w:rPr>
          <w:t>2020 г</w:t>
        </w:r>
      </w:smartTag>
      <w:r w:rsidRPr="003A53F4">
        <w:rPr>
          <w:rFonts w:ascii="Times New Roman" w:hAnsi="Times New Roman"/>
          <w:sz w:val="28"/>
          <w:szCs w:val="28"/>
        </w:rPr>
        <w:t>. 100% анализов крови тестируются на ВИЧ и сифилис в соответствии с национальными протоколами.</w:t>
      </w:r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>8) Обеспечение непрерывного эпидемиологического надзора за ВИЧ-инфекцией и инфекциями, передающи</w:t>
      </w:r>
      <w:r>
        <w:rPr>
          <w:rFonts w:ascii="Times New Roman" w:hAnsi="Times New Roman"/>
          <w:sz w:val="28"/>
          <w:szCs w:val="28"/>
        </w:rPr>
        <w:t>ми</w:t>
      </w:r>
      <w:r w:rsidRPr="003A53F4">
        <w:rPr>
          <w:rFonts w:ascii="Times New Roman" w:hAnsi="Times New Roman"/>
          <w:sz w:val="28"/>
          <w:szCs w:val="28"/>
        </w:rPr>
        <w:t xml:space="preserve">ся половым путем.  </w:t>
      </w:r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>9) Обеспечение внешнего контроля качества анализов, проведенных в лабораториях, выполняющих серологические и вирусологические исследования на ВИЧ-инфекцию.</w:t>
      </w:r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 xml:space="preserve">10) К </w:t>
      </w:r>
      <w:smartTag w:uri="urn:schemas-microsoft-com:office:smarttags" w:element="metricconverter">
        <w:smartTagPr>
          <w:attr w:name="ProductID" w:val="2020 г"/>
        </w:smartTagPr>
        <w:r w:rsidRPr="003A53F4">
          <w:rPr>
            <w:rFonts w:ascii="Times New Roman" w:hAnsi="Times New Roman"/>
            <w:sz w:val="28"/>
            <w:szCs w:val="28"/>
          </w:rPr>
          <w:t>2020 г</w:t>
        </w:r>
      </w:smartTag>
      <w:r w:rsidRPr="003A53F4">
        <w:rPr>
          <w:rFonts w:ascii="Times New Roman" w:hAnsi="Times New Roman"/>
          <w:sz w:val="28"/>
          <w:szCs w:val="28"/>
        </w:rPr>
        <w:t>. частота заболеваемости сифилисом среди населения в целом сократится с 52 до 47 случаев на 100 000 населения.</w:t>
      </w:r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 xml:space="preserve">11) К </w:t>
      </w:r>
      <w:smartTag w:uri="urn:schemas-microsoft-com:office:smarttags" w:element="metricconverter">
        <w:smartTagPr>
          <w:attr w:name="ProductID" w:val="2020 г"/>
        </w:smartTagPr>
        <w:r w:rsidRPr="003A53F4">
          <w:rPr>
            <w:rFonts w:ascii="Times New Roman" w:hAnsi="Times New Roman"/>
            <w:sz w:val="28"/>
            <w:szCs w:val="28"/>
          </w:rPr>
          <w:t>2020 г</w:t>
        </w:r>
      </w:smartTag>
      <w:r w:rsidRPr="003A53F4">
        <w:rPr>
          <w:rFonts w:ascii="Times New Roman" w:hAnsi="Times New Roman"/>
          <w:sz w:val="28"/>
          <w:szCs w:val="28"/>
        </w:rPr>
        <w:t>. частота заболеваемости гонококковой инфекцией среди населения в целом сократится с 28 до 23 случаев на 100 000 населения.</w:t>
      </w:r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 xml:space="preserve">12) К </w:t>
      </w:r>
      <w:smartTag w:uri="urn:schemas-microsoft-com:office:smarttags" w:element="metricconverter">
        <w:smartTagPr>
          <w:attr w:name="ProductID" w:val="2020 г"/>
        </w:smartTagPr>
        <w:r w:rsidRPr="003A53F4">
          <w:rPr>
            <w:rFonts w:ascii="Times New Roman" w:hAnsi="Times New Roman"/>
            <w:sz w:val="28"/>
            <w:szCs w:val="28"/>
          </w:rPr>
          <w:t>2020 г</w:t>
        </w:r>
      </w:smartTag>
      <w:r w:rsidRPr="003A53F4">
        <w:rPr>
          <w:rFonts w:ascii="Times New Roman" w:hAnsi="Times New Roman"/>
          <w:sz w:val="28"/>
          <w:szCs w:val="28"/>
        </w:rPr>
        <w:t>. комплексный показатель знаний о ВИЧ</w:t>
      </w:r>
      <w:r>
        <w:rPr>
          <w:rFonts w:ascii="Times New Roman" w:hAnsi="Times New Roman"/>
          <w:sz w:val="28"/>
          <w:szCs w:val="28"/>
        </w:rPr>
        <w:t>-инфекции</w:t>
      </w:r>
      <w:r w:rsidRPr="003A53F4">
        <w:rPr>
          <w:rFonts w:ascii="Times New Roman" w:hAnsi="Times New Roman"/>
          <w:sz w:val="28"/>
          <w:szCs w:val="28"/>
        </w:rPr>
        <w:t xml:space="preserve"> среди молодежи в возрасте 15-24 года возрастет до 45 %.</w:t>
      </w:r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3A53F4">
        <w:rPr>
          <w:rFonts w:ascii="Times New Roman" w:hAnsi="Times New Roman"/>
          <w:b/>
          <w:sz w:val="28"/>
          <w:szCs w:val="28"/>
          <w:u w:val="single"/>
        </w:rPr>
        <w:t>Задача 2:</w:t>
      </w:r>
      <w:r w:rsidRPr="003A53F4">
        <w:rPr>
          <w:rFonts w:ascii="Times New Roman" w:hAnsi="Times New Roman"/>
          <w:b/>
          <w:sz w:val="28"/>
          <w:szCs w:val="28"/>
        </w:rPr>
        <w:t xml:space="preserve"> Обеспечение всеобщего доступа к лечению, уходу и поддержке лицам, инфицированным ВИЧ и инфекциями, передающи</w:t>
      </w:r>
      <w:r>
        <w:rPr>
          <w:rFonts w:ascii="Times New Roman" w:hAnsi="Times New Roman"/>
          <w:b/>
          <w:sz w:val="28"/>
          <w:szCs w:val="28"/>
        </w:rPr>
        <w:t>ми</w:t>
      </w:r>
      <w:r w:rsidRPr="003A53F4">
        <w:rPr>
          <w:rFonts w:ascii="Times New Roman" w:hAnsi="Times New Roman"/>
          <w:b/>
          <w:sz w:val="28"/>
          <w:szCs w:val="28"/>
        </w:rPr>
        <w:t>ся половым путем</w:t>
      </w:r>
    </w:p>
    <w:p w:rsidR="00BF3736" w:rsidRPr="003A53F4" w:rsidRDefault="00BF3736" w:rsidP="00BF3736">
      <w:pPr>
        <w:tabs>
          <w:tab w:val="left" w:pos="1276"/>
        </w:tabs>
        <w:ind w:firstLine="705"/>
        <w:jc w:val="both"/>
        <w:rPr>
          <w:sz w:val="28"/>
          <w:szCs w:val="28"/>
          <w:u w:val="single"/>
        </w:rPr>
      </w:pPr>
    </w:p>
    <w:p w:rsidR="00BF3736" w:rsidRPr="003A53F4" w:rsidRDefault="00BF3736" w:rsidP="00BF3736">
      <w:pPr>
        <w:tabs>
          <w:tab w:val="left" w:pos="1276"/>
        </w:tabs>
        <w:ind w:firstLine="705"/>
        <w:jc w:val="both"/>
        <w:rPr>
          <w:sz w:val="28"/>
          <w:szCs w:val="28"/>
          <w:u w:val="single"/>
        </w:rPr>
      </w:pPr>
      <w:r w:rsidRPr="003A53F4">
        <w:rPr>
          <w:sz w:val="28"/>
          <w:szCs w:val="28"/>
          <w:u w:val="single"/>
        </w:rPr>
        <w:t>Действия:</w:t>
      </w:r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 xml:space="preserve">1) К </w:t>
      </w:r>
      <w:smartTag w:uri="urn:schemas-microsoft-com:office:smarttags" w:element="metricconverter">
        <w:smartTagPr>
          <w:attr w:name="ProductID" w:val="2020 г"/>
        </w:smartTagPr>
        <w:r w:rsidRPr="003A53F4">
          <w:rPr>
            <w:rFonts w:ascii="Times New Roman" w:hAnsi="Times New Roman"/>
            <w:sz w:val="28"/>
            <w:szCs w:val="28"/>
          </w:rPr>
          <w:t>2020 г</w:t>
        </w:r>
      </w:smartTag>
      <w:r w:rsidRPr="003A53F4">
        <w:rPr>
          <w:rFonts w:ascii="Times New Roman" w:hAnsi="Times New Roman"/>
          <w:sz w:val="28"/>
          <w:szCs w:val="28"/>
        </w:rPr>
        <w:t>. 50 % из оценочного числа взрослых и 100% детей в возрасте до 15 лет, живущих с ВИЧ, нуждающихся в антиретровирусной терапии, будут ее получать.</w:t>
      </w:r>
    </w:p>
    <w:p w:rsidR="00BF3736" w:rsidRPr="003A53F4" w:rsidRDefault="00BF3736" w:rsidP="00BF3736">
      <w:pPr>
        <w:tabs>
          <w:tab w:val="left" w:pos="1276"/>
        </w:tabs>
        <w:ind w:firstLine="705"/>
        <w:jc w:val="both"/>
        <w:rPr>
          <w:sz w:val="28"/>
          <w:szCs w:val="28"/>
        </w:rPr>
      </w:pPr>
      <w:r w:rsidRPr="003A53F4">
        <w:rPr>
          <w:sz w:val="28"/>
          <w:szCs w:val="28"/>
        </w:rPr>
        <w:lastRenderedPageBreak/>
        <w:t xml:space="preserve">2) К </w:t>
      </w:r>
      <w:smartTag w:uri="urn:schemas-microsoft-com:office:smarttags" w:element="metricconverter">
        <w:smartTagPr>
          <w:attr w:name="ProductID" w:val="2020 г"/>
        </w:smartTagPr>
        <w:r w:rsidRPr="003A53F4">
          <w:rPr>
            <w:sz w:val="28"/>
            <w:szCs w:val="28"/>
          </w:rPr>
          <w:t>2020 г</w:t>
        </w:r>
      </w:smartTag>
      <w:r w:rsidRPr="003A53F4">
        <w:rPr>
          <w:sz w:val="28"/>
          <w:szCs w:val="28"/>
        </w:rPr>
        <w:t>., % взрослых и детей, которые живы и получают антиретровирусную терапию в течение 12 месяцев</w:t>
      </w:r>
      <w:r>
        <w:rPr>
          <w:sz w:val="28"/>
          <w:szCs w:val="28"/>
        </w:rPr>
        <w:t xml:space="preserve"> составит </w:t>
      </w:r>
      <w:r w:rsidRPr="003A53F4">
        <w:rPr>
          <w:sz w:val="28"/>
          <w:szCs w:val="28"/>
        </w:rPr>
        <w:t>не менее 80%, через 24 месяца – не менее 75% и через 60 месяцев – не менее 70%.</w:t>
      </w:r>
    </w:p>
    <w:p w:rsidR="00BF3736" w:rsidRPr="003A53F4" w:rsidRDefault="00BF3736" w:rsidP="00BF3736">
      <w:pPr>
        <w:tabs>
          <w:tab w:val="left" w:pos="1276"/>
        </w:tabs>
        <w:ind w:firstLine="705"/>
        <w:jc w:val="both"/>
        <w:rPr>
          <w:sz w:val="28"/>
          <w:szCs w:val="28"/>
        </w:rPr>
      </w:pPr>
      <w:r w:rsidRPr="003A53F4">
        <w:rPr>
          <w:sz w:val="28"/>
          <w:szCs w:val="28"/>
        </w:rPr>
        <w:t xml:space="preserve">3) К </w:t>
      </w:r>
      <w:smartTag w:uri="urn:schemas-microsoft-com:office:smarttags" w:element="metricconverter">
        <w:smartTagPr>
          <w:attr w:name="ProductID" w:val="2020 г"/>
        </w:smartTagPr>
        <w:r w:rsidRPr="003A53F4">
          <w:rPr>
            <w:sz w:val="28"/>
            <w:szCs w:val="28"/>
          </w:rPr>
          <w:t>2020 г</w:t>
        </w:r>
      </w:smartTag>
      <w:r w:rsidRPr="003A53F4">
        <w:rPr>
          <w:sz w:val="28"/>
          <w:szCs w:val="28"/>
        </w:rPr>
        <w:t>. 80% лиц, живущих с ВИЧ, нуждающихся в лечении оппортунистических инфекций, получают соответствующее лечение и антиретровирусную терапию.</w:t>
      </w:r>
    </w:p>
    <w:p w:rsidR="00BF3736" w:rsidRPr="003A53F4" w:rsidRDefault="00BF3736" w:rsidP="00BF3736">
      <w:pPr>
        <w:tabs>
          <w:tab w:val="left" w:pos="1276"/>
        </w:tabs>
        <w:ind w:firstLine="705"/>
        <w:jc w:val="both"/>
        <w:rPr>
          <w:sz w:val="28"/>
          <w:szCs w:val="28"/>
        </w:rPr>
      </w:pPr>
      <w:r w:rsidRPr="003A53F4">
        <w:rPr>
          <w:sz w:val="28"/>
          <w:szCs w:val="28"/>
        </w:rPr>
        <w:t xml:space="preserve">4) К </w:t>
      </w:r>
      <w:smartTag w:uri="urn:schemas-microsoft-com:office:smarttags" w:element="metricconverter">
        <w:smartTagPr>
          <w:attr w:name="ProductID" w:val="2020 г"/>
        </w:smartTagPr>
        <w:r w:rsidRPr="003A53F4">
          <w:rPr>
            <w:sz w:val="28"/>
            <w:szCs w:val="28"/>
          </w:rPr>
          <w:t>2020 г</w:t>
        </w:r>
      </w:smartTag>
      <w:r w:rsidRPr="003A53F4">
        <w:rPr>
          <w:sz w:val="28"/>
          <w:szCs w:val="28"/>
        </w:rPr>
        <w:t>. уровень передачи ВИЧ-инфекции от матери к плоду не превысит 2 %.</w:t>
      </w:r>
    </w:p>
    <w:p w:rsidR="00BF3736" w:rsidRPr="003A53F4" w:rsidRDefault="00BF3736" w:rsidP="00BF3736">
      <w:pPr>
        <w:tabs>
          <w:tab w:val="left" w:pos="1276"/>
        </w:tabs>
        <w:ind w:firstLine="705"/>
        <w:jc w:val="both"/>
        <w:rPr>
          <w:sz w:val="28"/>
          <w:szCs w:val="28"/>
        </w:rPr>
      </w:pPr>
      <w:r w:rsidRPr="003A53F4">
        <w:rPr>
          <w:sz w:val="28"/>
          <w:szCs w:val="28"/>
        </w:rPr>
        <w:t xml:space="preserve">5) К </w:t>
      </w:r>
      <w:smartTag w:uri="urn:schemas-microsoft-com:office:smarttags" w:element="metricconverter">
        <w:smartTagPr>
          <w:attr w:name="ProductID" w:val="2020 г"/>
        </w:smartTagPr>
        <w:r w:rsidRPr="003A53F4">
          <w:rPr>
            <w:sz w:val="28"/>
            <w:szCs w:val="28"/>
          </w:rPr>
          <w:t>2020 г</w:t>
        </w:r>
      </w:smartTag>
      <w:r w:rsidRPr="003A53F4">
        <w:rPr>
          <w:sz w:val="28"/>
          <w:szCs w:val="28"/>
        </w:rPr>
        <w:t>. 100% лиц, оказавшихся в ситуации  риска заражения ВИЧ и обратившихся за помощью, получат профилактическое лечение, применяемое после контакта с вирусом.</w:t>
      </w:r>
    </w:p>
    <w:p w:rsidR="00BF3736" w:rsidRPr="003A53F4" w:rsidRDefault="00BF3736" w:rsidP="00BF3736">
      <w:pPr>
        <w:tabs>
          <w:tab w:val="left" w:pos="1276"/>
        </w:tabs>
        <w:ind w:firstLine="705"/>
        <w:jc w:val="both"/>
        <w:rPr>
          <w:sz w:val="28"/>
          <w:szCs w:val="28"/>
        </w:rPr>
      </w:pPr>
      <w:r w:rsidRPr="003A53F4">
        <w:rPr>
          <w:sz w:val="28"/>
          <w:szCs w:val="28"/>
        </w:rPr>
        <w:t xml:space="preserve">6) К </w:t>
      </w:r>
      <w:smartTag w:uri="urn:schemas-microsoft-com:office:smarttags" w:element="metricconverter">
        <w:smartTagPr>
          <w:attr w:name="ProductID" w:val="2020 г"/>
        </w:smartTagPr>
        <w:r w:rsidRPr="003A53F4">
          <w:rPr>
            <w:sz w:val="28"/>
            <w:szCs w:val="28"/>
          </w:rPr>
          <w:t>2020 г</w:t>
        </w:r>
      </w:smartTag>
      <w:r w:rsidRPr="003A53F4">
        <w:rPr>
          <w:sz w:val="28"/>
          <w:szCs w:val="28"/>
        </w:rPr>
        <w:t>. не менее 80% ВИЧ-инфицированных воспользуются психосоциальными услугами, предоставляемыми в рамках региональных социальных центров и неправительственных организаций, работающих в данной сфере.</w:t>
      </w:r>
    </w:p>
    <w:p w:rsidR="00BF3736" w:rsidRPr="003A53F4" w:rsidRDefault="00BF3736" w:rsidP="00BF3736">
      <w:pPr>
        <w:tabs>
          <w:tab w:val="left" w:pos="1276"/>
        </w:tabs>
        <w:ind w:firstLine="705"/>
        <w:jc w:val="both"/>
        <w:rPr>
          <w:sz w:val="28"/>
          <w:szCs w:val="28"/>
        </w:rPr>
      </w:pPr>
      <w:r w:rsidRPr="003A53F4">
        <w:rPr>
          <w:sz w:val="28"/>
          <w:szCs w:val="28"/>
        </w:rPr>
        <w:t xml:space="preserve">7) К </w:t>
      </w:r>
      <w:smartTag w:uri="urn:schemas-microsoft-com:office:smarttags" w:element="metricconverter">
        <w:smartTagPr>
          <w:attr w:name="ProductID" w:val="2020 г"/>
        </w:smartTagPr>
        <w:r w:rsidRPr="003A53F4">
          <w:rPr>
            <w:sz w:val="28"/>
            <w:szCs w:val="28"/>
          </w:rPr>
          <w:t>2020 г</w:t>
        </w:r>
      </w:smartTag>
      <w:r w:rsidRPr="003A53F4">
        <w:rPr>
          <w:sz w:val="28"/>
          <w:szCs w:val="28"/>
        </w:rPr>
        <w:t>. 99,9 % больных сифилисом будут обеспечены специальным лечением.</w:t>
      </w:r>
    </w:p>
    <w:p w:rsidR="00BF3736" w:rsidRPr="003A53F4" w:rsidRDefault="00BF3736" w:rsidP="00BF3736">
      <w:pPr>
        <w:tabs>
          <w:tab w:val="left" w:pos="1276"/>
        </w:tabs>
        <w:ind w:firstLine="705"/>
        <w:jc w:val="both"/>
        <w:rPr>
          <w:sz w:val="28"/>
          <w:szCs w:val="28"/>
        </w:rPr>
      </w:pPr>
      <w:r w:rsidRPr="003A53F4">
        <w:rPr>
          <w:sz w:val="28"/>
          <w:szCs w:val="28"/>
        </w:rPr>
        <w:t xml:space="preserve">8) К </w:t>
      </w:r>
      <w:smartTag w:uri="urn:schemas-microsoft-com:office:smarttags" w:element="metricconverter">
        <w:smartTagPr>
          <w:attr w:name="ProductID" w:val="2020 г"/>
        </w:smartTagPr>
        <w:r w:rsidRPr="003A53F4">
          <w:rPr>
            <w:sz w:val="28"/>
            <w:szCs w:val="28"/>
          </w:rPr>
          <w:t>2020 г</w:t>
        </w:r>
      </w:smartTag>
      <w:r w:rsidRPr="003A53F4">
        <w:rPr>
          <w:sz w:val="28"/>
          <w:szCs w:val="28"/>
        </w:rPr>
        <w:t>. под</w:t>
      </w:r>
      <w:r>
        <w:rPr>
          <w:sz w:val="28"/>
          <w:szCs w:val="28"/>
        </w:rPr>
        <w:t>д</w:t>
      </w:r>
      <w:r w:rsidRPr="003A53F4">
        <w:rPr>
          <w:sz w:val="28"/>
          <w:szCs w:val="28"/>
        </w:rPr>
        <w:t>ержание уровня заболеваемости врожденным сифилисом менее 15 случаев на 100 000 детей, родившихся живыми.</w:t>
      </w:r>
    </w:p>
    <w:p w:rsidR="00BF3736" w:rsidRPr="003A53F4" w:rsidRDefault="00BF3736" w:rsidP="00BF3736">
      <w:pPr>
        <w:tabs>
          <w:tab w:val="left" w:pos="1276"/>
        </w:tabs>
        <w:ind w:firstLine="705"/>
        <w:jc w:val="both"/>
        <w:rPr>
          <w:sz w:val="28"/>
          <w:szCs w:val="28"/>
        </w:rPr>
      </w:pPr>
      <w:r w:rsidRPr="003A53F4">
        <w:rPr>
          <w:sz w:val="28"/>
          <w:szCs w:val="28"/>
        </w:rPr>
        <w:t xml:space="preserve">9) К </w:t>
      </w:r>
      <w:smartTag w:uri="urn:schemas-microsoft-com:office:smarttags" w:element="metricconverter">
        <w:smartTagPr>
          <w:attr w:name="ProductID" w:val="2020 г"/>
        </w:smartTagPr>
        <w:r w:rsidRPr="003A53F4">
          <w:rPr>
            <w:sz w:val="28"/>
            <w:szCs w:val="28"/>
          </w:rPr>
          <w:t>2020 г</w:t>
        </w:r>
      </w:smartTag>
      <w:r w:rsidRPr="003A53F4">
        <w:rPr>
          <w:sz w:val="28"/>
          <w:szCs w:val="28"/>
        </w:rPr>
        <w:t>. 99,9 % больных гонококковой инфекцией будут обеспечены специальным лечением.</w:t>
      </w:r>
    </w:p>
    <w:p w:rsidR="00BF3736" w:rsidRPr="003A53F4" w:rsidRDefault="00BF3736" w:rsidP="00BF3736">
      <w:pPr>
        <w:tabs>
          <w:tab w:val="left" w:pos="1276"/>
        </w:tabs>
        <w:ind w:firstLine="705"/>
        <w:jc w:val="center"/>
        <w:rPr>
          <w:b/>
          <w:sz w:val="28"/>
          <w:szCs w:val="28"/>
          <w:u w:val="single"/>
        </w:rPr>
      </w:pPr>
    </w:p>
    <w:p w:rsidR="00BF3736" w:rsidRPr="003A53F4" w:rsidRDefault="00BF3736" w:rsidP="00BF3736">
      <w:pPr>
        <w:tabs>
          <w:tab w:val="left" w:pos="1276"/>
        </w:tabs>
        <w:ind w:firstLine="705"/>
        <w:jc w:val="both"/>
        <w:rPr>
          <w:b/>
          <w:sz w:val="28"/>
          <w:szCs w:val="28"/>
        </w:rPr>
      </w:pPr>
      <w:r w:rsidRPr="003A53F4">
        <w:rPr>
          <w:b/>
          <w:sz w:val="28"/>
          <w:szCs w:val="28"/>
          <w:u w:val="single"/>
        </w:rPr>
        <w:t>Задача 3:</w:t>
      </w:r>
      <w:r w:rsidRPr="003A53F4">
        <w:rPr>
          <w:b/>
          <w:sz w:val="28"/>
          <w:szCs w:val="28"/>
        </w:rPr>
        <w:t xml:space="preserve"> Обеспечение эффективного управления Национальной  программой</w:t>
      </w:r>
    </w:p>
    <w:p w:rsidR="00BF3736" w:rsidRPr="003A53F4" w:rsidRDefault="00BF3736" w:rsidP="00BF3736">
      <w:pPr>
        <w:tabs>
          <w:tab w:val="left" w:pos="1276"/>
        </w:tabs>
        <w:ind w:firstLine="705"/>
        <w:jc w:val="both"/>
        <w:rPr>
          <w:sz w:val="28"/>
          <w:szCs w:val="28"/>
          <w:u w:val="single"/>
        </w:rPr>
      </w:pPr>
    </w:p>
    <w:p w:rsidR="00BF3736" w:rsidRPr="003A53F4" w:rsidRDefault="00BF3736" w:rsidP="00BF3736">
      <w:pPr>
        <w:tabs>
          <w:tab w:val="left" w:pos="1276"/>
        </w:tabs>
        <w:ind w:firstLine="705"/>
        <w:jc w:val="both"/>
        <w:rPr>
          <w:sz w:val="28"/>
          <w:szCs w:val="28"/>
          <w:u w:val="single"/>
        </w:rPr>
      </w:pPr>
      <w:r w:rsidRPr="003A53F4">
        <w:rPr>
          <w:sz w:val="28"/>
          <w:szCs w:val="28"/>
          <w:u w:val="single"/>
        </w:rPr>
        <w:t>Действия:</w:t>
      </w:r>
    </w:p>
    <w:p w:rsidR="00BF3736" w:rsidRPr="003A53F4" w:rsidRDefault="00BF3736" w:rsidP="00BF3736">
      <w:pPr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3A53F4">
        <w:rPr>
          <w:sz w:val="28"/>
          <w:szCs w:val="28"/>
        </w:rPr>
        <w:t>Обеспечение деятельности по координации Национальной программы.</w:t>
      </w:r>
    </w:p>
    <w:p w:rsidR="00BF3736" w:rsidRPr="003A53F4" w:rsidRDefault="00BF3736" w:rsidP="00BF3736">
      <w:pPr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3A53F4">
        <w:rPr>
          <w:sz w:val="28"/>
          <w:szCs w:val="28"/>
        </w:rPr>
        <w:t>Укрепление коммунитарной системы.</w:t>
      </w:r>
    </w:p>
    <w:p w:rsidR="00BF3736" w:rsidRPr="003A53F4" w:rsidRDefault="00BF3736" w:rsidP="00BF3736">
      <w:pPr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3A53F4">
        <w:rPr>
          <w:sz w:val="28"/>
          <w:szCs w:val="28"/>
        </w:rPr>
        <w:t>Обеспечение управления грантами для реализации Национальной программы.</w:t>
      </w:r>
    </w:p>
    <w:p w:rsidR="00BF3736" w:rsidRPr="003A53F4" w:rsidRDefault="00BF3736" w:rsidP="00BF3736">
      <w:pPr>
        <w:tabs>
          <w:tab w:val="left" w:pos="1276"/>
        </w:tabs>
        <w:ind w:firstLine="0"/>
        <w:jc w:val="center"/>
        <w:rPr>
          <w:b/>
          <w:sz w:val="28"/>
          <w:szCs w:val="28"/>
        </w:rPr>
      </w:pPr>
    </w:p>
    <w:p w:rsidR="00BF3736" w:rsidRPr="003A53F4" w:rsidRDefault="00BF3736" w:rsidP="00BF3736">
      <w:pPr>
        <w:tabs>
          <w:tab w:val="left" w:pos="1276"/>
        </w:tabs>
        <w:ind w:firstLine="0"/>
        <w:jc w:val="center"/>
        <w:rPr>
          <w:b/>
          <w:sz w:val="28"/>
          <w:szCs w:val="28"/>
        </w:rPr>
      </w:pPr>
      <w:r w:rsidRPr="003A53F4">
        <w:rPr>
          <w:b/>
          <w:sz w:val="28"/>
          <w:szCs w:val="28"/>
        </w:rPr>
        <w:t>Глава IV</w:t>
      </w:r>
      <w:r>
        <w:rPr>
          <w:b/>
          <w:sz w:val="28"/>
          <w:szCs w:val="28"/>
        </w:rPr>
        <w:t xml:space="preserve">. </w:t>
      </w:r>
      <w:r w:rsidRPr="003A53F4">
        <w:rPr>
          <w:b/>
          <w:sz w:val="28"/>
          <w:szCs w:val="28"/>
        </w:rPr>
        <w:t xml:space="preserve"> Этапы и сроки реализации </w:t>
      </w:r>
    </w:p>
    <w:p w:rsidR="00BF3736" w:rsidRPr="003A53F4" w:rsidRDefault="00BF3736" w:rsidP="00BF3736">
      <w:pPr>
        <w:tabs>
          <w:tab w:val="left" w:pos="1276"/>
        </w:tabs>
        <w:ind w:firstLine="705"/>
        <w:jc w:val="center"/>
        <w:rPr>
          <w:b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3A53F4">
        <w:rPr>
          <w:rFonts w:ascii="Times New Roman" w:eastAsia="Times New Roman" w:hAnsi="Times New Roman"/>
          <w:sz w:val="28"/>
          <w:szCs w:val="28"/>
        </w:rPr>
        <w:t>Этапы и сроки реализации Программы осуществляются в соответствии с планом мероприятий.</w:t>
      </w:r>
    </w:p>
    <w:p w:rsidR="00BF3736" w:rsidRPr="003A53F4" w:rsidRDefault="00BF3736" w:rsidP="00BF3736">
      <w:pPr>
        <w:pStyle w:val="ListParagraph1"/>
        <w:tabs>
          <w:tab w:val="left" w:pos="1276"/>
        </w:tabs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 xml:space="preserve">Поставщики услуг и те, кто их реализует, будут согласовывать действия в вопросах внедрения с координатором Национальной программы и Национальным советом по координации национальных программ профилактики и контроля ВИЧ/СПИДа, инфекций, передающихся половым путем, и контроля туберкулеза. Прозрачность реализации действий будет обеспечиваться при помощи веб-сайта </w:t>
      </w:r>
      <w:hyperlink r:id="rId7" w:history="1">
        <w:r w:rsidRPr="003A53F4">
          <w:rPr>
            <w:rStyle w:val="Hyperlink"/>
            <w:rFonts w:ascii="Times New Roman" w:hAnsi="Times New Roman"/>
            <w:sz w:val="28"/>
            <w:szCs w:val="28"/>
          </w:rPr>
          <w:t>www.aids.md</w:t>
        </w:r>
      </w:hyperlink>
      <w:r w:rsidRPr="003A53F4">
        <w:rPr>
          <w:rFonts w:ascii="Times New Roman" w:hAnsi="Times New Roman"/>
          <w:sz w:val="28"/>
          <w:szCs w:val="28"/>
        </w:rPr>
        <w:t xml:space="preserve">. </w:t>
      </w:r>
    </w:p>
    <w:p w:rsidR="00BF3736" w:rsidRPr="003A53F4" w:rsidRDefault="00BF3736" w:rsidP="00BF3736">
      <w:pPr>
        <w:tabs>
          <w:tab w:val="left" w:pos="1276"/>
        </w:tabs>
        <w:ind w:firstLine="705"/>
        <w:rPr>
          <w:b/>
          <w:color w:val="000000"/>
          <w:sz w:val="28"/>
          <w:szCs w:val="28"/>
        </w:rPr>
      </w:pPr>
      <w:r w:rsidRPr="003A53F4">
        <w:rPr>
          <w:b/>
          <w:color w:val="000000"/>
          <w:sz w:val="28"/>
          <w:szCs w:val="28"/>
        </w:rPr>
        <w:lastRenderedPageBreak/>
        <w:t xml:space="preserve">                     </w:t>
      </w:r>
    </w:p>
    <w:p w:rsidR="00BF3736" w:rsidRPr="003A53F4" w:rsidRDefault="00BF3736" w:rsidP="00BF3736">
      <w:pPr>
        <w:tabs>
          <w:tab w:val="left" w:pos="1134"/>
        </w:tabs>
        <w:ind w:firstLine="0"/>
        <w:jc w:val="center"/>
        <w:rPr>
          <w:b/>
          <w:color w:val="000000"/>
          <w:sz w:val="28"/>
          <w:szCs w:val="28"/>
        </w:rPr>
      </w:pPr>
      <w:r w:rsidRPr="003A53F4">
        <w:rPr>
          <w:b/>
          <w:color w:val="000000"/>
          <w:sz w:val="28"/>
          <w:szCs w:val="28"/>
        </w:rPr>
        <w:t>Глава V</w:t>
      </w:r>
      <w:r>
        <w:rPr>
          <w:b/>
          <w:color w:val="000000"/>
          <w:sz w:val="28"/>
          <w:szCs w:val="28"/>
        </w:rPr>
        <w:t xml:space="preserve">. </w:t>
      </w:r>
      <w:r w:rsidRPr="003A53F4">
        <w:rPr>
          <w:b/>
          <w:color w:val="000000"/>
          <w:sz w:val="28"/>
          <w:szCs w:val="28"/>
        </w:rPr>
        <w:t>Ответственные за внедрение</w:t>
      </w:r>
    </w:p>
    <w:p w:rsidR="00BF3736" w:rsidRPr="003A53F4" w:rsidRDefault="00BF3736" w:rsidP="00BF3736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  <w:lang w:eastAsia="ru-RU"/>
        </w:rPr>
        <w:t>Партнерами по внедрению являются:</w:t>
      </w:r>
    </w:p>
    <w:p w:rsidR="00BF3736" w:rsidRPr="003A53F4" w:rsidRDefault="00BF3736" w:rsidP="00BF3736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3A53F4">
        <w:rPr>
          <w:color w:val="000000"/>
          <w:sz w:val="28"/>
          <w:szCs w:val="28"/>
          <w:lang w:eastAsia="ru-RU"/>
        </w:rPr>
        <w:t xml:space="preserve">Министерство </w:t>
      </w:r>
      <w:r w:rsidR="00EA60E0">
        <w:rPr>
          <w:color w:val="000000"/>
          <w:sz w:val="28"/>
          <w:szCs w:val="28"/>
          <w:lang w:eastAsia="ru-RU"/>
        </w:rPr>
        <w:t>здравоохранения, труда и социальной защиты</w:t>
      </w:r>
      <w:r w:rsidRPr="003A53F4">
        <w:rPr>
          <w:color w:val="000000"/>
          <w:sz w:val="28"/>
          <w:szCs w:val="28"/>
          <w:lang w:eastAsia="ru-RU"/>
        </w:rPr>
        <w:t xml:space="preserve">, </w:t>
      </w:r>
      <w:r w:rsidR="00EA60E0">
        <w:rPr>
          <w:color w:val="000000"/>
          <w:sz w:val="28"/>
          <w:szCs w:val="28"/>
          <w:lang w:eastAsia="ru-RU"/>
        </w:rPr>
        <w:t>Министерство образования, культуры и исследований</w:t>
      </w:r>
      <w:r w:rsidRPr="00F40795">
        <w:rPr>
          <w:color w:val="000000"/>
          <w:sz w:val="28"/>
          <w:szCs w:val="28"/>
          <w:lang w:eastAsia="ru-RU"/>
        </w:rPr>
        <w:t>,</w:t>
      </w:r>
      <w:r w:rsidR="00F40795">
        <w:rPr>
          <w:color w:val="000000"/>
          <w:sz w:val="28"/>
          <w:szCs w:val="28"/>
          <w:lang w:eastAsia="ru-RU"/>
        </w:rPr>
        <w:t xml:space="preserve"> </w:t>
      </w:r>
      <w:r w:rsidR="00F40795" w:rsidRPr="00F40795">
        <w:rPr>
          <w:sz w:val="28"/>
          <w:szCs w:val="28"/>
        </w:rPr>
        <w:t>Национальная пенитенциарная администрация</w:t>
      </w:r>
      <w:r w:rsidR="00EA60E0">
        <w:rPr>
          <w:color w:val="000000"/>
          <w:sz w:val="28"/>
          <w:szCs w:val="28"/>
          <w:lang w:eastAsia="ru-RU"/>
        </w:rPr>
        <w:t xml:space="preserve"> Министерства юстиции </w:t>
      </w:r>
      <w:r w:rsidRPr="003A53F4">
        <w:rPr>
          <w:color w:val="000000"/>
          <w:sz w:val="28"/>
          <w:szCs w:val="28"/>
          <w:lang w:eastAsia="ru-RU"/>
        </w:rPr>
        <w:t>и уполномоченные ведомства;</w:t>
      </w:r>
    </w:p>
    <w:p w:rsidR="00BF3736" w:rsidRPr="003A53F4" w:rsidRDefault="00BF3736" w:rsidP="00BF3736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3A53F4">
        <w:rPr>
          <w:color w:val="000000"/>
          <w:sz w:val="28"/>
          <w:szCs w:val="28"/>
          <w:lang w:eastAsia="ru-RU"/>
        </w:rPr>
        <w:t xml:space="preserve">технические агентства Организации Объединенных Наций (Программа Организации Объединенных Наций по ВИЧ/СПИДу, Всемирная организация </w:t>
      </w:r>
      <w:r w:rsidR="00EA60E0">
        <w:rPr>
          <w:color w:val="000000"/>
          <w:sz w:val="28"/>
          <w:szCs w:val="28"/>
          <w:lang w:eastAsia="ru-RU"/>
        </w:rPr>
        <w:t>здравоохранения, труда и социальной защиты</w:t>
      </w:r>
      <w:r w:rsidRPr="003A53F4">
        <w:rPr>
          <w:color w:val="000000"/>
          <w:sz w:val="28"/>
          <w:szCs w:val="28"/>
          <w:lang w:eastAsia="ru-RU"/>
        </w:rPr>
        <w:t>, Фонд Организации Объединенных Наций для народонаселения, Детский фонд Организации Объединенных Наций и пр.) для предоставления технической помощи и информирования о международных стандартах;</w:t>
      </w:r>
    </w:p>
    <w:p w:rsidR="00BF3736" w:rsidRPr="003A53F4" w:rsidRDefault="00BF3736" w:rsidP="00BF3736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3A53F4">
        <w:rPr>
          <w:color w:val="000000"/>
          <w:sz w:val="28"/>
          <w:szCs w:val="28"/>
          <w:lang w:eastAsia="ru-RU"/>
        </w:rPr>
        <w:t>национальные и международные неправительственные организации, работающие в сфере ВИЧ и инфекций, передающихся половым путем;</w:t>
      </w:r>
    </w:p>
    <w:p w:rsidR="00BF3736" w:rsidRPr="003A53F4" w:rsidRDefault="00BF3736" w:rsidP="00BF3736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3A53F4">
        <w:rPr>
          <w:color w:val="000000"/>
          <w:sz w:val="28"/>
          <w:szCs w:val="28"/>
          <w:lang w:eastAsia="ru-RU"/>
        </w:rPr>
        <w:t>органы местного публичного управления.</w:t>
      </w:r>
    </w:p>
    <w:p w:rsidR="00BF3736" w:rsidRPr="003A53F4" w:rsidRDefault="00BF3736" w:rsidP="00BF3736">
      <w:pP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BF3736" w:rsidRPr="003A53F4" w:rsidRDefault="00BF3736" w:rsidP="00BF3736">
      <w:pPr>
        <w:tabs>
          <w:tab w:val="left" w:pos="1134"/>
        </w:tabs>
        <w:ind w:firstLine="0"/>
        <w:jc w:val="center"/>
        <w:rPr>
          <w:b/>
          <w:color w:val="000000"/>
          <w:sz w:val="28"/>
          <w:szCs w:val="28"/>
        </w:rPr>
      </w:pPr>
      <w:r w:rsidRPr="003A53F4">
        <w:rPr>
          <w:b/>
          <w:color w:val="000000"/>
          <w:sz w:val="28"/>
          <w:szCs w:val="28"/>
        </w:rPr>
        <w:t>Глава V</w:t>
      </w:r>
      <w:r w:rsidRPr="003A53F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</w:t>
      </w:r>
      <w:r w:rsidRPr="003A53F4">
        <w:rPr>
          <w:b/>
          <w:color w:val="000000"/>
          <w:sz w:val="28"/>
          <w:szCs w:val="28"/>
        </w:rPr>
        <w:t xml:space="preserve"> Общая оценка затрат</w:t>
      </w:r>
    </w:p>
    <w:p w:rsidR="00BF3736" w:rsidRPr="003A53F4" w:rsidRDefault="00BF3736" w:rsidP="00BF3736">
      <w:pP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53F4">
        <w:rPr>
          <w:rFonts w:ascii="Times New Roman" w:eastAsia="Times New Roman" w:hAnsi="Times New Roman"/>
          <w:color w:val="000000"/>
          <w:sz w:val="28"/>
          <w:szCs w:val="28"/>
        </w:rPr>
        <w:t>Оценка затрат на реализацию Национальной программы была выполнена на основании определения затрат на услугу, на пользователя или общий бюджет, по  необходимости (приложение № 4 к настоящей Программе).</w:t>
      </w:r>
    </w:p>
    <w:p w:rsidR="00BF3736" w:rsidRPr="003A53F4" w:rsidRDefault="00BF3736" w:rsidP="00BF3736">
      <w:pPr>
        <w:pStyle w:val="ListParagraph1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53F4">
        <w:rPr>
          <w:rFonts w:ascii="Times New Roman" w:eastAsia="Times New Roman" w:hAnsi="Times New Roman"/>
          <w:color w:val="000000"/>
          <w:sz w:val="28"/>
          <w:szCs w:val="28"/>
        </w:rPr>
        <w:t>На весь период внедрения общий предполагаемый бюджет составляет 1,046 миллиарда леев, из которых на ”Профилактику ВИЧ и инфекций, передающихся половым путем, в частности среди целевых групп населения”  - 36,2%, на ”Обеспечение всеобщего доступа к лечению, уходу и поддержке лиц, инфицированных ВИЧ и инфекциями, передающимися половым путем” – 61%, и на ”Обеспечение эффективного управления Программ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Pr="003A53F4">
        <w:rPr>
          <w:rFonts w:ascii="Times New Roman" w:eastAsia="Times New Roman" w:hAnsi="Times New Roman"/>
          <w:color w:val="000000"/>
          <w:sz w:val="28"/>
          <w:szCs w:val="28"/>
        </w:rPr>
        <w:t>” – 2,8%.</w:t>
      </w:r>
    </w:p>
    <w:p w:rsidR="00BF3736" w:rsidRPr="003A53F4" w:rsidRDefault="00BF3736" w:rsidP="00BF3736">
      <w:pPr>
        <w:pStyle w:val="ListParagraph1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>Доля средств из государственного бюджета составляет 13,4%, фондов обязательного медицинского страхования – 29,6%, международных доноров через утвержденные гранты – 13,5% и, соответственно, дефицит составляет 43,4% (включая то, что должна покрыть местная публичная администрация с левого берега Днестра).</w:t>
      </w:r>
    </w:p>
    <w:p w:rsidR="00BF3736" w:rsidRPr="003A53F4" w:rsidRDefault="00BF3736" w:rsidP="00BF3736">
      <w:pPr>
        <w:pStyle w:val="ListParagraph1"/>
        <w:spacing w:after="0" w:line="240" w:lineRule="auto"/>
        <w:ind w:left="70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 xml:space="preserve">Оценочная стоимость послужит аргументом и инструментом для получения доступа, как к национальным, так и к международным средствам и может быть скорректирована в течение реализации Программы с учетом эволюции национальной экономики, наличия средств на государственном уровне (государственный бюджет и фонд обязательного медицинского </w:t>
      </w:r>
      <w:r w:rsidRPr="003A53F4">
        <w:rPr>
          <w:rFonts w:ascii="Times New Roman" w:hAnsi="Times New Roman"/>
          <w:sz w:val="28"/>
          <w:szCs w:val="28"/>
        </w:rPr>
        <w:lastRenderedPageBreak/>
        <w:t xml:space="preserve">страхования), развития технологий диагностики и лечения ВИЧ-инфекции и инфекций, передающихся половым путем, и национальных и международных политик контроля ВИЧ-инфекции и инфекций, передающихся половым путем. </w:t>
      </w:r>
    </w:p>
    <w:p w:rsidR="00BF3736" w:rsidRPr="003A53F4" w:rsidRDefault="00BF3736" w:rsidP="00BF3736">
      <w:pPr>
        <w:pStyle w:val="ListParagraph1"/>
        <w:spacing w:after="0" w:line="240" w:lineRule="auto"/>
        <w:ind w:left="70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53F4">
        <w:rPr>
          <w:rFonts w:ascii="Times New Roman" w:eastAsia="Times New Roman" w:hAnsi="Times New Roman"/>
          <w:color w:val="000000"/>
          <w:sz w:val="28"/>
          <w:szCs w:val="28"/>
        </w:rPr>
        <w:t>Также позволит оценить и подкорректировать оценочную стоимость, в случае необходимости, исследование в середине периода реализации Национальной программы профилактики и контроля ВИЧ/СПИДа и инфекций, передающихся половым путем, на 2016-2020 гг.</w:t>
      </w:r>
    </w:p>
    <w:p w:rsidR="00BF3736" w:rsidRPr="003A53F4" w:rsidRDefault="00BF3736" w:rsidP="00BF3736">
      <w:pPr>
        <w:pStyle w:val="ListParagraph1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3736" w:rsidRPr="003A53F4" w:rsidRDefault="00BF3736" w:rsidP="00BF3736">
      <w:pPr>
        <w:tabs>
          <w:tab w:val="left" w:pos="1134"/>
        </w:tabs>
        <w:ind w:firstLine="0"/>
        <w:jc w:val="center"/>
        <w:rPr>
          <w:b/>
          <w:sz w:val="28"/>
          <w:szCs w:val="28"/>
        </w:rPr>
      </w:pPr>
      <w:r w:rsidRPr="003A53F4">
        <w:rPr>
          <w:b/>
          <w:sz w:val="28"/>
          <w:szCs w:val="28"/>
        </w:rPr>
        <w:t>Глава VII</w:t>
      </w:r>
      <w:r>
        <w:rPr>
          <w:b/>
          <w:sz w:val="28"/>
          <w:szCs w:val="28"/>
        </w:rPr>
        <w:t xml:space="preserve">. </w:t>
      </w:r>
      <w:r w:rsidRPr="003A53F4">
        <w:rPr>
          <w:b/>
          <w:sz w:val="28"/>
          <w:szCs w:val="28"/>
        </w:rPr>
        <w:t xml:space="preserve"> Ожидаемые результаты</w:t>
      </w:r>
    </w:p>
    <w:p w:rsidR="00BF3736" w:rsidRPr="003A53F4" w:rsidRDefault="00BF3736" w:rsidP="00BF3736">
      <w:pPr>
        <w:tabs>
          <w:tab w:val="left" w:pos="1134"/>
        </w:tabs>
        <w:ind w:firstLine="0"/>
        <w:jc w:val="center"/>
        <w:rPr>
          <w:b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 xml:space="preserve"> Национальная программа призвана удержать эпидемию в рамках групп повышенного риска инфицирования и не допустить распространения ВИЧ в общее население, а также придерживается новых мировых стратегий, которые продвигают наиболее эффективные вмешательства: стратегия 90-90-90.</w:t>
      </w: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 xml:space="preserve"> Выявление и диагностика 90% из оценочного числа инфицированных ВИЧ.</w:t>
      </w:r>
    </w:p>
    <w:p w:rsidR="00BF3736" w:rsidRPr="003A53F4" w:rsidRDefault="00BF3736" w:rsidP="00BF3736">
      <w:pPr>
        <w:pStyle w:val="ListParagraph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 xml:space="preserve"> Вовлечение в антиретровирусную терапию 90% диагностированных случаев.</w:t>
      </w:r>
    </w:p>
    <w:p w:rsidR="00BF3736" w:rsidRPr="003A53F4" w:rsidRDefault="00BF3736" w:rsidP="00BF3736">
      <w:pPr>
        <w:pStyle w:val="ListParagraph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3736" w:rsidRPr="003A53F4" w:rsidRDefault="00BF3736" w:rsidP="00BF3736">
      <w:pPr>
        <w:pStyle w:val="ListParagraph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 xml:space="preserve"> Подавление вирусной нагрузки у 90% лиц, получающих лечение.</w:t>
      </w:r>
    </w:p>
    <w:p w:rsidR="00BF3736" w:rsidRPr="003A53F4" w:rsidRDefault="00BF3736" w:rsidP="00BF3736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BF3736" w:rsidRPr="003A53F4" w:rsidRDefault="00BF3736" w:rsidP="00BF3736">
      <w:pPr>
        <w:tabs>
          <w:tab w:val="left" w:pos="1134"/>
        </w:tabs>
        <w:ind w:firstLine="0"/>
        <w:jc w:val="center"/>
        <w:rPr>
          <w:b/>
          <w:sz w:val="28"/>
          <w:szCs w:val="28"/>
        </w:rPr>
      </w:pPr>
      <w:r w:rsidRPr="003A53F4">
        <w:rPr>
          <w:b/>
          <w:sz w:val="28"/>
          <w:szCs w:val="28"/>
        </w:rPr>
        <w:t>Глава VIII</w:t>
      </w:r>
      <w:r>
        <w:rPr>
          <w:b/>
          <w:sz w:val="28"/>
          <w:szCs w:val="28"/>
        </w:rPr>
        <w:t xml:space="preserve">. </w:t>
      </w:r>
      <w:r w:rsidRPr="003A53F4">
        <w:rPr>
          <w:b/>
          <w:sz w:val="28"/>
          <w:szCs w:val="28"/>
        </w:rPr>
        <w:t xml:space="preserve"> Показатели прогресса и влияния</w:t>
      </w:r>
    </w:p>
    <w:p w:rsidR="00BF3736" w:rsidRPr="003A53F4" w:rsidRDefault="00BF3736" w:rsidP="00BF3736">
      <w:pPr>
        <w:tabs>
          <w:tab w:val="left" w:pos="1134"/>
        </w:tabs>
        <w:ind w:firstLine="0"/>
        <w:jc w:val="center"/>
        <w:rPr>
          <w:b/>
          <w:sz w:val="28"/>
          <w:szCs w:val="28"/>
        </w:rPr>
      </w:pPr>
    </w:p>
    <w:p w:rsidR="00BF3736" w:rsidRPr="003A53F4" w:rsidRDefault="00BF3736" w:rsidP="00BF373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A53F4">
        <w:rPr>
          <w:sz w:val="28"/>
          <w:szCs w:val="28"/>
        </w:rPr>
        <w:t>39. Показатели были сгруппированы в четыре категории: относящиеся к продукту, к процессу, к результату и к воздействию. Основной принцип в создании индикаторов состоит в «оценке прогресса» при реализации целей, задач и компонентов Программы. Составленные индикаторы также отражают потребности национальной и международной отчетности.</w:t>
      </w:r>
    </w:p>
    <w:p w:rsidR="00BF3736" w:rsidRPr="003A53F4" w:rsidRDefault="00BF3736" w:rsidP="00BF3736">
      <w:pPr>
        <w:tabs>
          <w:tab w:val="left" w:pos="993"/>
        </w:tabs>
        <w:ind w:firstLine="709"/>
        <w:rPr>
          <w:sz w:val="28"/>
          <w:szCs w:val="28"/>
        </w:rPr>
      </w:pPr>
    </w:p>
    <w:p w:rsidR="00BF3736" w:rsidRPr="003A53F4" w:rsidRDefault="00BF3736" w:rsidP="00BF3736">
      <w:pPr>
        <w:tabs>
          <w:tab w:val="left" w:pos="993"/>
        </w:tabs>
        <w:ind w:firstLine="709"/>
        <w:rPr>
          <w:sz w:val="28"/>
          <w:szCs w:val="28"/>
        </w:rPr>
      </w:pPr>
      <w:r w:rsidRPr="003A53F4">
        <w:rPr>
          <w:sz w:val="28"/>
          <w:szCs w:val="28"/>
        </w:rPr>
        <w:t xml:space="preserve">40. </w:t>
      </w:r>
      <w:r w:rsidRPr="003A53F4">
        <w:rPr>
          <w:b/>
          <w:sz w:val="28"/>
          <w:szCs w:val="28"/>
        </w:rPr>
        <w:t>Показатели к задаче 1:</w:t>
      </w:r>
    </w:p>
    <w:p w:rsidR="00BF3736" w:rsidRPr="003A53F4" w:rsidRDefault="00BF3736" w:rsidP="00BF3736">
      <w:pPr>
        <w:pStyle w:val="ListParagraph1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3F4">
        <w:rPr>
          <w:rFonts w:ascii="Times New Roman" w:hAnsi="Times New Roman"/>
          <w:sz w:val="28"/>
          <w:szCs w:val="28"/>
        </w:rPr>
        <w:t xml:space="preserve">Процент потребителей инъекционных наркотиков, </w:t>
      </w:r>
      <w:r>
        <w:rPr>
          <w:rFonts w:ascii="Times New Roman" w:hAnsi="Times New Roman"/>
          <w:sz w:val="28"/>
          <w:szCs w:val="28"/>
        </w:rPr>
        <w:t>охваченных</w:t>
      </w:r>
      <w:r w:rsidRPr="003A53F4">
        <w:rPr>
          <w:rFonts w:ascii="Times New Roman" w:hAnsi="Times New Roman"/>
          <w:sz w:val="28"/>
          <w:szCs w:val="28"/>
        </w:rPr>
        <w:t xml:space="preserve"> профилактическими услугами в рамках программ снижения рисков.</w:t>
      </w:r>
    </w:p>
    <w:p w:rsidR="00BF3736" w:rsidRPr="003A53F4" w:rsidRDefault="00BF3736" w:rsidP="00BF3736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A53F4">
        <w:rPr>
          <w:sz w:val="28"/>
          <w:szCs w:val="28"/>
          <w:lang w:eastAsia="ru-RU"/>
        </w:rPr>
        <w:t>Количество распределенных шприцев на одного потребителя инъекционных наркотиков в год.</w:t>
      </w:r>
    </w:p>
    <w:p w:rsidR="00BF3736" w:rsidRPr="003A53F4" w:rsidRDefault="00BF3736" w:rsidP="00BF3736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sz w:val="16"/>
          <w:szCs w:val="16"/>
        </w:rPr>
      </w:pPr>
      <w:r w:rsidRPr="003A53F4">
        <w:rPr>
          <w:sz w:val="28"/>
          <w:szCs w:val="28"/>
          <w:lang w:eastAsia="ru-RU"/>
        </w:rPr>
        <w:t>Процент потребителей инъекционных наркотиков, получающих заместительную терапию опиоидами не менее 6 месяцев.</w:t>
      </w:r>
      <w:r w:rsidRPr="003A53F4">
        <w:rPr>
          <w:sz w:val="28"/>
          <w:szCs w:val="28"/>
        </w:rPr>
        <w:t xml:space="preserve"> </w:t>
      </w:r>
    </w:p>
    <w:p w:rsidR="00BF3736" w:rsidRPr="003A53F4" w:rsidRDefault="00BF3736" w:rsidP="00BF3736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A53F4">
        <w:rPr>
          <w:sz w:val="28"/>
          <w:szCs w:val="28"/>
        </w:rPr>
        <w:t>Число</w:t>
      </w:r>
      <w:r w:rsidRPr="003A53F4">
        <w:rPr>
          <w:sz w:val="28"/>
          <w:szCs w:val="28"/>
          <w:lang w:eastAsia="ru-RU"/>
        </w:rPr>
        <w:t xml:space="preserve"> новых </w:t>
      </w:r>
      <w:r>
        <w:rPr>
          <w:sz w:val="28"/>
          <w:szCs w:val="28"/>
          <w:lang w:eastAsia="ru-RU"/>
        </w:rPr>
        <w:t>пациентов</w:t>
      </w:r>
      <w:r w:rsidRPr="003A53F4">
        <w:rPr>
          <w:sz w:val="28"/>
          <w:szCs w:val="28"/>
          <w:lang w:eastAsia="ru-RU"/>
        </w:rPr>
        <w:t xml:space="preserve"> на заместительной терапии</w:t>
      </w:r>
      <w:r w:rsidRPr="003A53F4">
        <w:rPr>
          <w:sz w:val="28"/>
          <w:szCs w:val="28"/>
        </w:rPr>
        <w:t xml:space="preserve"> из групп </w:t>
      </w:r>
      <w:r w:rsidRPr="003A53F4">
        <w:rPr>
          <w:sz w:val="28"/>
          <w:szCs w:val="28"/>
          <w:lang w:eastAsia="ru-RU"/>
        </w:rPr>
        <w:t>потребителей инъекционных</w:t>
      </w:r>
      <w:r w:rsidRPr="003A53F4">
        <w:rPr>
          <w:sz w:val="16"/>
          <w:szCs w:val="16"/>
          <w:lang w:eastAsia="ru-RU"/>
        </w:rPr>
        <w:t xml:space="preserve"> </w:t>
      </w:r>
      <w:r w:rsidRPr="003A53F4">
        <w:rPr>
          <w:sz w:val="28"/>
          <w:szCs w:val="28"/>
          <w:lang w:eastAsia="ru-RU"/>
        </w:rPr>
        <w:t>наркотиков.</w:t>
      </w:r>
    </w:p>
    <w:p w:rsidR="00BF3736" w:rsidRPr="003A53F4" w:rsidRDefault="00BF3736" w:rsidP="00BF3736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A53F4">
        <w:rPr>
          <w:sz w:val="28"/>
          <w:szCs w:val="28"/>
          <w:lang w:eastAsia="ru-RU"/>
        </w:rPr>
        <w:t>Количество территорий, где предоставляется заместительная терапия.</w:t>
      </w:r>
    </w:p>
    <w:p w:rsidR="00BF3736" w:rsidRPr="003A53F4" w:rsidRDefault="00BF3736" w:rsidP="00BF3736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A53F4">
        <w:rPr>
          <w:sz w:val="28"/>
          <w:szCs w:val="28"/>
        </w:rPr>
        <w:lastRenderedPageBreak/>
        <w:t>Процент</w:t>
      </w:r>
      <w:r w:rsidRPr="003A53F4">
        <w:rPr>
          <w:sz w:val="28"/>
          <w:szCs w:val="28"/>
          <w:lang w:eastAsia="ru-RU"/>
        </w:rPr>
        <w:t xml:space="preserve"> потребителей инъекционных наркотиков, </w:t>
      </w:r>
      <w:r>
        <w:rPr>
          <w:sz w:val="28"/>
          <w:szCs w:val="28"/>
          <w:lang w:eastAsia="ru-RU"/>
        </w:rPr>
        <w:t xml:space="preserve">охваченных </w:t>
      </w:r>
      <w:r w:rsidRPr="003A53F4">
        <w:rPr>
          <w:sz w:val="28"/>
          <w:szCs w:val="28"/>
          <w:lang w:eastAsia="ru-RU"/>
        </w:rPr>
        <w:t xml:space="preserve"> услугами психосоциальной поддержки и реабилитации от оценочного числа потребителей инъекционных наркотиков (базовое значение в </w:t>
      </w:r>
      <w:smartTag w:uri="urn:schemas-microsoft-com:office:smarttags" w:element="metricconverter">
        <w:smartTagPr>
          <w:attr w:name="ProductID" w:val="2014 г"/>
        </w:smartTagPr>
        <w:r w:rsidRPr="003A53F4">
          <w:rPr>
            <w:sz w:val="28"/>
            <w:szCs w:val="28"/>
            <w:lang w:eastAsia="ru-RU"/>
          </w:rPr>
          <w:t>2014 г</w:t>
        </w:r>
      </w:smartTag>
      <w:r w:rsidRPr="003A53F4">
        <w:rPr>
          <w:sz w:val="28"/>
          <w:szCs w:val="28"/>
          <w:lang w:eastAsia="ru-RU"/>
        </w:rPr>
        <w:t>. составляет 11%).</w:t>
      </w:r>
    </w:p>
    <w:p w:rsidR="00BF3736" w:rsidRPr="003A53F4" w:rsidRDefault="00BF3736" w:rsidP="00BF3736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A53F4">
        <w:rPr>
          <w:sz w:val="28"/>
          <w:szCs w:val="28"/>
        </w:rPr>
        <w:t>Процент</w:t>
      </w:r>
      <w:r w:rsidRPr="003A53F4">
        <w:rPr>
          <w:sz w:val="28"/>
          <w:szCs w:val="28"/>
          <w:lang w:eastAsia="ru-RU"/>
        </w:rPr>
        <w:t xml:space="preserve"> работниц коммерческого секса, </w:t>
      </w:r>
      <w:r>
        <w:rPr>
          <w:sz w:val="28"/>
          <w:szCs w:val="28"/>
          <w:lang w:eastAsia="ru-RU"/>
        </w:rPr>
        <w:t xml:space="preserve">охваченных </w:t>
      </w:r>
      <w:r w:rsidRPr="003A53F4">
        <w:rPr>
          <w:sz w:val="28"/>
          <w:szCs w:val="28"/>
          <w:lang w:eastAsia="ru-RU"/>
        </w:rPr>
        <w:t>профилактическими услугами в рамках программ снижения рисков.</w:t>
      </w:r>
    </w:p>
    <w:p w:rsidR="00BF3736" w:rsidRPr="003A53F4" w:rsidRDefault="00BF3736" w:rsidP="00BF3736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A53F4">
        <w:rPr>
          <w:sz w:val="28"/>
          <w:szCs w:val="28"/>
        </w:rPr>
        <w:t>Процент</w:t>
      </w:r>
      <w:r w:rsidRPr="003A53F4">
        <w:rPr>
          <w:sz w:val="28"/>
          <w:szCs w:val="28"/>
          <w:lang w:eastAsia="ru-RU"/>
        </w:rPr>
        <w:t xml:space="preserve"> мужчин, практикующих секс с мужчинами, </w:t>
      </w:r>
      <w:r>
        <w:rPr>
          <w:sz w:val="28"/>
          <w:szCs w:val="28"/>
          <w:lang w:eastAsia="ru-RU"/>
        </w:rPr>
        <w:t xml:space="preserve">охваченных </w:t>
      </w:r>
      <w:r w:rsidRPr="003A53F4">
        <w:rPr>
          <w:sz w:val="28"/>
          <w:szCs w:val="28"/>
          <w:lang w:eastAsia="ru-RU"/>
        </w:rPr>
        <w:t>профилактическими услугами в рамках программ снижения рисков.</w:t>
      </w:r>
    </w:p>
    <w:p w:rsidR="00BF3736" w:rsidRPr="003A53F4" w:rsidRDefault="00BF3736" w:rsidP="00BF3736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A53F4">
        <w:rPr>
          <w:sz w:val="28"/>
          <w:szCs w:val="28"/>
        </w:rPr>
        <w:t>Процент</w:t>
      </w:r>
      <w:r w:rsidRPr="003A53F4">
        <w:rPr>
          <w:sz w:val="28"/>
          <w:szCs w:val="28"/>
          <w:lang w:eastAsia="ru-RU"/>
        </w:rPr>
        <w:t xml:space="preserve"> потребителей инъекционных наркотиков, сдавших анализ на ВИЧ за последние 12 месяцев и знающих результат анализа.</w:t>
      </w:r>
    </w:p>
    <w:p w:rsidR="00BF3736" w:rsidRPr="003A53F4" w:rsidRDefault="00BF3736" w:rsidP="00BF3736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A53F4">
        <w:rPr>
          <w:sz w:val="28"/>
          <w:szCs w:val="28"/>
        </w:rPr>
        <w:t>Процент</w:t>
      </w:r>
      <w:r w:rsidRPr="003A53F4">
        <w:rPr>
          <w:sz w:val="28"/>
          <w:szCs w:val="28"/>
          <w:lang w:eastAsia="ru-RU"/>
        </w:rPr>
        <w:t xml:space="preserve"> работниц коммерческого секса, сдавших анализ на ВИЧ за последние 12 месяцев и знающих результат анализа.</w:t>
      </w:r>
    </w:p>
    <w:p w:rsidR="00BF3736" w:rsidRPr="003A53F4" w:rsidRDefault="00BF3736" w:rsidP="00BF3736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A53F4">
        <w:rPr>
          <w:sz w:val="28"/>
          <w:szCs w:val="28"/>
        </w:rPr>
        <w:t>Процент</w:t>
      </w:r>
      <w:r w:rsidRPr="003A53F4">
        <w:rPr>
          <w:sz w:val="28"/>
          <w:szCs w:val="28"/>
          <w:lang w:eastAsia="ru-RU"/>
        </w:rPr>
        <w:t xml:space="preserve"> мужчин, практикующих секс с мужчинами, сдавших анализ на ВИЧ за последние 12 месяцев и знающих результат анализа.</w:t>
      </w:r>
    </w:p>
    <w:p w:rsidR="00BF3736" w:rsidRPr="003A53F4" w:rsidRDefault="00BF3736" w:rsidP="00BF3736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A53F4">
        <w:rPr>
          <w:sz w:val="28"/>
          <w:szCs w:val="28"/>
        </w:rPr>
        <w:t>Процент</w:t>
      </w:r>
      <w:r w:rsidRPr="003A53F4">
        <w:rPr>
          <w:sz w:val="28"/>
          <w:szCs w:val="28"/>
          <w:lang w:eastAsia="ru-RU"/>
        </w:rPr>
        <w:t xml:space="preserve"> анализов крови, тестируемых на ВИЧ и сифилис, в соответствии с национальными протоколами.</w:t>
      </w:r>
    </w:p>
    <w:p w:rsidR="00BF3736" w:rsidRPr="003A53F4" w:rsidRDefault="00BF3736" w:rsidP="00BF3736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A53F4">
        <w:rPr>
          <w:sz w:val="28"/>
          <w:szCs w:val="28"/>
          <w:lang w:eastAsia="ru-RU"/>
        </w:rPr>
        <w:t xml:space="preserve">Частота заболеваемости сифилисом </w:t>
      </w:r>
      <w:r>
        <w:rPr>
          <w:sz w:val="28"/>
          <w:szCs w:val="28"/>
          <w:lang w:eastAsia="ru-RU"/>
        </w:rPr>
        <w:t>среди</w:t>
      </w:r>
      <w:r w:rsidRPr="003A53F4">
        <w:rPr>
          <w:sz w:val="28"/>
          <w:szCs w:val="28"/>
          <w:lang w:eastAsia="ru-RU"/>
        </w:rPr>
        <w:t xml:space="preserve"> населения в целом (базовое значение 52 случая на 100 000 населения).</w:t>
      </w:r>
    </w:p>
    <w:p w:rsidR="00BF3736" w:rsidRPr="003A53F4" w:rsidRDefault="00BF3736" w:rsidP="00BF3736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A53F4">
        <w:rPr>
          <w:sz w:val="28"/>
          <w:szCs w:val="28"/>
          <w:lang w:eastAsia="ru-RU"/>
        </w:rPr>
        <w:t>Частота</w:t>
      </w:r>
      <w:r w:rsidRPr="003A53F4">
        <w:rPr>
          <w:sz w:val="28"/>
          <w:szCs w:val="28"/>
        </w:rPr>
        <w:t xml:space="preserve"> заболеваемости гонококковой инфекцией среди населения (</w:t>
      </w:r>
      <w:r w:rsidRPr="003A53F4">
        <w:rPr>
          <w:sz w:val="28"/>
          <w:szCs w:val="28"/>
          <w:lang w:eastAsia="ru-RU"/>
        </w:rPr>
        <w:t xml:space="preserve">базовое значение </w:t>
      </w:r>
      <w:r w:rsidRPr="003A53F4">
        <w:rPr>
          <w:sz w:val="28"/>
          <w:szCs w:val="28"/>
        </w:rPr>
        <w:t>28 случаев на 100 000 населения)</w:t>
      </w:r>
    </w:p>
    <w:p w:rsidR="00BF3736" w:rsidRPr="003A53F4" w:rsidRDefault="00BF3736" w:rsidP="00BF3736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A53F4">
        <w:rPr>
          <w:sz w:val="28"/>
          <w:szCs w:val="28"/>
        </w:rPr>
        <w:t>Процент</w:t>
      </w:r>
      <w:r w:rsidRPr="003A53F4">
        <w:rPr>
          <w:sz w:val="28"/>
          <w:szCs w:val="28"/>
          <w:lang w:eastAsia="ru-RU"/>
        </w:rPr>
        <w:t xml:space="preserve"> молодежи в возрасте 15-24 лет, давш</w:t>
      </w:r>
      <w:r>
        <w:rPr>
          <w:sz w:val="28"/>
          <w:szCs w:val="28"/>
          <w:lang w:eastAsia="ru-RU"/>
        </w:rPr>
        <w:t>ей</w:t>
      </w:r>
      <w:r w:rsidRPr="003A53F4">
        <w:rPr>
          <w:sz w:val="28"/>
          <w:szCs w:val="28"/>
          <w:lang w:eastAsia="ru-RU"/>
        </w:rPr>
        <w:t xml:space="preserve"> правильные ответы о ВИЧ-инфекции (базовое значение 35,7%).</w:t>
      </w:r>
    </w:p>
    <w:p w:rsidR="00BF3736" w:rsidRPr="003A53F4" w:rsidRDefault="00BF3736" w:rsidP="00BF3736">
      <w:pPr>
        <w:tabs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</w:p>
    <w:p w:rsidR="00BF3736" w:rsidRPr="003A53F4" w:rsidRDefault="00BF3736" w:rsidP="00BF3736">
      <w:pPr>
        <w:tabs>
          <w:tab w:val="left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A53F4">
        <w:rPr>
          <w:sz w:val="28"/>
          <w:szCs w:val="28"/>
          <w:lang w:eastAsia="ru-RU"/>
        </w:rPr>
        <w:t xml:space="preserve">41.  </w:t>
      </w:r>
      <w:r w:rsidRPr="003A53F4">
        <w:rPr>
          <w:b/>
          <w:sz w:val="28"/>
          <w:szCs w:val="28"/>
          <w:lang w:eastAsia="ru-RU"/>
        </w:rPr>
        <w:t>Показатели к задаче 2:</w:t>
      </w:r>
    </w:p>
    <w:p w:rsidR="00BF3736" w:rsidRPr="003A53F4" w:rsidRDefault="00BF3736" w:rsidP="00BF3736">
      <w:pPr>
        <w:numPr>
          <w:ilvl w:val="0"/>
          <w:numId w:val="6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3A53F4">
        <w:rPr>
          <w:sz w:val="28"/>
          <w:szCs w:val="28"/>
        </w:rPr>
        <w:t>Процент лиц, живущих с ВИЧ и получающих антиретровирусную терапию, из оценочного числа нуждающихся в терапии.</w:t>
      </w:r>
    </w:p>
    <w:p w:rsidR="00BF3736" w:rsidRPr="003A53F4" w:rsidRDefault="00BF3736" w:rsidP="00BF3736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A53F4">
        <w:rPr>
          <w:sz w:val="28"/>
          <w:szCs w:val="28"/>
        </w:rPr>
        <w:t>Процент взрослых и детей, живущих с ВИЧ, получающих антиретровирусную терапию в течение 12 месяцев после начала лечения;</w:t>
      </w:r>
    </w:p>
    <w:p w:rsidR="00BF3736" w:rsidRPr="003A53F4" w:rsidRDefault="00BF3736" w:rsidP="00BF3736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A53F4">
        <w:rPr>
          <w:sz w:val="28"/>
          <w:szCs w:val="28"/>
        </w:rPr>
        <w:t>Процент взрослых и детей, живущих с ВИЧ, получающих антиретровирусную терапию в течение 24 месяцев после начала лечения;</w:t>
      </w:r>
    </w:p>
    <w:p w:rsidR="00BF3736" w:rsidRPr="003A53F4" w:rsidRDefault="00BF3736" w:rsidP="00BF3736">
      <w:pPr>
        <w:numPr>
          <w:ilvl w:val="0"/>
          <w:numId w:val="6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A53F4">
        <w:rPr>
          <w:sz w:val="28"/>
          <w:szCs w:val="28"/>
        </w:rPr>
        <w:t>Процент взрослых и детей, живущих с ВИЧ, получающих антиретровирусную терапию в течение 60 месяцев после начала лечения.</w:t>
      </w:r>
    </w:p>
    <w:p w:rsidR="00BF3736" w:rsidRPr="003A53F4" w:rsidRDefault="00BF3736" w:rsidP="00BF3736">
      <w:pPr>
        <w:numPr>
          <w:ilvl w:val="0"/>
          <w:numId w:val="6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A53F4">
        <w:rPr>
          <w:sz w:val="28"/>
          <w:szCs w:val="28"/>
        </w:rPr>
        <w:t>Процент лиц, инфицированных ВИЧ, которым был поставлен диагноз туберкулез за отчетный период, получающих противотуберкулезное лечение и антиретровирусную терапию.</w:t>
      </w:r>
    </w:p>
    <w:p w:rsidR="00BF3736" w:rsidRPr="003A53F4" w:rsidRDefault="00BF3736" w:rsidP="00BF3736">
      <w:pPr>
        <w:numPr>
          <w:ilvl w:val="0"/>
          <w:numId w:val="6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A53F4">
        <w:rPr>
          <w:sz w:val="28"/>
          <w:szCs w:val="28"/>
        </w:rPr>
        <w:t>Процент лиц, живущих с ВИЧ, за последний год обследовавшихся хотя бы один раз с целью определить уровень лимфоцитов CD4 за последний год.</w:t>
      </w:r>
    </w:p>
    <w:p w:rsidR="00BF3736" w:rsidRPr="003A53F4" w:rsidRDefault="00BF3736" w:rsidP="00BF3736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A53F4">
        <w:rPr>
          <w:sz w:val="28"/>
          <w:szCs w:val="28"/>
        </w:rPr>
        <w:t>Процент ВИЧ-положительных беременных женщин, которые получали антиретровирусную терапию для снижения вероятности передачи ВИЧ от матери к плоду</w:t>
      </w:r>
      <w:r>
        <w:rPr>
          <w:sz w:val="28"/>
          <w:szCs w:val="28"/>
        </w:rPr>
        <w:t>.</w:t>
      </w:r>
    </w:p>
    <w:p w:rsidR="00BF3736" w:rsidRPr="003A53F4" w:rsidRDefault="00BF3736" w:rsidP="00BF3736">
      <w:pPr>
        <w:numPr>
          <w:ilvl w:val="0"/>
          <w:numId w:val="6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A53F4">
        <w:rPr>
          <w:sz w:val="28"/>
          <w:szCs w:val="28"/>
        </w:rPr>
        <w:lastRenderedPageBreak/>
        <w:t>Процент детей, рожденных ВИЧ-положительными матерями, которым был сделан анализ для определения рибонуклеиновой кислоты ВИЧ в первые 2 месяца жизни.</w:t>
      </w:r>
    </w:p>
    <w:p w:rsidR="00BF3736" w:rsidRPr="003A53F4" w:rsidRDefault="00BF3736" w:rsidP="00BF3736">
      <w:pPr>
        <w:numPr>
          <w:ilvl w:val="0"/>
          <w:numId w:val="6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A53F4">
        <w:rPr>
          <w:sz w:val="28"/>
          <w:szCs w:val="28"/>
        </w:rPr>
        <w:t>Процент лиц, оказавшихся в ситуации риск</w:t>
      </w:r>
      <w:r>
        <w:rPr>
          <w:sz w:val="28"/>
          <w:szCs w:val="28"/>
        </w:rPr>
        <w:t>а</w:t>
      </w:r>
      <w:r w:rsidRPr="003A53F4">
        <w:rPr>
          <w:sz w:val="28"/>
          <w:szCs w:val="28"/>
        </w:rPr>
        <w:t xml:space="preserve"> заражения ВИЧ и обративши</w:t>
      </w:r>
      <w:r>
        <w:rPr>
          <w:sz w:val="28"/>
          <w:szCs w:val="28"/>
        </w:rPr>
        <w:t>х</w:t>
      </w:r>
      <w:r w:rsidRPr="003A53F4">
        <w:rPr>
          <w:sz w:val="28"/>
          <w:szCs w:val="28"/>
        </w:rPr>
        <w:t>ся за помощью, получивших профилактическое лечение, применяемое после контакта с вирусом.</w:t>
      </w:r>
    </w:p>
    <w:p w:rsidR="00BF3736" w:rsidRPr="003A53F4" w:rsidRDefault="00BF3736" w:rsidP="00BF3736">
      <w:pPr>
        <w:numPr>
          <w:ilvl w:val="0"/>
          <w:numId w:val="6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A53F4">
        <w:rPr>
          <w:sz w:val="28"/>
          <w:szCs w:val="28"/>
        </w:rPr>
        <w:t xml:space="preserve">Процент ВИЧ-инфицированных, </w:t>
      </w:r>
      <w:r>
        <w:rPr>
          <w:sz w:val="28"/>
          <w:szCs w:val="28"/>
        </w:rPr>
        <w:t xml:space="preserve">охваченных </w:t>
      </w:r>
      <w:r w:rsidRPr="003A53F4">
        <w:rPr>
          <w:sz w:val="28"/>
          <w:szCs w:val="28"/>
        </w:rPr>
        <w:t>психосоциальными услугами, предоставляемыми в рамках региональных социальных центров и неправительственных организаций, работающих в данной сфере (базовое значение 66,2%).</w:t>
      </w:r>
    </w:p>
    <w:p w:rsidR="00BF3736" w:rsidRPr="003A53F4" w:rsidRDefault="00BF3736" w:rsidP="00BF3736">
      <w:pPr>
        <w:numPr>
          <w:ilvl w:val="0"/>
          <w:numId w:val="6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A53F4">
        <w:rPr>
          <w:sz w:val="28"/>
          <w:szCs w:val="28"/>
        </w:rPr>
        <w:t>Процент больных сифилисом, обеспеченных специальным лечением (базовое значение 99,9%).</w:t>
      </w:r>
    </w:p>
    <w:p w:rsidR="00BF3736" w:rsidRPr="003A53F4" w:rsidRDefault="00BF3736" w:rsidP="00BF3736">
      <w:pPr>
        <w:numPr>
          <w:ilvl w:val="0"/>
          <w:numId w:val="6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A53F4">
        <w:rPr>
          <w:sz w:val="28"/>
          <w:szCs w:val="28"/>
        </w:rPr>
        <w:t xml:space="preserve">Процент случаев врожденного сифилиса на 100 000 </w:t>
      </w:r>
      <w:r>
        <w:rPr>
          <w:sz w:val="28"/>
          <w:szCs w:val="28"/>
        </w:rPr>
        <w:t xml:space="preserve"> человек </w:t>
      </w:r>
      <w:r w:rsidRPr="003A53F4">
        <w:rPr>
          <w:sz w:val="28"/>
          <w:szCs w:val="28"/>
        </w:rPr>
        <w:t>населения (базовое значение 18).</w:t>
      </w:r>
    </w:p>
    <w:p w:rsidR="00BF3736" w:rsidRPr="003A53F4" w:rsidRDefault="00BF3736" w:rsidP="00BF3736">
      <w:pPr>
        <w:numPr>
          <w:ilvl w:val="0"/>
          <w:numId w:val="6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A53F4">
        <w:rPr>
          <w:sz w:val="28"/>
          <w:szCs w:val="28"/>
        </w:rPr>
        <w:t>Процент больных гонококковой инфекцией, обеспеченных специальным лечением (базовое значение 99,9%).</w:t>
      </w:r>
    </w:p>
    <w:p w:rsidR="00BF3736" w:rsidRPr="003A53F4" w:rsidRDefault="00BF3736" w:rsidP="00BF3736">
      <w:pPr>
        <w:ind w:firstLine="709"/>
        <w:jc w:val="center"/>
        <w:rPr>
          <w:b/>
          <w:sz w:val="28"/>
          <w:szCs w:val="28"/>
        </w:rPr>
      </w:pPr>
    </w:p>
    <w:p w:rsidR="00BF3736" w:rsidRPr="003A53F4" w:rsidRDefault="00BF3736" w:rsidP="00BF3736">
      <w:pPr>
        <w:ind w:firstLine="0"/>
        <w:jc w:val="center"/>
        <w:rPr>
          <w:b/>
          <w:sz w:val="28"/>
          <w:szCs w:val="28"/>
        </w:rPr>
      </w:pPr>
      <w:r w:rsidRPr="003A53F4">
        <w:rPr>
          <w:b/>
          <w:sz w:val="28"/>
          <w:szCs w:val="28"/>
        </w:rPr>
        <w:t>Глава IX</w:t>
      </w:r>
      <w:r>
        <w:rPr>
          <w:b/>
          <w:sz w:val="28"/>
          <w:szCs w:val="28"/>
        </w:rPr>
        <w:t xml:space="preserve">. </w:t>
      </w:r>
      <w:r w:rsidRPr="003A53F4">
        <w:rPr>
          <w:b/>
          <w:sz w:val="28"/>
          <w:szCs w:val="28"/>
        </w:rPr>
        <w:t>Процесс мониторинга и оценки</w:t>
      </w:r>
    </w:p>
    <w:p w:rsidR="00BF3736" w:rsidRPr="003A53F4" w:rsidRDefault="00BF3736" w:rsidP="00BF3736">
      <w:pPr>
        <w:ind w:firstLine="709"/>
        <w:jc w:val="center"/>
        <w:rPr>
          <w:b/>
          <w:sz w:val="28"/>
          <w:szCs w:val="28"/>
        </w:rPr>
      </w:pPr>
    </w:p>
    <w:p w:rsidR="00BF3736" w:rsidRPr="003A53F4" w:rsidRDefault="00BF3736" w:rsidP="00BF373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53F4">
        <w:rPr>
          <w:sz w:val="28"/>
          <w:szCs w:val="28"/>
        </w:rPr>
        <w:t>42. О реализации Программы представляются следующие отчеты:</w:t>
      </w:r>
    </w:p>
    <w:p w:rsidR="00BF3736" w:rsidRPr="003A53F4" w:rsidRDefault="00BF3736" w:rsidP="00BF373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53F4">
        <w:rPr>
          <w:sz w:val="28"/>
          <w:szCs w:val="28"/>
        </w:rPr>
        <w:t xml:space="preserve">Ежегодный отчет о мониторинге и оценке </w:t>
      </w:r>
      <w:r>
        <w:rPr>
          <w:sz w:val="28"/>
          <w:szCs w:val="28"/>
        </w:rPr>
        <w:t>инфекции</w:t>
      </w:r>
      <w:r w:rsidRPr="003A53F4">
        <w:rPr>
          <w:sz w:val="28"/>
          <w:szCs w:val="28"/>
        </w:rPr>
        <w:t xml:space="preserve"> ВИЧ/СПИДа и инфекций, передающихся половым путем.</w:t>
      </w:r>
    </w:p>
    <w:p w:rsidR="00BF3736" w:rsidRPr="003A53F4" w:rsidRDefault="00BF3736" w:rsidP="00BF373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53F4">
        <w:rPr>
          <w:sz w:val="28"/>
          <w:szCs w:val="28"/>
        </w:rPr>
        <w:t>Отчеты, связанные с международными обязательствами Республики Молдова.</w:t>
      </w:r>
    </w:p>
    <w:p w:rsidR="00BF3736" w:rsidRPr="003A53F4" w:rsidRDefault="00BF3736" w:rsidP="00BF373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53F4">
        <w:rPr>
          <w:sz w:val="28"/>
          <w:szCs w:val="28"/>
        </w:rPr>
        <w:t>Отчет об оценке в середине и в конце срока реализации Программы.</w:t>
      </w:r>
    </w:p>
    <w:p w:rsidR="00BF3736" w:rsidRPr="003A53F4" w:rsidRDefault="00BF3736" w:rsidP="00BF373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53F4">
        <w:rPr>
          <w:sz w:val="28"/>
          <w:szCs w:val="28"/>
          <w:lang w:eastAsia="ru-RU"/>
        </w:rPr>
        <w:t xml:space="preserve"> Годовой отчет о прогрессе Программы составляет учреждение, координирующее Национальную программу, который будет базироваться на показателях и задачах Программы, уделяя основное внимание оценке </w:t>
      </w:r>
      <w:r>
        <w:rPr>
          <w:sz w:val="28"/>
          <w:szCs w:val="28"/>
          <w:lang w:eastAsia="ru-RU"/>
        </w:rPr>
        <w:t xml:space="preserve">уровню </w:t>
      </w:r>
      <w:r w:rsidRPr="003A53F4">
        <w:rPr>
          <w:sz w:val="28"/>
          <w:szCs w:val="28"/>
          <w:lang w:eastAsia="ru-RU"/>
        </w:rPr>
        <w:t xml:space="preserve">достижений ожидаемых результатов. </w:t>
      </w:r>
    </w:p>
    <w:p w:rsidR="00BF3736" w:rsidRPr="003A53F4" w:rsidRDefault="00BF3736" w:rsidP="00BF3736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</w:p>
    <w:p w:rsidR="00BF3736" w:rsidRPr="003A53F4" w:rsidRDefault="00BF3736" w:rsidP="00BF373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53F4">
        <w:rPr>
          <w:sz w:val="28"/>
          <w:szCs w:val="28"/>
          <w:lang w:eastAsia="ru-RU"/>
        </w:rPr>
        <w:t>43. Результаты будут пред</w:t>
      </w:r>
      <w:r>
        <w:rPr>
          <w:sz w:val="28"/>
          <w:szCs w:val="28"/>
          <w:lang w:eastAsia="ru-RU"/>
        </w:rPr>
        <w:t>о</w:t>
      </w:r>
      <w:r w:rsidRPr="003A53F4">
        <w:rPr>
          <w:sz w:val="28"/>
          <w:szCs w:val="28"/>
          <w:lang w:eastAsia="ru-RU"/>
        </w:rPr>
        <w:t xml:space="preserve">ставляться Министерству </w:t>
      </w:r>
      <w:r w:rsidR="00EA60E0">
        <w:rPr>
          <w:sz w:val="28"/>
          <w:szCs w:val="28"/>
          <w:lang w:eastAsia="ru-RU"/>
        </w:rPr>
        <w:t>здравоохранения, труда и социальной защиты</w:t>
      </w:r>
      <w:r w:rsidRPr="003A53F4">
        <w:rPr>
          <w:sz w:val="28"/>
          <w:szCs w:val="28"/>
          <w:lang w:eastAsia="ru-RU"/>
        </w:rPr>
        <w:t>, ежегодно, до 31 марта.</w:t>
      </w:r>
    </w:p>
    <w:p w:rsidR="00BF3736" w:rsidRPr="003A53F4" w:rsidRDefault="00BF3736" w:rsidP="00BF3736">
      <w:pPr>
        <w:tabs>
          <w:tab w:val="left" w:pos="993"/>
        </w:tabs>
        <w:jc w:val="both"/>
        <w:rPr>
          <w:sz w:val="28"/>
          <w:szCs w:val="28"/>
        </w:rPr>
      </w:pPr>
    </w:p>
    <w:p w:rsidR="00BF3736" w:rsidRPr="003A53F4" w:rsidRDefault="00BF3736" w:rsidP="00BF3736">
      <w:pPr>
        <w:contextualSpacing/>
        <w:jc w:val="both"/>
        <w:rPr>
          <w:sz w:val="28"/>
          <w:szCs w:val="28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461"/>
    <w:multiLevelType w:val="hybridMultilevel"/>
    <w:tmpl w:val="9732F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121B"/>
    <w:multiLevelType w:val="hybridMultilevel"/>
    <w:tmpl w:val="E8D26EE0"/>
    <w:lvl w:ilvl="0" w:tplc="04190011">
      <w:start w:val="1"/>
      <w:numFmt w:val="decimal"/>
      <w:lvlText w:val="%1)"/>
      <w:lvlJc w:val="left"/>
      <w:pPr>
        <w:ind w:left="1130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F646690"/>
    <w:multiLevelType w:val="hybridMultilevel"/>
    <w:tmpl w:val="91D64312"/>
    <w:lvl w:ilvl="0" w:tplc="0852B5E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A7FCFBB6" w:tentative="1">
      <w:start w:val="1"/>
      <w:numFmt w:val="lowerLetter"/>
      <w:lvlText w:val="%2."/>
      <w:lvlJc w:val="left"/>
      <w:pPr>
        <w:ind w:left="1785" w:hanging="360"/>
      </w:pPr>
    </w:lvl>
    <w:lvl w:ilvl="2" w:tplc="0F00CF90" w:tentative="1">
      <w:start w:val="1"/>
      <w:numFmt w:val="lowerRoman"/>
      <w:lvlText w:val="%3."/>
      <w:lvlJc w:val="right"/>
      <w:pPr>
        <w:ind w:left="2505" w:hanging="180"/>
      </w:pPr>
    </w:lvl>
    <w:lvl w:ilvl="3" w:tplc="50B485A0" w:tentative="1">
      <w:start w:val="1"/>
      <w:numFmt w:val="decimal"/>
      <w:lvlText w:val="%4."/>
      <w:lvlJc w:val="left"/>
      <w:pPr>
        <w:ind w:left="3225" w:hanging="360"/>
      </w:pPr>
    </w:lvl>
    <w:lvl w:ilvl="4" w:tplc="D39EFD86" w:tentative="1">
      <w:start w:val="1"/>
      <w:numFmt w:val="lowerLetter"/>
      <w:lvlText w:val="%5."/>
      <w:lvlJc w:val="left"/>
      <w:pPr>
        <w:ind w:left="3945" w:hanging="360"/>
      </w:pPr>
    </w:lvl>
    <w:lvl w:ilvl="5" w:tplc="97CAB8FC" w:tentative="1">
      <w:start w:val="1"/>
      <w:numFmt w:val="lowerRoman"/>
      <w:lvlText w:val="%6."/>
      <w:lvlJc w:val="right"/>
      <w:pPr>
        <w:ind w:left="4665" w:hanging="180"/>
      </w:pPr>
    </w:lvl>
    <w:lvl w:ilvl="6" w:tplc="35D6AFFA" w:tentative="1">
      <w:start w:val="1"/>
      <w:numFmt w:val="decimal"/>
      <w:lvlText w:val="%7."/>
      <w:lvlJc w:val="left"/>
      <w:pPr>
        <w:ind w:left="5385" w:hanging="360"/>
      </w:pPr>
    </w:lvl>
    <w:lvl w:ilvl="7" w:tplc="7520DB5C" w:tentative="1">
      <w:start w:val="1"/>
      <w:numFmt w:val="lowerLetter"/>
      <w:lvlText w:val="%8."/>
      <w:lvlJc w:val="left"/>
      <w:pPr>
        <w:ind w:left="6105" w:hanging="360"/>
      </w:pPr>
    </w:lvl>
    <w:lvl w:ilvl="8" w:tplc="FEF8260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CF4AAB"/>
    <w:multiLevelType w:val="hybridMultilevel"/>
    <w:tmpl w:val="690EA9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44B37"/>
    <w:multiLevelType w:val="hybridMultilevel"/>
    <w:tmpl w:val="BA5266BA"/>
    <w:lvl w:ilvl="0" w:tplc="C076277A">
      <w:start w:val="1"/>
      <w:numFmt w:val="decimal"/>
      <w:lvlText w:val="%1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2B50622"/>
    <w:multiLevelType w:val="hybridMultilevel"/>
    <w:tmpl w:val="5412B5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963FA4"/>
    <w:multiLevelType w:val="hybridMultilevel"/>
    <w:tmpl w:val="1554B3A4"/>
    <w:lvl w:ilvl="0" w:tplc="11C636B8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736"/>
    <w:rsid w:val="0000167D"/>
    <w:rsid w:val="00002D1D"/>
    <w:rsid w:val="0000489F"/>
    <w:rsid w:val="0000555F"/>
    <w:rsid w:val="000055B4"/>
    <w:rsid w:val="00006CD1"/>
    <w:rsid w:val="00007D5F"/>
    <w:rsid w:val="0001283A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5B08"/>
    <w:rsid w:val="000B637B"/>
    <w:rsid w:val="000B6435"/>
    <w:rsid w:val="000B677D"/>
    <w:rsid w:val="000C0122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0A1F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193A"/>
    <w:rsid w:val="001158CA"/>
    <w:rsid w:val="001204A6"/>
    <w:rsid w:val="00120BD8"/>
    <w:rsid w:val="00123572"/>
    <w:rsid w:val="00125D16"/>
    <w:rsid w:val="00127D7C"/>
    <w:rsid w:val="00130C30"/>
    <w:rsid w:val="00132DFD"/>
    <w:rsid w:val="00133178"/>
    <w:rsid w:val="00134BE1"/>
    <w:rsid w:val="00137664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1B0"/>
    <w:rsid w:val="001F5852"/>
    <w:rsid w:val="001F7295"/>
    <w:rsid w:val="002000BB"/>
    <w:rsid w:val="00201C03"/>
    <w:rsid w:val="00202454"/>
    <w:rsid w:val="00202BB1"/>
    <w:rsid w:val="00202E0E"/>
    <w:rsid w:val="00203224"/>
    <w:rsid w:val="00203E1C"/>
    <w:rsid w:val="0020553D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489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248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379"/>
    <w:rsid w:val="002B0FC0"/>
    <w:rsid w:val="002B2987"/>
    <w:rsid w:val="002B39F5"/>
    <w:rsid w:val="002B7136"/>
    <w:rsid w:val="002C12A8"/>
    <w:rsid w:val="002C1605"/>
    <w:rsid w:val="002C1664"/>
    <w:rsid w:val="002C1877"/>
    <w:rsid w:val="002C220C"/>
    <w:rsid w:val="002C2BA8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4BE7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430"/>
    <w:rsid w:val="00344CEC"/>
    <w:rsid w:val="003461B6"/>
    <w:rsid w:val="00350EE2"/>
    <w:rsid w:val="003529C6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60C4"/>
    <w:rsid w:val="00397343"/>
    <w:rsid w:val="003A0752"/>
    <w:rsid w:val="003A1E92"/>
    <w:rsid w:val="003A2BF4"/>
    <w:rsid w:val="003B3733"/>
    <w:rsid w:val="003B3ED2"/>
    <w:rsid w:val="003B5D5C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3F6EC4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56E3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17C3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6DC3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77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61AF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C9B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150C0"/>
    <w:rsid w:val="006205F3"/>
    <w:rsid w:val="0062207C"/>
    <w:rsid w:val="00623D87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7C0"/>
    <w:rsid w:val="00640B0E"/>
    <w:rsid w:val="0064337F"/>
    <w:rsid w:val="00644701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2AAA"/>
    <w:rsid w:val="00693AE4"/>
    <w:rsid w:val="00693DBC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37B8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E2603"/>
    <w:rsid w:val="006E2DF1"/>
    <w:rsid w:val="006E319E"/>
    <w:rsid w:val="006E3E54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6B4D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7FC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D4A3D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481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4E5A"/>
    <w:rsid w:val="008B585D"/>
    <w:rsid w:val="008B6026"/>
    <w:rsid w:val="008C035E"/>
    <w:rsid w:val="008C0377"/>
    <w:rsid w:val="008C2405"/>
    <w:rsid w:val="008C245E"/>
    <w:rsid w:val="008C2A4E"/>
    <w:rsid w:val="008C2B16"/>
    <w:rsid w:val="008C3BCF"/>
    <w:rsid w:val="008C4E14"/>
    <w:rsid w:val="008C4E44"/>
    <w:rsid w:val="008C7162"/>
    <w:rsid w:val="008D208F"/>
    <w:rsid w:val="008D4891"/>
    <w:rsid w:val="008D4A77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03CC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1801"/>
    <w:rsid w:val="00962DD6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4BC8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37DC"/>
    <w:rsid w:val="009F613D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2AAD"/>
    <w:rsid w:val="00A1337F"/>
    <w:rsid w:val="00A13771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C44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86A99"/>
    <w:rsid w:val="00A901F6"/>
    <w:rsid w:val="00A96430"/>
    <w:rsid w:val="00A965C0"/>
    <w:rsid w:val="00AA011B"/>
    <w:rsid w:val="00AA2D75"/>
    <w:rsid w:val="00AA3AF8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E6263"/>
    <w:rsid w:val="00AF0593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A42"/>
    <w:rsid w:val="00B01FA2"/>
    <w:rsid w:val="00B02831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709"/>
    <w:rsid w:val="00B158ED"/>
    <w:rsid w:val="00B16009"/>
    <w:rsid w:val="00B1671D"/>
    <w:rsid w:val="00B17055"/>
    <w:rsid w:val="00B20959"/>
    <w:rsid w:val="00B21211"/>
    <w:rsid w:val="00B22298"/>
    <w:rsid w:val="00B22453"/>
    <w:rsid w:val="00B255A9"/>
    <w:rsid w:val="00B25965"/>
    <w:rsid w:val="00B27059"/>
    <w:rsid w:val="00B33329"/>
    <w:rsid w:val="00B35054"/>
    <w:rsid w:val="00B37461"/>
    <w:rsid w:val="00B407CC"/>
    <w:rsid w:val="00B41C3B"/>
    <w:rsid w:val="00B41ECC"/>
    <w:rsid w:val="00B448CE"/>
    <w:rsid w:val="00B45684"/>
    <w:rsid w:val="00B463A4"/>
    <w:rsid w:val="00B504BB"/>
    <w:rsid w:val="00B5091C"/>
    <w:rsid w:val="00B52738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19D6"/>
    <w:rsid w:val="00B81E30"/>
    <w:rsid w:val="00B833DF"/>
    <w:rsid w:val="00B83FDD"/>
    <w:rsid w:val="00B84274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3B15"/>
    <w:rsid w:val="00BA4778"/>
    <w:rsid w:val="00BA708D"/>
    <w:rsid w:val="00BB0B67"/>
    <w:rsid w:val="00BB198D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411F"/>
    <w:rsid w:val="00BE65BF"/>
    <w:rsid w:val="00BE682E"/>
    <w:rsid w:val="00BE7E3A"/>
    <w:rsid w:val="00BF13BF"/>
    <w:rsid w:val="00BF25B2"/>
    <w:rsid w:val="00BF28BA"/>
    <w:rsid w:val="00BF2FE1"/>
    <w:rsid w:val="00BF3736"/>
    <w:rsid w:val="00BF4732"/>
    <w:rsid w:val="00BF5DD2"/>
    <w:rsid w:val="00BF690D"/>
    <w:rsid w:val="00BF6F0A"/>
    <w:rsid w:val="00BF6FBF"/>
    <w:rsid w:val="00BF79A8"/>
    <w:rsid w:val="00C003A3"/>
    <w:rsid w:val="00C01006"/>
    <w:rsid w:val="00C02F06"/>
    <w:rsid w:val="00C05286"/>
    <w:rsid w:val="00C05FB8"/>
    <w:rsid w:val="00C06C3A"/>
    <w:rsid w:val="00C06E26"/>
    <w:rsid w:val="00C1176E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296B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6E7E"/>
    <w:rsid w:val="00C875AB"/>
    <w:rsid w:val="00C878B2"/>
    <w:rsid w:val="00C915CF"/>
    <w:rsid w:val="00C9190D"/>
    <w:rsid w:val="00C92DB3"/>
    <w:rsid w:val="00C93314"/>
    <w:rsid w:val="00C939F9"/>
    <w:rsid w:val="00C9403E"/>
    <w:rsid w:val="00C9413E"/>
    <w:rsid w:val="00C94B8C"/>
    <w:rsid w:val="00C95BD8"/>
    <w:rsid w:val="00C970DA"/>
    <w:rsid w:val="00CA24FE"/>
    <w:rsid w:val="00CA3D16"/>
    <w:rsid w:val="00CA45BE"/>
    <w:rsid w:val="00CA46D3"/>
    <w:rsid w:val="00CA529F"/>
    <w:rsid w:val="00CA6B2F"/>
    <w:rsid w:val="00CB2AC9"/>
    <w:rsid w:val="00CB5D25"/>
    <w:rsid w:val="00CB7AFD"/>
    <w:rsid w:val="00CC1A20"/>
    <w:rsid w:val="00CC1D62"/>
    <w:rsid w:val="00CC5E64"/>
    <w:rsid w:val="00CC60AF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E6BB7"/>
    <w:rsid w:val="00CF0527"/>
    <w:rsid w:val="00CF1295"/>
    <w:rsid w:val="00CF2552"/>
    <w:rsid w:val="00CF30A8"/>
    <w:rsid w:val="00CF5536"/>
    <w:rsid w:val="00CF5F42"/>
    <w:rsid w:val="00CF69C2"/>
    <w:rsid w:val="00CF7923"/>
    <w:rsid w:val="00CF7D35"/>
    <w:rsid w:val="00CF7EDD"/>
    <w:rsid w:val="00D00B72"/>
    <w:rsid w:val="00D00E73"/>
    <w:rsid w:val="00D016FB"/>
    <w:rsid w:val="00D01E26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9B9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5E94"/>
    <w:rsid w:val="00D96284"/>
    <w:rsid w:val="00DA2060"/>
    <w:rsid w:val="00DA24F7"/>
    <w:rsid w:val="00DA310A"/>
    <w:rsid w:val="00DA514F"/>
    <w:rsid w:val="00DA5190"/>
    <w:rsid w:val="00DA54BA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543B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2B0A"/>
    <w:rsid w:val="00DF4073"/>
    <w:rsid w:val="00DF424C"/>
    <w:rsid w:val="00DF58B0"/>
    <w:rsid w:val="00DF6DA5"/>
    <w:rsid w:val="00DF7774"/>
    <w:rsid w:val="00E02E41"/>
    <w:rsid w:val="00E02E76"/>
    <w:rsid w:val="00E05B3E"/>
    <w:rsid w:val="00E05E7B"/>
    <w:rsid w:val="00E06647"/>
    <w:rsid w:val="00E06ADA"/>
    <w:rsid w:val="00E103B9"/>
    <w:rsid w:val="00E1376E"/>
    <w:rsid w:val="00E13C67"/>
    <w:rsid w:val="00E15393"/>
    <w:rsid w:val="00E169ED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16A2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0E0"/>
    <w:rsid w:val="00EA65A5"/>
    <w:rsid w:val="00EA6BE0"/>
    <w:rsid w:val="00EA7782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C7A8C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0D0"/>
    <w:rsid w:val="00F363DA"/>
    <w:rsid w:val="00F37C1D"/>
    <w:rsid w:val="00F40795"/>
    <w:rsid w:val="00F40CBD"/>
    <w:rsid w:val="00F427C3"/>
    <w:rsid w:val="00F42F63"/>
    <w:rsid w:val="00F44479"/>
    <w:rsid w:val="00F44761"/>
    <w:rsid w:val="00F45837"/>
    <w:rsid w:val="00F45EA1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67B"/>
    <w:rsid w:val="00F96E88"/>
    <w:rsid w:val="00FA2BA0"/>
    <w:rsid w:val="00FA2D2D"/>
    <w:rsid w:val="00FA32DE"/>
    <w:rsid w:val="00FA4CCF"/>
    <w:rsid w:val="00FA6B3A"/>
    <w:rsid w:val="00FA7C07"/>
    <w:rsid w:val="00FB017C"/>
    <w:rsid w:val="00FB01F8"/>
    <w:rsid w:val="00FB2406"/>
    <w:rsid w:val="00FB2D60"/>
    <w:rsid w:val="00FB5257"/>
    <w:rsid w:val="00FB634B"/>
    <w:rsid w:val="00FB707A"/>
    <w:rsid w:val="00FC1CBA"/>
    <w:rsid w:val="00FC304A"/>
    <w:rsid w:val="00FC322D"/>
    <w:rsid w:val="00FC74F1"/>
    <w:rsid w:val="00FD40A2"/>
    <w:rsid w:val="00FD45AE"/>
    <w:rsid w:val="00FD4E6E"/>
    <w:rsid w:val="00FE0216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36"/>
    <w:pPr>
      <w:spacing w:after="0" w:line="240" w:lineRule="auto"/>
      <w:ind w:firstLine="1134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BF3736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BF3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3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ds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www.aids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Abs</c:v>
                </c:pt>
              </c:strCache>
            </c:strRef>
          </c:tx>
          <c:dLbls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lang="ru-RU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Val val="1"/>
          </c:dLbls>
          <c:cat>
            <c:strRef>
              <c:f>Sheet1!$A$2:$A$7</c:f>
              <c:strCache>
                <c:ptCount val="6"/>
                <c:pt idx="0">
                  <c:v>Количество ВИЧ+ инфецированных</c:v>
                </c:pt>
                <c:pt idx="1">
                  <c:v>Диагностированы</c:v>
                </c:pt>
                <c:pt idx="2">
                  <c:v>Под активным наблюдением</c:v>
                </c:pt>
                <c:pt idx="3">
                  <c:v>Нуждаются в антиретровирусной терапии</c:v>
                </c:pt>
                <c:pt idx="4">
                  <c:v>Включены в антиретровиральную терапию</c:v>
                </c:pt>
                <c:pt idx="5">
                  <c:v>С супресиивным вирусом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17541</c:v>
                </c:pt>
                <c:pt idx="1">
                  <c:v>6891</c:v>
                </c:pt>
                <c:pt idx="2">
                  <c:v>5711</c:v>
                </c:pt>
                <c:pt idx="3">
                  <c:v>4233</c:v>
                </c:pt>
                <c:pt idx="4">
                  <c:v>3116</c:v>
                </c:pt>
                <c:pt idx="5">
                  <c:v>2378</c:v>
                </c:pt>
              </c:numCache>
            </c:numRef>
          </c:val>
        </c:ser>
        <c:axId val="144462976"/>
        <c:axId val="144464512"/>
      </c:barChart>
      <c:lineChart>
        <c:grouping val="standard"/>
        <c:ser>
          <c:idx val="1"/>
          <c:order val="1"/>
          <c:tx>
            <c:strRef>
              <c:f>Sheet1!$C$1</c:f>
              <c:strCache>
                <c:ptCount val="1"/>
                <c:pt idx="0">
                  <c:v>%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strRef>
              <c:f>Sheet1!$A$2:$A$7</c:f>
              <c:strCache>
                <c:ptCount val="6"/>
                <c:pt idx="0">
                  <c:v>Количество ВИЧ+ инфецированных</c:v>
                </c:pt>
                <c:pt idx="1">
                  <c:v>Диагностированы</c:v>
                </c:pt>
                <c:pt idx="2">
                  <c:v>Под активным наблюдением</c:v>
                </c:pt>
                <c:pt idx="3">
                  <c:v>Нуждаются в антиретровирусной терапии</c:v>
                </c:pt>
                <c:pt idx="4">
                  <c:v>Включены в антиретровиральную терапию</c:v>
                </c:pt>
                <c:pt idx="5">
                  <c:v>С супресиивным вирусом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100</c:v>
                </c:pt>
                <c:pt idx="1">
                  <c:v>39.285103471865909</c:v>
                </c:pt>
                <c:pt idx="2">
                  <c:v>32.558006955133642</c:v>
                </c:pt>
                <c:pt idx="3">
                  <c:v>24.132033521463974</c:v>
                </c:pt>
                <c:pt idx="4">
                  <c:v>17.764095547574232</c:v>
                </c:pt>
                <c:pt idx="5">
                  <c:v>13.556809759990879</c:v>
                </c:pt>
              </c:numCache>
            </c:numRef>
          </c:val>
        </c:ser>
        <c:marker val="1"/>
        <c:axId val="144466688"/>
        <c:axId val="144468224"/>
      </c:lineChart>
      <c:catAx>
        <c:axId val="1444629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44464512"/>
        <c:crosses val="autoZero"/>
        <c:auto val="1"/>
        <c:lblAlgn val="ctr"/>
        <c:lblOffset val="100"/>
      </c:catAx>
      <c:valAx>
        <c:axId val="144464512"/>
        <c:scaling>
          <c:orientation val="minMax"/>
          <c:max val="17541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 lang="en-US" sz="1000" b="1" i="0" u="none" strike="noStrike" baseline="0">
                    <a:solidFill>
                      <a:srgbClr val="8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число лиц</a:t>
                </a:r>
              </a:p>
            </c:rich>
          </c:tx>
          <c:layout>
            <c:manualLayout>
              <c:xMode val="edge"/>
              <c:yMode val="edge"/>
              <c:x val="2.2289689750319697E-2"/>
              <c:y val="0.10385826771653543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44462976"/>
        <c:crosses val="autoZero"/>
        <c:crossBetween val="between"/>
      </c:valAx>
      <c:catAx>
        <c:axId val="144466688"/>
        <c:scaling>
          <c:orientation val="minMax"/>
        </c:scaling>
        <c:delete val="1"/>
        <c:axPos val="b"/>
        <c:tickLblPos val="none"/>
        <c:crossAx val="144468224"/>
        <c:crosses val="autoZero"/>
        <c:auto val="1"/>
        <c:lblAlgn val="ctr"/>
        <c:lblOffset val="100"/>
      </c:catAx>
      <c:valAx>
        <c:axId val="144468224"/>
        <c:scaling>
          <c:orientation val="minMax"/>
          <c:max val="100"/>
        </c:scaling>
        <c:axPos val="r"/>
        <c:title>
          <c:tx>
            <c:rich>
              <a:bodyPr rot="-5400000" vert="horz"/>
              <a:lstStyle/>
              <a:p>
                <a:pPr>
                  <a:defRPr lang="ru-RU"/>
                </a:pPr>
                <a:r>
                  <a:rPr lang="ru-RU" baseline="0"/>
                  <a:t>числа лиц ВИЧ+</a:t>
                </a:r>
                <a:endParaRPr lang="ro-RO"/>
              </a:p>
            </c:rich>
          </c:tx>
          <c:layout>
            <c:manualLayout>
              <c:xMode val="edge"/>
              <c:yMode val="edge"/>
              <c:x val="0.94540615115418269"/>
              <c:y val="0.17035887840752581"/>
            </c:manualLayout>
          </c:layout>
        </c:title>
        <c:numFmt formatCode="0\ \%" sourceLinked="0"/>
        <c:tickLblPos val="nextTo"/>
        <c:txPr>
          <a:bodyPr/>
          <a:lstStyle/>
          <a:p>
            <a:pPr>
              <a:defRPr lang="ru-RU"/>
            </a:pPr>
            <a:endParaRPr lang="en-US"/>
          </a:p>
        </c:txPr>
        <c:crossAx val="144466688"/>
        <c:crosses val="max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3825</Words>
  <Characters>21807</Characters>
  <Application>Microsoft Office Word</Application>
  <DocSecurity>0</DocSecurity>
  <Lines>181</Lines>
  <Paragraphs>51</Paragraphs>
  <ScaleCrop>false</ScaleCrop>
  <Company/>
  <LinksUpToDate>false</LinksUpToDate>
  <CharactersWithSpaces>25581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marcela.mazarenco</cp:lastModifiedBy>
  <cp:revision>3</cp:revision>
  <dcterms:created xsi:type="dcterms:W3CDTF">2016-11-01T09:00:00Z</dcterms:created>
  <dcterms:modified xsi:type="dcterms:W3CDTF">2018-10-24T11:05:00Z</dcterms:modified>
</cp:coreProperties>
</file>